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7593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乐山市沙湾区牛石历史文化名镇保护规划</w:t>
      </w:r>
    </w:p>
    <w:p w14:paraId="059E8F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（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征求意见稿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）</w:t>
      </w:r>
    </w:p>
    <w:p w14:paraId="68427ADD">
      <w:pPr>
        <w:spacing w:after="0" w:line="360" w:lineRule="auto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 w14:paraId="436D07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一、规划期限</w:t>
      </w:r>
    </w:p>
    <w:p w14:paraId="6B31FC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本次规划期限分为近期、远期两个阶段，规划期末为2035年。近期：2026年-2030年；远期：2031年-2035年。</w:t>
      </w:r>
    </w:p>
    <w:p w14:paraId="45E578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二、规划范围</w:t>
      </w:r>
    </w:p>
    <w:p w14:paraId="55E164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yellow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本次规划范围分为三个层面：镇域、镇区和古镇区。其中，镇域层面为牛石镇行政区划范围，规划面积为52.78平方公里；镇区层面为牛石镇城镇范围，规划面积为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52.57</w:t>
      </w:r>
      <w:r>
        <w:rPr>
          <w:rFonts w:hint="eastAsia" w:ascii="仿宋_GB2312" w:hAnsi="仿宋_GB2312" w:eastAsia="仿宋_GB2312" w:cs="仿宋_GB2312"/>
          <w:sz w:val="32"/>
          <w:szCs w:val="32"/>
        </w:rPr>
        <w:t>公顷；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古镇区层面，以红房子范围为重点区域，面积为27.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54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公顷。</w:t>
      </w:r>
    </w:p>
    <w:p w14:paraId="079D79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三、保护规划目标</w:t>
      </w:r>
    </w:p>
    <w:p w14:paraId="2D69B9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立足历史文化名镇历史基因守护与有机更新共生，通过全域保护、分级保护守护古镇区历史风貌原真性，在延续街巷肌理、修复自然生态的基础上，融入适应性功能更新，同时注重社区参与可持续发展，平衡原住民生活需求与文旅开发，利用绿色基础设施和特色产业培育，实现文化遗产的活态传承与现代生活的有机融合，打造兼具历史厚度与时代活力的“活态遗产空间”。</w:t>
      </w:r>
    </w:p>
    <w:p w14:paraId="0C7D24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四、保护内容</w:t>
      </w:r>
    </w:p>
    <w:p w14:paraId="5B3588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保护镇域的山水格局和历史文化资源，保护好境内的山水形胜、自然景观、特色文化、传统聚落和文物古迹等。</w:t>
      </w:r>
    </w:p>
    <w:p w14:paraId="578A9F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一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总体保护框架</w:t>
      </w:r>
    </w:p>
    <w:p w14:paraId="7D2FF0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构建“分级管控+活态利用+制度闭环”的韧性体系。以“红房子”工业遗产为核，划定保护红线；以“铜河文化”为魂，驱动文旅融合；形成“一带一廊、一核两片”的保护框架。</w:t>
      </w:r>
    </w:p>
    <w:p w14:paraId="506F09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一带：指水电建设时期的公路、桥梁等交通遗迹，串联红房子、硝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斗岩、墓葬区等，形成文化线路。</w:t>
      </w:r>
    </w:p>
    <w:p w14:paraId="120E90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一廊：指朝山、邓坪等村及大渡河岸线的生态保护廊道。</w:t>
      </w:r>
    </w:p>
    <w:p w14:paraId="7EAD60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一核：以红房子建筑群形成的保护核心。</w:t>
      </w:r>
    </w:p>
    <w:p w14:paraId="3C382D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两片：大渡河水电博物馆片区和硝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斗</w:t>
      </w:r>
      <w:r>
        <w:rPr>
          <w:rFonts w:hint="eastAsia" w:ascii="仿宋_GB2312" w:hAnsi="仿宋_GB2312" w:eastAsia="仿宋_GB2312" w:cs="仿宋_GB2312"/>
          <w:sz w:val="32"/>
          <w:szCs w:val="32"/>
        </w:rPr>
        <w:t>岩瀑布天坑保护片区。</w:t>
      </w:r>
    </w:p>
    <w:p w14:paraId="08EDE4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二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）自然山体的保护</w:t>
      </w:r>
    </w:p>
    <w:p w14:paraId="788A76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保护深山峡谷自然景观，包括四峨山、肖家山和官帽山等。</w:t>
      </w:r>
    </w:p>
    <w:p w14:paraId="26C838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严禁在自然山体区域进行无证采矿、采石、取土等破坏地质结构的行为。禁止砍伐山体原生植被、烧山垦荒，或违规开发林地。保护山体原生植被，对裸露山体实施生态修复，25°以上坡地需退耕还林还草。保护山体野生动物栖息地，禁止猎捕、破坏珍稀物种生存环境。建设项目需同步设计挡土墙、排水沟、沉沙池等水土保持设施。</w:t>
      </w:r>
    </w:p>
    <w:p w14:paraId="35534C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三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）自然水系的保护</w:t>
      </w:r>
    </w:p>
    <w:p w14:paraId="51FF23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保护对象包括大渡河、牛石溪沟、永乐桥沟、石桥沟等。</w:t>
      </w:r>
    </w:p>
    <w:p w14:paraId="0071D3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落实沙湾区三江岸线保护要求，禁止侵占、破坏河道、湖泊水域及岸线。禁止向水体排放污染物，严控工业、农业面源污染。落实“河长制”，明确水质达标责任。保护水生生物栖息地，修复鱼类洄游通道。禁止电鱼、毒鱼等非法捕捞，保留自然河岸形态。</w:t>
      </w:r>
    </w:p>
    <w:p w14:paraId="224753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四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）物质文化遗产保护</w:t>
      </w:r>
    </w:p>
    <w:p w14:paraId="397622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保护文物保护单位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未定级不可移动文物和建议历史建筑。</w:t>
      </w:r>
    </w:p>
    <w:p w14:paraId="14A40D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五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）非物质文化遗产</w:t>
      </w:r>
    </w:p>
    <w:tbl>
      <w:tblPr>
        <w:tblStyle w:val="15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1"/>
        <w:gridCol w:w="2131"/>
        <w:gridCol w:w="3869"/>
        <w:gridCol w:w="1261"/>
      </w:tblGrid>
      <w:tr w14:paraId="72BCF3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740" w:type="pct"/>
            <w:vAlign w:val="center"/>
          </w:tcPr>
          <w:p w14:paraId="7F750A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  <w:t>序号</w:t>
            </w:r>
          </w:p>
        </w:tc>
        <w:tc>
          <w:tcPr>
            <w:tcW w:w="1250" w:type="pct"/>
            <w:vAlign w:val="center"/>
          </w:tcPr>
          <w:p w14:paraId="43BD15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  <w:t>类别</w:t>
            </w:r>
          </w:p>
        </w:tc>
        <w:tc>
          <w:tcPr>
            <w:tcW w:w="2270" w:type="pct"/>
            <w:vAlign w:val="center"/>
          </w:tcPr>
          <w:p w14:paraId="25458D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  <w:t>项目名称</w:t>
            </w:r>
          </w:p>
        </w:tc>
        <w:tc>
          <w:tcPr>
            <w:tcW w:w="740" w:type="pct"/>
            <w:vAlign w:val="center"/>
          </w:tcPr>
          <w:p w14:paraId="5DBB49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  <w:t>等级</w:t>
            </w:r>
          </w:p>
        </w:tc>
      </w:tr>
      <w:tr w14:paraId="079F91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pct"/>
            <w:vAlign w:val="center"/>
          </w:tcPr>
          <w:p w14:paraId="6CE002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Ⅰ-1</w:t>
            </w:r>
          </w:p>
        </w:tc>
        <w:tc>
          <w:tcPr>
            <w:tcW w:w="1250" w:type="pct"/>
            <w:vMerge w:val="restart"/>
            <w:vAlign w:val="center"/>
          </w:tcPr>
          <w:p w14:paraId="0EF4B8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民间文学</w:t>
            </w:r>
          </w:p>
        </w:tc>
        <w:tc>
          <w:tcPr>
            <w:tcW w:w="2270" w:type="pct"/>
            <w:vAlign w:val="center"/>
          </w:tcPr>
          <w:p w14:paraId="5CDFC3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邓通铸币故事</w:t>
            </w:r>
          </w:p>
        </w:tc>
        <w:tc>
          <w:tcPr>
            <w:tcW w:w="740" w:type="pct"/>
            <w:vAlign w:val="center"/>
          </w:tcPr>
          <w:p w14:paraId="6F1C41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县级</w:t>
            </w:r>
          </w:p>
        </w:tc>
      </w:tr>
      <w:tr w14:paraId="6FE60A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pct"/>
            <w:vAlign w:val="center"/>
          </w:tcPr>
          <w:p w14:paraId="7F10E9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Ⅰ-2</w:t>
            </w:r>
          </w:p>
        </w:tc>
        <w:tc>
          <w:tcPr>
            <w:tcW w:w="1250" w:type="pct"/>
            <w:vMerge w:val="continue"/>
            <w:vAlign w:val="center"/>
          </w:tcPr>
          <w:p w14:paraId="558A7B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270" w:type="pct"/>
            <w:vAlign w:val="center"/>
          </w:tcPr>
          <w:p w14:paraId="2D2678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牛石镇民间故事</w:t>
            </w:r>
          </w:p>
        </w:tc>
        <w:tc>
          <w:tcPr>
            <w:tcW w:w="740" w:type="pct"/>
            <w:vAlign w:val="center"/>
          </w:tcPr>
          <w:p w14:paraId="2986BF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县级</w:t>
            </w:r>
          </w:p>
        </w:tc>
      </w:tr>
      <w:tr w14:paraId="4DFDF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pct"/>
            <w:vAlign w:val="center"/>
          </w:tcPr>
          <w:p w14:paraId="6A4CAA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III</w:t>
            </w:r>
          </w:p>
        </w:tc>
        <w:tc>
          <w:tcPr>
            <w:tcW w:w="1250" w:type="pct"/>
            <w:vAlign w:val="center"/>
          </w:tcPr>
          <w:p w14:paraId="3F3649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传统舞蹈</w:t>
            </w:r>
          </w:p>
        </w:tc>
        <w:tc>
          <w:tcPr>
            <w:tcW w:w="2270" w:type="pct"/>
            <w:vAlign w:val="center"/>
          </w:tcPr>
          <w:p w14:paraId="0E0922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铜河牛儿灯</w:t>
            </w:r>
          </w:p>
        </w:tc>
        <w:tc>
          <w:tcPr>
            <w:tcW w:w="740" w:type="pct"/>
            <w:vAlign w:val="center"/>
          </w:tcPr>
          <w:p w14:paraId="57359E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县级</w:t>
            </w:r>
          </w:p>
        </w:tc>
      </w:tr>
      <w:tr w14:paraId="30DF87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pct"/>
            <w:vAlign w:val="center"/>
          </w:tcPr>
          <w:p w14:paraId="49518B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Ⅷ-1</w:t>
            </w:r>
          </w:p>
        </w:tc>
        <w:tc>
          <w:tcPr>
            <w:tcW w:w="1250" w:type="pct"/>
            <w:vMerge w:val="restart"/>
            <w:vAlign w:val="center"/>
          </w:tcPr>
          <w:p w14:paraId="45E3C4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传统技艺</w:t>
            </w:r>
          </w:p>
        </w:tc>
        <w:tc>
          <w:tcPr>
            <w:tcW w:w="2270" w:type="pct"/>
            <w:vAlign w:val="center"/>
          </w:tcPr>
          <w:p w14:paraId="31C4F6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八月瓜茶制作技艺</w:t>
            </w:r>
          </w:p>
        </w:tc>
        <w:tc>
          <w:tcPr>
            <w:tcW w:w="740" w:type="pct"/>
          </w:tcPr>
          <w:p w14:paraId="16B64A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县级</w:t>
            </w:r>
          </w:p>
        </w:tc>
      </w:tr>
      <w:tr w14:paraId="775530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pct"/>
            <w:vAlign w:val="center"/>
          </w:tcPr>
          <w:p w14:paraId="79FDC8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Ⅷ-2</w:t>
            </w:r>
          </w:p>
        </w:tc>
        <w:tc>
          <w:tcPr>
            <w:tcW w:w="1250" w:type="pct"/>
            <w:vMerge w:val="continue"/>
            <w:vAlign w:val="center"/>
          </w:tcPr>
          <w:p w14:paraId="576DC3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270" w:type="pct"/>
            <w:vAlign w:val="center"/>
          </w:tcPr>
          <w:p w14:paraId="66C528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鞠婆婆手工冰粉</w:t>
            </w:r>
          </w:p>
        </w:tc>
        <w:tc>
          <w:tcPr>
            <w:tcW w:w="740" w:type="pct"/>
          </w:tcPr>
          <w:p w14:paraId="529B5B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县级</w:t>
            </w:r>
          </w:p>
        </w:tc>
      </w:tr>
      <w:tr w14:paraId="692F31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pct"/>
            <w:vAlign w:val="center"/>
          </w:tcPr>
          <w:p w14:paraId="7EE10E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X</w:t>
            </w:r>
          </w:p>
        </w:tc>
        <w:tc>
          <w:tcPr>
            <w:tcW w:w="1250" w:type="pct"/>
            <w:vAlign w:val="center"/>
          </w:tcPr>
          <w:p w14:paraId="47EE8F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民俗</w:t>
            </w:r>
          </w:p>
        </w:tc>
        <w:tc>
          <w:tcPr>
            <w:tcW w:w="2270" w:type="pct"/>
            <w:vAlign w:val="center"/>
          </w:tcPr>
          <w:p w14:paraId="73DD81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铜河开秧门</w:t>
            </w:r>
          </w:p>
        </w:tc>
        <w:tc>
          <w:tcPr>
            <w:tcW w:w="740" w:type="pct"/>
          </w:tcPr>
          <w:p w14:paraId="0875B6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县级</w:t>
            </w:r>
          </w:p>
        </w:tc>
      </w:tr>
    </w:tbl>
    <w:p w14:paraId="6BEB09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0E209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五、主要保护要求与整治措施</w:t>
      </w:r>
    </w:p>
    <w:p w14:paraId="3B0496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一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）核心保护范围的保护与整治措施</w:t>
      </w:r>
    </w:p>
    <w:p w14:paraId="02B771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核心保护范围：以规划范围内红房子组团为基本保护主体，北至灰石盆码头与道路连接巷一侧，南至三线文化广场南侧，西至现状沟渠一侧建筑外边线，东至大渡河一侧红房子建筑外边线，面积为3.3公顷。</w:t>
      </w:r>
    </w:p>
    <w:p w14:paraId="3B4A80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核心保护范围内开展建设和保护应与《沙湾区三江岸线保护规划》关于严格保护区和控制利用区相协调，落实其保护要求。历史遗迹应按照保持原有空间形态及建筑风格的要求加强维修，对濒临损毁的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建筑</w:t>
      </w:r>
      <w:r>
        <w:rPr>
          <w:rFonts w:hint="eastAsia" w:ascii="仿宋_GB2312" w:hAnsi="仿宋_GB2312" w:eastAsia="仿宋_GB2312" w:cs="仿宋_GB2312"/>
          <w:sz w:val="32"/>
          <w:szCs w:val="32"/>
        </w:rPr>
        <w:t>进行抢救性保护。建设活动应当符合保护规划的要求，经相关主管部门审核同意后进行。不得损害历史文化遗产的真实性和完整性，不得改变古镇的传统格局、历史风貌和空间尺度。</w:t>
      </w:r>
    </w:p>
    <w:p w14:paraId="154656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核心保护区范围内，除必要的基础设施和公共服务设施外，不得进行新建、扩建活动。允许翻建除文物保护单位、历史建筑以外存在较大安全隐患的建（构）筑物，但占地面积及高度不得超过原建筑，并且建筑风格、体量、色彩等方面，要延续传统建筑的形制与风貌特征，建筑应维持原有高度不得改变。</w:t>
      </w:r>
    </w:p>
    <w:p w14:paraId="0C274E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二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）建设控制地带的保护与整治措施</w:t>
      </w:r>
    </w:p>
    <w:p w14:paraId="0C4232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建设控制地带范围：结合现状土地使用状况与道路走向以及山形，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四至范围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与城镇开发边界进行衔接，面积为11.44公顷。</w:t>
      </w:r>
    </w:p>
    <w:p w14:paraId="645A40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建设</w:t>
      </w:r>
      <w:r>
        <w:rPr>
          <w:rFonts w:hint="eastAsia" w:ascii="仿宋_GB2312" w:hAnsi="仿宋_GB2312" w:eastAsia="仿宋_GB2312" w:cs="仿宋_GB2312"/>
          <w:sz w:val="32"/>
          <w:szCs w:val="32"/>
        </w:rPr>
        <w:t>控制地带范围内开展建设和保护应与《沙湾区三江岸线保护规划》关于严格保护区和控制利用区相协调，落实其保护要求。禁止进行开山等破坏传统格局和历史风貌的活动；占用或者破坏保护规划确定保留的园林绿地、河湖、道路等；对传统格局和风貌构成影响的大面积改建、大面积拆除、开发；修建破坏传统风貌的建筑物、构筑物。严格控制用地性质的调整，建设控制地带内的文化用地、公共服务设施用地、耕地、农田等不应随意改变用地功能。在建设控制地带内，更新改造应有计划、分阶段进行，历史遗存的活化利用不应超出其可承受限度。在建设控制地带内，新建、改建、扩建建筑层数不得超过6层；应按照传统建筑形式、色彩、体量等要求进行建设，建筑整体风貌应与文物及周边环境的整体风貌协调。</w:t>
      </w:r>
    </w:p>
    <w:p w14:paraId="469FFC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六、活化利用</w:t>
      </w:r>
    </w:p>
    <w:p w14:paraId="21E964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一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）总体策略</w:t>
      </w:r>
    </w:p>
    <w:p w14:paraId="06E50D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通过“点—线—面”的立体叙事，将工业遗址、红色记忆与峡谷生态转化为可游、可感、可学的文旅产品。</w:t>
      </w:r>
    </w:p>
    <w:p w14:paraId="09BFEC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二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）展示体系结构</w:t>
      </w:r>
    </w:p>
    <w:p w14:paraId="782B0A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落实牛石镇历史文化名镇水—山—镇的保护空间格局，在展示和利用空间上形成“一心两带”的总体空间格局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14A6AD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一心：红房子核心区，打造成文旅消费极核，主要打造影视基地、博物馆、主题酒店、非遗街区（禁止破坏性新建）等。</w:t>
      </w:r>
    </w:p>
    <w:p w14:paraId="4D2A0B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两带：大渡河滨水带和山地运动带，其中大渡河滨水带主要发展安池湿地观鸟、滨水步道、荧光跑等赛事活动；山地运动带主要发展硝斗岩探险、龙岩攀岩、徒步线路开发等项目。</w:t>
      </w:r>
    </w:p>
    <w:p w14:paraId="34877D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三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）旅游规划</w:t>
      </w:r>
    </w:p>
    <w:p w14:paraId="58CBC0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规划丰富的商业业态，以参与体验的方式增强古镇旅游吸引力。包括特色产品展销、餐饮、休闲、文化、住宿及综合业态。</w:t>
      </w:r>
    </w:p>
    <w:p w14:paraId="796CD5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红房子片区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</w:rPr>
        <w:t>影视+研学综合体</w:t>
      </w:r>
    </w:p>
    <w:p w14:paraId="1FB9C3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建筑利用（功能置换）：将闲置红砖房盘活利用，形成大渡河水电博物馆、三线建设记忆馆、主题民宿及影视配套服务区。在保持红砖房建筑原有外观风貌、典型构件的基础上，可通过加建、改建和添加设施等方式适应现代生产生活需要。</w:t>
      </w:r>
    </w:p>
    <w:p w14:paraId="248EC3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影视经济（场景固化）：利用影视IP和场景，打造换装旅拍基地。建立剧组服务标准，确保影视拍摄不破坏建筑结构。</w:t>
      </w:r>
    </w:p>
    <w:p w14:paraId="4F6EE2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展陈设计（沉浸式叙事）：采用“实物+科技”手段，陈列老物件，通过VR还原水电建设场景、全息投影再现“三线”生活，开发针对学生的水电科普研学课程。</w:t>
      </w:r>
    </w:p>
    <w:p w14:paraId="20C8F4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业态控制（小而精设置）：业态以文创店、主题咖啡馆、非遗体验馆等为主，维持“安静的怀旧街区”氛围。</w:t>
      </w:r>
    </w:p>
    <w:p w14:paraId="3762D5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山水与工业遗存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</w:rPr>
        <w:t>户外体验廊道</w:t>
      </w:r>
    </w:p>
    <w:p w14:paraId="60FF00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斗</w:t>
      </w:r>
      <w:r>
        <w:rPr>
          <w:rFonts w:hint="eastAsia" w:ascii="仿宋_GB2312" w:hAnsi="仿宋_GB2312" w:eastAsia="仿宋_GB2312" w:cs="仿宋_GB2312"/>
          <w:sz w:val="32"/>
          <w:szCs w:val="32"/>
        </w:rPr>
        <w:t>岩天坑：利用天坑瀑布资源，开发地质科普考察线路，作为红房子研学游的户外延伸。</w:t>
      </w:r>
    </w:p>
    <w:p w14:paraId="07C39D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龙岩攀岩基地：依托天然岩壁，建设专业攀岩线路和体验区，举办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各级</w:t>
      </w:r>
      <w:r>
        <w:rPr>
          <w:rFonts w:hint="eastAsia" w:ascii="仿宋_GB2312" w:hAnsi="仿宋_GB2312" w:eastAsia="仿宋_GB2312" w:cs="仿宋_GB2312"/>
          <w:sz w:val="32"/>
          <w:szCs w:val="32"/>
        </w:rPr>
        <w:t>攀岩赛事，吸引年轻客群。</w:t>
      </w:r>
    </w:p>
    <w:p w14:paraId="3A5444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铜街子电站：在安全保障的前提下，电站观景平台，展示大渡河水电开发的宏大场景，与红房子生活区形成“生产-生活”联动叙事。</w:t>
      </w:r>
    </w:p>
    <w:p w14:paraId="76C991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</w:rPr>
        <w:t>非遗与民俗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</w:rPr>
        <w:t>活态展示链条</w:t>
      </w:r>
    </w:p>
    <w:p w14:paraId="35F38C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铜河“开秧门”（节庆IP化）：固定为每年春季的农耕文化节。规划专用场地（安池梯田），设计插秧比赛、浑水摸鱼、栽秧粑制作等体验环节，将其从民俗仪式升级为旅游产品。</w:t>
      </w:r>
    </w:p>
    <w:p w14:paraId="00553A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手工技艺（前店后厂）：在红房子街区设立非遗工坊。实现“看得见、吃得着”的生产性保护。</w:t>
      </w:r>
    </w:p>
    <w:p w14:paraId="0ACDBC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牛儿灯/山歌（街头艺术）：将传统舞蹈和山歌编排为常态化街头快闪节目，在红房子广场、游客中心定点定时演出，解决“有戏无台”的问题。</w:t>
      </w:r>
    </w:p>
    <w:p w14:paraId="0ADD57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F52B7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附件：乐山市沙湾区牛石历史文化名镇保护规划图纸</w:t>
      </w:r>
    </w:p>
    <w:p w14:paraId="7A059A98">
      <w:pPr>
        <w:spacing w:after="0"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572B6A85">
      <w:pPr>
        <w:spacing w:after="0"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0EA1DF45">
      <w:pPr>
        <w:spacing w:after="0"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0490DE91">
      <w:pPr>
        <w:spacing w:after="0" w:line="360" w:lineRule="auto"/>
        <w:ind w:firstLine="560" w:firstLineChars="200"/>
        <w:rPr>
          <w:rFonts w:hint="eastAsia" w:ascii="微软雅黑" w:hAnsi="微软雅黑" w:eastAsia="微软雅黑"/>
          <w:sz w:val="28"/>
          <w:szCs w:val="32"/>
        </w:rPr>
      </w:pPr>
    </w:p>
    <w:p w14:paraId="7584FC11">
      <w:pPr>
        <w:spacing w:after="0" w:line="360" w:lineRule="auto"/>
        <w:ind w:firstLine="560" w:firstLineChars="200"/>
        <w:rPr>
          <w:rFonts w:hint="eastAsia" w:ascii="微软雅黑" w:hAnsi="微软雅黑" w:eastAsia="微软雅黑"/>
          <w:sz w:val="28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064B63B">
      <w:pPr>
        <w:spacing w:after="0" w:line="360" w:lineRule="auto"/>
        <w:jc w:val="center"/>
        <w:rPr>
          <w:rFonts w:hint="eastAsia" w:ascii="微软雅黑" w:hAnsi="微软雅黑" w:eastAsia="微软雅黑"/>
          <w:sz w:val="28"/>
          <w:szCs w:val="32"/>
          <w:lang w:eastAsia="zh-CN"/>
        </w:rPr>
      </w:pPr>
      <w:r>
        <w:rPr>
          <w:rFonts w:hint="eastAsia" w:ascii="微软雅黑" w:hAnsi="微软雅黑" w:eastAsia="微软雅黑"/>
          <w:sz w:val="28"/>
          <w:szCs w:val="32"/>
          <w:lang w:eastAsia="zh-CN"/>
        </w:rPr>
        <w:drawing>
          <wp:inline distT="0" distB="0" distL="114300" distR="114300">
            <wp:extent cx="7447280" cy="5268595"/>
            <wp:effectExtent l="0" t="0" r="1270" b="8255"/>
            <wp:docPr id="1" name="图片 1" descr="897ab9f52ddabfcbad81fda2927667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97ab9f52ddabfcbad81fda2927667e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E7774">
      <w:pPr>
        <w:spacing w:after="0" w:line="360" w:lineRule="auto"/>
        <w:jc w:val="center"/>
        <w:rPr>
          <w:rFonts w:hint="eastAsia" w:ascii="微软雅黑" w:hAnsi="微软雅黑" w:eastAsia="微软雅黑"/>
          <w:sz w:val="28"/>
          <w:szCs w:val="32"/>
        </w:rPr>
      </w:pPr>
      <w:r>
        <w:drawing>
          <wp:inline distT="0" distB="0" distL="0" distR="0">
            <wp:extent cx="7453630" cy="5278120"/>
            <wp:effectExtent l="0" t="0" r="0" b="0"/>
            <wp:docPr id="13575722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5722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46CDF">
      <w:pPr>
        <w:spacing w:after="0" w:line="360" w:lineRule="auto"/>
        <w:jc w:val="center"/>
        <w:rPr>
          <w:rFonts w:hint="eastAsia" w:ascii="微软雅黑" w:hAnsi="微软雅黑" w:eastAsia="微软雅黑"/>
          <w:sz w:val="28"/>
          <w:szCs w:val="32"/>
        </w:rPr>
      </w:pPr>
      <w:r>
        <w:drawing>
          <wp:inline distT="0" distB="0" distL="0" distR="0">
            <wp:extent cx="7461885" cy="5278120"/>
            <wp:effectExtent l="0" t="0" r="5715" b="0"/>
            <wp:docPr id="19615628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56283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61885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797" w:right="1440" w:bottom="1797" w:left="1440" w:header="851" w:footer="992" w:gutter="0"/>
      <w:cols w:space="425" w:num="1"/>
      <w:docGrid w:type="linesAndChar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99C"/>
    <w:rsid w:val="000D6433"/>
    <w:rsid w:val="00172F86"/>
    <w:rsid w:val="001751AE"/>
    <w:rsid w:val="001A01C5"/>
    <w:rsid w:val="00253B73"/>
    <w:rsid w:val="0029367F"/>
    <w:rsid w:val="002F699C"/>
    <w:rsid w:val="003A6866"/>
    <w:rsid w:val="00437FFA"/>
    <w:rsid w:val="00450D00"/>
    <w:rsid w:val="005241E8"/>
    <w:rsid w:val="005433F1"/>
    <w:rsid w:val="00575DA8"/>
    <w:rsid w:val="00671E1A"/>
    <w:rsid w:val="006A4A51"/>
    <w:rsid w:val="0073756D"/>
    <w:rsid w:val="00841BA1"/>
    <w:rsid w:val="009A2EFC"/>
    <w:rsid w:val="009C4620"/>
    <w:rsid w:val="00B21849"/>
    <w:rsid w:val="00B44056"/>
    <w:rsid w:val="00B5067A"/>
    <w:rsid w:val="00B511BD"/>
    <w:rsid w:val="00BC574D"/>
    <w:rsid w:val="00C51F98"/>
    <w:rsid w:val="00CA1BD5"/>
    <w:rsid w:val="00D00645"/>
    <w:rsid w:val="00EC7A20"/>
    <w:rsid w:val="00F37B1E"/>
    <w:rsid w:val="0B6658C1"/>
    <w:rsid w:val="16FE2244"/>
    <w:rsid w:val="24BF2DE1"/>
    <w:rsid w:val="28175856"/>
    <w:rsid w:val="33917C3C"/>
    <w:rsid w:val="36C90530"/>
    <w:rsid w:val="37377380"/>
    <w:rsid w:val="3FC61C78"/>
    <w:rsid w:val="569D432E"/>
    <w:rsid w:val="58531796"/>
    <w:rsid w:val="5A392F01"/>
    <w:rsid w:val="5FA612B1"/>
    <w:rsid w:val="5FDF6C2A"/>
    <w:rsid w:val="69456FB5"/>
    <w:rsid w:val="7CD12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2">
    <w:name w:val="head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8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7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6">
    <w:name w:val="Table Grid"/>
    <w:basedOn w:val="1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8">
    <w:name w:val="标题 1 字符"/>
    <w:basedOn w:val="17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9">
    <w:name w:val="标题 2 字符"/>
    <w:basedOn w:val="17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20">
    <w:name w:val="标题 3 字符"/>
    <w:basedOn w:val="17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1">
    <w:name w:val="标题 4 字符"/>
    <w:basedOn w:val="17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2">
    <w:name w:val="标题 5 字符"/>
    <w:basedOn w:val="17"/>
    <w:link w:val="6"/>
    <w:semiHidden/>
    <w:qFormat/>
    <w:uiPriority w:val="9"/>
    <w:rPr>
      <w:rFonts w:cstheme="majorBidi"/>
      <w:color w:val="2F5597" w:themeColor="accent1" w:themeShade="BF"/>
      <w:sz w:val="24"/>
    </w:rPr>
  </w:style>
  <w:style w:type="character" w:customStyle="1" w:styleId="23">
    <w:name w:val="标题 6 字符"/>
    <w:basedOn w:val="17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4">
    <w:name w:val="标题 7 字符"/>
    <w:basedOn w:val="17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8 字符"/>
    <w:basedOn w:val="17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9 字符"/>
    <w:basedOn w:val="17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字符"/>
    <w:basedOn w:val="17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字符"/>
    <w:basedOn w:val="17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9">
    <w:name w:val="Quote"/>
    <w:basedOn w:val="1"/>
    <w:next w:val="1"/>
    <w:link w:val="30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0">
    <w:name w:val="引用 字符"/>
    <w:basedOn w:val="17"/>
    <w:link w:val="29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1">
    <w:name w:val="List Paragraph"/>
    <w:basedOn w:val="1"/>
    <w:qFormat/>
    <w:uiPriority w:val="34"/>
    <w:pPr>
      <w:ind w:left="720"/>
      <w:contextualSpacing/>
    </w:pPr>
  </w:style>
  <w:style w:type="character" w:customStyle="1" w:styleId="32">
    <w:name w:val="明显强调1"/>
    <w:basedOn w:val="17"/>
    <w:qFormat/>
    <w:uiPriority w:val="21"/>
    <w:rPr>
      <w:i/>
      <w:iCs/>
      <w:color w:val="2F5597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4">
    <w:name w:val="明显引用 字符"/>
    <w:basedOn w:val="17"/>
    <w:link w:val="33"/>
    <w:qFormat/>
    <w:uiPriority w:val="30"/>
    <w:rPr>
      <w:i/>
      <w:iCs/>
      <w:color w:val="2F5597" w:themeColor="accent1" w:themeShade="BF"/>
    </w:rPr>
  </w:style>
  <w:style w:type="character" w:customStyle="1" w:styleId="35">
    <w:name w:val="明显参考1"/>
    <w:basedOn w:val="17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36">
    <w:name w:val="页眉 字符"/>
    <w:basedOn w:val="17"/>
    <w:link w:val="12"/>
    <w:qFormat/>
    <w:uiPriority w:val="99"/>
    <w:rPr>
      <w:kern w:val="2"/>
      <w:sz w:val="18"/>
      <w:szCs w:val="18"/>
      <w14:ligatures w14:val="standardContextual"/>
    </w:rPr>
  </w:style>
  <w:style w:type="character" w:customStyle="1" w:styleId="37">
    <w:name w:val="页脚 字符"/>
    <w:basedOn w:val="17"/>
    <w:link w:val="11"/>
    <w:qFormat/>
    <w:uiPriority w:val="99"/>
    <w:rPr>
      <w:kern w:val="2"/>
      <w:sz w:val="18"/>
      <w:szCs w:val="18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2861</Words>
  <Characters>2913</Characters>
  <Lines>103</Lines>
  <Paragraphs>104</Paragraphs>
  <TotalTime>5</TotalTime>
  <ScaleCrop>false</ScaleCrop>
  <LinksUpToDate>false</LinksUpToDate>
  <CharactersWithSpaces>2913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2026-05-15T13:02:00Z</dcterms:created>
  <dc:creator>金</dc:creator>
  <cp:lastModifiedBy>缪超</cp:lastModifiedBy>
  <dcterms:modified xsi:type="dcterms:W3CDTF">2026-05-18T07:53:52Z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eyJoZGlkIjoiZjQzYWI0NzUyYWYxMWNlZmEyYzI1MmU0YWNhMDQ3OGUiLCJ1c2VySWQiOiIxNDg0MjA2NTc0In0=</vt:lpwstr>
  </property>
  <property fmtid="{D5CDD505-2E9C-101B-9397-08002B2CF9AE}" pid="3" name="KSOProductBuildVer">
    <vt:lpwstr>2052-12.1.0.26375</vt:lpwstr>
  </property>
  <property fmtid="{D5CDD505-2E9C-101B-9397-08002B2CF9AE}" pid="4" name="ICV">
    <vt:lpwstr>4B68EE6D008044AA80366CF926A8DB79_13</vt:lpwstr>
  </property>
</Properties>
</file>