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ind w:firstLine="0" w:firstLineChars="0"/>
        <w:jc w:val="center"/>
        <w:rPr>
          <w:rFonts w:hint="default" w:ascii="Times New Roman" w:hAnsi="Times New Roman" w:cs="Times New Roman"/>
          <w:color w:val="auto"/>
          <w:sz w:val="48"/>
          <w:szCs w:val="44"/>
        </w:rPr>
      </w:pPr>
      <w:bookmarkStart w:id="0" w:name="_Hlk143260077"/>
      <w:bookmarkEnd w:id="0"/>
    </w:p>
    <w:p>
      <w:pPr>
        <w:adjustRightInd w:val="0"/>
        <w:ind w:firstLine="0" w:firstLineChars="0"/>
        <w:jc w:val="center"/>
        <w:rPr>
          <w:rFonts w:hint="default" w:ascii="Times New Roman" w:hAnsi="Times New Roman" w:cs="Times New Roman"/>
          <w:color w:val="auto"/>
          <w:sz w:val="48"/>
          <w:szCs w:val="48"/>
        </w:rPr>
      </w:pPr>
      <w:r>
        <w:rPr>
          <w:rFonts w:hint="default" w:ascii="Times New Roman" w:hAnsi="Times New Roman" w:cs="Times New Roman"/>
          <w:color w:val="auto"/>
          <w:sz w:val="48"/>
          <w:szCs w:val="48"/>
        </w:rPr>
        <w:t>乐山市沙湾区豪沐科技有限公司</w:t>
      </w:r>
    </w:p>
    <w:p>
      <w:pPr>
        <w:adjustRightInd w:val="0"/>
        <w:ind w:firstLine="0" w:firstLineChars="0"/>
        <w:jc w:val="center"/>
        <w:rPr>
          <w:rFonts w:hint="default" w:ascii="Times New Roman" w:hAnsi="Times New Roman" w:cs="Times New Roman"/>
          <w:b/>
          <w:bCs/>
          <w:color w:val="auto"/>
          <w:sz w:val="84"/>
          <w:szCs w:val="84"/>
        </w:rPr>
      </w:pPr>
      <w:r>
        <w:rPr>
          <w:rFonts w:hint="default" w:ascii="Times New Roman" w:hAnsi="Times New Roman" w:cs="Times New Roman"/>
          <w:color w:val="auto"/>
          <w:sz w:val="44"/>
          <w:szCs w:val="44"/>
        </w:rPr>
        <w:t>沙湾区新建50万吨锂矿加工综合利用项目</w:t>
      </w:r>
      <w:r>
        <w:rPr>
          <w:rFonts w:hint="default" w:ascii="Times New Roman" w:hAnsi="Times New Roman" w:cs="Times New Roman"/>
          <w:b/>
          <w:bCs/>
          <w:color w:val="auto"/>
          <w:sz w:val="84"/>
          <w:szCs w:val="84"/>
        </w:rPr>
        <w:t>环境影响报告书</w:t>
      </w:r>
    </w:p>
    <w:p>
      <w:pPr>
        <w:adjustRightInd w:val="0"/>
        <w:ind w:firstLine="0" w:firstLineChars="0"/>
        <w:jc w:val="center"/>
        <w:rPr>
          <w:rFonts w:hint="default" w:ascii="Times New Roman" w:hAnsi="Times New Roman" w:cs="Times New Roman"/>
          <w:b/>
          <w:bCs/>
          <w:color w:val="auto"/>
          <w:sz w:val="48"/>
          <w:szCs w:val="48"/>
        </w:rPr>
      </w:pPr>
      <w:r>
        <w:rPr>
          <w:rFonts w:hint="default" w:ascii="Times New Roman" w:hAnsi="Times New Roman" w:cs="Times New Roman"/>
          <w:b/>
          <w:bCs/>
          <w:color w:val="auto"/>
          <w:sz w:val="48"/>
          <w:szCs w:val="48"/>
        </w:rPr>
        <w:t>（</w:t>
      </w:r>
      <w:r>
        <w:rPr>
          <w:rFonts w:hint="eastAsia" w:cs="Times New Roman"/>
          <w:b/>
          <w:bCs/>
          <w:color w:val="auto"/>
          <w:sz w:val="48"/>
          <w:szCs w:val="48"/>
          <w:lang w:val="en-US" w:eastAsia="zh-CN"/>
        </w:rPr>
        <w:t>公示</w:t>
      </w:r>
      <w:r>
        <w:rPr>
          <w:rFonts w:hint="default" w:ascii="Times New Roman" w:hAnsi="Times New Roman" w:cs="Times New Roman"/>
          <w:b/>
          <w:bCs/>
          <w:color w:val="auto"/>
          <w:sz w:val="48"/>
          <w:szCs w:val="48"/>
        </w:rPr>
        <w:t>本）</w:t>
      </w: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left="648" w:hanging="648" w:hangingChars="270"/>
        <w:rPr>
          <w:rFonts w:hint="default" w:ascii="Times New Roman" w:hAnsi="Times New Roman" w:cs="Times New Roman"/>
          <w:color w:val="auto"/>
          <w:szCs w:val="24"/>
        </w:rPr>
      </w:pPr>
    </w:p>
    <w:p>
      <w:pPr>
        <w:adjustRightInd w:val="0"/>
        <w:ind w:firstLine="480"/>
        <w:rPr>
          <w:rFonts w:hint="default" w:ascii="Times New Roman" w:hAnsi="Times New Roman" w:cs="Times New Roman"/>
          <w:color w:val="auto"/>
          <w:szCs w:val="24"/>
        </w:rPr>
      </w:pPr>
    </w:p>
    <w:p>
      <w:pPr>
        <w:adjustRightInd w:val="0"/>
        <w:ind w:firstLine="0" w:firstLineChars="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建设单位：乐山市沙湾区豪沐科技有限公司</w:t>
      </w:r>
    </w:p>
    <w:p>
      <w:pPr>
        <w:adjustRightInd w:val="0"/>
        <w:ind w:firstLine="0" w:firstLineChars="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编制单位：四川蓉创鼎锋环境科技有限公司</w:t>
      </w:r>
    </w:p>
    <w:p>
      <w:pPr>
        <w:widowControl/>
        <w:adjustRightInd w:val="0"/>
        <w:ind w:firstLine="0" w:firstLineChars="0"/>
        <w:jc w:val="center"/>
        <w:rPr>
          <w:rFonts w:hint="default" w:ascii="Times New Roman" w:hAnsi="Times New Roman" w:cs="Times New Roman"/>
          <w:color w:val="auto"/>
          <w:sz w:val="32"/>
          <w:szCs w:val="28"/>
        </w:rPr>
      </w:pPr>
      <w:r>
        <w:rPr>
          <w:rFonts w:hint="default" w:ascii="Times New Roman" w:hAnsi="Times New Roman" w:cs="Times New Roman"/>
          <w:b/>
          <w:color w:val="auto"/>
          <w:sz w:val="28"/>
          <w:szCs w:val="28"/>
        </w:rPr>
        <w:t>2025年</w:t>
      </w:r>
      <w:r>
        <w:rPr>
          <w:rFonts w:hint="eastAsia" w:cs="Times New Roman"/>
          <w:b/>
          <w:color w:val="auto"/>
          <w:sz w:val="28"/>
          <w:szCs w:val="28"/>
          <w:lang w:val="en-US" w:eastAsia="zh-CN"/>
        </w:rPr>
        <w:t>10</w:t>
      </w:r>
      <w:r>
        <w:rPr>
          <w:rFonts w:hint="default" w:ascii="Times New Roman" w:hAnsi="Times New Roman" w:cs="Times New Roman"/>
          <w:b/>
          <w:color w:val="auto"/>
          <w:sz w:val="28"/>
          <w:szCs w:val="28"/>
        </w:rPr>
        <w:t>月</w:t>
      </w:r>
    </w:p>
    <w:p>
      <w:pPr>
        <w:adjustRightInd w:val="0"/>
        <w:ind w:firstLine="480"/>
        <w:rPr>
          <w:rFonts w:hint="default" w:ascii="Times New Roman" w:hAnsi="Times New Roman" w:cs="Times New Roman"/>
          <w:color w:val="auto"/>
          <w:szCs w:val="2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26" w:charSpace="0"/>
        </w:sectPr>
      </w:pPr>
    </w:p>
    <w:p>
      <w:pPr>
        <w:adjustRightInd w:val="0"/>
        <w:ind w:firstLine="480"/>
        <w:rPr>
          <w:rFonts w:hint="default" w:ascii="Times New Roman" w:hAnsi="Times New Roman" w:cs="Times New Roman"/>
          <w:color w:val="auto"/>
          <w:szCs w:val="22"/>
        </w:rPr>
        <w:sectPr>
          <w:pgSz w:w="11906" w:h="16838"/>
          <w:pgMar w:top="1440" w:right="1800" w:bottom="1440" w:left="1800" w:header="851" w:footer="992" w:gutter="0"/>
          <w:cols w:space="425" w:num="1"/>
          <w:titlePg/>
          <w:docGrid w:type="lines" w:linePitch="326" w:charSpace="0"/>
        </w:sectPr>
      </w:pPr>
    </w:p>
    <w:p>
      <w:pPr>
        <w:pStyle w:val="37"/>
        <w:ind w:firstLine="0" w:firstLineChars="0"/>
        <w:jc w:val="center"/>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rPr>
        <w:t>概述</w:t>
      </w:r>
    </w:p>
    <w:p>
      <w:pPr>
        <w:pStyle w:val="37"/>
        <w:ind w:firstLine="482"/>
        <w:rPr>
          <w:rFonts w:hint="default" w:ascii="Times New Roman" w:hAnsi="Times New Roman" w:cs="Times New Roman"/>
          <w:b/>
          <w:bCs/>
          <w:color w:val="auto"/>
        </w:rPr>
      </w:pPr>
      <w:r>
        <w:rPr>
          <w:rFonts w:hint="default" w:ascii="Times New Roman" w:hAnsi="Times New Roman" w:cs="Times New Roman"/>
          <w:b/>
          <w:bCs/>
          <w:color w:val="auto"/>
        </w:rPr>
        <w:t>1、项目由来</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锂不仅是我国重要的战</w:t>
      </w:r>
      <w:r>
        <w:rPr>
          <w:rFonts w:hint="eastAsia" w:cs="Times New Roman"/>
          <w:color w:val="auto"/>
          <w:lang w:eastAsia="zh-CN"/>
        </w:rPr>
        <w:t>本部分涉密</w:t>
      </w:r>
      <w:r>
        <w:rPr>
          <w:rFonts w:hint="default" w:ascii="Times New Roman" w:hAnsi="Times New Roman" w:cs="Times New Roman"/>
          <w:color w:val="auto"/>
        </w:rPr>
        <w:t>性矿产资源，也是我国产业结构、布局战</w:t>
      </w:r>
      <w:r>
        <w:rPr>
          <w:rFonts w:hint="eastAsia" w:cs="Times New Roman"/>
          <w:color w:val="auto"/>
          <w:lang w:eastAsia="zh-CN"/>
        </w:rPr>
        <w:t>本部分涉密</w:t>
      </w:r>
      <w:r>
        <w:rPr>
          <w:rFonts w:hint="default" w:ascii="Times New Roman" w:hAnsi="Times New Roman" w:cs="Times New Roman"/>
          <w:color w:val="auto"/>
        </w:rPr>
        <w:t>性调整的基础保障，近年来新能源汽车等产业不断发展，促使锂金属需求不断增长，锂金属市场前景广阔。</w:t>
      </w:r>
    </w:p>
    <w:p>
      <w:pPr>
        <w:pStyle w:val="37"/>
        <w:ind w:firstLine="480"/>
        <w:rPr>
          <w:rFonts w:hint="default" w:cs="Times New Roman"/>
          <w:color w:val="auto"/>
          <w:lang w:val="en-US" w:eastAsia="zh-CN"/>
        </w:rPr>
      </w:pPr>
      <w:r>
        <w:rPr>
          <w:rFonts w:hint="eastAsia" w:cs="Times New Roman"/>
          <w:color w:val="auto"/>
          <w:lang w:val="en-US" w:eastAsia="zh-CN"/>
        </w:rPr>
        <w:t>根据《中共四川省委 四川省人民政府关于支持乐山高质量发展加快提升区域中心城市能级的意见》（2023年12月8日），支持乐山高质量发展、加快提升区域中心城市能级，聚力打造中国绿色硅谷。统筹优化晶硅光伏产业布局，引导电池片、组件及配套产业落地乐山，发展晶硅光伏全产业链，协同打造成乐眉光伏产业带。2025年2月10日，工业和信息化部等八部门印发《新型储能制造业高质量发展行动方案》（工信部联电子〔2025〕7号），方案要求“锂电池面向新型储能应用需求，加快长寿命高容量先进活性材料技术、高效补锂技术攻关，发展高附加值辅材产品，重点布局大容量高安全储能电池、高功率电池、全生命周期高能效电池、储能用固态电池、全气候低衰减长寿命电池、高一致性电池系统等先进储能型锂电池产品。”2025年6月13日，中华人民共和国工业和信息化部发布《2025年1－4月全国锂离子电池行业运行情况》，指出“2025年1－4月，我国锂离子电池（下称“锂电池”）产业延续增长态势。根据锂电池行业规范公告企业信息和行业协会测算，1－4月全国锂电池总产量超过473GWh，同比增长68%。”</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考虑到目前以及今后国内和国际市场对锂精矿的强烈需求，因此乐山市沙湾区豪沐科技有限公司决定抓住难得的市场时机，选址于乐山市沙湾区嘉农镇凤凰路1号（乐山（沙湾）不锈钢产业园区内），建设</w:t>
      </w:r>
      <w:r>
        <w:rPr>
          <w:rFonts w:hint="eastAsia" w:cs="Times New Roman"/>
          <w:color w:val="auto"/>
          <w:lang w:eastAsia="zh-CN"/>
        </w:rPr>
        <w:t>“</w:t>
      </w:r>
      <w:r>
        <w:rPr>
          <w:rFonts w:hint="default" w:ascii="Times New Roman" w:hAnsi="Times New Roman" w:cs="Times New Roman"/>
          <w:color w:val="auto"/>
        </w:rPr>
        <w:t>沙湾区新建50万吨锂矿加工综合利用项目</w:t>
      </w:r>
      <w:r>
        <w:rPr>
          <w:rFonts w:hint="eastAsia" w:cs="Times New Roman"/>
          <w:color w:val="auto"/>
          <w:lang w:eastAsia="zh-CN"/>
        </w:rPr>
        <w:t>”</w:t>
      </w:r>
      <w:r>
        <w:rPr>
          <w:rFonts w:hint="default" w:ascii="Times New Roman" w:hAnsi="Times New Roman" w:cs="Times New Roman"/>
          <w:color w:val="auto"/>
        </w:rPr>
        <w:t>（以下简称</w:t>
      </w:r>
      <w:r>
        <w:rPr>
          <w:rFonts w:hint="eastAsia" w:cs="Times New Roman"/>
          <w:color w:val="auto"/>
          <w:lang w:eastAsia="zh-CN"/>
        </w:rPr>
        <w:t>“</w:t>
      </w:r>
      <w:r>
        <w:rPr>
          <w:rFonts w:hint="default" w:ascii="Times New Roman" w:hAnsi="Times New Roman" w:cs="Times New Roman"/>
          <w:color w:val="auto"/>
        </w:rPr>
        <w:t>本项目</w:t>
      </w:r>
      <w:r>
        <w:rPr>
          <w:rFonts w:hint="eastAsia" w:cs="Times New Roman"/>
          <w:color w:val="auto"/>
          <w:lang w:eastAsia="zh-CN"/>
        </w:rPr>
        <w:t>”</w:t>
      </w:r>
      <w:r>
        <w:rPr>
          <w:rFonts w:hint="default" w:ascii="Times New Roman" w:hAnsi="Times New Roman" w:cs="Times New Roman"/>
          <w:color w:val="auto"/>
        </w:rPr>
        <w:t>）。</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本项目主要建设内容为：项目占地82.79亩，新建钢结构厂房；主要对锂矿加工处置利用，配套建设碎矿车间、磨矿车间、加工车间、磁选车间、压滤车间并配套建设办公楼、宿舍楼等工程。产品名称：锂辉石精矿、尾矿。主要设备：颚式破碎机，球磨机，浮选机，磁选机，鼓风机，精矿和尾矿压滤机等。项目建成后加工锂辉石原矿1666.67t/d（50万t/a）。</w:t>
      </w:r>
    </w:p>
    <w:p>
      <w:pPr>
        <w:pStyle w:val="37"/>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本项目原料及产品上下游供应链情况：本项目主要加工</w:t>
      </w:r>
      <w:r>
        <w:rPr>
          <w:rFonts w:hint="eastAsia" w:cs="Times New Roman"/>
          <w:color w:val="auto"/>
          <w:lang w:eastAsia="zh-CN"/>
        </w:rPr>
        <w:t>甘孜州融达锂业有限公司</w:t>
      </w:r>
      <w:r>
        <w:rPr>
          <w:rFonts w:hint="default" w:ascii="Times New Roman" w:hAnsi="Times New Roman" w:cs="Times New Roman"/>
          <w:color w:val="auto"/>
        </w:rPr>
        <w:t>提供的锂辉石原矿，</w:t>
      </w:r>
      <w:r>
        <w:rPr>
          <w:rFonts w:hint="eastAsia" w:cs="Times New Roman"/>
          <w:color w:val="auto"/>
          <w:lang w:val="en-US" w:eastAsia="zh-CN"/>
        </w:rPr>
        <w:t>购入时要求甘孜州融达锂业有限公司提供成分检测报告，同时建设单位也设置入场检测环节，确保不含国家管控的重金属铅、汞、镉、铬、砷、铊和锑。</w:t>
      </w:r>
      <w:r>
        <w:rPr>
          <w:rFonts w:hint="default" w:ascii="Times New Roman" w:hAnsi="Times New Roman" w:cs="Times New Roman"/>
          <w:color w:val="auto"/>
        </w:rPr>
        <w:t>若原矿来源发生变化需重新对原矿进行全成分检测分析，确保原矿中不含有重金属。</w:t>
      </w:r>
      <w:r>
        <w:rPr>
          <w:rFonts w:hint="eastAsia"/>
          <w:color w:val="auto"/>
          <w:lang w:val="en-US" w:eastAsia="zh-CN"/>
        </w:rPr>
        <w:t>本项目产品锂辉石精矿外售给乐山市电池生产企业。</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根据《中华人民共和国环境保护法》、《中华人民共和国环境影响评价法》等国家法律、法规要求，本项目应进行环境影响评价。根据《国民经济行业分类》（GB/T4754-2017），本项目行业类别为B09有色金属矿采选业--B0939其他稀有金属采选—锂辉石选矿。根据《建设项目环境影响评价分类管理名录》（2021版），本项目工艺主要为破碎、筛分、磨矿、浮选、除铁和脱水，属于</w:t>
      </w:r>
      <w:r>
        <w:rPr>
          <w:rFonts w:hint="eastAsia" w:cs="Times New Roman"/>
          <w:color w:val="auto"/>
          <w:lang w:eastAsia="zh-CN"/>
        </w:rPr>
        <w:t>“</w:t>
      </w:r>
      <w:r>
        <w:rPr>
          <w:rFonts w:hint="default" w:ascii="Times New Roman" w:hAnsi="Times New Roman" w:cs="Times New Roman"/>
          <w:color w:val="auto"/>
        </w:rPr>
        <w:t>七、有色金属矿采选业 09</w:t>
      </w:r>
      <w:r>
        <w:rPr>
          <w:rFonts w:hint="eastAsia" w:cs="Times New Roman"/>
          <w:color w:val="auto"/>
          <w:lang w:eastAsia="zh-CN"/>
        </w:rPr>
        <w:t>”</w:t>
      </w:r>
      <w:r>
        <w:rPr>
          <w:rFonts w:hint="default" w:ascii="Times New Roman" w:hAnsi="Times New Roman" w:cs="Times New Roman"/>
          <w:color w:val="auto"/>
        </w:rPr>
        <w:t>中</w:t>
      </w:r>
      <w:r>
        <w:rPr>
          <w:rFonts w:hint="eastAsia" w:cs="Times New Roman"/>
          <w:color w:val="auto"/>
          <w:lang w:eastAsia="zh-CN"/>
        </w:rPr>
        <w:t>“</w:t>
      </w:r>
      <w:r>
        <w:rPr>
          <w:rFonts w:hint="default" w:ascii="Times New Roman" w:hAnsi="Times New Roman" w:cs="Times New Roman"/>
          <w:color w:val="auto"/>
        </w:rPr>
        <w:t>10、稀有稀土金属矿采选093—全部（含新建或扩建的独立尾矿库；不含单独的矿石破碎、集运；不含矿区修复治理工程）</w:t>
      </w:r>
      <w:r>
        <w:rPr>
          <w:rFonts w:hint="eastAsia" w:cs="Times New Roman"/>
          <w:color w:val="auto"/>
          <w:lang w:eastAsia="zh-CN"/>
        </w:rPr>
        <w:t>”</w:t>
      </w:r>
      <w:r>
        <w:rPr>
          <w:rFonts w:hint="default" w:ascii="Times New Roman" w:hAnsi="Times New Roman" w:cs="Times New Roman"/>
          <w:color w:val="auto"/>
        </w:rPr>
        <w:t>的项目，因此本项目应该编制环境影响报告书。因此，建设单位乐山市沙湾区豪沐科技有限公司委托我公司进行环境影响评价工作。我公司接受委托后，即派相关技术人员到项目现场进行实地踏勘和资料收集，并按照有关技术规范编制本项目环境影响报告书，供生态环境主管部门审查。</w:t>
      </w:r>
    </w:p>
    <w:p>
      <w:pPr>
        <w:pStyle w:val="37"/>
        <w:ind w:firstLine="482"/>
        <w:rPr>
          <w:rFonts w:hint="default" w:ascii="Times New Roman" w:hAnsi="Times New Roman" w:cs="Times New Roman"/>
          <w:b/>
          <w:bCs/>
          <w:color w:val="auto"/>
        </w:rPr>
      </w:pPr>
      <w:r>
        <w:rPr>
          <w:rFonts w:hint="default" w:ascii="Times New Roman" w:hAnsi="Times New Roman" w:cs="Times New Roman"/>
          <w:b/>
          <w:bCs/>
          <w:color w:val="auto"/>
        </w:rPr>
        <w:t>2、项目特点</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根据现场调研和建设单位提供的资料，该项目具有以下特点：</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（1）本项目加工</w:t>
      </w:r>
      <w:r>
        <w:rPr>
          <w:rFonts w:hint="eastAsia" w:cs="Times New Roman"/>
          <w:color w:val="auto"/>
          <w:lang w:eastAsia="zh-CN"/>
        </w:rPr>
        <w:t>甘孜州融达锂业有限公司</w:t>
      </w:r>
      <w:r>
        <w:rPr>
          <w:rFonts w:hint="default" w:ascii="Times New Roman" w:hAnsi="Times New Roman" w:cs="Times New Roman"/>
          <w:color w:val="auto"/>
        </w:rPr>
        <w:t>提供的锂辉石原矿（委托加工意向协议见附件16），本项目不涉及锂辉石矿开采；</w:t>
      </w:r>
      <w:r>
        <w:rPr>
          <w:rFonts w:hint="eastAsia" w:cs="Times New Roman"/>
          <w:color w:val="auto"/>
          <w:lang w:val="en-US" w:eastAsia="zh-CN"/>
        </w:rPr>
        <w:t>本项目原矿</w:t>
      </w:r>
      <w:r>
        <w:rPr>
          <w:rFonts w:hint="default" w:ascii="Times New Roman" w:hAnsi="Times New Roman" w:cs="Times New Roman"/>
          <w:color w:val="auto"/>
        </w:rPr>
        <w:t>购入时要求甘孜州融达锂业有限公司提供成分检测报告，同时建设单位也设置入场检测环节，确保不含国家管控的重金属铅、汞、镉、铬、砷、铊</w:t>
      </w:r>
      <w:r>
        <w:rPr>
          <w:rFonts w:hint="eastAsia" w:cs="Times New Roman"/>
          <w:color w:val="auto"/>
          <w:lang w:eastAsia="zh-CN"/>
        </w:rPr>
        <w:t>、</w:t>
      </w:r>
      <w:r>
        <w:rPr>
          <w:rFonts w:hint="default" w:ascii="Times New Roman" w:hAnsi="Times New Roman" w:cs="Times New Roman"/>
          <w:color w:val="auto"/>
        </w:rPr>
        <w:t>锑</w:t>
      </w:r>
      <w:r>
        <w:rPr>
          <w:rFonts w:hint="eastAsia" w:cs="Times New Roman"/>
          <w:color w:val="auto"/>
          <w:lang w:val="en-US" w:eastAsia="zh-CN"/>
        </w:rPr>
        <w:t>和园区管控的重金属铬、镍</w:t>
      </w:r>
      <w:r>
        <w:rPr>
          <w:rFonts w:hint="default" w:ascii="Times New Roman" w:hAnsi="Times New Roman" w:cs="Times New Roman"/>
          <w:color w:val="auto"/>
        </w:rPr>
        <w:t>。若原矿来源发生变化需重新对原矿进行全成分检测分析，确保原矿中不含有国家管控的重金属。</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（2）本项目原料</w:t>
      </w:r>
      <w:r>
        <w:rPr>
          <w:rFonts w:hint="eastAsia" w:cs="Times New Roman"/>
          <w:color w:val="auto"/>
          <w:lang w:val="en-US" w:eastAsia="zh-CN"/>
        </w:rPr>
        <w:t>锂辉石暂存于原料堆场内，产品锂辉石精矿暂存于精矿仓库内，尾矿、黑砂</w:t>
      </w:r>
      <w:r>
        <w:rPr>
          <w:rFonts w:hint="default" w:ascii="Times New Roman" w:hAnsi="Times New Roman" w:cs="Times New Roman"/>
          <w:color w:val="auto"/>
        </w:rPr>
        <w:t>暂存于</w:t>
      </w:r>
      <w:r>
        <w:rPr>
          <w:rFonts w:hint="eastAsia" w:cs="Times New Roman"/>
          <w:color w:val="auto"/>
          <w:lang w:val="en-US" w:eastAsia="zh-CN"/>
        </w:rPr>
        <w:t>尾矿仓库</w:t>
      </w:r>
      <w:r>
        <w:rPr>
          <w:rFonts w:hint="default" w:ascii="Times New Roman" w:hAnsi="Times New Roman" w:cs="Times New Roman"/>
          <w:color w:val="auto"/>
        </w:rPr>
        <w:t>内，不露天堆放。项目破碎、筛分粉尘通过布袋除尘器处理后由15m排气筒外排。项目堆场粉尘（风蚀扬尘和装卸粉尘）主要通过喷雾降尘和厂房阻隔来减少颗粒物无组织排放。</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（3）本项目全厂共设置1套生产废水处理设施，为三级沉淀池（</w:t>
      </w:r>
      <w:r>
        <w:rPr>
          <w:rFonts w:hint="default" w:ascii="Times New Roman" w:hAnsi="Times New Roman" w:cs="Times New Roman"/>
          <w:color w:val="auto"/>
          <w:szCs w:val="21"/>
        </w:rPr>
        <w:t>一级沉淀池有效容积1460m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、二级沉淀池有效容积1460m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、三级沉淀池有效容积1400m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，其中一级沉淀池设计水力停留时间为5.2h、二级沉淀池设计水力停留时间为5.2h，三级沉淀池设计水力停留时间为5h，处理能力280m</w:t>
      </w:r>
      <w:r>
        <w:rPr>
          <w:rFonts w:hint="default" w:ascii="Times New Roman" w:hAnsi="Times New Roman" w:cs="Times New Roman"/>
          <w:color w:val="auto"/>
          <w:szCs w:val="21"/>
          <w:vertAlign w:val="superscript"/>
        </w:rPr>
        <w:t>3</w:t>
      </w:r>
      <w:r>
        <w:rPr>
          <w:rFonts w:hint="default" w:ascii="Times New Roman" w:hAnsi="Times New Roman" w:cs="Times New Roman"/>
          <w:color w:val="auto"/>
        </w:rPr>
        <w:t>/h，处理工艺为絮凝+沉淀），其中浓密机废水（4837.4m</w:t>
      </w:r>
      <w:r>
        <w:rPr>
          <w:rFonts w:hint="default" w:ascii="Times New Roman" w:hAnsi="Times New Roman" w:cs="Times New Roman"/>
          <w:color w:val="auto"/>
          <w:vertAlign w:val="superscript"/>
        </w:rPr>
        <w:t>3</w:t>
      </w:r>
      <w:r>
        <w:rPr>
          <w:rFonts w:hint="default" w:ascii="Times New Roman" w:hAnsi="Times New Roman" w:cs="Times New Roman"/>
          <w:color w:val="auto"/>
        </w:rPr>
        <w:t>/d）经废水处理设施处理后回用于球磨、浮选工序。堆场渗滤水（14.56m</w:t>
      </w:r>
      <w:r>
        <w:rPr>
          <w:rFonts w:hint="default" w:ascii="Times New Roman" w:hAnsi="Times New Roman" w:cs="Times New Roman"/>
          <w:color w:val="auto"/>
          <w:vertAlign w:val="superscript"/>
        </w:rPr>
        <w:t>3</w:t>
      </w:r>
      <w:r>
        <w:rPr>
          <w:rFonts w:hint="default" w:ascii="Times New Roman" w:hAnsi="Times New Roman" w:cs="Times New Roman"/>
          <w:color w:val="auto"/>
        </w:rPr>
        <w:t>/d）经导流沟收集后进入废水处理设施处理后回用于球磨工序；全厂设置7套板框压滤机，压滤工序产生的压滤废水（2073.16m</w:t>
      </w:r>
      <w:r>
        <w:rPr>
          <w:rFonts w:hint="default" w:ascii="Times New Roman" w:hAnsi="Times New Roman" w:cs="Times New Roman"/>
          <w:color w:val="auto"/>
          <w:vertAlign w:val="superscript"/>
        </w:rPr>
        <w:t>3</w:t>
      </w:r>
      <w:r>
        <w:rPr>
          <w:rFonts w:hint="default" w:ascii="Times New Roman" w:hAnsi="Times New Roman" w:cs="Times New Roman"/>
          <w:color w:val="auto"/>
        </w:rPr>
        <w:t>/d），进入废水处理设施处理后回用于生产。生活污水经预处理池（50m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）处理达标后排放至乐山沙湾经济开发区污水处理厂处理。</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）本项目利用乐山（沙湾）不锈钢产业园区工业用地82.79亩进行建设，项目已取得《不动产登记证明》（川（2025）沙湾区不动产证明第0000408号）。</w:t>
      </w:r>
    </w:p>
    <w:p>
      <w:pPr>
        <w:pStyle w:val="37"/>
        <w:ind w:firstLine="480"/>
        <w:rPr>
          <w:rFonts w:hint="default" w:ascii="Times New Roman" w:hAnsi="Times New Roman" w:cs="Times New Roman"/>
          <w:color w:val="auto"/>
        </w:rPr>
      </w:pPr>
      <w:r>
        <w:rPr>
          <w:rStyle w:val="79"/>
          <w:rFonts w:hint="default"/>
          <w:color w:val="auto"/>
        </w:rPr>
        <w:t>（</w:t>
      </w:r>
      <w:r>
        <w:rPr>
          <w:rStyle w:val="79"/>
          <w:rFonts w:hint="eastAsia"/>
          <w:color w:val="auto"/>
          <w:lang w:val="en-US" w:eastAsia="zh-CN"/>
        </w:rPr>
        <w:t>5</w:t>
      </w:r>
      <w:r>
        <w:rPr>
          <w:rStyle w:val="79"/>
          <w:rFonts w:hint="default"/>
          <w:color w:val="auto"/>
        </w:rPr>
        <w:t>）根据建设单位提供的《锂矿全成份检测报告》</w:t>
      </w:r>
      <w:r>
        <w:rPr>
          <w:rStyle w:val="79"/>
          <w:rFonts w:hint="eastAsia"/>
          <w:color w:val="auto"/>
          <w:lang w:eastAsia="zh-CN"/>
        </w:rPr>
        <w:t>（四川省捷信隆检测技术有限公司，</w:t>
      </w:r>
      <w:r>
        <w:rPr>
          <w:rStyle w:val="79"/>
          <w:rFonts w:hint="eastAsia"/>
          <w:color w:val="auto"/>
          <w:lang w:val="en-US" w:eastAsia="zh-CN"/>
        </w:rPr>
        <w:t>外委字（2025）Q-735</w:t>
      </w:r>
      <w:r>
        <w:rPr>
          <w:rStyle w:val="79"/>
          <w:rFonts w:hint="eastAsia"/>
          <w:color w:val="auto"/>
          <w:lang w:eastAsia="zh-CN"/>
        </w:rPr>
        <w:t>）</w:t>
      </w:r>
      <w:r>
        <w:rPr>
          <w:rStyle w:val="79"/>
          <w:rFonts w:hint="default"/>
          <w:color w:val="auto"/>
        </w:rPr>
        <w:t>，本项目原料</w:t>
      </w:r>
      <w:r>
        <w:rPr>
          <w:rStyle w:val="79"/>
          <w:rFonts w:hint="eastAsia"/>
          <w:color w:val="auto"/>
          <w:lang w:val="en-US" w:eastAsia="zh-CN"/>
        </w:rPr>
        <w:t>中</w:t>
      </w:r>
      <w:r>
        <w:rPr>
          <w:rStyle w:val="79"/>
          <w:rFonts w:hint="default"/>
          <w:color w:val="auto"/>
        </w:rPr>
        <w:t>国家管控的重金属铅、汞、镉、铬、砷、铊和锑</w:t>
      </w:r>
      <w:r>
        <w:rPr>
          <w:rStyle w:val="79"/>
          <w:rFonts w:hint="eastAsia"/>
          <w:color w:val="auto"/>
          <w:lang w:val="en-US" w:eastAsia="zh-CN"/>
        </w:rPr>
        <w:t>均</w:t>
      </w:r>
      <w:r>
        <w:rPr>
          <w:rStyle w:val="79"/>
          <w:rFonts w:hint="default"/>
          <w:color w:val="auto"/>
        </w:rPr>
        <w:t>未检出。项目拟采取分区防</w:t>
      </w:r>
      <w:r>
        <w:rPr>
          <w:rFonts w:hint="default" w:ascii="Times New Roman" w:hAnsi="Times New Roman" w:cs="Times New Roman"/>
          <w:color w:val="auto"/>
        </w:rPr>
        <w:t>渗、强化大气污染治理等污染防治措施，从源头和生产过程上控制项目对区域地下水和土壤环境的污染源强。</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6</w:t>
      </w:r>
      <w:r>
        <w:rPr>
          <w:rFonts w:hint="default" w:ascii="Times New Roman" w:hAnsi="Times New Roman" w:cs="Times New Roman"/>
          <w:color w:val="auto"/>
        </w:rPr>
        <w:t>）根据现场勘查，本项目未动工建设。</w:t>
      </w:r>
    </w:p>
    <w:p>
      <w:pPr>
        <w:pStyle w:val="37"/>
        <w:ind w:firstLine="482"/>
        <w:rPr>
          <w:rFonts w:hint="default" w:ascii="Times New Roman" w:hAnsi="Times New Roman" w:cs="Times New Roman"/>
          <w:b/>
          <w:bCs/>
          <w:color w:val="auto"/>
        </w:rPr>
      </w:pPr>
      <w:r>
        <w:rPr>
          <w:rFonts w:hint="default" w:ascii="Times New Roman" w:hAnsi="Times New Roman" w:cs="Times New Roman"/>
          <w:b/>
          <w:bCs/>
          <w:color w:val="auto"/>
        </w:rPr>
        <w:t>3、主要关注的环境问题</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本项目主要关注的环境问题是建设项目投入运营后主要污染物的产生、控制和环境风险。本项目的主要环境问题是：</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（1）通过对本项目所在地区环境质量现状分析，弄清区域的大气环境、地表水环境、声环境、地下水环境和生态环境质量现状，对其进行评价。</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（2）重点分析项目生产废水水质情况和零排放的可行性。</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（3）通过环境影响评价和对项目采取的污染防治措施分析，提出相应的环保对策和建议，最大限度地降低其对环境造成的负面影响，充分发挥项目建设所产生的社会效益、经济效益和环境效益。</w:t>
      </w:r>
    </w:p>
    <w:p>
      <w:pPr>
        <w:pStyle w:val="37"/>
        <w:ind w:firstLine="482"/>
        <w:rPr>
          <w:rFonts w:hint="default" w:ascii="Times New Roman" w:hAnsi="Times New Roman" w:cs="Times New Roman"/>
          <w:b/>
          <w:bCs/>
          <w:color w:val="auto"/>
        </w:rPr>
      </w:pPr>
      <w:r>
        <w:rPr>
          <w:rFonts w:hint="default" w:ascii="Times New Roman" w:hAnsi="Times New Roman" w:cs="Times New Roman"/>
          <w:b/>
          <w:bCs/>
          <w:color w:val="auto"/>
        </w:rPr>
        <w:t>4、项目相关判定情况</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根据建设单位提供的资料，该项目相关判定情况如下所示：</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（1）产业政策符合性判定</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根据国家发展和改革委员会《产业结构调整指导目录（2024年本）》，本项目属于B09有色金属矿采选业--B0939其他稀有金属采选，不在“鼓励类”、“限制类”、“淘汰类”之列，视为“允许类”。本项目使用的设备均不在《产业结构调整指导目录（2024年本）》及《部分工业行业淘汰落后生产工艺装备和产品指导目录（2010年本）》淘汰之列。</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本项目已经获得沙湾区发展和改革局立项，备案号：川投资备【2508-511111-04-01-291469】FGQB-0129号。</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因此，项目建设符合国家现行产业政策。</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（2）与规划环评符合性</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本项目位于乐山市沙湾区嘉农镇凤凰路1号（乐山（沙湾）不锈钢产业园区内）内，根据《乐山（沙湾）不锈钢产业园区环境影响跟踪评价报告书》及《关于印发&lt;乐山（沙湾）不锈钢产业园区环境影响跟踪评价报告书审查意见&gt;的函》（乐市环函〔2019〕226号），乐山（沙湾）不锈钢产业园区产业定位为：冶金产品下游产品加工、机械制造加工、建材、物流。</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本项目为锂辉石选矿项目，不属于园区负面清单禁止准入的项目类型，属于与园区主导产业相容的、不形成交叉影响的产业，为园区允许类。</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（3）选址合理性判定</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本项目使用土地性质为工业用地，符合项目区域土地利用规划要求。本项目符合《乐山（沙湾）不锈钢产业园区环境影响跟踪评价报告书》及《关于印发&lt;乐山（沙湾）不锈钢产业园区环境影响跟踪评价报告书审查意见&gt;的函》（乐市环函〔2019〕226号）的要求。本项目划定的200m卫生防护距离内无居民、学校等环境敏感目标。因此，本项目选址于乐山（沙湾）不锈钢产业园区合理。</w:t>
      </w:r>
    </w:p>
    <w:p>
      <w:pPr>
        <w:pStyle w:val="37"/>
        <w:ind w:firstLine="482"/>
        <w:rPr>
          <w:rFonts w:hint="default" w:ascii="Times New Roman" w:hAnsi="Times New Roman" w:cs="Times New Roman"/>
          <w:b/>
          <w:bCs/>
          <w:color w:val="auto"/>
        </w:rPr>
      </w:pPr>
      <w:r>
        <w:rPr>
          <w:rFonts w:hint="default" w:ascii="Times New Roman" w:hAnsi="Times New Roman" w:cs="Times New Roman"/>
          <w:b/>
          <w:bCs/>
          <w:color w:val="auto"/>
        </w:rPr>
        <w:t>5、评价工作过程</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我公司在接受建设单位环评委托后，随即组织技术人员奔赴现场进行踏勘，在现场调查和资料收集的基础上，开展了深入细致的报告编制工作。本次环评工作主要分为以下几个阶段：</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第一阶段：根据建设单位提供的项目可研等有关资料，首先确定项目是否符合国家和地方有关法规、政策及相关规划；然后，根据建设单位提供的关于本项目的资料，进行初步的工程分析，识别环境影响因素、筛选评价因子，明确评价重点、环境保护目标，确定评价工作等级、评价范围和标准。</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第二阶段：对项目区域环境现状本底质量进行现状监测，以便了解选址所在地环境现状质量状况；在此基础上，进行详细的工程分析，确定各污染因素污染源强，然后进行各环境要素影响预测与评价、各专题环境影响分析与评价。</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第三阶段：对项目采取环保措施进行技术经济论证，给出项目环境可行结论。依据环境影响评价技术导则的有关技术要求，在认真分析预测和吸纳公众参与意见的基础上，编制完成了环境影响报告书。</w:t>
      </w:r>
    </w:p>
    <w:p>
      <w:pPr>
        <w:pStyle w:val="37"/>
        <w:ind w:firstLine="482"/>
        <w:rPr>
          <w:rFonts w:hint="default" w:ascii="Times New Roman" w:hAnsi="Times New Roman" w:cs="Times New Roman"/>
          <w:b/>
          <w:bCs/>
          <w:color w:val="auto"/>
        </w:rPr>
      </w:pPr>
      <w:r>
        <w:rPr>
          <w:rFonts w:hint="default" w:ascii="Times New Roman" w:hAnsi="Times New Roman" w:cs="Times New Roman"/>
          <w:b/>
          <w:bCs/>
          <w:color w:val="auto"/>
        </w:rPr>
        <w:t>6、环评结论</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乐山市沙湾区豪沐科技有限公司沙湾区新建50万吨锂矿加工综合利用项目位于乐山市沙湾区嘉农镇凤凰路1号（乐山（沙湾）不锈钢产业园区内）内，项目符合国家产业政策，选址合理，工程建成后具有良好的社会、经济效益；拟建项目在采取报告书所提出的各项环保措施后，可实现废气、废水、噪声的达标排放，同时对各类固废均采取了合理可靠的分类处置措施，项目对周边环境影响较小，环境风险处于可接受水平，建设单位开展的公众参与调查结果表明项目周边群众对项目建设表示理解和支持。综上所述，从环保角度来讲，在落实各项环保措施的基础上，本项目在拟建地建设是可行的。</w:t>
      </w:r>
    </w:p>
    <w:p>
      <w:pPr>
        <w:pStyle w:val="37"/>
        <w:ind w:firstLine="480"/>
        <w:rPr>
          <w:rFonts w:hint="default" w:ascii="Times New Roman" w:hAnsi="Times New Roman" w:cs="Times New Roman"/>
          <w:color w:val="auto"/>
        </w:rPr>
      </w:pPr>
    </w:p>
    <w:p>
      <w:pPr>
        <w:pStyle w:val="37"/>
        <w:ind w:firstLine="480"/>
        <w:rPr>
          <w:rFonts w:hint="default" w:ascii="Times New Roman" w:hAnsi="Times New Roman" w:cs="Times New Roman"/>
          <w:color w:val="auto"/>
        </w:rPr>
      </w:pPr>
    </w:p>
    <w:p>
      <w:pPr>
        <w:pStyle w:val="37"/>
        <w:ind w:firstLine="480"/>
        <w:rPr>
          <w:rFonts w:hint="default" w:ascii="Times New Roman" w:hAnsi="Times New Roman" w:cs="Times New Roman"/>
          <w:color w:val="auto"/>
        </w:rPr>
        <w:sectPr>
          <w:pgSz w:w="11906" w:h="16838"/>
          <w:pgMar w:top="1440" w:right="1800" w:bottom="1440" w:left="1800" w:header="851" w:footer="992" w:gutter="0"/>
          <w:cols w:space="425" w:num="1"/>
          <w:titlePg/>
          <w:docGrid w:type="lines" w:linePitch="326" w:charSpace="0"/>
        </w:sectPr>
      </w:pPr>
    </w:p>
    <w:sdt>
      <w:sdtPr>
        <w:rPr>
          <w:rFonts w:hint="default" w:ascii="Times New Roman" w:hAnsi="Times New Roman" w:eastAsia="宋体" w:cs="Times New Roman"/>
          <w:color w:val="auto"/>
          <w:kern w:val="2"/>
          <w:sz w:val="24"/>
          <w:szCs w:val="21"/>
          <w:lang w:val="zh-CN"/>
        </w:rPr>
        <w:id w:val="2090349459"/>
        <w:docPartObj>
          <w:docPartGallery w:val="Table of Contents"/>
          <w:docPartUnique/>
        </w:docPartObj>
      </w:sdtPr>
      <w:sdtEndPr>
        <w:rPr>
          <w:rFonts w:hint="default" w:ascii="Times New Roman" w:hAnsi="Times New Roman" w:eastAsia="宋体" w:cs="Times New Roman"/>
          <w:b/>
          <w:bCs/>
          <w:color w:val="auto"/>
          <w:kern w:val="2"/>
          <w:sz w:val="24"/>
          <w:szCs w:val="21"/>
          <w:lang w:val="zh-CN"/>
        </w:rPr>
      </w:sdtEndPr>
      <w:sdtContent>
        <w:p>
          <w:pPr>
            <w:pStyle w:val="43"/>
            <w:adjustRightIn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sz w:val="32"/>
              <w:lang w:val="zh-CN"/>
            </w:rPr>
            <w:t>目</w:t>
          </w:r>
          <w:r>
            <w:rPr>
              <w:rFonts w:hint="default" w:ascii="Times New Roman" w:hAnsi="Times New Roman" w:eastAsia="宋体" w:cs="Times New Roman"/>
              <w:b/>
              <w:color w:val="auto"/>
              <w:sz w:val="32"/>
            </w:rPr>
            <w:t xml:space="preserve">  </w:t>
          </w:r>
          <w:r>
            <w:rPr>
              <w:rFonts w:hint="default" w:ascii="Times New Roman" w:hAnsi="Times New Roman" w:eastAsia="宋体" w:cs="Times New Roman"/>
              <w:b/>
              <w:color w:val="auto"/>
              <w:sz w:val="32"/>
              <w:lang w:val="zh-CN"/>
            </w:rPr>
            <w:t>录</w:t>
          </w:r>
        </w:p>
        <w:p>
          <w:pPr>
            <w:pStyle w:val="23"/>
            <w:tabs>
              <w:tab w:val="right" w:leader="dot" w:pos="8306"/>
              <w:tab w:val="clear" w:pos="8296"/>
            </w:tabs>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TOC \o "1-3" \h \z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_Toc27305 </w:instrText>
          </w:r>
          <w:r>
            <w:rPr>
              <w:rFonts w:hint="default" w:ascii="Times New Roman" w:hAnsi="Times New Roman" w:cs="Times New Roman"/>
            </w:rPr>
            <w:fldChar w:fldCharType="separate"/>
          </w:r>
          <w:r>
            <w:rPr>
              <w:rFonts w:hint="default" w:ascii="Times New Roman" w:hAnsi="Times New Roman" w:cs="Times New Roman"/>
            </w:rPr>
            <w:t>1. 总则</w:t>
          </w:r>
          <w:r>
            <w:tab/>
          </w:r>
          <w:r>
            <w:fldChar w:fldCharType="begin"/>
          </w:r>
          <w:r>
            <w:instrText xml:space="preserve"> PAGEREF _Toc27305 \h </w:instrText>
          </w:r>
          <w:r>
            <w:fldChar w:fldCharType="separate"/>
          </w:r>
          <w:r>
            <w:t>1</w:t>
          </w:r>
          <w:r>
            <w:fldChar w:fldCharType="end"/>
          </w:r>
          <w:r>
            <w:rPr>
              <w:rFonts w:hint="default" w:ascii="Times New Roman" w:hAnsi="Times New Roman" w:cs="Times New Roman"/>
              <w:color w:val="auto"/>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_Toc24170 </w:instrText>
          </w:r>
          <w:r>
            <w:rPr>
              <w:rFonts w:hint="default" w:ascii="Times New Roman" w:hAnsi="Times New Roman" w:cs="Times New Roman"/>
              <w:bCs/>
              <w:lang w:val="zh-CN"/>
            </w:rPr>
            <w:fldChar w:fldCharType="separate"/>
          </w:r>
          <w:r>
            <w:rPr>
              <w:rFonts w:hint="default" w:ascii="Times New Roman" w:hAnsi="Times New Roman" w:cs="Times New Roman"/>
            </w:rPr>
            <w:t>1.1. 编制依据</w:t>
          </w:r>
          <w:r>
            <w:tab/>
          </w:r>
          <w:r>
            <w:fldChar w:fldCharType="begin"/>
          </w:r>
          <w:r>
            <w:instrText xml:space="preserve"> PAGEREF _Toc24170 \h </w:instrText>
          </w:r>
          <w:r>
            <w:fldChar w:fldCharType="separate"/>
          </w:r>
          <w:r>
            <w:t>1</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_Toc31157 </w:instrText>
          </w:r>
          <w:r>
            <w:rPr>
              <w:rFonts w:hint="default" w:ascii="Times New Roman" w:hAnsi="Times New Roman" w:cs="Times New Roman"/>
              <w:bCs/>
              <w:lang w:val="zh-CN"/>
            </w:rPr>
            <w:fldChar w:fldCharType="separate"/>
          </w:r>
          <w:r>
            <w:rPr>
              <w:rFonts w:hint="default" w:ascii="Times New Roman" w:hAnsi="Times New Roman" w:cs="Times New Roman"/>
            </w:rPr>
            <w:t>1.1.1. 国家环境保护法律法规和有关文件</w:t>
          </w:r>
          <w:r>
            <w:tab/>
          </w:r>
          <w:r>
            <w:fldChar w:fldCharType="begin"/>
          </w:r>
          <w:r>
            <w:instrText xml:space="preserve"> PAGEREF _Toc31157 \h </w:instrText>
          </w:r>
          <w:r>
            <w:fldChar w:fldCharType="separate"/>
          </w:r>
          <w:r>
            <w:t>1</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_Toc27100 </w:instrText>
          </w:r>
          <w:r>
            <w:rPr>
              <w:rFonts w:hint="default" w:ascii="Times New Roman" w:hAnsi="Times New Roman" w:cs="Times New Roman"/>
              <w:bCs/>
              <w:lang w:val="zh-CN"/>
            </w:rPr>
            <w:fldChar w:fldCharType="separate"/>
          </w:r>
          <w:r>
            <w:rPr>
              <w:rFonts w:hint="default" w:ascii="Times New Roman" w:hAnsi="Times New Roman" w:cs="Times New Roman"/>
            </w:rPr>
            <w:t>1.1.2. 地方法规及相关文件</w:t>
          </w:r>
          <w:r>
            <w:tab/>
          </w:r>
          <w:r>
            <w:fldChar w:fldCharType="begin"/>
          </w:r>
          <w:r>
            <w:instrText xml:space="preserve"> PAGEREF _Toc27100 \h </w:instrText>
          </w:r>
          <w:r>
            <w:fldChar w:fldCharType="separate"/>
          </w:r>
          <w:r>
            <w:t>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_Toc8769 </w:instrText>
          </w:r>
          <w:r>
            <w:rPr>
              <w:rFonts w:hint="default" w:ascii="Times New Roman" w:hAnsi="Times New Roman" w:cs="Times New Roman"/>
              <w:bCs/>
              <w:lang w:val="zh-CN"/>
            </w:rPr>
            <w:fldChar w:fldCharType="separate"/>
          </w:r>
          <w:r>
            <w:rPr>
              <w:rFonts w:hint="default" w:ascii="Times New Roman" w:hAnsi="Times New Roman" w:cs="Times New Roman"/>
            </w:rPr>
            <w:t>1.1.3. 技术规范和技术导则</w:t>
          </w:r>
          <w:r>
            <w:tab/>
          </w:r>
          <w:r>
            <w:fldChar w:fldCharType="begin"/>
          </w:r>
          <w:r>
            <w:instrText xml:space="preserve"> PAGEREF _Toc8769 \h </w:instrText>
          </w:r>
          <w:r>
            <w:fldChar w:fldCharType="separate"/>
          </w:r>
          <w:r>
            <w:t>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_Toc12722 </w:instrText>
          </w:r>
          <w:r>
            <w:rPr>
              <w:rFonts w:hint="default" w:ascii="Times New Roman" w:hAnsi="Times New Roman" w:cs="Times New Roman"/>
              <w:bCs/>
              <w:lang w:val="zh-CN"/>
            </w:rPr>
            <w:fldChar w:fldCharType="separate"/>
          </w:r>
          <w:r>
            <w:rPr>
              <w:rFonts w:hint="default" w:ascii="Times New Roman" w:hAnsi="Times New Roman" w:cs="Times New Roman"/>
            </w:rPr>
            <w:t>1.1.4. 其他相关资料</w:t>
          </w:r>
          <w:r>
            <w:tab/>
          </w:r>
          <w:r>
            <w:fldChar w:fldCharType="begin"/>
          </w:r>
          <w:r>
            <w:instrText xml:space="preserve"> PAGEREF _Toc12722 \h </w:instrText>
          </w:r>
          <w:r>
            <w:fldChar w:fldCharType="separate"/>
          </w:r>
          <w:r>
            <w:t>3</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_Toc8178 </w:instrText>
          </w:r>
          <w:r>
            <w:rPr>
              <w:rFonts w:hint="default" w:ascii="Times New Roman" w:hAnsi="Times New Roman" w:cs="Times New Roman"/>
              <w:bCs/>
              <w:lang w:val="zh-CN"/>
            </w:rPr>
            <w:fldChar w:fldCharType="separate"/>
          </w:r>
          <w:r>
            <w:rPr>
              <w:rFonts w:hint="default" w:ascii="Times New Roman" w:hAnsi="Times New Roman" w:cs="Times New Roman"/>
            </w:rPr>
            <w:t>1.2. 评价目的和评价原则</w:t>
          </w:r>
          <w:r>
            <w:tab/>
          </w:r>
          <w:r>
            <w:fldChar w:fldCharType="begin"/>
          </w:r>
          <w:r>
            <w:instrText xml:space="preserve"> PAGEREF _Toc8178 \h </w:instrText>
          </w:r>
          <w:r>
            <w:fldChar w:fldCharType="separate"/>
          </w:r>
          <w:r>
            <w:t>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_Toc27689 </w:instrText>
          </w:r>
          <w:r>
            <w:rPr>
              <w:rFonts w:hint="default" w:ascii="Times New Roman" w:hAnsi="Times New Roman" w:cs="Times New Roman"/>
              <w:bCs/>
              <w:lang w:val="zh-CN"/>
            </w:rPr>
            <w:fldChar w:fldCharType="separate"/>
          </w:r>
          <w:r>
            <w:rPr>
              <w:rFonts w:hint="default" w:ascii="Times New Roman" w:hAnsi="Times New Roman" w:cs="Times New Roman"/>
            </w:rPr>
            <w:t>1.2.1. 评价目的</w:t>
          </w:r>
          <w:r>
            <w:tab/>
          </w:r>
          <w:r>
            <w:fldChar w:fldCharType="begin"/>
          </w:r>
          <w:r>
            <w:instrText xml:space="preserve"> PAGEREF _Toc27689 \h </w:instrText>
          </w:r>
          <w:r>
            <w:fldChar w:fldCharType="separate"/>
          </w:r>
          <w:r>
            <w:t>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_Toc15505 </w:instrText>
          </w:r>
          <w:r>
            <w:rPr>
              <w:rFonts w:hint="default" w:ascii="Times New Roman" w:hAnsi="Times New Roman" w:cs="Times New Roman"/>
              <w:bCs/>
              <w:lang w:val="zh-CN"/>
            </w:rPr>
            <w:fldChar w:fldCharType="separate"/>
          </w:r>
          <w:r>
            <w:rPr>
              <w:rFonts w:hint="default" w:ascii="Times New Roman" w:hAnsi="Times New Roman" w:cs="Times New Roman"/>
            </w:rPr>
            <w:t>1.2.2. 评价原则</w:t>
          </w:r>
          <w:r>
            <w:tab/>
          </w:r>
          <w:r>
            <w:fldChar w:fldCharType="begin"/>
          </w:r>
          <w:r>
            <w:instrText xml:space="preserve"> PAGEREF _Toc15505 \h </w:instrText>
          </w:r>
          <w:r>
            <w:fldChar w:fldCharType="separate"/>
          </w:r>
          <w:r>
            <w:t>5</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_Toc32348 </w:instrText>
          </w:r>
          <w:r>
            <w:rPr>
              <w:rFonts w:hint="default" w:ascii="Times New Roman" w:hAnsi="Times New Roman" w:cs="Times New Roman"/>
              <w:bCs/>
              <w:lang w:val="zh-CN"/>
            </w:rPr>
            <w:fldChar w:fldCharType="separate"/>
          </w:r>
          <w:r>
            <w:rPr>
              <w:rFonts w:hint="default" w:ascii="Times New Roman" w:hAnsi="Times New Roman" w:cs="Times New Roman"/>
            </w:rPr>
            <w:t>1.3. 评价重点和评价时段</w:t>
          </w:r>
          <w:r>
            <w:tab/>
          </w:r>
          <w:r>
            <w:fldChar w:fldCharType="begin"/>
          </w:r>
          <w:r>
            <w:instrText xml:space="preserve"> PAGEREF _Toc32348 \h </w:instrText>
          </w:r>
          <w:r>
            <w:fldChar w:fldCharType="separate"/>
          </w:r>
          <w:r>
            <w:t>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_Toc26977 </w:instrText>
          </w:r>
          <w:r>
            <w:rPr>
              <w:rFonts w:hint="default" w:ascii="Times New Roman" w:hAnsi="Times New Roman" w:cs="Times New Roman"/>
              <w:bCs/>
              <w:lang w:val="zh-CN"/>
            </w:rPr>
            <w:fldChar w:fldCharType="separate"/>
          </w:r>
          <w:r>
            <w:rPr>
              <w:rFonts w:hint="default" w:ascii="Times New Roman" w:hAnsi="Times New Roman" w:cs="Times New Roman"/>
            </w:rPr>
            <w:t>1.3.1. 评价重点</w:t>
          </w:r>
          <w:r>
            <w:tab/>
          </w:r>
          <w:r>
            <w:fldChar w:fldCharType="begin"/>
          </w:r>
          <w:r>
            <w:instrText xml:space="preserve"> PAGEREF _Toc26977 \h </w:instrText>
          </w:r>
          <w:r>
            <w:fldChar w:fldCharType="separate"/>
          </w:r>
          <w:r>
            <w:t>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_Toc31442 </w:instrText>
          </w:r>
          <w:r>
            <w:rPr>
              <w:rFonts w:hint="default" w:ascii="Times New Roman" w:hAnsi="Times New Roman" w:cs="Times New Roman"/>
              <w:bCs/>
              <w:lang w:val="zh-CN"/>
            </w:rPr>
            <w:fldChar w:fldCharType="separate"/>
          </w:r>
          <w:r>
            <w:rPr>
              <w:rFonts w:hint="default" w:ascii="Times New Roman" w:hAnsi="Times New Roman" w:cs="Times New Roman"/>
            </w:rPr>
            <w:t>1.3.2. 评价时段</w:t>
          </w:r>
          <w:r>
            <w:tab/>
          </w:r>
          <w:r>
            <w:fldChar w:fldCharType="begin"/>
          </w:r>
          <w:r>
            <w:instrText xml:space="preserve"> PAGEREF _Toc31442 \h </w:instrText>
          </w:r>
          <w:r>
            <w:fldChar w:fldCharType="separate"/>
          </w:r>
          <w:r>
            <w:t>5</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_Toc25583 </w:instrText>
          </w:r>
          <w:r>
            <w:rPr>
              <w:rFonts w:hint="default" w:ascii="Times New Roman" w:hAnsi="Times New Roman" w:cs="Times New Roman"/>
              <w:bCs/>
              <w:lang w:val="zh-CN"/>
            </w:rPr>
            <w:fldChar w:fldCharType="separate"/>
          </w:r>
          <w:r>
            <w:rPr>
              <w:rFonts w:hint="default" w:ascii="Times New Roman" w:hAnsi="Times New Roman" w:cs="Times New Roman"/>
            </w:rPr>
            <w:t>1.4. 政策、规划和选址符合性分析</w:t>
          </w:r>
          <w:r>
            <w:tab/>
          </w:r>
          <w:r>
            <w:fldChar w:fldCharType="begin"/>
          </w:r>
          <w:r>
            <w:instrText xml:space="preserve"> PAGEREF _Toc25583 \h </w:instrText>
          </w:r>
          <w:r>
            <w:fldChar w:fldCharType="separate"/>
          </w:r>
          <w:r>
            <w:t>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_Toc20861 </w:instrText>
          </w:r>
          <w:r>
            <w:rPr>
              <w:rFonts w:hint="default" w:ascii="Times New Roman" w:hAnsi="Times New Roman" w:cs="Times New Roman"/>
              <w:bCs/>
              <w:lang w:val="zh-CN"/>
            </w:rPr>
            <w:fldChar w:fldCharType="separate"/>
          </w:r>
          <w:r>
            <w:rPr>
              <w:rFonts w:hint="default" w:ascii="Times New Roman" w:hAnsi="Times New Roman" w:cs="Times New Roman"/>
            </w:rPr>
            <w:t>1.4.1. 政策符合性分析</w:t>
          </w:r>
          <w:r>
            <w:tab/>
          </w:r>
          <w:r>
            <w:fldChar w:fldCharType="begin"/>
          </w:r>
          <w:r>
            <w:instrText xml:space="preserve"> PAGEREF _Toc20861 \h </w:instrText>
          </w:r>
          <w:r>
            <w:fldChar w:fldCharType="separate"/>
          </w:r>
          <w:r>
            <w:t>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_Toc19094 </w:instrText>
          </w:r>
          <w:r>
            <w:rPr>
              <w:rFonts w:hint="default" w:ascii="Times New Roman" w:hAnsi="Times New Roman" w:cs="Times New Roman"/>
              <w:bCs/>
              <w:lang w:val="zh-CN"/>
            </w:rPr>
            <w:fldChar w:fldCharType="separate"/>
          </w:r>
          <w:r>
            <w:rPr>
              <w:rFonts w:hint="default" w:ascii="Times New Roman" w:hAnsi="Times New Roman" w:cs="Times New Roman"/>
            </w:rPr>
            <w:t>1.4.2. 规划符合性分析</w:t>
          </w:r>
          <w:r>
            <w:tab/>
          </w:r>
          <w:r>
            <w:fldChar w:fldCharType="begin"/>
          </w:r>
          <w:r>
            <w:instrText xml:space="preserve"> PAGEREF _Toc19094 \h </w:instrText>
          </w:r>
          <w:r>
            <w:fldChar w:fldCharType="separate"/>
          </w:r>
          <w:r>
            <w:t>29</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_Toc9393 </w:instrText>
          </w:r>
          <w:r>
            <w:rPr>
              <w:rFonts w:hint="default" w:ascii="Times New Roman" w:hAnsi="Times New Roman" w:cs="Times New Roman"/>
              <w:bCs/>
              <w:lang w:val="zh-CN"/>
            </w:rPr>
            <w:fldChar w:fldCharType="separate"/>
          </w:r>
          <w:r>
            <w:rPr>
              <w:rFonts w:hint="default" w:ascii="Times New Roman" w:hAnsi="Times New Roman" w:cs="Times New Roman"/>
            </w:rPr>
            <w:t>1.4.3. 选址符合性分析</w:t>
          </w:r>
          <w:r>
            <w:tab/>
          </w:r>
          <w:r>
            <w:fldChar w:fldCharType="begin"/>
          </w:r>
          <w:r>
            <w:instrText xml:space="preserve"> PAGEREF _Toc9393 \h </w:instrText>
          </w:r>
          <w:r>
            <w:fldChar w:fldCharType="separate"/>
          </w:r>
          <w:r>
            <w:t>65</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_Toc26138 </w:instrText>
          </w:r>
          <w:r>
            <w:rPr>
              <w:rFonts w:hint="default" w:ascii="Times New Roman" w:hAnsi="Times New Roman" w:cs="Times New Roman"/>
              <w:bCs/>
              <w:lang w:val="zh-CN"/>
            </w:rPr>
            <w:fldChar w:fldCharType="separate"/>
          </w:r>
          <w:r>
            <w:rPr>
              <w:rFonts w:hint="default" w:ascii="Times New Roman" w:hAnsi="Times New Roman" w:cs="Times New Roman"/>
            </w:rPr>
            <w:t>1.5. 环境影响识别和评价因子筛选</w:t>
          </w:r>
          <w:r>
            <w:tab/>
          </w:r>
          <w:r>
            <w:fldChar w:fldCharType="begin"/>
          </w:r>
          <w:r>
            <w:instrText xml:space="preserve"> PAGEREF _Toc26138 \h </w:instrText>
          </w:r>
          <w:r>
            <w:fldChar w:fldCharType="separate"/>
          </w:r>
          <w:r>
            <w:t>66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_Toc4833 </w:instrText>
          </w:r>
          <w:r>
            <w:rPr>
              <w:rFonts w:hint="default" w:ascii="Times New Roman" w:hAnsi="Times New Roman" w:cs="Times New Roman"/>
              <w:bCs/>
              <w:lang w:val="zh-CN"/>
            </w:rPr>
            <w:fldChar w:fldCharType="separate"/>
          </w:r>
          <w:r>
            <w:rPr>
              <w:rFonts w:hint="default" w:ascii="Times New Roman" w:hAnsi="Times New Roman" w:cs="Times New Roman"/>
            </w:rPr>
            <w:t>1.5.1. 环境影响因素识别</w:t>
          </w:r>
          <w:r>
            <w:tab/>
          </w:r>
          <w:r>
            <w:fldChar w:fldCharType="begin"/>
          </w:r>
          <w:r>
            <w:instrText xml:space="preserve"> PAGEREF _Toc4833 \h </w:instrText>
          </w:r>
          <w:r>
            <w:fldChar w:fldCharType="separate"/>
          </w:r>
          <w:r>
            <w:t>66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_Toc22777 </w:instrText>
          </w:r>
          <w:r>
            <w:rPr>
              <w:rFonts w:hint="default" w:ascii="Times New Roman" w:hAnsi="Times New Roman" w:cs="Times New Roman"/>
              <w:bCs/>
              <w:lang w:val="zh-CN"/>
            </w:rPr>
            <w:fldChar w:fldCharType="separate"/>
          </w:r>
          <w:r>
            <w:rPr>
              <w:rFonts w:hint="default" w:ascii="Times New Roman" w:hAnsi="Times New Roman" w:cs="Times New Roman"/>
            </w:rPr>
            <w:t>1.5.2. 评价因子筛选</w:t>
          </w:r>
          <w:r>
            <w:tab/>
          </w:r>
          <w:r>
            <w:fldChar w:fldCharType="begin"/>
          </w:r>
          <w:r>
            <w:instrText xml:space="preserve"> PAGEREF _Toc22777 \h </w:instrText>
          </w:r>
          <w:r>
            <w:fldChar w:fldCharType="separate"/>
          </w:r>
          <w:r>
            <w:t>67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_Toc795 </w:instrText>
          </w:r>
          <w:r>
            <w:rPr>
              <w:rFonts w:hint="default" w:ascii="Times New Roman" w:hAnsi="Times New Roman" w:cs="Times New Roman"/>
              <w:bCs/>
              <w:lang w:val="zh-CN"/>
            </w:rPr>
            <w:fldChar w:fldCharType="separate"/>
          </w:r>
          <w:r>
            <w:rPr>
              <w:rFonts w:hint="default" w:ascii="Times New Roman" w:hAnsi="Times New Roman" w:cs="Times New Roman"/>
            </w:rPr>
            <w:t>1.6. 评价标准</w:t>
          </w:r>
          <w:r>
            <w:tab/>
          </w:r>
          <w:r>
            <w:fldChar w:fldCharType="begin"/>
          </w:r>
          <w:r>
            <w:instrText xml:space="preserve"> PAGEREF _Toc795 \h </w:instrText>
          </w:r>
          <w:r>
            <w:fldChar w:fldCharType="separate"/>
          </w:r>
          <w:r>
            <w:t>67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_Toc10853 </w:instrText>
          </w:r>
          <w:r>
            <w:rPr>
              <w:rFonts w:hint="default" w:ascii="Times New Roman" w:hAnsi="Times New Roman" w:cs="Times New Roman"/>
              <w:bCs/>
              <w:lang w:val="zh-CN"/>
            </w:rPr>
            <w:fldChar w:fldCharType="separate"/>
          </w:r>
          <w:r>
            <w:rPr>
              <w:rFonts w:hint="default" w:ascii="Times New Roman" w:hAnsi="Times New Roman" w:cs="Times New Roman"/>
            </w:rPr>
            <w:t>1.6.1. 环境功能区划</w:t>
          </w:r>
          <w:r>
            <w:tab/>
          </w:r>
          <w:r>
            <w:fldChar w:fldCharType="begin"/>
          </w:r>
          <w:r>
            <w:instrText xml:space="preserve"> PAGEREF _Toc10853 \h </w:instrText>
          </w:r>
          <w:r>
            <w:fldChar w:fldCharType="separate"/>
          </w:r>
          <w:r>
            <w:t>67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_Toc12962 </w:instrText>
          </w:r>
          <w:r>
            <w:rPr>
              <w:rFonts w:hint="default" w:ascii="Times New Roman" w:hAnsi="Times New Roman" w:cs="Times New Roman"/>
              <w:bCs/>
              <w:lang w:val="zh-CN"/>
            </w:rPr>
            <w:fldChar w:fldCharType="separate"/>
          </w:r>
          <w:r>
            <w:rPr>
              <w:rFonts w:hint="default" w:ascii="Times New Roman" w:hAnsi="Times New Roman" w:cs="Times New Roman"/>
            </w:rPr>
            <w:t>1.6.2. 环境质量标准</w:t>
          </w:r>
          <w:r>
            <w:tab/>
          </w:r>
          <w:r>
            <w:fldChar w:fldCharType="begin"/>
          </w:r>
          <w:r>
            <w:instrText xml:space="preserve"> PAGEREF _Toc12962 \h </w:instrText>
          </w:r>
          <w:r>
            <w:fldChar w:fldCharType="separate"/>
          </w:r>
          <w:r>
            <w:t>68</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_Toc4622 </w:instrText>
          </w:r>
          <w:r>
            <w:rPr>
              <w:rFonts w:hint="default" w:ascii="Times New Roman" w:hAnsi="Times New Roman" w:cs="Times New Roman"/>
              <w:bCs/>
              <w:lang w:val="zh-CN"/>
            </w:rPr>
            <w:fldChar w:fldCharType="separate"/>
          </w:r>
          <w:r>
            <w:rPr>
              <w:rFonts w:hint="default" w:ascii="Times New Roman" w:hAnsi="Times New Roman" w:cs="Times New Roman"/>
            </w:rPr>
            <w:t>1.6.3. 污染物排放标准</w:t>
          </w:r>
          <w:r>
            <w:tab/>
          </w:r>
          <w:r>
            <w:fldChar w:fldCharType="begin"/>
          </w:r>
          <w:r>
            <w:instrText xml:space="preserve"> PAGEREF _Toc4622 \h </w:instrText>
          </w:r>
          <w:r>
            <w:fldChar w:fldCharType="separate"/>
          </w:r>
          <w:r>
            <w:t>72</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_Toc29715 </w:instrText>
          </w:r>
          <w:r>
            <w:rPr>
              <w:rFonts w:hint="default" w:ascii="Times New Roman" w:hAnsi="Times New Roman" w:cs="Times New Roman"/>
              <w:bCs/>
              <w:lang w:val="zh-CN"/>
            </w:rPr>
            <w:fldChar w:fldCharType="separate"/>
          </w:r>
          <w:r>
            <w:rPr>
              <w:rFonts w:hint="default" w:ascii="Times New Roman" w:hAnsi="Times New Roman" w:cs="Times New Roman"/>
            </w:rPr>
            <w:t>1.7. 评价等级和评价范围</w:t>
          </w:r>
          <w:r>
            <w:tab/>
          </w:r>
          <w:r>
            <w:fldChar w:fldCharType="begin"/>
          </w:r>
          <w:r>
            <w:instrText xml:space="preserve"> PAGEREF _Toc29715 \h </w:instrText>
          </w:r>
          <w:r>
            <w:fldChar w:fldCharType="separate"/>
          </w:r>
          <w:r>
            <w:t>74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_Toc21272 </w:instrText>
          </w:r>
          <w:r>
            <w:rPr>
              <w:rFonts w:hint="default" w:ascii="Times New Roman" w:hAnsi="Times New Roman" w:cs="Times New Roman"/>
              <w:bCs/>
              <w:lang w:val="zh-CN"/>
            </w:rPr>
            <w:fldChar w:fldCharType="separate"/>
          </w:r>
          <w:r>
            <w:rPr>
              <w:rFonts w:hint="default" w:ascii="Times New Roman" w:hAnsi="Times New Roman" w:cs="Times New Roman"/>
            </w:rPr>
            <w:t>1.7.1. 地表水环境评价</w:t>
          </w:r>
          <w:r>
            <w:tab/>
          </w:r>
          <w:r>
            <w:fldChar w:fldCharType="begin"/>
          </w:r>
          <w:r>
            <w:instrText xml:space="preserve"> PAGEREF _Toc21272 \h </w:instrText>
          </w:r>
          <w:r>
            <w:fldChar w:fldCharType="separate"/>
          </w:r>
          <w:r>
            <w:t>74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_Toc21753 </w:instrText>
          </w:r>
          <w:r>
            <w:rPr>
              <w:rFonts w:hint="default" w:ascii="Times New Roman" w:hAnsi="Times New Roman" w:cs="Times New Roman"/>
              <w:bCs/>
              <w:lang w:val="zh-CN"/>
            </w:rPr>
            <w:fldChar w:fldCharType="separate"/>
          </w:r>
          <w:r>
            <w:rPr>
              <w:rFonts w:hint="default" w:ascii="Times New Roman" w:hAnsi="Times New Roman" w:cs="Times New Roman"/>
            </w:rPr>
            <w:t>1.7.2. 地下水环境评价工作等级</w:t>
          </w:r>
          <w:r>
            <w:tab/>
          </w:r>
          <w:r>
            <w:fldChar w:fldCharType="begin"/>
          </w:r>
          <w:r>
            <w:instrText xml:space="preserve"> PAGEREF _Toc21753 \h </w:instrText>
          </w:r>
          <w:r>
            <w:fldChar w:fldCharType="separate"/>
          </w:r>
          <w:r>
            <w:t>75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_Toc10233 </w:instrText>
          </w:r>
          <w:r>
            <w:rPr>
              <w:rFonts w:hint="default" w:ascii="Times New Roman" w:hAnsi="Times New Roman" w:cs="Times New Roman"/>
              <w:bCs/>
              <w:lang w:val="zh-CN"/>
            </w:rPr>
            <w:fldChar w:fldCharType="separate"/>
          </w:r>
          <w:r>
            <w:rPr>
              <w:rFonts w:hint="default" w:ascii="Times New Roman" w:hAnsi="Times New Roman" w:cs="Times New Roman"/>
            </w:rPr>
            <w:t>1.7.3. 大气环境评价</w:t>
          </w:r>
          <w:r>
            <w:tab/>
          </w:r>
          <w:r>
            <w:fldChar w:fldCharType="begin"/>
          </w:r>
          <w:r>
            <w:instrText xml:space="preserve"> PAGEREF _Toc10233 \h </w:instrText>
          </w:r>
          <w:r>
            <w:fldChar w:fldCharType="separate"/>
          </w:r>
          <w:r>
            <w:t>79</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_Toc17598 </w:instrText>
          </w:r>
          <w:r>
            <w:rPr>
              <w:rFonts w:hint="default" w:ascii="Times New Roman" w:hAnsi="Times New Roman" w:cs="Times New Roman"/>
              <w:bCs/>
              <w:lang w:val="zh-CN"/>
            </w:rPr>
            <w:fldChar w:fldCharType="separate"/>
          </w:r>
          <w:r>
            <w:rPr>
              <w:rFonts w:hint="default" w:ascii="Times New Roman" w:hAnsi="Times New Roman" w:cs="Times New Roman"/>
            </w:rPr>
            <w:t>1.7.4. 声环境评价工作等级</w:t>
          </w:r>
          <w:r>
            <w:tab/>
          </w:r>
          <w:r>
            <w:fldChar w:fldCharType="begin"/>
          </w:r>
          <w:r>
            <w:instrText xml:space="preserve"> PAGEREF _Toc17598 \h </w:instrText>
          </w:r>
          <w:r>
            <w:fldChar w:fldCharType="separate"/>
          </w:r>
          <w:r>
            <w:t>81</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_Toc3603 </w:instrText>
          </w:r>
          <w:r>
            <w:rPr>
              <w:rFonts w:hint="default" w:ascii="Times New Roman" w:hAnsi="Times New Roman" w:cs="Times New Roman"/>
              <w:bCs/>
              <w:lang w:val="zh-CN"/>
            </w:rPr>
            <w:fldChar w:fldCharType="separate"/>
          </w:r>
          <w:r>
            <w:rPr>
              <w:rFonts w:hint="default" w:ascii="Times New Roman" w:hAnsi="Times New Roman" w:cs="Times New Roman"/>
            </w:rPr>
            <w:t>1.7.5. 土壤环境评价</w:t>
          </w:r>
          <w:r>
            <w:tab/>
          </w:r>
          <w:r>
            <w:fldChar w:fldCharType="begin"/>
          </w:r>
          <w:r>
            <w:instrText xml:space="preserve"> PAGEREF _Toc3603 \h </w:instrText>
          </w:r>
          <w:r>
            <w:fldChar w:fldCharType="separate"/>
          </w:r>
          <w:r>
            <w:t>82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_Toc28757 </w:instrText>
          </w:r>
          <w:r>
            <w:rPr>
              <w:rFonts w:hint="default" w:ascii="Times New Roman" w:hAnsi="Times New Roman" w:cs="Times New Roman"/>
              <w:bCs/>
              <w:lang w:val="zh-CN"/>
            </w:rPr>
            <w:fldChar w:fldCharType="separate"/>
          </w:r>
          <w:r>
            <w:rPr>
              <w:rFonts w:hint="default" w:ascii="Times New Roman" w:hAnsi="Times New Roman" w:cs="Times New Roman"/>
            </w:rPr>
            <w:t>1.7.6. 生态环境评价</w:t>
          </w:r>
          <w:r>
            <w:tab/>
          </w:r>
          <w:r>
            <w:fldChar w:fldCharType="begin"/>
          </w:r>
          <w:r>
            <w:instrText xml:space="preserve"> PAGEREF _Toc28757 \h </w:instrText>
          </w:r>
          <w:r>
            <w:fldChar w:fldCharType="separate"/>
          </w:r>
          <w:r>
            <w:t>83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_Toc30529 </w:instrText>
          </w:r>
          <w:r>
            <w:rPr>
              <w:rFonts w:hint="default" w:ascii="Times New Roman" w:hAnsi="Times New Roman" w:cs="Times New Roman"/>
              <w:bCs/>
              <w:lang w:val="zh-CN"/>
            </w:rPr>
            <w:fldChar w:fldCharType="separate"/>
          </w:r>
          <w:r>
            <w:rPr>
              <w:rFonts w:hint="default" w:ascii="Times New Roman" w:hAnsi="Times New Roman" w:cs="Times New Roman"/>
            </w:rPr>
            <w:t>1.7.7. 环境风险</w:t>
          </w:r>
          <w:r>
            <w:tab/>
          </w:r>
          <w:r>
            <w:fldChar w:fldCharType="begin"/>
          </w:r>
          <w:r>
            <w:instrText xml:space="preserve"> PAGEREF _Toc30529 \h </w:instrText>
          </w:r>
          <w:r>
            <w:fldChar w:fldCharType="separate"/>
          </w:r>
          <w:r>
            <w:t>84</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_Toc24600 </w:instrText>
          </w:r>
          <w:r>
            <w:rPr>
              <w:rFonts w:hint="default" w:ascii="Times New Roman" w:hAnsi="Times New Roman" w:cs="Times New Roman"/>
              <w:bCs/>
              <w:lang w:val="zh-CN"/>
            </w:rPr>
            <w:fldChar w:fldCharType="separate"/>
          </w:r>
          <w:r>
            <w:rPr>
              <w:rFonts w:hint="default" w:ascii="Times New Roman" w:hAnsi="Times New Roman" w:cs="Times New Roman"/>
            </w:rPr>
            <w:t>1.8. 外环境关系及环境保护目标</w:t>
          </w:r>
          <w:r>
            <w:tab/>
          </w:r>
          <w:r>
            <w:fldChar w:fldCharType="begin"/>
          </w:r>
          <w:r>
            <w:instrText xml:space="preserve"> PAGEREF _Toc24600 \h </w:instrText>
          </w:r>
          <w:r>
            <w:fldChar w:fldCharType="separate"/>
          </w:r>
          <w:r>
            <w:t>85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_Toc22708 </w:instrText>
          </w:r>
          <w:r>
            <w:rPr>
              <w:rFonts w:hint="default" w:ascii="Times New Roman" w:hAnsi="Times New Roman" w:cs="Times New Roman"/>
              <w:bCs/>
              <w:lang w:val="zh-CN"/>
            </w:rPr>
            <w:fldChar w:fldCharType="separate"/>
          </w:r>
          <w:r>
            <w:rPr>
              <w:rFonts w:hint="default" w:ascii="Times New Roman" w:hAnsi="Times New Roman" w:cs="Times New Roman"/>
            </w:rPr>
            <w:t>1.8.1. 外环境关系</w:t>
          </w:r>
          <w:r>
            <w:tab/>
          </w:r>
          <w:r>
            <w:fldChar w:fldCharType="begin"/>
          </w:r>
          <w:r>
            <w:instrText xml:space="preserve"> PAGEREF _Toc22708 \h </w:instrText>
          </w:r>
          <w:r>
            <w:fldChar w:fldCharType="separate"/>
          </w:r>
          <w:r>
            <w:t>85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_Toc4522 </w:instrText>
          </w:r>
          <w:r>
            <w:rPr>
              <w:rFonts w:hint="default" w:ascii="Times New Roman" w:hAnsi="Times New Roman" w:cs="Times New Roman"/>
              <w:bCs/>
              <w:lang w:val="zh-CN"/>
            </w:rPr>
            <w:fldChar w:fldCharType="separate"/>
          </w:r>
          <w:r>
            <w:rPr>
              <w:rFonts w:hint="default" w:ascii="Times New Roman" w:hAnsi="Times New Roman" w:cs="Times New Roman"/>
            </w:rPr>
            <w:t>1.8.2. 项目主要保护目标</w:t>
          </w:r>
          <w:r>
            <w:tab/>
          </w:r>
          <w:r>
            <w:fldChar w:fldCharType="begin"/>
          </w:r>
          <w:r>
            <w:instrText xml:space="preserve"> PAGEREF _Toc4522 \h </w:instrText>
          </w:r>
          <w:r>
            <w:fldChar w:fldCharType="separate"/>
          </w:r>
          <w:r>
            <w:t>87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_Toc2516 </w:instrText>
          </w:r>
          <w:r>
            <w:rPr>
              <w:rFonts w:hint="default" w:ascii="Times New Roman" w:hAnsi="Times New Roman" w:cs="Times New Roman"/>
              <w:bCs/>
              <w:lang w:val="zh-CN"/>
            </w:rPr>
            <w:fldChar w:fldCharType="separate"/>
          </w:r>
          <w:r>
            <w:rPr>
              <w:rFonts w:hint="default" w:ascii="Times New Roman" w:hAnsi="Times New Roman" w:cs="Times New Roman"/>
            </w:rPr>
            <w:t>1.9. 评价工作程序</w:t>
          </w:r>
          <w:r>
            <w:tab/>
          </w:r>
          <w:r>
            <w:fldChar w:fldCharType="begin"/>
          </w:r>
          <w:r>
            <w:instrText xml:space="preserve"> PAGEREF _Toc2516 \h </w:instrText>
          </w:r>
          <w:r>
            <w:fldChar w:fldCharType="separate"/>
          </w:r>
          <w:r>
            <w:t>89</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_Toc21988 </w:instrText>
          </w:r>
          <w:r>
            <w:rPr>
              <w:rFonts w:hint="default" w:ascii="Times New Roman" w:hAnsi="Times New Roman" w:cs="Times New Roman"/>
              <w:bCs/>
              <w:lang w:val="zh-CN"/>
            </w:rPr>
            <w:fldChar w:fldCharType="separate"/>
          </w:r>
          <w:r>
            <w:rPr>
              <w:rFonts w:hint="default" w:ascii="Times New Roman" w:hAnsi="Times New Roman" w:cs="Times New Roman"/>
            </w:rPr>
            <w:t>2. 工程概况</w:t>
          </w:r>
          <w:r>
            <w:tab/>
          </w:r>
          <w:r>
            <w:fldChar w:fldCharType="begin"/>
          </w:r>
          <w:r>
            <w:instrText xml:space="preserve"> PAGEREF _Toc21988 \h </w:instrText>
          </w:r>
          <w:r>
            <w:fldChar w:fldCharType="separate"/>
          </w:r>
          <w:r>
            <w:t>92</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_Toc15099 </w:instrText>
          </w:r>
          <w:r>
            <w:rPr>
              <w:rFonts w:hint="default" w:ascii="Times New Roman" w:hAnsi="Times New Roman" w:cs="Times New Roman"/>
              <w:bCs/>
              <w:lang w:val="zh-CN"/>
            </w:rPr>
            <w:fldChar w:fldCharType="separate"/>
          </w:r>
          <w:r>
            <w:rPr>
              <w:rFonts w:hint="default" w:ascii="Times New Roman" w:hAnsi="Times New Roman" w:cs="Times New Roman"/>
            </w:rPr>
            <w:t>2.1. 建设项目概况</w:t>
          </w:r>
          <w:r>
            <w:tab/>
          </w:r>
          <w:r>
            <w:fldChar w:fldCharType="begin"/>
          </w:r>
          <w:r>
            <w:instrText xml:space="preserve"> PAGEREF _Toc15099 \h </w:instrText>
          </w:r>
          <w:r>
            <w:fldChar w:fldCharType="separate"/>
          </w:r>
          <w:r>
            <w:t>92</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_Toc15116 </w:instrText>
          </w:r>
          <w:r>
            <w:rPr>
              <w:rFonts w:hint="default" w:ascii="Times New Roman" w:hAnsi="Times New Roman" w:cs="Times New Roman"/>
              <w:bCs/>
              <w:lang w:val="zh-CN"/>
            </w:rPr>
            <w:fldChar w:fldCharType="separate"/>
          </w:r>
          <w:r>
            <w:rPr>
              <w:rFonts w:hint="default" w:ascii="Times New Roman" w:hAnsi="Times New Roman" w:cs="Times New Roman"/>
            </w:rPr>
            <w:t>2.2. 产品方案</w:t>
          </w:r>
          <w:r>
            <w:tab/>
          </w:r>
          <w:r>
            <w:fldChar w:fldCharType="begin"/>
          </w:r>
          <w:r>
            <w:instrText xml:space="preserve"> PAGEREF _Toc15116 \h </w:instrText>
          </w:r>
          <w:r>
            <w:fldChar w:fldCharType="separate"/>
          </w:r>
          <w:r>
            <w:t>92</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_Toc19275 </w:instrText>
          </w:r>
          <w:r>
            <w:rPr>
              <w:rFonts w:hint="default" w:ascii="Times New Roman" w:hAnsi="Times New Roman" w:cs="Times New Roman"/>
              <w:bCs/>
              <w:lang w:val="zh-CN"/>
            </w:rPr>
            <w:fldChar w:fldCharType="separate"/>
          </w:r>
          <w:r>
            <w:rPr>
              <w:rFonts w:hint="default" w:ascii="Times New Roman" w:hAnsi="Times New Roman" w:cs="Times New Roman"/>
            </w:rPr>
            <w:t>2.3. 项目主要建设内容及组成</w:t>
          </w:r>
          <w:r>
            <w:tab/>
          </w:r>
          <w:r>
            <w:fldChar w:fldCharType="begin"/>
          </w:r>
          <w:r>
            <w:instrText xml:space="preserve"> PAGEREF _Toc19275 \h </w:instrText>
          </w:r>
          <w:r>
            <w:fldChar w:fldCharType="separate"/>
          </w:r>
          <w:r>
            <w:t>94</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_Toc19945 </w:instrText>
          </w:r>
          <w:r>
            <w:rPr>
              <w:rFonts w:hint="default" w:ascii="Times New Roman" w:hAnsi="Times New Roman" w:cs="Times New Roman"/>
              <w:bCs/>
              <w:lang w:val="zh-CN"/>
            </w:rPr>
            <w:fldChar w:fldCharType="separate"/>
          </w:r>
          <w:r>
            <w:rPr>
              <w:rFonts w:hint="default" w:ascii="Times New Roman" w:hAnsi="Times New Roman" w:cs="Times New Roman"/>
            </w:rPr>
            <w:t>2.4. 主要原辅料及能耗</w:t>
          </w:r>
          <w:r>
            <w:tab/>
          </w:r>
          <w:r>
            <w:fldChar w:fldCharType="begin"/>
          </w:r>
          <w:r>
            <w:instrText xml:space="preserve"> PAGEREF _Toc19945 \h </w:instrText>
          </w:r>
          <w:r>
            <w:fldChar w:fldCharType="separate"/>
          </w:r>
          <w:r>
            <w:t>97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_Toc15852 </w:instrText>
          </w:r>
          <w:r>
            <w:rPr>
              <w:rFonts w:hint="default" w:ascii="Times New Roman" w:hAnsi="Times New Roman" w:cs="Times New Roman"/>
              <w:bCs/>
              <w:lang w:val="zh-CN"/>
            </w:rPr>
            <w:fldChar w:fldCharType="separate"/>
          </w:r>
          <w:r>
            <w:rPr>
              <w:rFonts w:hint="default" w:ascii="Times New Roman" w:hAnsi="Times New Roman" w:cs="Times New Roman"/>
            </w:rPr>
            <w:t>2.5. 项目主要生产设备</w:t>
          </w:r>
          <w:r>
            <w:tab/>
          </w:r>
          <w:r>
            <w:fldChar w:fldCharType="begin"/>
          </w:r>
          <w:r>
            <w:instrText xml:space="preserve"> PAGEREF _Toc15852 \h </w:instrText>
          </w:r>
          <w:r>
            <w:fldChar w:fldCharType="separate"/>
          </w:r>
          <w:r>
            <w:t>101</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_Toc4220 </w:instrText>
          </w:r>
          <w:r>
            <w:rPr>
              <w:rFonts w:hint="default" w:ascii="Times New Roman" w:hAnsi="Times New Roman" w:cs="Times New Roman"/>
              <w:bCs/>
              <w:lang w:val="zh-CN"/>
            </w:rPr>
            <w:fldChar w:fldCharType="separate"/>
          </w:r>
          <w:r>
            <w:rPr>
              <w:rFonts w:hint="default" w:ascii="Times New Roman" w:hAnsi="Times New Roman" w:cs="Times New Roman"/>
            </w:rPr>
            <w:t>2.6. 公用工程</w:t>
          </w:r>
          <w:r>
            <w:tab/>
          </w:r>
          <w:r>
            <w:fldChar w:fldCharType="begin"/>
          </w:r>
          <w:r>
            <w:instrText xml:space="preserve"> PAGEREF _Toc4220 \h </w:instrText>
          </w:r>
          <w:r>
            <w:fldChar w:fldCharType="separate"/>
          </w:r>
          <w:r>
            <w:t>102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_Toc21104 </w:instrText>
          </w:r>
          <w:r>
            <w:rPr>
              <w:rFonts w:hint="default" w:ascii="Times New Roman" w:hAnsi="Times New Roman" w:cs="Times New Roman"/>
              <w:bCs/>
              <w:lang w:val="zh-CN"/>
            </w:rPr>
            <w:fldChar w:fldCharType="separate"/>
          </w:r>
          <w:r>
            <w:rPr>
              <w:rFonts w:hint="default" w:ascii="Times New Roman" w:hAnsi="Times New Roman" w:cs="Times New Roman"/>
            </w:rPr>
            <w:t>2.6.1. 供水工程</w:t>
          </w:r>
          <w:r>
            <w:tab/>
          </w:r>
          <w:r>
            <w:fldChar w:fldCharType="begin"/>
          </w:r>
          <w:r>
            <w:instrText xml:space="preserve"> PAGEREF _Toc21104 \h </w:instrText>
          </w:r>
          <w:r>
            <w:fldChar w:fldCharType="separate"/>
          </w:r>
          <w:r>
            <w:t>102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_Toc15195 </w:instrText>
          </w:r>
          <w:r>
            <w:rPr>
              <w:rFonts w:hint="default" w:ascii="Times New Roman" w:hAnsi="Times New Roman" w:cs="Times New Roman"/>
              <w:bCs/>
              <w:lang w:val="zh-CN"/>
            </w:rPr>
            <w:fldChar w:fldCharType="separate"/>
          </w:r>
          <w:r>
            <w:rPr>
              <w:rFonts w:hint="default" w:ascii="Times New Roman" w:hAnsi="Times New Roman" w:cs="Times New Roman"/>
            </w:rPr>
            <w:t>2.6.2. 排水工程</w:t>
          </w:r>
          <w:r>
            <w:tab/>
          </w:r>
          <w:r>
            <w:fldChar w:fldCharType="begin"/>
          </w:r>
          <w:r>
            <w:instrText xml:space="preserve"> PAGEREF _Toc15195 \h </w:instrText>
          </w:r>
          <w:r>
            <w:fldChar w:fldCharType="separate"/>
          </w:r>
          <w:r>
            <w:t>103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_Toc8501 </w:instrText>
          </w:r>
          <w:r>
            <w:rPr>
              <w:rFonts w:hint="default" w:ascii="Times New Roman" w:hAnsi="Times New Roman" w:cs="Times New Roman"/>
              <w:bCs/>
              <w:lang w:val="zh-CN"/>
            </w:rPr>
            <w:fldChar w:fldCharType="separate"/>
          </w:r>
          <w:r>
            <w:rPr>
              <w:rFonts w:hint="default" w:ascii="Times New Roman" w:hAnsi="Times New Roman" w:cs="Times New Roman"/>
            </w:rPr>
            <w:t>2.6.3. 供电工程</w:t>
          </w:r>
          <w:r>
            <w:tab/>
          </w:r>
          <w:r>
            <w:fldChar w:fldCharType="begin"/>
          </w:r>
          <w:r>
            <w:instrText xml:space="preserve"> PAGEREF _Toc8501 \h </w:instrText>
          </w:r>
          <w:r>
            <w:fldChar w:fldCharType="separate"/>
          </w:r>
          <w:r>
            <w:t>103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_Toc18178 </w:instrText>
          </w:r>
          <w:r>
            <w:rPr>
              <w:rFonts w:hint="default" w:ascii="Times New Roman" w:hAnsi="Times New Roman" w:cs="Times New Roman"/>
              <w:bCs/>
              <w:lang w:val="zh-CN"/>
            </w:rPr>
            <w:fldChar w:fldCharType="separate"/>
          </w:r>
          <w:r>
            <w:rPr>
              <w:rFonts w:hint="default" w:ascii="Times New Roman" w:hAnsi="Times New Roman" w:cs="Times New Roman"/>
            </w:rPr>
            <w:t>2.6.4. 消防工程</w:t>
          </w:r>
          <w:r>
            <w:tab/>
          </w:r>
          <w:r>
            <w:fldChar w:fldCharType="begin"/>
          </w:r>
          <w:r>
            <w:instrText xml:space="preserve"> PAGEREF _Toc18178 \h </w:instrText>
          </w:r>
          <w:r>
            <w:fldChar w:fldCharType="separate"/>
          </w:r>
          <w:r>
            <w:t>103</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_Toc25597 </w:instrText>
          </w:r>
          <w:r>
            <w:rPr>
              <w:rFonts w:hint="default" w:ascii="Times New Roman" w:hAnsi="Times New Roman" w:cs="Times New Roman"/>
              <w:bCs/>
              <w:lang w:val="zh-CN"/>
            </w:rPr>
            <w:fldChar w:fldCharType="separate"/>
          </w:r>
          <w:r>
            <w:rPr>
              <w:rFonts w:hint="default" w:ascii="Times New Roman" w:hAnsi="Times New Roman" w:cs="Times New Roman"/>
            </w:rPr>
            <w:t>2.7. 项目总平面布置合理性分析</w:t>
          </w:r>
          <w:r>
            <w:tab/>
          </w:r>
          <w:r>
            <w:fldChar w:fldCharType="begin"/>
          </w:r>
          <w:r>
            <w:instrText xml:space="preserve"> PAGEREF _Toc25597 \h </w:instrText>
          </w:r>
          <w:r>
            <w:fldChar w:fldCharType="separate"/>
          </w:r>
          <w:r>
            <w:t>103</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_Toc25752 </w:instrText>
          </w:r>
          <w:r>
            <w:rPr>
              <w:rFonts w:hint="default" w:ascii="Times New Roman" w:hAnsi="Times New Roman" w:cs="Times New Roman"/>
              <w:bCs/>
              <w:lang w:val="zh-CN"/>
            </w:rPr>
            <w:fldChar w:fldCharType="separate"/>
          </w:r>
          <w:r>
            <w:rPr>
              <w:rFonts w:hint="default" w:ascii="Times New Roman" w:hAnsi="Times New Roman" w:cs="Times New Roman"/>
            </w:rPr>
            <w:t>2.8. 劳动定员及工作制度</w:t>
          </w:r>
          <w:r>
            <w:tab/>
          </w:r>
          <w:r>
            <w:fldChar w:fldCharType="begin"/>
          </w:r>
          <w:r>
            <w:instrText xml:space="preserve"> PAGEREF _Toc25752 \h </w:instrText>
          </w:r>
          <w:r>
            <w:fldChar w:fldCharType="separate"/>
          </w:r>
          <w:r>
            <w:t>105</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_Toc5137 </w:instrText>
          </w:r>
          <w:r>
            <w:rPr>
              <w:rFonts w:hint="default" w:ascii="Times New Roman" w:hAnsi="Times New Roman" w:cs="Times New Roman"/>
              <w:bCs/>
              <w:lang w:val="zh-CN"/>
            </w:rPr>
            <w:fldChar w:fldCharType="separate"/>
          </w:r>
          <w:r>
            <w:rPr>
              <w:rFonts w:hint="default" w:ascii="Times New Roman" w:hAnsi="Times New Roman" w:cs="Times New Roman"/>
            </w:rPr>
            <w:t>3. 工程分析</w:t>
          </w:r>
          <w:r>
            <w:tab/>
          </w:r>
          <w:r>
            <w:fldChar w:fldCharType="begin"/>
          </w:r>
          <w:r>
            <w:instrText xml:space="preserve"> PAGEREF _Toc5137 \h </w:instrText>
          </w:r>
          <w:r>
            <w:fldChar w:fldCharType="separate"/>
          </w:r>
          <w:r>
            <w:t>107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_Toc2556 </w:instrText>
          </w:r>
          <w:r>
            <w:rPr>
              <w:rFonts w:hint="default" w:ascii="Times New Roman" w:hAnsi="Times New Roman" w:cs="Times New Roman"/>
              <w:bCs/>
              <w:lang w:val="zh-CN"/>
            </w:rPr>
            <w:fldChar w:fldCharType="separate"/>
          </w:r>
          <w:r>
            <w:rPr>
              <w:rFonts w:hint="default" w:ascii="Times New Roman" w:hAnsi="Times New Roman" w:cs="Times New Roman"/>
            </w:rPr>
            <w:t>3.1. 施工期工程分析</w:t>
          </w:r>
          <w:r>
            <w:tab/>
          </w:r>
          <w:r>
            <w:fldChar w:fldCharType="begin"/>
          </w:r>
          <w:r>
            <w:instrText xml:space="preserve"> PAGEREF _Toc2556 \h </w:instrText>
          </w:r>
          <w:r>
            <w:fldChar w:fldCharType="separate"/>
          </w:r>
          <w:r>
            <w:t>107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_Toc4775 </w:instrText>
          </w:r>
          <w:r>
            <w:rPr>
              <w:rFonts w:hint="default" w:ascii="Times New Roman" w:hAnsi="Times New Roman" w:cs="Times New Roman"/>
              <w:bCs/>
              <w:lang w:val="zh-CN"/>
            </w:rPr>
            <w:fldChar w:fldCharType="separate"/>
          </w:r>
          <w:r>
            <w:rPr>
              <w:rFonts w:hint="default" w:ascii="Times New Roman" w:hAnsi="Times New Roman" w:cs="Times New Roman"/>
            </w:rPr>
            <w:t>3.1.1. 施工期生产工艺流程及产污节点分析</w:t>
          </w:r>
          <w:r>
            <w:tab/>
          </w:r>
          <w:r>
            <w:fldChar w:fldCharType="begin"/>
          </w:r>
          <w:r>
            <w:instrText xml:space="preserve"> PAGEREF _Toc4775 \h </w:instrText>
          </w:r>
          <w:r>
            <w:fldChar w:fldCharType="separate"/>
          </w:r>
          <w:r>
            <w:t>107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_Toc4885 </w:instrText>
          </w:r>
          <w:r>
            <w:rPr>
              <w:rFonts w:hint="default" w:ascii="Times New Roman" w:hAnsi="Times New Roman" w:cs="Times New Roman"/>
              <w:bCs/>
              <w:lang w:val="zh-CN"/>
            </w:rPr>
            <w:fldChar w:fldCharType="separate"/>
          </w:r>
          <w:r>
            <w:rPr>
              <w:rFonts w:hint="default" w:ascii="Times New Roman" w:hAnsi="Times New Roman" w:cs="Times New Roman"/>
            </w:rPr>
            <w:t>3.1.2. 施工期主要污染工序</w:t>
          </w:r>
          <w:r>
            <w:tab/>
          </w:r>
          <w:r>
            <w:fldChar w:fldCharType="begin"/>
          </w:r>
          <w:r>
            <w:instrText xml:space="preserve"> PAGEREF _Toc4885 \h </w:instrText>
          </w:r>
          <w:r>
            <w:fldChar w:fldCharType="separate"/>
          </w:r>
          <w:r>
            <w:t>107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_Toc30060 </w:instrText>
          </w:r>
          <w:r>
            <w:rPr>
              <w:rFonts w:hint="default" w:ascii="Times New Roman" w:hAnsi="Times New Roman" w:cs="Times New Roman"/>
              <w:bCs/>
              <w:lang w:val="zh-CN"/>
            </w:rPr>
            <w:fldChar w:fldCharType="separate"/>
          </w:r>
          <w:r>
            <w:rPr>
              <w:rFonts w:hint="default" w:ascii="Times New Roman" w:hAnsi="Times New Roman" w:cs="Times New Roman"/>
            </w:rPr>
            <w:t>3.1.3. 施工期源强核算及治理措施</w:t>
          </w:r>
          <w:r>
            <w:tab/>
          </w:r>
          <w:r>
            <w:fldChar w:fldCharType="begin"/>
          </w:r>
          <w:r>
            <w:instrText xml:space="preserve"> PAGEREF _Toc30060 \h </w:instrText>
          </w:r>
          <w:r>
            <w:fldChar w:fldCharType="separate"/>
          </w:r>
          <w:r>
            <w:t>108</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_Toc19125 </w:instrText>
          </w:r>
          <w:r>
            <w:rPr>
              <w:rFonts w:hint="default" w:ascii="Times New Roman" w:hAnsi="Times New Roman" w:cs="Times New Roman"/>
              <w:bCs/>
              <w:lang w:val="zh-CN"/>
            </w:rPr>
            <w:fldChar w:fldCharType="separate"/>
          </w:r>
          <w:r>
            <w:rPr>
              <w:rFonts w:hint="default" w:ascii="Times New Roman" w:hAnsi="Times New Roman" w:cs="Times New Roman"/>
            </w:rPr>
            <w:t>3.2. 营运期工程分析</w:t>
          </w:r>
          <w:r>
            <w:tab/>
          </w:r>
          <w:r>
            <w:fldChar w:fldCharType="begin"/>
          </w:r>
          <w:r>
            <w:instrText xml:space="preserve"> PAGEREF _Toc19125 \h </w:instrText>
          </w:r>
          <w:r>
            <w:fldChar w:fldCharType="separate"/>
          </w:r>
          <w:r>
            <w:t>113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_Toc8283 </w:instrText>
          </w:r>
          <w:r>
            <w:rPr>
              <w:rFonts w:hint="default" w:ascii="Times New Roman" w:hAnsi="Times New Roman" w:cs="Times New Roman"/>
              <w:bCs/>
              <w:lang w:val="zh-CN"/>
            </w:rPr>
            <w:fldChar w:fldCharType="separate"/>
          </w:r>
          <w:r>
            <w:rPr>
              <w:rFonts w:hint="default" w:ascii="Times New Roman" w:hAnsi="Times New Roman" w:cs="Times New Roman"/>
            </w:rPr>
            <w:t>3.2.1. 运营期工艺流程及产污环节分析</w:t>
          </w:r>
          <w:r>
            <w:tab/>
          </w:r>
          <w:r>
            <w:fldChar w:fldCharType="begin"/>
          </w:r>
          <w:r>
            <w:instrText xml:space="preserve"> PAGEREF _Toc8283 \h </w:instrText>
          </w:r>
          <w:r>
            <w:fldChar w:fldCharType="separate"/>
          </w:r>
          <w:r>
            <w:t>113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_Toc32663 </w:instrText>
          </w:r>
          <w:r>
            <w:rPr>
              <w:rFonts w:hint="default" w:ascii="Times New Roman" w:hAnsi="Times New Roman" w:cs="Times New Roman"/>
              <w:bCs/>
              <w:lang w:val="zh-CN"/>
            </w:rPr>
            <w:fldChar w:fldCharType="separate"/>
          </w:r>
          <w:r>
            <w:rPr>
              <w:rFonts w:hint="default" w:ascii="Times New Roman" w:hAnsi="Times New Roman" w:cs="Times New Roman"/>
            </w:rPr>
            <w:t>3.2.2. 产污环节汇总</w:t>
          </w:r>
          <w:r>
            <w:tab/>
          </w:r>
          <w:r>
            <w:fldChar w:fldCharType="begin"/>
          </w:r>
          <w:r>
            <w:instrText xml:space="preserve"> PAGEREF _Toc32663 \h </w:instrText>
          </w:r>
          <w:r>
            <w:fldChar w:fldCharType="separate"/>
          </w:r>
          <w:r>
            <w:t>119</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_Toc24392 </w:instrText>
          </w:r>
          <w:r>
            <w:rPr>
              <w:rFonts w:hint="default" w:ascii="Times New Roman" w:hAnsi="Times New Roman" w:cs="Times New Roman"/>
              <w:bCs/>
              <w:lang w:val="zh-CN"/>
            </w:rPr>
            <w:fldChar w:fldCharType="separate"/>
          </w:r>
          <w:r>
            <w:rPr>
              <w:rFonts w:hint="default" w:ascii="Times New Roman" w:hAnsi="Times New Roman" w:cs="Times New Roman"/>
            </w:rPr>
            <w:t>3.2.3. 物料平衡及水平衡分析</w:t>
          </w:r>
          <w:r>
            <w:tab/>
          </w:r>
          <w:r>
            <w:fldChar w:fldCharType="begin"/>
          </w:r>
          <w:r>
            <w:instrText xml:space="preserve"> PAGEREF _Toc24392 \h </w:instrText>
          </w:r>
          <w:r>
            <w:fldChar w:fldCharType="separate"/>
          </w:r>
          <w:r>
            <w:t>120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_Toc11833 </w:instrText>
          </w:r>
          <w:r>
            <w:rPr>
              <w:rFonts w:hint="default" w:ascii="Times New Roman" w:hAnsi="Times New Roman" w:cs="Times New Roman"/>
              <w:bCs/>
              <w:lang w:val="zh-CN"/>
            </w:rPr>
            <w:fldChar w:fldCharType="separate"/>
          </w:r>
          <w:r>
            <w:rPr>
              <w:rFonts w:hint="default" w:ascii="Times New Roman" w:hAnsi="Times New Roman" w:cs="Times New Roman"/>
            </w:rPr>
            <w:t>3.2.4. 运营期污染源核算及治理措施</w:t>
          </w:r>
          <w:r>
            <w:tab/>
          </w:r>
          <w:r>
            <w:fldChar w:fldCharType="begin"/>
          </w:r>
          <w:r>
            <w:instrText xml:space="preserve"> PAGEREF _Toc11833 \h </w:instrText>
          </w:r>
          <w:r>
            <w:fldChar w:fldCharType="separate"/>
          </w:r>
          <w:r>
            <w:t>124</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_Toc1224 </w:instrText>
          </w:r>
          <w:r>
            <w:rPr>
              <w:rFonts w:hint="default" w:ascii="Times New Roman" w:hAnsi="Times New Roman" w:cs="Times New Roman"/>
              <w:bCs/>
              <w:lang w:val="zh-CN"/>
            </w:rPr>
            <w:fldChar w:fldCharType="separate"/>
          </w:r>
          <w:r>
            <w:rPr>
              <w:rFonts w:hint="default" w:ascii="Times New Roman" w:hAnsi="Times New Roman" w:cs="Times New Roman"/>
            </w:rPr>
            <w:t>3.3. 总量控制</w:t>
          </w:r>
          <w:r>
            <w:tab/>
          </w:r>
          <w:r>
            <w:fldChar w:fldCharType="begin"/>
          </w:r>
          <w:r>
            <w:instrText xml:space="preserve"> PAGEREF _Toc1224 \h </w:instrText>
          </w:r>
          <w:r>
            <w:fldChar w:fldCharType="separate"/>
          </w:r>
          <w:r>
            <w:t>145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_Toc20134 </w:instrText>
          </w:r>
          <w:r>
            <w:rPr>
              <w:rFonts w:hint="default" w:ascii="Times New Roman" w:hAnsi="Times New Roman" w:cs="Times New Roman"/>
              <w:bCs/>
              <w:lang w:val="zh-CN"/>
            </w:rPr>
            <w:fldChar w:fldCharType="separate"/>
          </w:r>
          <w:r>
            <w:rPr>
              <w:rFonts w:hint="default" w:ascii="Times New Roman" w:hAnsi="Times New Roman" w:cs="Times New Roman"/>
            </w:rPr>
            <w:t>3.3.1. 总量控制因子</w:t>
          </w:r>
          <w:r>
            <w:tab/>
          </w:r>
          <w:r>
            <w:fldChar w:fldCharType="begin"/>
          </w:r>
          <w:r>
            <w:instrText xml:space="preserve"> PAGEREF _Toc20134 \h </w:instrText>
          </w:r>
          <w:r>
            <w:fldChar w:fldCharType="separate"/>
          </w:r>
          <w:r>
            <w:t>146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_Toc351 </w:instrText>
          </w:r>
          <w:r>
            <w:rPr>
              <w:rFonts w:hint="default" w:ascii="Times New Roman" w:hAnsi="Times New Roman" w:cs="Times New Roman"/>
              <w:bCs/>
              <w:lang w:val="zh-CN"/>
            </w:rPr>
            <w:fldChar w:fldCharType="separate"/>
          </w:r>
          <w:r>
            <w:rPr>
              <w:rFonts w:hint="default" w:ascii="Times New Roman" w:hAnsi="Times New Roman" w:cs="Times New Roman"/>
            </w:rPr>
            <w:t>3.3.2. 污染物排放总量</w:t>
          </w:r>
          <w:r>
            <w:tab/>
          </w:r>
          <w:r>
            <w:fldChar w:fldCharType="begin"/>
          </w:r>
          <w:r>
            <w:instrText xml:space="preserve"> PAGEREF _Toc351 \h </w:instrText>
          </w:r>
          <w:r>
            <w:fldChar w:fldCharType="separate"/>
          </w:r>
          <w:r>
            <w:t>146</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_Toc3432 </w:instrText>
          </w:r>
          <w:r>
            <w:rPr>
              <w:rFonts w:hint="default" w:ascii="Times New Roman" w:hAnsi="Times New Roman" w:cs="Times New Roman"/>
              <w:bCs/>
              <w:lang w:val="zh-CN"/>
            </w:rPr>
            <w:fldChar w:fldCharType="separate"/>
          </w:r>
          <w:r>
            <w:rPr>
              <w:rFonts w:hint="default" w:ascii="Times New Roman" w:hAnsi="Times New Roman" w:cs="Times New Roman"/>
            </w:rPr>
            <w:t>3.4. 清洁生产水平</w:t>
          </w:r>
          <w:r>
            <w:tab/>
          </w:r>
          <w:r>
            <w:fldChar w:fldCharType="begin"/>
          </w:r>
          <w:r>
            <w:instrText xml:space="preserve"> PAGEREF _Toc3432 \h </w:instrText>
          </w:r>
          <w:r>
            <w:fldChar w:fldCharType="separate"/>
          </w:r>
          <w:r>
            <w:t>147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_Toc15645 </w:instrText>
          </w:r>
          <w:r>
            <w:rPr>
              <w:rFonts w:hint="default" w:ascii="Times New Roman" w:hAnsi="Times New Roman" w:cs="Times New Roman"/>
              <w:bCs/>
              <w:lang w:val="zh-CN"/>
            </w:rPr>
            <w:fldChar w:fldCharType="separate"/>
          </w:r>
          <w:r>
            <w:rPr>
              <w:rFonts w:hint="default" w:ascii="Times New Roman" w:hAnsi="Times New Roman" w:cs="Times New Roman"/>
            </w:rPr>
            <w:t>3.4.1. 资源综合利用指标分析</w:t>
          </w:r>
          <w:r>
            <w:tab/>
          </w:r>
          <w:r>
            <w:fldChar w:fldCharType="begin"/>
          </w:r>
          <w:r>
            <w:instrText xml:space="preserve"> PAGEREF _Toc15645 \h </w:instrText>
          </w:r>
          <w:r>
            <w:fldChar w:fldCharType="separate"/>
          </w:r>
          <w:r>
            <w:t>147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_Toc12606 </w:instrText>
          </w:r>
          <w:r>
            <w:rPr>
              <w:rFonts w:hint="default" w:ascii="Times New Roman" w:hAnsi="Times New Roman" w:cs="Times New Roman"/>
              <w:bCs/>
              <w:lang w:val="zh-CN"/>
            </w:rPr>
            <w:fldChar w:fldCharType="separate"/>
          </w:r>
          <w:r>
            <w:rPr>
              <w:rFonts w:hint="default" w:ascii="Times New Roman" w:hAnsi="Times New Roman" w:cs="Times New Roman"/>
            </w:rPr>
            <w:t>3.4.2. 清洁生产水平分析</w:t>
          </w:r>
          <w:r>
            <w:tab/>
          </w:r>
          <w:r>
            <w:fldChar w:fldCharType="begin"/>
          </w:r>
          <w:r>
            <w:instrText xml:space="preserve"> PAGEREF _Toc12606 \h </w:instrText>
          </w:r>
          <w:r>
            <w:fldChar w:fldCharType="separate"/>
          </w:r>
          <w:r>
            <w:t>148</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_Toc3850 </w:instrText>
          </w:r>
          <w:r>
            <w:rPr>
              <w:rFonts w:hint="default" w:ascii="Times New Roman" w:hAnsi="Times New Roman" w:cs="Times New Roman"/>
              <w:bCs/>
              <w:lang w:val="zh-CN"/>
            </w:rPr>
            <w:fldChar w:fldCharType="separate"/>
          </w:r>
          <w:r>
            <w:rPr>
              <w:rFonts w:hint="default" w:ascii="Times New Roman" w:hAnsi="Times New Roman" w:cs="Times New Roman"/>
            </w:rPr>
            <w:t>3.4.3. 小结</w:t>
          </w:r>
          <w:r>
            <w:tab/>
          </w:r>
          <w:r>
            <w:fldChar w:fldCharType="begin"/>
          </w:r>
          <w:r>
            <w:instrText xml:space="preserve"> PAGEREF _Toc3850 \h </w:instrText>
          </w:r>
          <w:r>
            <w:fldChar w:fldCharType="separate"/>
          </w:r>
          <w:r>
            <w:t>149</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_Toc15178 </w:instrText>
          </w:r>
          <w:r>
            <w:rPr>
              <w:rFonts w:hint="default" w:ascii="Times New Roman" w:hAnsi="Times New Roman" w:cs="Times New Roman"/>
              <w:bCs/>
              <w:lang w:val="zh-CN"/>
            </w:rPr>
            <w:fldChar w:fldCharType="separate"/>
          </w:r>
          <w:r>
            <w:rPr>
              <w:rFonts w:hint="default" w:ascii="Times New Roman" w:hAnsi="Times New Roman" w:cs="Times New Roman"/>
            </w:rPr>
            <w:t>4. 区域环境质量概况</w:t>
          </w:r>
          <w:r>
            <w:tab/>
          </w:r>
          <w:r>
            <w:fldChar w:fldCharType="begin"/>
          </w:r>
          <w:r>
            <w:instrText xml:space="preserve"> PAGEREF _Toc15178 \h </w:instrText>
          </w:r>
          <w:r>
            <w:fldChar w:fldCharType="separate"/>
          </w:r>
          <w:r>
            <w:t>150</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_Toc18708 </w:instrText>
          </w:r>
          <w:r>
            <w:rPr>
              <w:rFonts w:hint="default" w:ascii="Times New Roman" w:hAnsi="Times New Roman" w:cs="Times New Roman"/>
              <w:bCs/>
              <w:lang w:val="zh-CN"/>
            </w:rPr>
            <w:fldChar w:fldCharType="separate"/>
          </w:r>
          <w:r>
            <w:rPr>
              <w:rFonts w:hint="default" w:ascii="Times New Roman" w:hAnsi="Times New Roman" w:cs="Times New Roman"/>
            </w:rPr>
            <w:t>4.1. 地理位置</w:t>
          </w:r>
          <w:r>
            <w:tab/>
          </w:r>
          <w:r>
            <w:fldChar w:fldCharType="begin"/>
          </w:r>
          <w:r>
            <w:instrText xml:space="preserve"> PAGEREF _Toc18708 \h </w:instrText>
          </w:r>
          <w:r>
            <w:fldChar w:fldCharType="separate"/>
          </w:r>
          <w:r>
            <w:t>150</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_Toc32201 </w:instrText>
          </w:r>
          <w:r>
            <w:rPr>
              <w:rFonts w:hint="default" w:ascii="Times New Roman" w:hAnsi="Times New Roman" w:cs="Times New Roman"/>
              <w:bCs/>
              <w:lang w:val="zh-CN"/>
            </w:rPr>
            <w:fldChar w:fldCharType="separate"/>
          </w:r>
          <w:r>
            <w:rPr>
              <w:rFonts w:hint="default" w:ascii="Times New Roman" w:hAnsi="Times New Roman" w:cs="Times New Roman"/>
            </w:rPr>
            <w:t>4.2. 地形、地貌</w:t>
          </w:r>
          <w:r>
            <w:tab/>
          </w:r>
          <w:r>
            <w:fldChar w:fldCharType="begin"/>
          </w:r>
          <w:r>
            <w:instrText xml:space="preserve"> PAGEREF _Toc32201 \h </w:instrText>
          </w:r>
          <w:r>
            <w:fldChar w:fldCharType="separate"/>
          </w:r>
          <w:r>
            <w:t>150</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_Toc17505 </w:instrText>
          </w:r>
          <w:r>
            <w:rPr>
              <w:rFonts w:hint="default" w:ascii="Times New Roman" w:hAnsi="Times New Roman" w:cs="Times New Roman"/>
              <w:bCs/>
              <w:lang w:val="zh-CN"/>
            </w:rPr>
            <w:fldChar w:fldCharType="separate"/>
          </w:r>
          <w:r>
            <w:rPr>
              <w:rFonts w:hint="default" w:ascii="Times New Roman" w:hAnsi="Times New Roman" w:cs="Times New Roman"/>
            </w:rPr>
            <w:t>4.3. 气象气候</w:t>
          </w:r>
          <w:r>
            <w:tab/>
          </w:r>
          <w:r>
            <w:fldChar w:fldCharType="begin"/>
          </w:r>
          <w:r>
            <w:instrText xml:space="preserve"> PAGEREF _Toc17505 \h </w:instrText>
          </w:r>
          <w:r>
            <w:fldChar w:fldCharType="separate"/>
          </w:r>
          <w:r>
            <w:t>151</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_Toc1442 </w:instrText>
          </w:r>
          <w:r>
            <w:rPr>
              <w:rFonts w:hint="default" w:ascii="Times New Roman" w:hAnsi="Times New Roman" w:cs="Times New Roman"/>
              <w:bCs/>
              <w:lang w:val="zh-CN"/>
            </w:rPr>
            <w:fldChar w:fldCharType="separate"/>
          </w:r>
          <w:r>
            <w:rPr>
              <w:rFonts w:hint="default" w:ascii="Times New Roman" w:hAnsi="Times New Roman" w:cs="Times New Roman"/>
            </w:rPr>
            <w:t>4.4. 水文地质</w:t>
          </w:r>
          <w:r>
            <w:tab/>
          </w:r>
          <w:r>
            <w:fldChar w:fldCharType="begin"/>
          </w:r>
          <w:r>
            <w:instrText xml:space="preserve"> PAGEREF _Toc1442 \h </w:instrText>
          </w:r>
          <w:r>
            <w:fldChar w:fldCharType="separate"/>
          </w:r>
          <w:r>
            <w:t>152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_Toc31023 </w:instrText>
          </w:r>
          <w:r>
            <w:rPr>
              <w:rFonts w:hint="default" w:ascii="Times New Roman" w:hAnsi="Times New Roman" w:cs="Times New Roman"/>
              <w:bCs/>
              <w:lang w:val="zh-CN"/>
            </w:rPr>
            <w:fldChar w:fldCharType="separate"/>
          </w:r>
          <w:r>
            <w:rPr>
              <w:rFonts w:hint="default" w:ascii="Times New Roman" w:hAnsi="Times New Roman" w:cs="Times New Roman"/>
            </w:rPr>
            <w:t>4.4.1. 水文条件</w:t>
          </w:r>
          <w:r>
            <w:tab/>
          </w:r>
          <w:r>
            <w:fldChar w:fldCharType="begin"/>
          </w:r>
          <w:r>
            <w:instrText xml:space="preserve"> PAGEREF _Toc31023 \h </w:instrText>
          </w:r>
          <w:r>
            <w:fldChar w:fldCharType="separate"/>
          </w:r>
          <w:r>
            <w:t>152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_Toc21834 </w:instrText>
          </w:r>
          <w:r>
            <w:rPr>
              <w:rFonts w:hint="default" w:ascii="Times New Roman" w:hAnsi="Times New Roman" w:cs="Times New Roman"/>
              <w:bCs/>
              <w:lang w:val="zh-CN"/>
            </w:rPr>
            <w:fldChar w:fldCharType="separate"/>
          </w:r>
          <w:r>
            <w:rPr>
              <w:rFonts w:hint="default" w:ascii="Times New Roman" w:hAnsi="Times New Roman" w:cs="Times New Roman"/>
            </w:rPr>
            <w:t>4.4.2. 地层岩性</w:t>
          </w:r>
          <w:r>
            <w:tab/>
          </w:r>
          <w:r>
            <w:fldChar w:fldCharType="begin"/>
          </w:r>
          <w:r>
            <w:instrText xml:space="preserve"> PAGEREF _Toc21834 \h </w:instrText>
          </w:r>
          <w:r>
            <w:fldChar w:fldCharType="separate"/>
          </w:r>
          <w:r>
            <w:t>153</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_Toc18084 </w:instrText>
          </w:r>
          <w:r>
            <w:rPr>
              <w:rFonts w:hint="default" w:ascii="Times New Roman" w:hAnsi="Times New Roman" w:cs="Times New Roman"/>
              <w:bCs/>
              <w:lang w:val="zh-CN"/>
            </w:rPr>
            <w:fldChar w:fldCharType="separate"/>
          </w:r>
          <w:r>
            <w:rPr>
              <w:rFonts w:hint="default" w:ascii="Times New Roman" w:hAnsi="Times New Roman" w:cs="Times New Roman"/>
            </w:rPr>
            <w:t>4.5. 矿产资源</w:t>
          </w:r>
          <w:r>
            <w:tab/>
          </w:r>
          <w:r>
            <w:fldChar w:fldCharType="begin"/>
          </w:r>
          <w:r>
            <w:instrText xml:space="preserve"> PAGEREF _Toc18084 \h </w:instrText>
          </w:r>
          <w:r>
            <w:fldChar w:fldCharType="separate"/>
          </w:r>
          <w:r>
            <w:t>154</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_Toc9158 </w:instrText>
          </w:r>
          <w:r>
            <w:rPr>
              <w:rFonts w:hint="default" w:ascii="Times New Roman" w:hAnsi="Times New Roman" w:cs="Times New Roman"/>
              <w:bCs/>
              <w:lang w:val="zh-CN"/>
            </w:rPr>
            <w:fldChar w:fldCharType="separate"/>
          </w:r>
          <w:r>
            <w:rPr>
              <w:rFonts w:hint="default" w:ascii="Times New Roman" w:hAnsi="Times New Roman" w:cs="Times New Roman"/>
            </w:rPr>
            <w:t>4.6. 自然资源</w:t>
          </w:r>
          <w:r>
            <w:tab/>
          </w:r>
          <w:r>
            <w:fldChar w:fldCharType="begin"/>
          </w:r>
          <w:r>
            <w:instrText xml:space="preserve"> PAGEREF _Toc9158 \h </w:instrText>
          </w:r>
          <w:r>
            <w:fldChar w:fldCharType="separate"/>
          </w:r>
          <w:r>
            <w:t>155</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_Toc29249 </w:instrText>
          </w:r>
          <w:r>
            <w:rPr>
              <w:rFonts w:hint="default" w:ascii="Times New Roman" w:hAnsi="Times New Roman" w:cs="Times New Roman"/>
              <w:bCs/>
              <w:lang w:val="zh-CN"/>
            </w:rPr>
            <w:fldChar w:fldCharType="separate"/>
          </w:r>
          <w:r>
            <w:rPr>
              <w:rFonts w:hint="default" w:ascii="Times New Roman" w:hAnsi="Times New Roman" w:cs="Times New Roman"/>
            </w:rPr>
            <w:t>5. 环境质量现状评价</w:t>
          </w:r>
          <w:r>
            <w:tab/>
          </w:r>
          <w:r>
            <w:fldChar w:fldCharType="begin"/>
          </w:r>
          <w:r>
            <w:instrText xml:space="preserve"> PAGEREF _Toc29249 \h </w:instrText>
          </w:r>
          <w:r>
            <w:fldChar w:fldCharType="separate"/>
          </w:r>
          <w:r>
            <w:t>156</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_Toc10459 </w:instrText>
          </w:r>
          <w:r>
            <w:rPr>
              <w:rFonts w:hint="default" w:ascii="Times New Roman" w:hAnsi="Times New Roman" w:cs="Times New Roman"/>
              <w:bCs/>
              <w:lang w:val="zh-CN"/>
            </w:rPr>
            <w:fldChar w:fldCharType="separate"/>
          </w:r>
          <w:r>
            <w:rPr>
              <w:rFonts w:hint="default" w:ascii="Times New Roman" w:hAnsi="Times New Roman" w:cs="Times New Roman"/>
            </w:rPr>
            <w:t>5.1. 环境空气质量现状与评价</w:t>
          </w:r>
          <w:r>
            <w:tab/>
          </w:r>
          <w:r>
            <w:fldChar w:fldCharType="begin"/>
          </w:r>
          <w:r>
            <w:instrText xml:space="preserve"> PAGEREF _Toc10459 \h </w:instrText>
          </w:r>
          <w:r>
            <w:fldChar w:fldCharType="separate"/>
          </w:r>
          <w:r>
            <w:t>156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_Toc25562 </w:instrText>
          </w:r>
          <w:r>
            <w:rPr>
              <w:rFonts w:hint="default" w:ascii="Times New Roman" w:hAnsi="Times New Roman" w:cs="Times New Roman"/>
              <w:bCs/>
              <w:lang w:val="zh-CN"/>
            </w:rPr>
            <w:fldChar w:fldCharType="separate"/>
          </w:r>
          <w:r>
            <w:rPr>
              <w:rFonts w:hint="default" w:ascii="Times New Roman" w:hAnsi="Times New Roman" w:cs="Times New Roman"/>
            </w:rPr>
            <w:t>5.1.1. 项目区域环境空气质量现状</w:t>
          </w:r>
          <w:r>
            <w:tab/>
          </w:r>
          <w:r>
            <w:fldChar w:fldCharType="begin"/>
          </w:r>
          <w:r>
            <w:instrText xml:space="preserve"> PAGEREF _Toc25562 \h </w:instrText>
          </w:r>
          <w:r>
            <w:fldChar w:fldCharType="separate"/>
          </w:r>
          <w:r>
            <w:t>156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_Toc1965 </w:instrText>
          </w:r>
          <w:r>
            <w:rPr>
              <w:rFonts w:hint="default" w:ascii="Times New Roman" w:hAnsi="Times New Roman" w:cs="Times New Roman"/>
              <w:bCs/>
              <w:lang w:val="zh-CN"/>
            </w:rPr>
            <w:fldChar w:fldCharType="separate"/>
          </w:r>
          <w:r>
            <w:rPr>
              <w:rFonts w:hint="default" w:ascii="Times New Roman" w:hAnsi="Times New Roman" w:cs="Times New Roman"/>
            </w:rPr>
            <w:t>5.1.2. 项目特征污染物环境空气质量现状</w:t>
          </w:r>
          <w:r>
            <w:tab/>
          </w:r>
          <w:r>
            <w:fldChar w:fldCharType="begin"/>
          </w:r>
          <w:r>
            <w:instrText xml:space="preserve"> PAGEREF _Toc1965 \h </w:instrText>
          </w:r>
          <w:r>
            <w:fldChar w:fldCharType="separate"/>
          </w:r>
          <w:r>
            <w:t>156</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_Toc2609 </w:instrText>
          </w:r>
          <w:r>
            <w:rPr>
              <w:rFonts w:hint="default" w:ascii="Times New Roman" w:hAnsi="Times New Roman" w:cs="Times New Roman"/>
              <w:bCs/>
              <w:lang w:val="zh-CN"/>
            </w:rPr>
            <w:fldChar w:fldCharType="separate"/>
          </w:r>
          <w:r>
            <w:rPr>
              <w:rFonts w:hint="default" w:ascii="Times New Roman" w:hAnsi="Times New Roman" w:cs="Times New Roman"/>
            </w:rPr>
            <w:t>5.2. 地表水环境质量现状与评价</w:t>
          </w:r>
          <w:r>
            <w:tab/>
          </w:r>
          <w:r>
            <w:fldChar w:fldCharType="begin"/>
          </w:r>
          <w:r>
            <w:instrText xml:space="preserve"> PAGEREF _Toc2609 \h </w:instrText>
          </w:r>
          <w:r>
            <w:fldChar w:fldCharType="separate"/>
          </w:r>
          <w:r>
            <w:t>156</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_Toc13145 </w:instrText>
          </w:r>
          <w:r>
            <w:rPr>
              <w:rFonts w:hint="default" w:ascii="Times New Roman" w:hAnsi="Times New Roman" w:cs="Times New Roman"/>
              <w:bCs/>
              <w:lang w:val="zh-CN"/>
            </w:rPr>
            <w:fldChar w:fldCharType="separate"/>
          </w:r>
          <w:r>
            <w:rPr>
              <w:rFonts w:hint="default" w:ascii="Times New Roman" w:hAnsi="Times New Roman" w:cs="Times New Roman"/>
            </w:rPr>
            <w:t>5.3. 声环境质量现状与评价</w:t>
          </w:r>
          <w:r>
            <w:tab/>
          </w:r>
          <w:r>
            <w:fldChar w:fldCharType="begin"/>
          </w:r>
          <w:r>
            <w:instrText xml:space="preserve"> PAGEREF _Toc13145 \h </w:instrText>
          </w:r>
          <w:r>
            <w:fldChar w:fldCharType="separate"/>
          </w:r>
          <w:r>
            <w:t>157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_Toc17738 </w:instrText>
          </w:r>
          <w:r>
            <w:rPr>
              <w:rFonts w:hint="default" w:ascii="Times New Roman" w:hAnsi="Times New Roman" w:cs="Times New Roman"/>
              <w:bCs/>
              <w:lang w:val="zh-CN"/>
            </w:rPr>
            <w:fldChar w:fldCharType="separate"/>
          </w:r>
          <w:r>
            <w:rPr>
              <w:rFonts w:hint="default" w:ascii="Times New Roman" w:hAnsi="Times New Roman" w:cs="Times New Roman"/>
            </w:rPr>
            <w:t>5.4. 地下水环境质量现状与评价</w:t>
          </w:r>
          <w:r>
            <w:tab/>
          </w:r>
          <w:r>
            <w:fldChar w:fldCharType="begin"/>
          </w:r>
          <w:r>
            <w:instrText xml:space="preserve"> PAGEREF _Toc17738 \h </w:instrText>
          </w:r>
          <w:r>
            <w:fldChar w:fldCharType="separate"/>
          </w:r>
          <w:r>
            <w:t>157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_Toc25083 </w:instrText>
          </w:r>
          <w:r>
            <w:rPr>
              <w:rFonts w:hint="default" w:ascii="Times New Roman" w:hAnsi="Times New Roman" w:cs="Times New Roman"/>
              <w:bCs/>
              <w:lang w:val="zh-CN"/>
            </w:rPr>
            <w:fldChar w:fldCharType="separate"/>
          </w:r>
          <w:r>
            <w:rPr>
              <w:rFonts w:hint="default" w:ascii="Times New Roman" w:hAnsi="Times New Roman" w:cs="Times New Roman"/>
            </w:rPr>
            <w:t>5.5. 生态环境质量现状</w:t>
          </w:r>
          <w:r>
            <w:tab/>
          </w:r>
          <w:r>
            <w:fldChar w:fldCharType="begin"/>
          </w:r>
          <w:r>
            <w:instrText xml:space="preserve"> PAGEREF _Toc25083 \h </w:instrText>
          </w:r>
          <w:r>
            <w:fldChar w:fldCharType="separate"/>
          </w:r>
          <w:r>
            <w:t>157</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_Toc15198 </w:instrText>
          </w:r>
          <w:r>
            <w:rPr>
              <w:rFonts w:hint="default" w:ascii="Times New Roman" w:hAnsi="Times New Roman" w:cs="Times New Roman"/>
              <w:bCs/>
              <w:lang w:val="zh-CN"/>
            </w:rPr>
            <w:fldChar w:fldCharType="separate"/>
          </w:r>
          <w:r>
            <w:rPr>
              <w:rFonts w:hint="default" w:ascii="Times New Roman" w:hAnsi="Times New Roman" w:cs="Times New Roman"/>
            </w:rPr>
            <w:t>6. 环境影响分析</w:t>
          </w:r>
          <w:r>
            <w:tab/>
          </w:r>
          <w:r>
            <w:fldChar w:fldCharType="begin"/>
          </w:r>
          <w:r>
            <w:instrText xml:space="preserve"> PAGEREF _Toc15198 \h </w:instrText>
          </w:r>
          <w:r>
            <w:fldChar w:fldCharType="separate"/>
          </w:r>
          <w:r>
            <w:t>158</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_Toc27587 </w:instrText>
          </w:r>
          <w:r>
            <w:rPr>
              <w:rFonts w:hint="default" w:ascii="Times New Roman" w:hAnsi="Times New Roman" w:cs="Times New Roman"/>
              <w:bCs/>
              <w:lang w:val="zh-CN"/>
            </w:rPr>
            <w:fldChar w:fldCharType="separate"/>
          </w:r>
          <w:r>
            <w:rPr>
              <w:rFonts w:hint="default" w:ascii="Times New Roman" w:hAnsi="Times New Roman" w:cs="Times New Roman"/>
            </w:rPr>
            <w:t>6.1. 施工期环境影响分析</w:t>
          </w:r>
          <w:r>
            <w:tab/>
          </w:r>
          <w:r>
            <w:fldChar w:fldCharType="begin"/>
          </w:r>
          <w:r>
            <w:instrText xml:space="preserve"> PAGEREF _Toc27587 \h </w:instrText>
          </w:r>
          <w:r>
            <w:fldChar w:fldCharType="separate"/>
          </w:r>
          <w:r>
            <w:t>158</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_Toc1048 </w:instrText>
          </w:r>
          <w:r>
            <w:rPr>
              <w:rFonts w:hint="default" w:ascii="Times New Roman" w:hAnsi="Times New Roman" w:cs="Times New Roman"/>
              <w:bCs/>
              <w:lang w:val="zh-CN"/>
            </w:rPr>
            <w:fldChar w:fldCharType="separate"/>
          </w:r>
          <w:r>
            <w:rPr>
              <w:rFonts w:hint="default" w:ascii="Times New Roman" w:hAnsi="Times New Roman" w:cs="Times New Roman"/>
            </w:rPr>
            <w:t>6.1.1. 施工期大气环境影响分析</w:t>
          </w:r>
          <w:r>
            <w:tab/>
          </w:r>
          <w:r>
            <w:fldChar w:fldCharType="begin"/>
          </w:r>
          <w:r>
            <w:instrText xml:space="preserve"> PAGEREF _Toc1048 \h </w:instrText>
          </w:r>
          <w:r>
            <w:fldChar w:fldCharType="separate"/>
          </w:r>
          <w:r>
            <w:t>158</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_Toc24823 </w:instrText>
          </w:r>
          <w:r>
            <w:rPr>
              <w:rFonts w:hint="default" w:ascii="Times New Roman" w:hAnsi="Times New Roman" w:cs="Times New Roman"/>
              <w:bCs/>
              <w:lang w:val="zh-CN"/>
            </w:rPr>
            <w:fldChar w:fldCharType="separate"/>
          </w:r>
          <w:r>
            <w:rPr>
              <w:rFonts w:hint="default" w:ascii="Times New Roman" w:hAnsi="Times New Roman" w:cs="Times New Roman"/>
            </w:rPr>
            <w:t>6.1.2. 施工期地表水环境影响分析</w:t>
          </w:r>
          <w:r>
            <w:tab/>
          </w:r>
          <w:r>
            <w:fldChar w:fldCharType="begin"/>
          </w:r>
          <w:r>
            <w:instrText xml:space="preserve"> PAGEREF _Toc24823 \h </w:instrText>
          </w:r>
          <w:r>
            <w:fldChar w:fldCharType="separate"/>
          </w:r>
          <w:r>
            <w:t>161</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_Toc12655 </w:instrText>
          </w:r>
          <w:r>
            <w:rPr>
              <w:rFonts w:hint="default" w:ascii="Times New Roman" w:hAnsi="Times New Roman" w:cs="Times New Roman"/>
              <w:bCs/>
              <w:lang w:val="zh-CN"/>
            </w:rPr>
            <w:fldChar w:fldCharType="separate"/>
          </w:r>
          <w:r>
            <w:rPr>
              <w:rFonts w:hint="default" w:ascii="Times New Roman" w:hAnsi="Times New Roman" w:cs="Times New Roman"/>
            </w:rPr>
            <w:t>6.1.3. 施工期声环境影响分析</w:t>
          </w:r>
          <w:r>
            <w:tab/>
          </w:r>
          <w:r>
            <w:fldChar w:fldCharType="begin"/>
          </w:r>
          <w:r>
            <w:instrText xml:space="preserve"> PAGEREF _Toc12655 \h </w:instrText>
          </w:r>
          <w:r>
            <w:fldChar w:fldCharType="separate"/>
          </w:r>
          <w:r>
            <w:t>161</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_Toc16569 </w:instrText>
          </w:r>
          <w:r>
            <w:rPr>
              <w:rFonts w:hint="default" w:ascii="Times New Roman" w:hAnsi="Times New Roman" w:cs="Times New Roman"/>
              <w:bCs/>
              <w:lang w:val="zh-CN"/>
            </w:rPr>
            <w:fldChar w:fldCharType="separate"/>
          </w:r>
          <w:r>
            <w:rPr>
              <w:rFonts w:hint="default" w:ascii="Times New Roman" w:hAnsi="Times New Roman" w:cs="Times New Roman"/>
            </w:rPr>
            <w:t>6.1.4. 施工期固体废物的影响分析</w:t>
          </w:r>
          <w:r>
            <w:tab/>
          </w:r>
          <w:r>
            <w:fldChar w:fldCharType="begin"/>
          </w:r>
          <w:r>
            <w:instrText xml:space="preserve"> PAGEREF _Toc16569 \h </w:instrText>
          </w:r>
          <w:r>
            <w:fldChar w:fldCharType="separate"/>
          </w:r>
          <w:r>
            <w:t>164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_Toc12023 </w:instrText>
          </w:r>
          <w:r>
            <w:rPr>
              <w:rFonts w:hint="default" w:ascii="Times New Roman" w:hAnsi="Times New Roman" w:cs="Times New Roman"/>
              <w:bCs/>
              <w:lang w:val="zh-CN"/>
            </w:rPr>
            <w:fldChar w:fldCharType="separate"/>
          </w:r>
          <w:r>
            <w:rPr>
              <w:rFonts w:hint="default" w:ascii="Times New Roman" w:hAnsi="Times New Roman" w:cs="Times New Roman"/>
            </w:rPr>
            <w:t>6.1.5. 施工期生态环境影响分析</w:t>
          </w:r>
          <w:r>
            <w:tab/>
          </w:r>
          <w:r>
            <w:fldChar w:fldCharType="begin"/>
          </w:r>
          <w:r>
            <w:instrText xml:space="preserve"> PAGEREF _Toc12023 \h </w:instrText>
          </w:r>
          <w:r>
            <w:fldChar w:fldCharType="separate"/>
          </w:r>
          <w:r>
            <w:t>165</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_Toc30046 </w:instrText>
          </w:r>
          <w:r>
            <w:rPr>
              <w:rFonts w:hint="default" w:ascii="Times New Roman" w:hAnsi="Times New Roman" w:cs="Times New Roman"/>
              <w:bCs/>
              <w:lang w:val="zh-CN"/>
            </w:rPr>
            <w:fldChar w:fldCharType="separate"/>
          </w:r>
          <w:r>
            <w:rPr>
              <w:rFonts w:hint="default" w:ascii="Times New Roman" w:hAnsi="Times New Roman" w:cs="Times New Roman"/>
            </w:rPr>
            <w:t>6.2. 营运期环境影响分析</w:t>
          </w:r>
          <w:r>
            <w:tab/>
          </w:r>
          <w:r>
            <w:fldChar w:fldCharType="begin"/>
          </w:r>
          <w:r>
            <w:instrText xml:space="preserve"> PAGEREF _Toc30046 \h </w:instrText>
          </w:r>
          <w:r>
            <w:fldChar w:fldCharType="separate"/>
          </w:r>
          <w:r>
            <w:t>166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_Toc32375 </w:instrText>
          </w:r>
          <w:r>
            <w:rPr>
              <w:rFonts w:hint="default" w:ascii="Times New Roman" w:hAnsi="Times New Roman" w:cs="Times New Roman"/>
              <w:bCs/>
              <w:lang w:val="zh-CN"/>
            </w:rPr>
            <w:fldChar w:fldCharType="separate"/>
          </w:r>
          <w:r>
            <w:rPr>
              <w:rFonts w:hint="default" w:ascii="Times New Roman" w:hAnsi="Times New Roman" w:cs="Times New Roman"/>
            </w:rPr>
            <w:t>6.2.1. 运营期大气环境影响分析</w:t>
          </w:r>
          <w:r>
            <w:tab/>
          </w:r>
          <w:r>
            <w:fldChar w:fldCharType="begin"/>
          </w:r>
          <w:r>
            <w:instrText xml:space="preserve"> PAGEREF _Toc32375 \h </w:instrText>
          </w:r>
          <w:r>
            <w:fldChar w:fldCharType="separate"/>
          </w:r>
          <w:r>
            <w:t>166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_Toc24365 </w:instrText>
          </w:r>
          <w:r>
            <w:rPr>
              <w:rFonts w:hint="default" w:ascii="Times New Roman" w:hAnsi="Times New Roman" w:cs="Times New Roman"/>
              <w:bCs/>
              <w:lang w:val="zh-CN"/>
            </w:rPr>
            <w:fldChar w:fldCharType="separate"/>
          </w:r>
          <w:r>
            <w:rPr>
              <w:rFonts w:hint="default" w:ascii="Times New Roman" w:hAnsi="Times New Roman" w:cs="Times New Roman"/>
            </w:rPr>
            <w:t>6.2.2. 运营期地表水环境影响分析</w:t>
          </w:r>
          <w:r>
            <w:tab/>
          </w:r>
          <w:r>
            <w:fldChar w:fldCharType="begin"/>
          </w:r>
          <w:r>
            <w:instrText xml:space="preserve"> PAGEREF _Toc24365 \h </w:instrText>
          </w:r>
          <w:r>
            <w:fldChar w:fldCharType="separate"/>
          </w:r>
          <w:r>
            <w:t>166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_Toc22070 </w:instrText>
          </w:r>
          <w:r>
            <w:rPr>
              <w:rFonts w:hint="default" w:ascii="Times New Roman" w:hAnsi="Times New Roman" w:cs="Times New Roman"/>
              <w:bCs/>
              <w:lang w:val="zh-CN"/>
            </w:rPr>
            <w:fldChar w:fldCharType="separate"/>
          </w:r>
          <w:r>
            <w:rPr>
              <w:rFonts w:hint="default" w:ascii="Times New Roman" w:hAnsi="Times New Roman" w:cs="Times New Roman"/>
            </w:rPr>
            <w:t>6.2.3. 运营期声环境影响分析</w:t>
          </w:r>
          <w:r>
            <w:tab/>
          </w:r>
          <w:r>
            <w:fldChar w:fldCharType="begin"/>
          </w:r>
          <w:r>
            <w:instrText xml:space="preserve"> PAGEREF _Toc22070 \h </w:instrText>
          </w:r>
          <w:r>
            <w:fldChar w:fldCharType="separate"/>
          </w:r>
          <w:r>
            <w:t>166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_Toc15882 </w:instrText>
          </w:r>
          <w:r>
            <w:rPr>
              <w:rFonts w:hint="default" w:ascii="Times New Roman" w:hAnsi="Times New Roman" w:cs="Times New Roman"/>
              <w:bCs/>
              <w:lang w:val="zh-CN"/>
            </w:rPr>
            <w:fldChar w:fldCharType="separate"/>
          </w:r>
          <w:r>
            <w:rPr>
              <w:rFonts w:hint="default" w:ascii="Times New Roman" w:hAnsi="Times New Roman" w:cs="Times New Roman"/>
            </w:rPr>
            <w:t>6.2.4. 运营期固体废物环境影响分析</w:t>
          </w:r>
          <w:r>
            <w:tab/>
          </w:r>
          <w:r>
            <w:fldChar w:fldCharType="begin"/>
          </w:r>
          <w:r>
            <w:instrText xml:space="preserve"> PAGEREF _Toc15882 \h </w:instrText>
          </w:r>
          <w:r>
            <w:fldChar w:fldCharType="separate"/>
          </w:r>
          <w:r>
            <w:t>166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_Toc5748 </w:instrText>
          </w:r>
          <w:r>
            <w:rPr>
              <w:rFonts w:hint="default" w:ascii="Times New Roman" w:hAnsi="Times New Roman" w:cs="Times New Roman"/>
              <w:bCs/>
              <w:lang w:val="zh-CN"/>
            </w:rPr>
            <w:fldChar w:fldCharType="separate"/>
          </w:r>
          <w:r>
            <w:rPr>
              <w:rFonts w:hint="default" w:ascii="Times New Roman" w:hAnsi="Times New Roman" w:cs="Times New Roman"/>
            </w:rPr>
            <w:t>6.2.5. 运营期地下水环境影响分析</w:t>
          </w:r>
          <w:r>
            <w:tab/>
          </w:r>
          <w:r>
            <w:fldChar w:fldCharType="begin"/>
          </w:r>
          <w:r>
            <w:instrText xml:space="preserve"> PAGEREF _Toc5748 \h </w:instrText>
          </w:r>
          <w:r>
            <w:fldChar w:fldCharType="separate"/>
          </w:r>
          <w:r>
            <w:t>166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_Toc14706 </w:instrText>
          </w:r>
          <w:r>
            <w:rPr>
              <w:rFonts w:hint="default" w:ascii="Times New Roman" w:hAnsi="Times New Roman" w:cs="Times New Roman"/>
              <w:bCs/>
              <w:lang w:val="zh-CN"/>
            </w:rPr>
            <w:fldChar w:fldCharType="separate"/>
          </w:r>
          <w:r>
            <w:rPr>
              <w:rFonts w:hint="default" w:ascii="Times New Roman" w:hAnsi="Times New Roman" w:cs="Times New Roman"/>
            </w:rPr>
            <w:t>6.2.6. 土壤环境影响分析</w:t>
          </w:r>
          <w:r>
            <w:tab/>
          </w:r>
          <w:r>
            <w:fldChar w:fldCharType="begin"/>
          </w:r>
          <w:r>
            <w:instrText xml:space="preserve"> PAGEREF _Toc14706 \h </w:instrText>
          </w:r>
          <w:r>
            <w:fldChar w:fldCharType="separate"/>
          </w:r>
          <w:r>
            <w:t>166</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_Toc30705 </w:instrText>
          </w:r>
          <w:r>
            <w:rPr>
              <w:rFonts w:hint="default" w:ascii="Times New Roman" w:hAnsi="Times New Roman" w:cs="Times New Roman"/>
              <w:bCs/>
              <w:lang w:val="zh-CN"/>
            </w:rPr>
            <w:fldChar w:fldCharType="separate"/>
          </w:r>
          <w:r>
            <w:rPr>
              <w:rFonts w:hint="default" w:ascii="Times New Roman" w:hAnsi="Times New Roman" w:cs="Times New Roman"/>
            </w:rPr>
            <w:t>7. 环境风险分析</w:t>
          </w:r>
          <w:r>
            <w:tab/>
          </w:r>
          <w:r>
            <w:fldChar w:fldCharType="begin"/>
          </w:r>
          <w:r>
            <w:instrText xml:space="preserve"> PAGEREF _Toc30705 \h </w:instrText>
          </w:r>
          <w:r>
            <w:fldChar w:fldCharType="separate"/>
          </w:r>
          <w:r>
            <w:t>167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_Toc381 </w:instrText>
          </w:r>
          <w:r>
            <w:rPr>
              <w:rFonts w:hint="default" w:ascii="Times New Roman" w:hAnsi="Times New Roman" w:cs="Times New Roman"/>
              <w:bCs/>
              <w:lang w:val="zh-CN"/>
            </w:rPr>
            <w:fldChar w:fldCharType="separate"/>
          </w:r>
          <w:r>
            <w:rPr>
              <w:rFonts w:hint="default" w:ascii="Times New Roman" w:hAnsi="Times New Roman" w:cs="Times New Roman"/>
            </w:rPr>
            <w:t>7.1. 环境风险评价目的</w:t>
          </w:r>
          <w:r>
            <w:tab/>
          </w:r>
          <w:r>
            <w:fldChar w:fldCharType="begin"/>
          </w:r>
          <w:r>
            <w:instrText xml:space="preserve"> PAGEREF _Toc381 \h </w:instrText>
          </w:r>
          <w:r>
            <w:fldChar w:fldCharType="separate"/>
          </w:r>
          <w:r>
            <w:t>167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_Toc9073 </w:instrText>
          </w:r>
          <w:r>
            <w:rPr>
              <w:rFonts w:hint="default" w:ascii="Times New Roman" w:hAnsi="Times New Roman" w:cs="Times New Roman"/>
              <w:bCs/>
              <w:lang w:val="zh-CN"/>
            </w:rPr>
            <w:fldChar w:fldCharType="separate"/>
          </w:r>
          <w:r>
            <w:rPr>
              <w:rFonts w:hint="default" w:ascii="Times New Roman" w:hAnsi="Times New Roman" w:cs="Times New Roman"/>
            </w:rPr>
            <w:t>7.2. 环境风险评价依据</w:t>
          </w:r>
          <w:r>
            <w:tab/>
          </w:r>
          <w:r>
            <w:fldChar w:fldCharType="begin"/>
          </w:r>
          <w:r>
            <w:instrText xml:space="preserve"> PAGEREF _Toc9073 \h </w:instrText>
          </w:r>
          <w:r>
            <w:fldChar w:fldCharType="separate"/>
          </w:r>
          <w:r>
            <w:t>167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_Toc6331 </w:instrText>
          </w:r>
          <w:r>
            <w:rPr>
              <w:rFonts w:hint="default" w:ascii="Times New Roman" w:hAnsi="Times New Roman" w:cs="Times New Roman"/>
              <w:bCs/>
              <w:lang w:val="zh-CN"/>
            </w:rPr>
            <w:fldChar w:fldCharType="separate"/>
          </w:r>
          <w:r>
            <w:rPr>
              <w:rFonts w:hint="default" w:ascii="Times New Roman" w:hAnsi="Times New Roman" w:cs="Times New Roman"/>
            </w:rPr>
            <w:t>7.2.1. 风险物质识别</w:t>
          </w:r>
          <w:r>
            <w:tab/>
          </w:r>
          <w:r>
            <w:fldChar w:fldCharType="begin"/>
          </w:r>
          <w:r>
            <w:instrText xml:space="preserve"> PAGEREF _Toc6331 \h </w:instrText>
          </w:r>
          <w:r>
            <w:fldChar w:fldCharType="separate"/>
          </w:r>
          <w:r>
            <w:t>167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_Toc8861 </w:instrText>
          </w:r>
          <w:r>
            <w:rPr>
              <w:rFonts w:hint="default" w:ascii="Times New Roman" w:hAnsi="Times New Roman" w:cs="Times New Roman"/>
              <w:bCs/>
              <w:lang w:val="zh-CN"/>
            </w:rPr>
            <w:fldChar w:fldCharType="separate"/>
          </w:r>
          <w:r>
            <w:rPr>
              <w:rFonts w:hint="default" w:ascii="Times New Roman" w:hAnsi="Times New Roman" w:cs="Times New Roman"/>
            </w:rPr>
            <w:t>7.2.2. 风险潜势初判</w:t>
          </w:r>
          <w:r>
            <w:tab/>
          </w:r>
          <w:r>
            <w:fldChar w:fldCharType="begin"/>
          </w:r>
          <w:r>
            <w:instrText xml:space="preserve"> PAGEREF _Toc8861 \h </w:instrText>
          </w:r>
          <w:r>
            <w:fldChar w:fldCharType="separate"/>
          </w:r>
          <w:r>
            <w:t>167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_Toc5669 </w:instrText>
          </w:r>
          <w:r>
            <w:rPr>
              <w:rFonts w:hint="default" w:ascii="Times New Roman" w:hAnsi="Times New Roman" w:cs="Times New Roman"/>
              <w:bCs/>
              <w:lang w:val="zh-CN"/>
            </w:rPr>
            <w:fldChar w:fldCharType="separate"/>
          </w:r>
          <w:r>
            <w:rPr>
              <w:rFonts w:hint="default" w:ascii="Times New Roman" w:hAnsi="Times New Roman" w:cs="Times New Roman"/>
            </w:rPr>
            <w:t>7.3. 环境风险识别</w:t>
          </w:r>
          <w:r>
            <w:tab/>
          </w:r>
          <w:r>
            <w:fldChar w:fldCharType="begin"/>
          </w:r>
          <w:r>
            <w:instrText xml:space="preserve"> PAGEREF _Toc5669 \h </w:instrText>
          </w:r>
          <w:r>
            <w:fldChar w:fldCharType="separate"/>
          </w:r>
          <w:r>
            <w:t>169</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_Toc23732 </w:instrText>
          </w:r>
          <w:r>
            <w:rPr>
              <w:rFonts w:hint="default" w:ascii="Times New Roman" w:hAnsi="Times New Roman" w:cs="Times New Roman"/>
              <w:bCs/>
              <w:lang w:val="zh-CN"/>
            </w:rPr>
            <w:fldChar w:fldCharType="separate"/>
          </w:r>
          <w:r>
            <w:rPr>
              <w:rFonts w:hint="default" w:ascii="Times New Roman" w:hAnsi="Times New Roman" w:cs="Times New Roman"/>
            </w:rPr>
            <w:t>7.3.1. 物质风险性识别</w:t>
          </w:r>
          <w:r>
            <w:tab/>
          </w:r>
          <w:r>
            <w:fldChar w:fldCharType="begin"/>
          </w:r>
          <w:r>
            <w:instrText xml:space="preserve"> PAGEREF _Toc23732 \h </w:instrText>
          </w:r>
          <w:r>
            <w:fldChar w:fldCharType="separate"/>
          </w:r>
          <w:r>
            <w:t>169</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_Toc26496 </w:instrText>
          </w:r>
          <w:r>
            <w:rPr>
              <w:rFonts w:hint="default" w:ascii="Times New Roman" w:hAnsi="Times New Roman" w:cs="Times New Roman"/>
              <w:bCs/>
              <w:lang w:val="zh-CN"/>
            </w:rPr>
            <w:fldChar w:fldCharType="separate"/>
          </w:r>
          <w:r>
            <w:rPr>
              <w:rFonts w:hint="default" w:ascii="Times New Roman" w:hAnsi="Times New Roman" w:cs="Times New Roman"/>
            </w:rPr>
            <w:t>7.3.2. 生产系统风险性识别</w:t>
          </w:r>
          <w:r>
            <w:tab/>
          </w:r>
          <w:r>
            <w:fldChar w:fldCharType="begin"/>
          </w:r>
          <w:r>
            <w:instrText xml:space="preserve"> PAGEREF _Toc26496 \h </w:instrText>
          </w:r>
          <w:r>
            <w:fldChar w:fldCharType="separate"/>
          </w:r>
          <w:r>
            <w:t>170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_Toc9697 </w:instrText>
          </w:r>
          <w:r>
            <w:rPr>
              <w:rFonts w:hint="default" w:ascii="Times New Roman" w:hAnsi="Times New Roman" w:cs="Times New Roman"/>
              <w:bCs/>
              <w:lang w:val="zh-CN"/>
            </w:rPr>
            <w:fldChar w:fldCharType="separate"/>
          </w:r>
          <w:r>
            <w:rPr>
              <w:rFonts w:hint="default" w:ascii="Times New Roman" w:hAnsi="Times New Roman" w:cs="Times New Roman"/>
            </w:rPr>
            <w:t>7.3.3. 环境风险事故类型</w:t>
          </w:r>
          <w:r>
            <w:tab/>
          </w:r>
          <w:r>
            <w:fldChar w:fldCharType="begin"/>
          </w:r>
          <w:r>
            <w:instrText xml:space="preserve"> PAGEREF _Toc9697 \h </w:instrText>
          </w:r>
          <w:r>
            <w:fldChar w:fldCharType="separate"/>
          </w:r>
          <w:r>
            <w:t>170</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_Toc8159 </w:instrText>
          </w:r>
          <w:r>
            <w:rPr>
              <w:rFonts w:hint="default" w:ascii="Times New Roman" w:hAnsi="Times New Roman" w:cs="Times New Roman"/>
              <w:bCs/>
              <w:lang w:val="zh-CN"/>
            </w:rPr>
            <w:fldChar w:fldCharType="separate"/>
          </w:r>
          <w:r>
            <w:rPr>
              <w:rFonts w:hint="default" w:ascii="Times New Roman" w:hAnsi="Times New Roman" w:cs="Times New Roman"/>
            </w:rPr>
            <w:t>7.4. 环境风险敏感目标</w:t>
          </w:r>
          <w:r>
            <w:tab/>
          </w:r>
          <w:r>
            <w:fldChar w:fldCharType="begin"/>
          </w:r>
          <w:r>
            <w:instrText xml:space="preserve"> PAGEREF _Toc8159 \h </w:instrText>
          </w:r>
          <w:r>
            <w:fldChar w:fldCharType="separate"/>
          </w:r>
          <w:r>
            <w:t>171</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_Toc24120 </w:instrText>
          </w:r>
          <w:r>
            <w:rPr>
              <w:rFonts w:hint="default" w:ascii="Times New Roman" w:hAnsi="Times New Roman" w:cs="Times New Roman"/>
              <w:bCs/>
              <w:lang w:val="zh-CN"/>
            </w:rPr>
            <w:fldChar w:fldCharType="separate"/>
          </w:r>
          <w:r>
            <w:rPr>
              <w:rFonts w:hint="default" w:ascii="Times New Roman" w:hAnsi="Times New Roman" w:cs="Times New Roman"/>
            </w:rPr>
            <w:t>7.5. 环境影响途径</w:t>
          </w:r>
          <w:r>
            <w:tab/>
          </w:r>
          <w:r>
            <w:fldChar w:fldCharType="begin"/>
          </w:r>
          <w:r>
            <w:instrText xml:space="preserve"> PAGEREF _Toc24120 \h </w:instrText>
          </w:r>
          <w:r>
            <w:fldChar w:fldCharType="separate"/>
          </w:r>
          <w:r>
            <w:t>171</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_Toc31524 </w:instrText>
          </w:r>
          <w:r>
            <w:rPr>
              <w:rFonts w:hint="default" w:ascii="Times New Roman" w:hAnsi="Times New Roman" w:cs="Times New Roman"/>
              <w:bCs/>
              <w:lang w:val="zh-CN"/>
            </w:rPr>
            <w:fldChar w:fldCharType="separate"/>
          </w:r>
          <w:r>
            <w:rPr>
              <w:rFonts w:hint="default" w:ascii="Times New Roman" w:hAnsi="Times New Roman" w:cs="Times New Roman"/>
            </w:rPr>
            <w:t>7.6. 环境风险分析</w:t>
          </w:r>
          <w:r>
            <w:tab/>
          </w:r>
          <w:r>
            <w:fldChar w:fldCharType="begin"/>
          </w:r>
          <w:r>
            <w:instrText xml:space="preserve"> PAGEREF _Toc31524 \h </w:instrText>
          </w:r>
          <w:r>
            <w:fldChar w:fldCharType="separate"/>
          </w:r>
          <w:r>
            <w:t>171</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_Toc17831 </w:instrText>
          </w:r>
          <w:r>
            <w:rPr>
              <w:rFonts w:hint="default" w:ascii="Times New Roman" w:hAnsi="Times New Roman" w:cs="Times New Roman"/>
              <w:bCs/>
              <w:lang w:val="zh-CN"/>
            </w:rPr>
            <w:fldChar w:fldCharType="separate"/>
          </w:r>
          <w:r>
            <w:rPr>
              <w:rFonts w:hint="default" w:ascii="Times New Roman" w:hAnsi="Times New Roman" w:cs="Times New Roman"/>
            </w:rPr>
            <w:t>7.7. 环境风险防范措施及应急要求</w:t>
          </w:r>
          <w:r>
            <w:tab/>
          </w:r>
          <w:r>
            <w:fldChar w:fldCharType="begin"/>
          </w:r>
          <w:r>
            <w:instrText xml:space="preserve"> PAGEREF _Toc17831 \h </w:instrText>
          </w:r>
          <w:r>
            <w:fldChar w:fldCharType="separate"/>
          </w:r>
          <w:r>
            <w:t>172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_Toc18105 </w:instrText>
          </w:r>
          <w:r>
            <w:rPr>
              <w:rFonts w:hint="default" w:ascii="Times New Roman" w:hAnsi="Times New Roman" w:cs="Times New Roman"/>
              <w:bCs/>
              <w:lang w:val="zh-CN"/>
            </w:rPr>
            <w:fldChar w:fldCharType="separate"/>
          </w:r>
          <w:r>
            <w:rPr>
              <w:rFonts w:hint="default" w:ascii="Times New Roman" w:hAnsi="Times New Roman" w:cs="Times New Roman"/>
            </w:rPr>
            <w:t>7.7.1. 环境风险防范措施</w:t>
          </w:r>
          <w:r>
            <w:tab/>
          </w:r>
          <w:r>
            <w:fldChar w:fldCharType="begin"/>
          </w:r>
          <w:r>
            <w:instrText xml:space="preserve"> PAGEREF _Toc18105 \h </w:instrText>
          </w:r>
          <w:r>
            <w:fldChar w:fldCharType="separate"/>
          </w:r>
          <w:r>
            <w:t>172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_Toc5214 </w:instrText>
          </w:r>
          <w:r>
            <w:rPr>
              <w:rFonts w:hint="default" w:ascii="Times New Roman" w:hAnsi="Times New Roman" w:cs="Times New Roman"/>
              <w:bCs/>
              <w:lang w:val="zh-CN"/>
            </w:rPr>
            <w:fldChar w:fldCharType="separate"/>
          </w:r>
          <w:r>
            <w:rPr>
              <w:rFonts w:hint="default" w:ascii="Times New Roman" w:hAnsi="Times New Roman" w:cs="Times New Roman"/>
            </w:rPr>
            <w:t>7.7.2. 风险事故应急预案</w:t>
          </w:r>
          <w:r>
            <w:tab/>
          </w:r>
          <w:r>
            <w:fldChar w:fldCharType="begin"/>
          </w:r>
          <w:r>
            <w:instrText xml:space="preserve"> PAGEREF _Toc5214 \h </w:instrText>
          </w:r>
          <w:r>
            <w:fldChar w:fldCharType="separate"/>
          </w:r>
          <w:r>
            <w:t>177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_Toc8404 </w:instrText>
          </w:r>
          <w:r>
            <w:rPr>
              <w:rFonts w:hint="default" w:ascii="Times New Roman" w:hAnsi="Times New Roman" w:cs="Times New Roman"/>
              <w:bCs/>
              <w:lang w:val="zh-CN"/>
            </w:rPr>
            <w:fldChar w:fldCharType="separate"/>
          </w:r>
          <w:r>
            <w:rPr>
              <w:rFonts w:hint="default" w:ascii="Times New Roman" w:hAnsi="Times New Roman" w:cs="Times New Roman"/>
            </w:rPr>
            <w:t>7.7.3. 重污染天气应急预案</w:t>
          </w:r>
          <w:r>
            <w:tab/>
          </w:r>
          <w:r>
            <w:fldChar w:fldCharType="begin"/>
          </w:r>
          <w:r>
            <w:instrText xml:space="preserve"> PAGEREF _Toc8404 \h </w:instrText>
          </w:r>
          <w:r>
            <w:fldChar w:fldCharType="separate"/>
          </w:r>
          <w:r>
            <w:t>180</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_Toc9076 </w:instrText>
          </w:r>
          <w:r>
            <w:rPr>
              <w:rFonts w:hint="default" w:ascii="Times New Roman" w:hAnsi="Times New Roman" w:cs="Times New Roman"/>
              <w:bCs/>
              <w:lang w:val="zh-CN"/>
            </w:rPr>
            <w:fldChar w:fldCharType="separate"/>
          </w:r>
          <w:r>
            <w:rPr>
              <w:rFonts w:hint="default" w:ascii="Times New Roman" w:hAnsi="Times New Roman" w:cs="Times New Roman"/>
            </w:rPr>
            <w:t>7.8. 风险事故投资</w:t>
          </w:r>
          <w:r>
            <w:tab/>
          </w:r>
          <w:r>
            <w:fldChar w:fldCharType="begin"/>
          </w:r>
          <w:r>
            <w:instrText xml:space="preserve"> PAGEREF _Toc9076 \h </w:instrText>
          </w:r>
          <w:r>
            <w:fldChar w:fldCharType="separate"/>
          </w:r>
          <w:r>
            <w:t>183</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_Toc19196 </w:instrText>
          </w:r>
          <w:r>
            <w:rPr>
              <w:rFonts w:hint="default" w:ascii="Times New Roman" w:hAnsi="Times New Roman" w:cs="Times New Roman"/>
              <w:bCs/>
              <w:lang w:val="zh-CN"/>
            </w:rPr>
            <w:fldChar w:fldCharType="separate"/>
          </w:r>
          <w:r>
            <w:rPr>
              <w:rFonts w:hint="default" w:ascii="Times New Roman" w:hAnsi="Times New Roman" w:cs="Times New Roman"/>
            </w:rPr>
            <w:t>7.9. 风险分析结论</w:t>
          </w:r>
          <w:r>
            <w:tab/>
          </w:r>
          <w:r>
            <w:fldChar w:fldCharType="begin"/>
          </w:r>
          <w:r>
            <w:instrText xml:space="preserve"> PAGEREF _Toc19196 \h </w:instrText>
          </w:r>
          <w:r>
            <w:fldChar w:fldCharType="separate"/>
          </w:r>
          <w:r>
            <w:t>183</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_Toc4063 </w:instrText>
          </w:r>
          <w:r>
            <w:rPr>
              <w:rFonts w:hint="default" w:ascii="Times New Roman" w:hAnsi="Times New Roman" w:cs="Times New Roman"/>
              <w:bCs/>
              <w:lang w:val="zh-CN"/>
            </w:rPr>
            <w:fldChar w:fldCharType="separate"/>
          </w:r>
          <w:r>
            <w:rPr>
              <w:rFonts w:hint="default" w:ascii="Times New Roman" w:hAnsi="Times New Roman" w:cs="Times New Roman"/>
            </w:rPr>
            <w:t>8. 污染防治措施及其经济技术论证</w:t>
          </w:r>
          <w:r>
            <w:tab/>
          </w:r>
          <w:r>
            <w:fldChar w:fldCharType="begin"/>
          </w:r>
          <w:r>
            <w:instrText xml:space="preserve"> PAGEREF _Toc4063 \h </w:instrText>
          </w:r>
          <w:r>
            <w:fldChar w:fldCharType="separate"/>
          </w:r>
          <w:r>
            <w:t>185</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_Toc29106 </w:instrText>
          </w:r>
          <w:r>
            <w:rPr>
              <w:rFonts w:hint="default" w:ascii="Times New Roman" w:hAnsi="Times New Roman" w:cs="Times New Roman"/>
              <w:bCs/>
              <w:lang w:val="zh-CN"/>
            </w:rPr>
            <w:fldChar w:fldCharType="separate"/>
          </w:r>
          <w:r>
            <w:rPr>
              <w:rFonts w:hint="default" w:ascii="Times New Roman" w:hAnsi="Times New Roman" w:cs="Times New Roman"/>
            </w:rPr>
            <w:t>8.1. 施工期污染防治措施分析</w:t>
          </w:r>
          <w:r>
            <w:tab/>
          </w:r>
          <w:r>
            <w:fldChar w:fldCharType="begin"/>
          </w:r>
          <w:r>
            <w:instrText xml:space="preserve"> PAGEREF _Toc29106 \h </w:instrText>
          </w:r>
          <w:r>
            <w:fldChar w:fldCharType="separate"/>
          </w:r>
          <w:r>
            <w:t>185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_Toc20980 </w:instrText>
          </w:r>
          <w:r>
            <w:rPr>
              <w:rFonts w:hint="default" w:ascii="Times New Roman" w:hAnsi="Times New Roman" w:cs="Times New Roman"/>
              <w:bCs/>
              <w:lang w:val="zh-CN"/>
            </w:rPr>
            <w:fldChar w:fldCharType="separate"/>
          </w:r>
          <w:r>
            <w:rPr>
              <w:rFonts w:hint="default" w:ascii="Times New Roman" w:hAnsi="Times New Roman" w:cs="Times New Roman"/>
            </w:rPr>
            <w:t>8.1.1. 施工期废气治理措施分析</w:t>
          </w:r>
          <w:r>
            <w:tab/>
          </w:r>
          <w:r>
            <w:fldChar w:fldCharType="begin"/>
          </w:r>
          <w:r>
            <w:instrText xml:space="preserve"> PAGEREF _Toc20980 \h </w:instrText>
          </w:r>
          <w:r>
            <w:fldChar w:fldCharType="separate"/>
          </w:r>
          <w:r>
            <w:t>185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_Toc6762 </w:instrText>
          </w:r>
          <w:r>
            <w:rPr>
              <w:rFonts w:hint="default" w:ascii="Times New Roman" w:hAnsi="Times New Roman" w:cs="Times New Roman"/>
              <w:bCs/>
              <w:lang w:val="zh-CN"/>
            </w:rPr>
            <w:fldChar w:fldCharType="separate"/>
          </w:r>
          <w:r>
            <w:rPr>
              <w:rFonts w:hint="default" w:ascii="Times New Roman" w:hAnsi="Times New Roman" w:cs="Times New Roman"/>
            </w:rPr>
            <w:t>8.1.2. 施工废水污染防治措施</w:t>
          </w:r>
          <w:r>
            <w:tab/>
          </w:r>
          <w:r>
            <w:fldChar w:fldCharType="begin"/>
          </w:r>
          <w:r>
            <w:instrText xml:space="preserve"> PAGEREF _Toc6762 \h </w:instrText>
          </w:r>
          <w:r>
            <w:fldChar w:fldCharType="separate"/>
          </w:r>
          <w:r>
            <w:t>185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_Toc22021 </w:instrText>
          </w:r>
          <w:r>
            <w:rPr>
              <w:rFonts w:hint="default" w:ascii="Times New Roman" w:hAnsi="Times New Roman" w:cs="Times New Roman"/>
              <w:bCs/>
              <w:lang w:val="zh-CN"/>
            </w:rPr>
            <w:fldChar w:fldCharType="separate"/>
          </w:r>
          <w:r>
            <w:rPr>
              <w:rFonts w:hint="default" w:ascii="Times New Roman" w:hAnsi="Times New Roman" w:cs="Times New Roman"/>
            </w:rPr>
            <w:t>8.1.3. 施工噪声治理措施分析</w:t>
          </w:r>
          <w:r>
            <w:tab/>
          </w:r>
          <w:r>
            <w:fldChar w:fldCharType="begin"/>
          </w:r>
          <w:r>
            <w:instrText xml:space="preserve"> PAGEREF _Toc22021 \h </w:instrText>
          </w:r>
          <w:r>
            <w:fldChar w:fldCharType="separate"/>
          </w:r>
          <w:r>
            <w:t>186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_Toc12851 </w:instrText>
          </w:r>
          <w:r>
            <w:rPr>
              <w:rFonts w:hint="default" w:ascii="Times New Roman" w:hAnsi="Times New Roman" w:cs="Times New Roman"/>
              <w:bCs/>
              <w:lang w:val="zh-CN"/>
            </w:rPr>
            <w:fldChar w:fldCharType="separate"/>
          </w:r>
          <w:r>
            <w:rPr>
              <w:rFonts w:hint="default" w:ascii="Times New Roman" w:hAnsi="Times New Roman" w:cs="Times New Roman"/>
            </w:rPr>
            <w:t>8.1.4. 施工固体废物治理措施分析</w:t>
          </w:r>
          <w:r>
            <w:tab/>
          </w:r>
          <w:r>
            <w:fldChar w:fldCharType="begin"/>
          </w:r>
          <w:r>
            <w:instrText xml:space="preserve"> PAGEREF _Toc12851 \h </w:instrText>
          </w:r>
          <w:r>
            <w:fldChar w:fldCharType="separate"/>
          </w:r>
          <w:r>
            <w:t>187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_Toc18138 </w:instrText>
          </w:r>
          <w:r>
            <w:rPr>
              <w:rFonts w:hint="default" w:ascii="Times New Roman" w:hAnsi="Times New Roman" w:cs="Times New Roman"/>
              <w:bCs/>
              <w:lang w:val="zh-CN"/>
            </w:rPr>
            <w:fldChar w:fldCharType="separate"/>
          </w:r>
          <w:r>
            <w:rPr>
              <w:rFonts w:hint="default" w:ascii="Times New Roman" w:hAnsi="Times New Roman" w:cs="Times New Roman"/>
            </w:rPr>
            <w:t>8.2. 运营期污染防治措施论证</w:t>
          </w:r>
          <w:r>
            <w:tab/>
          </w:r>
          <w:r>
            <w:fldChar w:fldCharType="begin"/>
          </w:r>
          <w:r>
            <w:instrText xml:space="preserve"> PAGEREF _Toc18138 \h </w:instrText>
          </w:r>
          <w:r>
            <w:fldChar w:fldCharType="separate"/>
          </w:r>
          <w:r>
            <w:t>187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_Toc19140 </w:instrText>
          </w:r>
          <w:r>
            <w:rPr>
              <w:rFonts w:hint="default" w:ascii="Times New Roman" w:hAnsi="Times New Roman" w:cs="Times New Roman"/>
              <w:bCs/>
              <w:lang w:val="zh-CN"/>
            </w:rPr>
            <w:fldChar w:fldCharType="separate"/>
          </w:r>
          <w:r>
            <w:rPr>
              <w:rFonts w:hint="default" w:ascii="Times New Roman" w:hAnsi="Times New Roman" w:cs="Times New Roman"/>
            </w:rPr>
            <w:t>8.2.1. 废气污染防治措施论证</w:t>
          </w:r>
          <w:r>
            <w:tab/>
          </w:r>
          <w:r>
            <w:fldChar w:fldCharType="begin"/>
          </w:r>
          <w:r>
            <w:instrText xml:space="preserve"> PAGEREF _Toc19140 \h </w:instrText>
          </w:r>
          <w:r>
            <w:fldChar w:fldCharType="separate"/>
          </w:r>
          <w:r>
            <w:t>187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_Toc283 </w:instrText>
          </w:r>
          <w:r>
            <w:rPr>
              <w:rFonts w:hint="default" w:ascii="Times New Roman" w:hAnsi="Times New Roman" w:cs="Times New Roman"/>
              <w:bCs/>
              <w:lang w:val="zh-CN"/>
            </w:rPr>
            <w:fldChar w:fldCharType="separate"/>
          </w:r>
          <w:r>
            <w:rPr>
              <w:rFonts w:hint="default" w:ascii="Times New Roman" w:hAnsi="Times New Roman" w:cs="Times New Roman"/>
            </w:rPr>
            <w:t>8.2.2. 地表水污染防治措施论证</w:t>
          </w:r>
          <w:r>
            <w:tab/>
          </w:r>
          <w:r>
            <w:fldChar w:fldCharType="begin"/>
          </w:r>
          <w:r>
            <w:instrText xml:space="preserve"> PAGEREF _Toc283 \h </w:instrText>
          </w:r>
          <w:r>
            <w:fldChar w:fldCharType="separate"/>
          </w:r>
          <w:r>
            <w:t>188</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_Toc16581 </w:instrText>
          </w:r>
          <w:r>
            <w:rPr>
              <w:rFonts w:hint="default" w:ascii="Times New Roman" w:hAnsi="Times New Roman" w:cs="Times New Roman"/>
              <w:bCs/>
              <w:lang w:val="zh-CN"/>
            </w:rPr>
            <w:fldChar w:fldCharType="separate"/>
          </w:r>
          <w:r>
            <w:rPr>
              <w:rFonts w:hint="default" w:ascii="Times New Roman" w:hAnsi="Times New Roman" w:cs="Times New Roman"/>
            </w:rPr>
            <w:t>8.2.3. 噪声污染控制措施论证</w:t>
          </w:r>
          <w:r>
            <w:tab/>
          </w:r>
          <w:r>
            <w:fldChar w:fldCharType="begin"/>
          </w:r>
          <w:r>
            <w:instrText xml:space="preserve"> PAGEREF _Toc16581 \h </w:instrText>
          </w:r>
          <w:r>
            <w:fldChar w:fldCharType="separate"/>
          </w:r>
          <w:r>
            <w:t>190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_Toc7911 </w:instrText>
          </w:r>
          <w:r>
            <w:rPr>
              <w:rFonts w:hint="default" w:ascii="Times New Roman" w:hAnsi="Times New Roman" w:cs="Times New Roman"/>
              <w:bCs/>
              <w:lang w:val="zh-CN"/>
            </w:rPr>
            <w:fldChar w:fldCharType="separate"/>
          </w:r>
          <w:r>
            <w:rPr>
              <w:rFonts w:hint="default" w:ascii="Times New Roman" w:hAnsi="Times New Roman" w:cs="Times New Roman"/>
            </w:rPr>
            <w:t>8.2.4. 固体废物处置措施及可行性分析</w:t>
          </w:r>
          <w:r>
            <w:tab/>
          </w:r>
          <w:r>
            <w:fldChar w:fldCharType="begin"/>
          </w:r>
          <w:r>
            <w:instrText xml:space="preserve"> PAGEREF _Toc7911 \h </w:instrText>
          </w:r>
          <w:r>
            <w:fldChar w:fldCharType="separate"/>
          </w:r>
          <w:r>
            <w:t>191</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_Toc7567 </w:instrText>
          </w:r>
          <w:r>
            <w:rPr>
              <w:rFonts w:hint="default" w:ascii="Times New Roman" w:hAnsi="Times New Roman" w:cs="Times New Roman"/>
              <w:bCs/>
              <w:lang w:val="zh-CN"/>
            </w:rPr>
            <w:fldChar w:fldCharType="separate"/>
          </w:r>
          <w:r>
            <w:rPr>
              <w:rFonts w:hint="default" w:ascii="Times New Roman" w:hAnsi="Times New Roman" w:cs="Times New Roman"/>
            </w:rPr>
            <w:t>8.2.5. 地下水污染防治措施及可行性分析</w:t>
          </w:r>
          <w:r>
            <w:tab/>
          </w:r>
          <w:r>
            <w:fldChar w:fldCharType="begin"/>
          </w:r>
          <w:r>
            <w:instrText xml:space="preserve"> PAGEREF _Toc7567 \h </w:instrText>
          </w:r>
          <w:r>
            <w:fldChar w:fldCharType="separate"/>
          </w:r>
          <w:r>
            <w:t>193</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_Toc17698 </w:instrText>
          </w:r>
          <w:r>
            <w:rPr>
              <w:rFonts w:hint="default" w:ascii="Times New Roman" w:hAnsi="Times New Roman" w:cs="Times New Roman"/>
              <w:bCs/>
              <w:lang w:val="zh-CN"/>
            </w:rPr>
            <w:fldChar w:fldCharType="separate"/>
          </w:r>
          <w:r>
            <w:rPr>
              <w:rFonts w:hint="default" w:ascii="Times New Roman" w:hAnsi="Times New Roman" w:cs="Times New Roman"/>
            </w:rPr>
            <w:t>8.3. 环保投资</w:t>
          </w:r>
          <w:r>
            <w:tab/>
          </w:r>
          <w:r>
            <w:fldChar w:fldCharType="begin"/>
          </w:r>
          <w:r>
            <w:instrText xml:space="preserve"> PAGEREF _Toc17698 \h </w:instrText>
          </w:r>
          <w:r>
            <w:fldChar w:fldCharType="separate"/>
          </w:r>
          <w:r>
            <w:t>194</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_Toc22454 </w:instrText>
          </w:r>
          <w:r>
            <w:rPr>
              <w:rFonts w:hint="default" w:ascii="Times New Roman" w:hAnsi="Times New Roman" w:cs="Times New Roman"/>
              <w:bCs/>
              <w:lang w:val="zh-CN"/>
            </w:rPr>
            <w:fldChar w:fldCharType="separate"/>
          </w:r>
          <w:r>
            <w:rPr>
              <w:rFonts w:hint="default" w:ascii="Times New Roman" w:hAnsi="Times New Roman" w:cs="Times New Roman"/>
            </w:rPr>
            <w:t>8.4. 环保治理措施技术、经济评述结论</w:t>
          </w:r>
          <w:r>
            <w:tab/>
          </w:r>
          <w:r>
            <w:fldChar w:fldCharType="begin"/>
          </w:r>
          <w:r>
            <w:instrText xml:space="preserve"> PAGEREF _Toc22454 \h </w:instrText>
          </w:r>
          <w:r>
            <w:fldChar w:fldCharType="separate"/>
          </w:r>
          <w:r>
            <w:t>196</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_Toc26695 </w:instrText>
          </w:r>
          <w:r>
            <w:rPr>
              <w:rFonts w:hint="default" w:ascii="Times New Roman" w:hAnsi="Times New Roman" w:cs="Times New Roman"/>
              <w:bCs/>
              <w:lang w:val="zh-CN"/>
            </w:rPr>
            <w:fldChar w:fldCharType="separate"/>
          </w:r>
          <w:r>
            <w:rPr>
              <w:rFonts w:hint="default" w:ascii="Times New Roman" w:hAnsi="Times New Roman" w:cs="Times New Roman"/>
            </w:rPr>
            <w:t>9. 环境经济损益分析</w:t>
          </w:r>
          <w:r>
            <w:tab/>
          </w:r>
          <w:r>
            <w:fldChar w:fldCharType="begin"/>
          </w:r>
          <w:r>
            <w:instrText xml:space="preserve"> PAGEREF _Toc26695 \h </w:instrText>
          </w:r>
          <w:r>
            <w:fldChar w:fldCharType="separate"/>
          </w:r>
          <w:r>
            <w:t>197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_Toc28952 </w:instrText>
          </w:r>
          <w:r>
            <w:rPr>
              <w:rFonts w:hint="default" w:ascii="Times New Roman" w:hAnsi="Times New Roman" w:cs="Times New Roman"/>
              <w:bCs/>
              <w:lang w:val="zh-CN"/>
            </w:rPr>
            <w:fldChar w:fldCharType="separate"/>
          </w:r>
          <w:r>
            <w:rPr>
              <w:rFonts w:hint="default" w:ascii="Times New Roman" w:hAnsi="Times New Roman" w:cs="Times New Roman"/>
            </w:rPr>
            <w:t>9.1. 经济效益</w:t>
          </w:r>
          <w:r>
            <w:tab/>
          </w:r>
          <w:r>
            <w:fldChar w:fldCharType="begin"/>
          </w:r>
          <w:r>
            <w:instrText xml:space="preserve"> PAGEREF _Toc28952 \h </w:instrText>
          </w:r>
          <w:r>
            <w:fldChar w:fldCharType="separate"/>
          </w:r>
          <w:r>
            <w:t>197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_Toc11461 </w:instrText>
          </w:r>
          <w:r>
            <w:rPr>
              <w:rFonts w:hint="default" w:ascii="Times New Roman" w:hAnsi="Times New Roman" w:cs="Times New Roman"/>
              <w:bCs/>
              <w:lang w:val="zh-CN"/>
            </w:rPr>
            <w:fldChar w:fldCharType="separate"/>
          </w:r>
          <w:r>
            <w:rPr>
              <w:rFonts w:hint="default" w:ascii="Times New Roman" w:hAnsi="Times New Roman" w:cs="Times New Roman"/>
            </w:rPr>
            <w:t>9.2. 社会效益分析</w:t>
          </w:r>
          <w:r>
            <w:tab/>
          </w:r>
          <w:r>
            <w:fldChar w:fldCharType="begin"/>
          </w:r>
          <w:r>
            <w:instrText xml:space="preserve"> PAGEREF _Toc11461 \h </w:instrText>
          </w:r>
          <w:r>
            <w:fldChar w:fldCharType="separate"/>
          </w:r>
          <w:r>
            <w:t>197</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_Toc9809 </w:instrText>
          </w:r>
          <w:r>
            <w:rPr>
              <w:rFonts w:hint="default" w:ascii="Times New Roman" w:hAnsi="Times New Roman" w:cs="Times New Roman"/>
              <w:bCs/>
              <w:lang w:val="zh-CN"/>
            </w:rPr>
            <w:fldChar w:fldCharType="separate"/>
          </w:r>
          <w:r>
            <w:rPr>
              <w:rFonts w:hint="default" w:ascii="Times New Roman" w:hAnsi="Times New Roman" w:cs="Times New Roman"/>
            </w:rPr>
            <w:t>9.3. 环境经济效益分析</w:t>
          </w:r>
          <w:r>
            <w:tab/>
          </w:r>
          <w:r>
            <w:fldChar w:fldCharType="begin"/>
          </w:r>
          <w:r>
            <w:instrText xml:space="preserve"> PAGEREF _Toc9809 \h </w:instrText>
          </w:r>
          <w:r>
            <w:fldChar w:fldCharType="separate"/>
          </w:r>
          <w:r>
            <w:t>197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_Toc26404 </w:instrText>
          </w:r>
          <w:r>
            <w:rPr>
              <w:rFonts w:hint="default" w:ascii="Times New Roman" w:hAnsi="Times New Roman" w:cs="Times New Roman"/>
              <w:bCs/>
              <w:lang w:val="zh-CN"/>
            </w:rPr>
            <w:fldChar w:fldCharType="separate"/>
          </w:r>
          <w:r>
            <w:rPr>
              <w:rFonts w:hint="default" w:ascii="Times New Roman" w:hAnsi="Times New Roman" w:cs="Times New Roman"/>
            </w:rPr>
            <w:t>9.3.1. 环境保护费用</w:t>
          </w:r>
          <w:r>
            <w:tab/>
          </w:r>
          <w:r>
            <w:fldChar w:fldCharType="begin"/>
          </w:r>
          <w:r>
            <w:instrText xml:space="preserve"> PAGEREF _Toc26404 \h </w:instrText>
          </w:r>
          <w:r>
            <w:fldChar w:fldCharType="separate"/>
          </w:r>
          <w:r>
            <w:t>197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_Toc17078 </w:instrText>
          </w:r>
          <w:r>
            <w:rPr>
              <w:rFonts w:hint="default" w:ascii="Times New Roman" w:hAnsi="Times New Roman" w:cs="Times New Roman"/>
              <w:bCs/>
              <w:lang w:val="zh-CN"/>
            </w:rPr>
            <w:fldChar w:fldCharType="separate"/>
          </w:r>
          <w:r>
            <w:rPr>
              <w:rFonts w:hint="default" w:ascii="Times New Roman" w:hAnsi="Times New Roman" w:cs="Times New Roman"/>
            </w:rPr>
            <w:t>9.3.2. 环保设施效益</w:t>
          </w:r>
          <w:r>
            <w:tab/>
          </w:r>
          <w:r>
            <w:fldChar w:fldCharType="begin"/>
          </w:r>
          <w:r>
            <w:instrText xml:space="preserve"> PAGEREF _Toc17078 \h </w:instrText>
          </w:r>
          <w:r>
            <w:fldChar w:fldCharType="separate"/>
          </w:r>
          <w:r>
            <w:t>198</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_Toc8847 </w:instrText>
          </w:r>
          <w:r>
            <w:rPr>
              <w:rFonts w:hint="default" w:ascii="Times New Roman" w:hAnsi="Times New Roman" w:cs="Times New Roman"/>
              <w:bCs/>
              <w:lang w:val="zh-CN"/>
            </w:rPr>
            <w:fldChar w:fldCharType="separate"/>
          </w:r>
          <w:r>
            <w:rPr>
              <w:rFonts w:hint="default" w:ascii="Times New Roman" w:hAnsi="Times New Roman" w:cs="Times New Roman"/>
            </w:rPr>
            <w:t>9.3.3. 环境经济效益评价</w:t>
          </w:r>
          <w:r>
            <w:tab/>
          </w:r>
          <w:r>
            <w:fldChar w:fldCharType="begin"/>
          </w:r>
          <w:r>
            <w:instrText xml:space="preserve"> PAGEREF _Toc8847 \h </w:instrText>
          </w:r>
          <w:r>
            <w:fldChar w:fldCharType="separate"/>
          </w:r>
          <w:r>
            <w:t>199</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_Toc1354 </w:instrText>
          </w:r>
          <w:r>
            <w:rPr>
              <w:rFonts w:hint="default" w:ascii="Times New Roman" w:hAnsi="Times New Roman" w:cs="Times New Roman"/>
              <w:bCs/>
              <w:lang w:val="zh-CN"/>
            </w:rPr>
            <w:fldChar w:fldCharType="separate"/>
          </w:r>
          <w:r>
            <w:rPr>
              <w:rFonts w:hint="default" w:ascii="Times New Roman" w:hAnsi="Times New Roman" w:cs="Times New Roman"/>
            </w:rPr>
            <w:t>9.4. 小结</w:t>
          </w:r>
          <w:r>
            <w:tab/>
          </w:r>
          <w:r>
            <w:fldChar w:fldCharType="begin"/>
          </w:r>
          <w:r>
            <w:instrText xml:space="preserve"> PAGEREF _Toc1354 \h </w:instrText>
          </w:r>
          <w:r>
            <w:fldChar w:fldCharType="separate"/>
          </w:r>
          <w:r>
            <w:t>199</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_Toc2166 </w:instrText>
          </w:r>
          <w:r>
            <w:rPr>
              <w:rFonts w:hint="default" w:ascii="Times New Roman" w:hAnsi="Times New Roman" w:cs="Times New Roman"/>
              <w:bCs/>
              <w:lang w:val="zh-CN"/>
            </w:rPr>
            <w:fldChar w:fldCharType="separate"/>
          </w:r>
          <w:r>
            <w:rPr>
              <w:rFonts w:hint="default" w:ascii="Times New Roman" w:hAnsi="Times New Roman" w:cs="Times New Roman"/>
            </w:rPr>
            <w:t>10. 环境管理与环境监测计划</w:t>
          </w:r>
          <w:r>
            <w:tab/>
          </w:r>
          <w:r>
            <w:fldChar w:fldCharType="begin"/>
          </w:r>
          <w:r>
            <w:instrText xml:space="preserve"> PAGEREF _Toc2166 \h </w:instrText>
          </w:r>
          <w:r>
            <w:fldChar w:fldCharType="separate"/>
          </w:r>
          <w:r>
            <w:t>200</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_Toc9807 </w:instrText>
          </w:r>
          <w:r>
            <w:rPr>
              <w:rFonts w:hint="default" w:ascii="Times New Roman" w:hAnsi="Times New Roman" w:cs="Times New Roman"/>
              <w:bCs/>
              <w:lang w:val="zh-CN"/>
            </w:rPr>
            <w:fldChar w:fldCharType="separate"/>
          </w:r>
          <w:r>
            <w:rPr>
              <w:rFonts w:hint="default" w:ascii="Times New Roman" w:hAnsi="Times New Roman" w:cs="Times New Roman"/>
            </w:rPr>
            <w:t>10.1. 环境管理的目的和意义</w:t>
          </w:r>
          <w:r>
            <w:tab/>
          </w:r>
          <w:r>
            <w:fldChar w:fldCharType="begin"/>
          </w:r>
          <w:r>
            <w:instrText xml:space="preserve"> PAGEREF _Toc9807 \h </w:instrText>
          </w:r>
          <w:r>
            <w:fldChar w:fldCharType="separate"/>
          </w:r>
          <w:r>
            <w:t>200</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_Toc6748 </w:instrText>
          </w:r>
          <w:r>
            <w:rPr>
              <w:rFonts w:hint="default" w:ascii="Times New Roman" w:hAnsi="Times New Roman" w:cs="Times New Roman"/>
              <w:bCs/>
              <w:lang w:val="zh-CN"/>
            </w:rPr>
            <w:fldChar w:fldCharType="separate"/>
          </w:r>
          <w:r>
            <w:rPr>
              <w:rFonts w:hint="default" w:ascii="Times New Roman" w:hAnsi="Times New Roman" w:cs="Times New Roman"/>
            </w:rPr>
            <w:t>10.2. 环境管理机构及职责</w:t>
          </w:r>
          <w:r>
            <w:tab/>
          </w:r>
          <w:r>
            <w:fldChar w:fldCharType="begin"/>
          </w:r>
          <w:r>
            <w:instrText xml:space="preserve"> PAGEREF _Toc6748 \h </w:instrText>
          </w:r>
          <w:r>
            <w:fldChar w:fldCharType="separate"/>
          </w:r>
          <w:r>
            <w:t>200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_Toc19036 </w:instrText>
          </w:r>
          <w:r>
            <w:rPr>
              <w:rFonts w:hint="default" w:ascii="Times New Roman" w:hAnsi="Times New Roman" w:cs="Times New Roman"/>
              <w:bCs/>
              <w:lang w:val="zh-CN"/>
            </w:rPr>
            <w:fldChar w:fldCharType="separate"/>
          </w:r>
          <w:r>
            <w:rPr>
              <w:rFonts w:hint="default" w:ascii="Times New Roman" w:hAnsi="Times New Roman" w:cs="Times New Roman"/>
            </w:rPr>
            <w:t>10.2.1. 环境管理机构</w:t>
          </w:r>
          <w:r>
            <w:tab/>
          </w:r>
          <w:r>
            <w:fldChar w:fldCharType="begin"/>
          </w:r>
          <w:r>
            <w:instrText xml:space="preserve"> PAGEREF _Toc19036 \h </w:instrText>
          </w:r>
          <w:r>
            <w:fldChar w:fldCharType="separate"/>
          </w:r>
          <w:r>
            <w:t>200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_Toc30488 </w:instrText>
          </w:r>
          <w:r>
            <w:rPr>
              <w:rFonts w:hint="default" w:ascii="Times New Roman" w:hAnsi="Times New Roman" w:cs="Times New Roman"/>
              <w:bCs/>
              <w:lang w:val="zh-CN"/>
            </w:rPr>
            <w:fldChar w:fldCharType="separate"/>
          </w:r>
          <w:r>
            <w:rPr>
              <w:rFonts w:hint="default" w:ascii="Times New Roman" w:hAnsi="Times New Roman" w:cs="Times New Roman"/>
            </w:rPr>
            <w:t>10.2.2. 环境管理机构职责</w:t>
          </w:r>
          <w:r>
            <w:tab/>
          </w:r>
          <w:r>
            <w:fldChar w:fldCharType="begin"/>
          </w:r>
          <w:r>
            <w:instrText xml:space="preserve"> PAGEREF _Toc30488 \h </w:instrText>
          </w:r>
          <w:r>
            <w:fldChar w:fldCharType="separate"/>
          </w:r>
          <w:r>
            <w:t>200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_Toc22301 </w:instrText>
          </w:r>
          <w:r>
            <w:rPr>
              <w:rFonts w:hint="default" w:ascii="Times New Roman" w:hAnsi="Times New Roman" w:cs="Times New Roman"/>
              <w:bCs/>
              <w:lang w:val="zh-CN"/>
            </w:rPr>
            <w:fldChar w:fldCharType="separate"/>
          </w:r>
          <w:r>
            <w:rPr>
              <w:rFonts w:hint="default" w:ascii="Times New Roman" w:hAnsi="Times New Roman" w:cs="Times New Roman"/>
            </w:rPr>
            <w:t>10.2.3. 执行机构工作内容</w:t>
          </w:r>
          <w:r>
            <w:tab/>
          </w:r>
          <w:r>
            <w:fldChar w:fldCharType="begin"/>
          </w:r>
          <w:r>
            <w:instrText xml:space="preserve"> PAGEREF _Toc22301 \h </w:instrText>
          </w:r>
          <w:r>
            <w:fldChar w:fldCharType="separate"/>
          </w:r>
          <w:r>
            <w:t>201</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_Toc28429 </w:instrText>
          </w:r>
          <w:r>
            <w:rPr>
              <w:rFonts w:hint="default" w:ascii="Times New Roman" w:hAnsi="Times New Roman" w:cs="Times New Roman"/>
              <w:bCs/>
              <w:lang w:val="zh-CN"/>
            </w:rPr>
            <w:fldChar w:fldCharType="separate"/>
          </w:r>
          <w:r>
            <w:rPr>
              <w:rFonts w:hint="default" w:ascii="Times New Roman" w:hAnsi="Times New Roman" w:cs="Times New Roman"/>
            </w:rPr>
            <w:t>10.3. 环境管理</w:t>
          </w:r>
          <w:r>
            <w:tab/>
          </w:r>
          <w:r>
            <w:fldChar w:fldCharType="begin"/>
          </w:r>
          <w:r>
            <w:instrText xml:space="preserve"> PAGEREF _Toc28429 \h </w:instrText>
          </w:r>
          <w:r>
            <w:fldChar w:fldCharType="separate"/>
          </w:r>
          <w:r>
            <w:t>201</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_Toc32560 </w:instrText>
          </w:r>
          <w:r>
            <w:rPr>
              <w:rFonts w:hint="default" w:ascii="Times New Roman" w:hAnsi="Times New Roman" w:cs="Times New Roman"/>
              <w:bCs/>
              <w:lang w:val="zh-CN"/>
            </w:rPr>
            <w:fldChar w:fldCharType="separate"/>
          </w:r>
          <w:r>
            <w:rPr>
              <w:rFonts w:hint="default" w:ascii="Times New Roman" w:hAnsi="Times New Roman" w:cs="Times New Roman"/>
            </w:rPr>
            <w:t>10.3.1. 环境管理总体规划</w:t>
          </w:r>
          <w:r>
            <w:tab/>
          </w:r>
          <w:r>
            <w:fldChar w:fldCharType="begin"/>
          </w:r>
          <w:r>
            <w:instrText xml:space="preserve"> PAGEREF _Toc32560 \h </w:instrText>
          </w:r>
          <w:r>
            <w:fldChar w:fldCharType="separate"/>
          </w:r>
          <w:r>
            <w:t>201</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_Toc1825 </w:instrText>
          </w:r>
          <w:r>
            <w:rPr>
              <w:rFonts w:hint="default" w:ascii="Times New Roman" w:hAnsi="Times New Roman" w:cs="Times New Roman"/>
              <w:bCs/>
              <w:lang w:val="zh-CN"/>
            </w:rPr>
            <w:fldChar w:fldCharType="separate"/>
          </w:r>
          <w:r>
            <w:rPr>
              <w:rFonts w:hint="default" w:ascii="Times New Roman" w:hAnsi="Times New Roman" w:cs="Times New Roman"/>
            </w:rPr>
            <w:t>10.3.2. 环境管理指标体系</w:t>
          </w:r>
          <w:r>
            <w:tab/>
          </w:r>
          <w:r>
            <w:fldChar w:fldCharType="begin"/>
          </w:r>
          <w:r>
            <w:instrText xml:space="preserve"> PAGEREF _Toc1825 \h </w:instrText>
          </w:r>
          <w:r>
            <w:fldChar w:fldCharType="separate"/>
          </w:r>
          <w:r>
            <w:t>201</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_Toc17842 </w:instrText>
          </w:r>
          <w:r>
            <w:rPr>
              <w:rFonts w:hint="default" w:ascii="Times New Roman" w:hAnsi="Times New Roman" w:cs="Times New Roman"/>
              <w:bCs/>
              <w:lang w:val="zh-CN"/>
            </w:rPr>
            <w:fldChar w:fldCharType="separate"/>
          </w:r>
          <w:r>
            <w:rPr>
              <w:rFonts w:hint="default" w:ascii="Times New Roman" w:hAnsi="Times New Roman" w:cs="Times New Roman"/>
            </w:rPr>
            <w:t>10.3.3. 环境管理计划</w:t>
          </w:r>
          <w:r>
            <w:tab/>
          </w:r>
          <w:r>
            <w:fldChar w:fldCharType="begin"/>
          </w:r>
          <w:r>
            <w:instrText xml:space="preserve"> PAGEREF _Toc17842 \h </w:instrText>
          </w:r>
          <w:r>
            <w:fldChar w:fldCharType="separate"/>
          </w:r>
          <w:r>
            <w:t>202</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_Toc18560 </w:instrText>
          </w:r>
          <w:r>
            <w:rPr>
              <w:rFonts w:hint="default" w:ascii="Times New Roman" w:hAnsi="Times New Roman" w:cs="Times New Roman"/>
              <w:bCs/>
              <w:lang w:val="zh-CN"/>
            </w:rPr>
            <w:fldChar w:fldCharType="separate"/>
          </w:r>
          <w:r>
            <w:rPr>
              <w:rFonts w:hint="default" w:ascii="Times New Roman" w:hAnsi="Times New Roman" w:cs="Times New Roman"/>
            </w:rPr>
            <w:t>10.4. 环境监测计划</w:t>
          </w:r>
          <w:r>
            <w:tab/>
          </w:r>
          <w:r>
            <w:fldChar w:fldCharType="begin"/>
          </w:r>
          <w:r>
            <w:instrText xml:space="preserve"> PAGEREF _Toc18560 \h </w:instrText>
          </w:r>
          <w:r>
            <w:fldChar w:fldCharType="separate"/>
          </w:r>
          <w:r>
            <w:t>204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_Toc32641 </w:instrText>
          </w:r>
          <w:r>
            <w:rPr>
              <w:rFonts w:hint="default" w:ascii="Times New Roman" w:hAnsi="Times New Roman" w:cs="Times New Roman"/>
              <w:bCs/>
              <w:lang w:val="zh-CN"/>
            </w:rPr>
            <w:fldChar w:fldCharType="separate"/>
          </w:r>
          <w:r>
            <w:rPr>
              <w:rFonts w:hint="default" w:ascii="Times New Roman" w:hAnsi="Times New Roman" w:cs="Times New Roman"/>
            </w:rPr>
            <w:t>10.4.1. 环境监测的目的</w:t>
          </w:r>
          <w:r>
            <w:tab/>
          </w:r>
          <w:r>
            <w:fldChar w:fldCharType="begin"/>
          </w:r>
          <w:r>
            <w:instrText xml:space="preserve"> PAGEREF _Toc32641 \h </w:instrText>
          </w:r>
          <w:r>
            <w:fldChar w:fldCharType="separate"/>
          </w:r>
          <w:r>
            <w:t>204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_Toc27505 </w:instrText>
          </w:r>
          <w:r>
            <w:rPr>
              <w:rFonts w:hint="default" w:ascii="Times New Roman" w:hAnsi="Times New Roman" w:cs="Times New Roman"/>
              <w:bCs/>
              <w:lang w:val="zh-CN"/>
            </w:rPr>
            <w:fldChar w:fldCharType="separate"/>
          </w:r>
          <w:r>
            <w:rPr>
              <w:rFonts w:hint="default" w:ascii="Times New Roman" w:hAnsi="Times New Roman" w:cs="Times New Roman"/>
            </w:rPr>
            <w:t>10.4.2. 监测建立技术资料档案保管制度</w:t>
          </w:r>
          <w:r>
            <w:tab/>
          </w:r>
          <w:r>
            <w:fldChar w:fldCharType="begin"/>
          </w:r>
          <w:r>
            <w:instrText xml:space="preserve"> PAGEREF _Toc27505 \h </w:instrText>
          </w:r>
          <w:r>
            <w:fldChar w:fldCharType="separate"/>
          </w:r>
          <w:r>
            <w:t>204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_Toc18234 </w:instrText>
          </w:r>
          <w:r>
            <w:rPr>
              <w:rFonts w:hint="default" w:ascii="Times New Roman" w:hAnsi="Times New Roman" w:cs="Times New Roman"/>
              <w:bCs/>
              <w:lang w:val="zh-CN"/>
            </w:rPr>
            <w:fldChar w:fldCharType="separate"/>
          </w:r>
          <w:r>
            <w:rPr>
              <w:rFonts w:hint="default" w:ascii="Times New Roman" w:hAnsi="Times New Roman" w:cs="Times New Roman"/>
            </w:rPr>
            <w:t>10.4.3. 环境监测计划</w:t>
          </w:r>
          <w:r>
            <w:tab/>
          </w:r>
          <w:r>
            <w:fldChar w:fldCharType="begin"/>
          </w:r>
          <w:r>
            <w:instrText xml:space="preserve"> PAGEREF _Toc18234 \h </w:instrText>
          </w:r>
          <w:r>
            <w:fldChar w:fldCharType="separate"/>
          </w:r>
          <w:r>
            <w:t>204</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_Toc7616 </w:instrText>
          </w:r>
          <w:r>
            <w:rPr>
              <w:rFonts w:hint="default" w:ascii="Times New Roman" w:hAnsi="Times New Roman" w:cs="Times New Roman"/>
              <w:bCs/>
              <w:lang w:val="zh-CN"/>
            </w:rPr>
            <w:fldChar w:fldCharType="separate"/>
          </w:r>
          <w:r>
            <w:rPr>
              <w:rFonts w:hint="default" w:ascii="Times New Roman" w:hAnsi="Times New Roman" w:cs="Times New Roman"/>
            </w:rPr>
            <w:t>10.5. 环境监理</w:t>
          </w:r>
          <w:r>
            <w:tab/>
          </w:r>
          <w:r>
            <w:fldChar w:fldCharType="begin"/>
          </w:r>
          <w:r>
            <w:instrText xml:space="preserve"> PAGEREF _Toc7616 \h </w:instrText>
          </w:r>
          <w:r>
            <w:fldChar w:fldCharType="separate"/>
          </w:r>
          <w:r>
            <w:t>205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_Toc17022 </w:instrText>
          </w:r>
          <w:r>
            <w:rPr>
              <w:rFonts w:hint="default" w:ascii="Times New Roman" w:hAnsi="Times New Roman" w:cs="Times New Roman"/>
              <w:bCs/>
              <w:lang w:val="zh-CN"/>
            </w:rPr>
            <w:fldChar w:fldCharType="separate"/>
          </w:r>
          <w:r>
            <w:rPr>
              <w:rFonts w:hint="default" w:ascii="Times New Roman" w:hAnsi="Times New Roman" w:cs="Times New Roman"/>
            </w:rPr>
            <w:t>10.5.1. 环境监理的目的、依据及原则</w:t>
          </w:r>
          <w:r>
            <w:tab/>
          </w:r>
          <w:r>
            <w:fldChar w:fldCharType="begin"/>
          </w:r>
          <w:r>
            <w:instrText xml:space="preserve"> PAGEREF _Toc17022 \h </w:instrText>
          </w:r>
          <w:r>
            <w:fldChar w:fldCharType="separate"/>
          </w:r>
          <w:r>
            <w:t>205</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_Toc27018 </w:instrText>
          </w:r>
          <w:r>
            <w:rPr>
              <w:rFonts w:hint="default" w:ascii="Times New Roman" w:hAnsi="Times New Roman" w:cs="Times New Roman"/>
              <w:bCs/>
              <w:lang w:val="zh-CN"/>
            </w:rPr>
            <w:fldChar w:fldCharType="separate"/>
          </w:r>
          <w:r>
            <w:rPr>
              <w:rFonts w:hint="default" w:ascii="Times New Roman" w:hAnsi="Times New Roman" w:cs="Times New Roman"/>
            </w:rPr>
            <w:t>10.5.2. 环境监理机构、职责及人员</w:t>
          </w:r>
          <w:r>
            <w:tab/>
          </w:r>
          <w:r>
            <w:fldChar w:fldCharType="begin"/>
          </w:r>
          <w:r>
            <w:instrText xml:space="preserve"> PAGEREF _Toc27018 \h </w:instrText>
          </w:r>
          <w:r>
            <w:fldChar w:fldCharType="separate"/>
          </w:r>
          <w:r>
            <w:t>206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_Toc18945 </w:instrText>
          </w:r>
          <w:r>
            <w:rPr>
              <w:rFonts w:hint="default" w:ascii="Times New Roman" w:hAnsi="Times New Roman" w:cs="Times New Roman"/>
              <w:bCs/>
              <w:lang w:val="zh-CN"/>
            </w:rPr>
            <w:fldChar w:fldCharType="separate"/>
          </w:r>
          <w:r>
            <w:rPr>
              <w:rFonts w:hint="default" w:ascii="Times New Roman" w:hAnsi="Times New Roman" w:cs="Times New Roman"/>
            </w:rPr>
            <w:t>10.5.3. 环境监理主要内容</w:t>
          </w:r>
          <w:r>
            <w:tab/>
          </w:r>
          <w:r>
            <w:fldChar w:fldCharType="begin"/>
          </w:r>
          <w:r>
            <w:instrText xml:space="preserve"> PAGEREF _Toc18945 \h </w:instrText>
          </w:r>
          <w:r>
            <w:fldChar w:fldCharType="separate"/>
          </w:r>
          <w:r>
            <w:t>206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_Toc10104 </w:instrText>
          </w:r>
          <w:r>
            <w:rPr>
              <w:rFonts w:hint="default" w:ascii="Times New Roman" w:hAnsi="Times New Roman" w:cs="Times New Roman"/>
              <w:bCs/>
              <w:lang w:val="zh-CN"/>
            </w:rPr>
            <w:fldChar w:fldCharType="separate"/>
          </w:r>
          <w:r>
            <w:rPr>
              <w:rFonts w:hint="default" w:ascii="Times New Roman" w:hAnsi="Times New Roman" w:cs="Times New Roman"/>
            </w:rPr>
            <w:t>10.5.4. 本项目环境监理计划</w:t>
          </w:r>
          <w:r>
            <w:tab/>
          </w:r>
          <w:r>
            <w:fldChar w:fldCharType="begin"/>
          </w:r>
          <w:r>
            <w:instrText xml:space="preserve"> PAGEREF _Toc10104 \h </w:instrText>
          </w:r>
          <w:r>
            <w:fldChar w:fldCharType="separate"/>
          </w:r>
          <w:r>
            <w:t>206</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_Toc21359 </w:instrText>
          </w:r>
          <w:r>
            <w:rPr>
              <w:rFonts w:hint="default" w:ascii="Times New Roman" w:hAnsi="Times New Roman" w:cs="Times New Roman"/>
              <w:bCs/>
              <w:lang w:val="zh-CN"/>
            </w:rPr>
            <w:fldChar w:fldCharType="separate"/>
          </w:r>
          <w:r>
            <w:rPr>
              <w:rFonts w:hint="default" w:ascii="Times New Roman" w:hAnsi="Times New Roman" w:cs="Times New Roman"/>
            </w:rPr>
            <w:t>10.6. 环保设施竣工验收管理</w:t>
          </w:r>
          <w:r>
            <w:tab/>
          </w:r>
          <w:r>
            <w:fldChar w:fldCharType="begin"/>
          </w:r>
          <w:r>
            <w:instrText xml:space="preserve"> PAGEREF _Toc21359 \h </w:instrText>
          </w:r>
          <w:r>
            <w:fldChar w:fldCharType="separate"/>
          </w:r>
          <w:r>
            <w:t>208</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_Toc32674 </w:instrText>
          </w:r>
          <w:r>
            <w:rPr>
              <w:rFonts w:hint="default" w:ascii="Times New Roman" w:hAnsi="Times New Roman" w:cs="Times New Roman"/>
              <w:bCs/>
              <w:lang w:val="zh-CN"/>
            </w:rPr>
            <w:fldChar w:fldCharType="separate"/>
          </w:r>
          <w:r>
            <w:rPr>
              <w:rFonts w:hint="default" w:ascii="Times New Roman" w:hAnsi="Times New Roman" w:cs="Times New Roman"/>
            </w:rPr>
            <w:t>10.6.1. 环保工程设计要求</w:t>
          </w:r>
          <w:r>
            <w:tab/>
          </w:r>
          <w:r>
            <w:fldChar w:fldCharType="begin"/>
          </w:r>
          <w:r>
            <w:instrText xml:space="preserve"> PAGEREF _Toc32674 \h </w:instrText>
          </w:r>
          <w:r>
            <w:fldChar w:fldCharType="separate"/>
          </w:r>
          <w:r>
            <w:t>208</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_Toc13109 </w:instrText>
          </w:r>
          <w:r>
            <w:rPr>
              <w:rFonts w:hint="default" w:ascii="Times New Roman" w:hAnsi="Times New Roman" w:cs="Times New Roman"/>
              <w:bCs/>
              <w:lang w:val="zh-CN"/>
            </w:rPr>
            <w:fldChar w:fldCharType="separate"/>
          </w:r>
          <w:r>
            <w:rPr>
              <w:rFonts w:hint="default" w:ascii="Times New Roman" w:hAnsi="Times New Roman" w:cs="Times New Roman"/>
            </w:rPr>
            <w:t>10.6.2. 环保设施验收建议</w:t>
          </w:r>
          <w:r>
            <w:tab/>
          </w:r>
          <w:r>
            <w:fldChar w:fldCharType="begin"/>
          </w:r>
          <w:r>
            <w:instrText xml:space="preserve"> PAGEREF _Toc13109 \h </w:instrText>
          </w:r>
          <w:r>
            <w:fldChar w:fldCharType="separate"/>
          </w:r>
          <w:r>
            <w:t>208</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_Toc22190 </w:instrText>
          </w:r>
          <w:r>
            <w:rPr>
              <w:rFonts w:hint="default" w:ascii="Times New Roman" w:hAnsi="Times New Roman" w:cs="Times New Roman"/>
              <w:bCs/>
              <w:lang w:val="zh-CN"/>
            </w:rPr>
            <w:fldChar w:fldCharType="separate"/>
          </w:r>
          <w:r>
            <w:rPr>
              <w:rFonts w:hint="default" w:ascii="Times New Roman" w:hAnsi="Times New Roman" w:cs="Times New Roman"/>
            </w:rPr>
            <w:t>10.7. 排污口规范化管理</w:t>
          </w:r>
          <w:r>
            <w:tab/>
          </w:r>
          <w:r>
            <w:fldChar w:fldCharType="begin"/>
          </w:r>
          <w:r>
            <w:instrText xml:space="preserve"> PAGEREF _Toc22190 \h </w:instrText>
          </w:r>
          <w:r>
            <w:fldChar w:fldCharType="separate"/>
          </w:r>
          <w:r>
            <w:t>210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_Toc15772 </w:instrText>
          </w:r>
          <w:r>
            <w:rPr>
              <w:rFonts w:hint="default" w:ascii="Times New Roman" w:hAnsi="Times New Roman" w:cs="Times New Roman"/>
              <w:bCs/>
              <w:lang w:val="zh-CN"/>
            </w:rPr>
            <w:fldChar w:fldCharType="separate"/>
          </w:r>
          <w:r>
            <w:rPr>
              <w:rFonts w:hint="default" w:ascii="Times New Roman" w:hAnsi="Times New Roman" w:cs="Times New Roman"/>
            </w:rPr>
            <w:t>10.7.1. 排污口规范化管理的基本原则</w:t>
          </w:r>
          <w:r>
            <w:tab/>
          </w:r>
          <w:r>
            <w:fldChar w:fldCharType="begin"/>
          </w:r>
          <w:r>
            <w:instrText xml:space="preserve"> PAGEREF _Toc15772 \h </w:instrText>
          </w:r>
          <w:r>
            <w:fldChar w:fldCharType="separate"/>
          </w:r>
          <w:r>
            <w:t>210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_Toc12534 </w:instrText>
          </w:r>
          <w:r>
            <w:rPr>
              <w:rFonts w:hint="default" w:ascii="Times New Roman" w:hAnsi="Times New Roman" w:cs="Times New Roman"/>
              <w:bCs/>
              <w:lang w:val="zh-CN"/>
            </w:rPr>
            <w:fldChar w:fldCharType="separate"/>
          </w:r>
          <w:r>
            <w:rPr>
              <w:rFonts w:hint="default" w:ascii="Times New Roman" w:hAnsi="Times New Roman" w:cs="Times New Roman"/>
            </w:rPr>
            <w:t>10.7.2. 排污口的技术要求</w:t>
          </w:r>
          <w:r>
            <w:tab/>
          </w:r>
          <w:r>
            <w:fldChar w:fldCharType="begin"/>
          </w:r>
          <w:r>
            <w:instrText xml:space="preserve"> PAGEREF _Toc12534 \h </w:instrText>
          </w:r>
          <w:r>
            <w:fldChar w:fldCharType="separate"/>
          </w:r>
          <w:r>
            <w:t>210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_Toc18924 </w:instrText>
          </w:r>
          <w:r>
            <w:rPr>
              <w:rFonts w:hint="default" w:ascii="Times New Roman" w:hAnsi="Times New Roman" w:cs="Times New Roman"/>
              <w:bCs/>
              <w:lang w:val="zh-CN"/>
            </w:rPr>
            <w:fldChar w:fldCharType="separate"/>
          </w:r>
          <w:r>
            <w:rPr>
              <w:rFonts w:hint="default" w:ascii="Times New Roman" w:hAnsi="Times New Roman" w:cs="Times New Roman"/>
            </w:rPr>
            <w:t>10.7.3. 排污口立标管理</w:t>
          </w:r>
          <w:r>
            <w:tab/>
          </w:r>
          <w:r>
            <w:fldChar w:fldCharType="begin"/>
          </w:r>
          <w:r>
            <w:instrText xml:space="preserve"> PAGEREF _Toc18924 \h </w:instrText>
          </w:r>
          <w:r>
            <w:fldChar w:fldCharType="separate"/>
          </w:r>
          <w:r>
            <w:t>210</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_Toc9133 </w:instrText>
          </w:r>
          <w:r>
            <w:rPr>
              <w:rFonts w:hint="default" w:ascii="Times New Roman" w:hAnsi="Times New Roman" w:cs="Times New Roman"/>
              <w:bCs/>
              <w:lang w:val="zh-CN"/>
            </w:rPr>
            <w:fldChar w:fldCharType="separate"/>
          </w:r>
          <w:r>
            <w:rPr>
              <w:rFonts w:hint="default" w:ascii="Times New Roman" w:hAnsi="Times New Roman" w:cs="Times New Roman"/>
            </w:rPr>
            <w:t>10.7.4. 排污口建档管理</w:t>
          </w:r>
          <w:r>
            <w:tab/>
          </w:r>
          <w:r>
            <w:fldChar w:fldCharType="begin"/>
          </w:r>
          <w:r>
            <w:instrText xml:space="preserve"> PAGEREF _Toc9133 \h </w:instrText>
          </w:r>
          <w:r>
            <w:fldChar w:fldCharType="separate"/>
          </w:r>
          <w:r>
            <w:t>211</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_Toc28522 </w:instrText>
          </w:r>
          <w:r>
            <w:rPr>
              <w:rFonts w:hint="default" w:ascii="Times New Roman" w:hAnsi="Times New Roman" w:cs="Times New Roman"/>
              <w:bCs/>
              <w:lang w:val="zh-CN"/>
            </w:rPr>
            <w:fldChar w:fldCharType="separate"/>
          </w:r>
          <w:r>
            <w:rPr>
              <w:rFonts w:hint="default" w:ascii="Times New Roman" w:hAnsi="Times New Roman" w:cs="Times New Roman"/>
            </w:rPr>
            <w:t>10.8. 事故应急调查监测方案</w:t>
          </w:r>
          <w:r>
            <w:tab/>
          </w:r>
          <w:r>
            <w:fldChar w:fldCharType="begin"/>
          </w:r>
          <w:r>
            <w:instrText xml:space="preserve"> PAGEREF _Toc28522 \h </w:instrText>
          </w:r>
          <w:r>
            <w:fldChar w:fldCharType="separate"/>
          </w:r>
          <w:r>
            <w:t>212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_Toc27744 </w:instrText>
          </w:r>
          <w:r>
            <w:rPr>
              <w:rFonts w:hint="default" w:ascii="Times New Roman" w:hAnsi="Times New Roman" w:cs="Times New Roman"/>
              <w:bCs/>
              <w:lang w:val="zh-CN"/>
            </w:rPr>
            <w:fldChar w:fldCharType="separate"/>
          </w:r>
          <w:r>
            <w:rPr>
              <w:rFonts w:hint="default" w:ascii="Times New Roman" w:hAnsi="Times New Roman" w:cs="Times New Roman"/>
            </w:rPr>
            <w:t>10.8.1. 事故应急调查要求</w:t>
          </w:r>
          <w:r>
            <w:tab/>
          </w:r>
          <w:r>
            <w:fldChar w:fldCharType="begin"/>
          </w:r>
          <w:r>
            <w:instrText xml:space="preserve"> PAGEREF _Toc27744 \h </w:instrText>
          </w:r>
          <w:r>
            <w:fldChar w:fldCharType="separate"/>
          </w:r>
          <w:r>
            <w:t>212</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_Toc21352 </w:instrText>
          </w:r>
          <w:r>
            <w:rPr>
              <w:rFonts w:hint="default" w:ascii="Times New Roman" w:hAnsi="Times New Roman" w:cs="Times New Roman"/>
              <w:bCs/>
              <w:lang w:val="zh-CN"/>
            </w:rPr>
            <w:fldChar w:fldCharType="separate"/>
          </w:r>
          <w:r>
            <w:rPr>
              <w:rFonts w:hint="default" w:ascii="Times New Roman" w:hAnsi="Times New Roman" w:cs="Times New Roman"/>
            </w:rPr>
            <w:t>10.8.2. 监测方案</w:t>
          </w:r>
          <w:r>
            <w:tab/>
          </w:r>
          <w:r>
            <w:fldChar w:fldCharType="begin"/>
          </w:r>
          <w:r>
            <w:instrText xml:space="preserve"> PAGEREF _Toc21352 \h </w:instrText>
          </w:r>
          <w:r>
            <w:fldChar w:fldCharType="separate"/>
          </w:r>
          <w:r>
            <w:t>212</w:t>
          </w:r>
          <w:r>
            <w:fldChar w:fldCharType="end"/>
          </w:r>
          <w:r>
            <w:rPr>
              <w:rFonts w:hint="default" w:ascii="Times New Roman" w:hAnsi="Times New Roman" w:cs="Times New Roman"/>
              <w:bCs/>
              <w:color w:val="auto"/>
              <w:lang w:val="zh-CN"/>
            </w:rPr>
            <w:fldChar w:fldCharType="end"/>
          </w:r>
        </w:p>
        <w:p>
          <w:pPr>
            <w:pStyle w:val="23"/>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_Toc18755 </w:instrText>
          </w:r>
          <w:r>
            <w:rPr>
              <w:rFonts w:hint="default" w:ascii="Times New Roman" w:hAnsi="Times New Roman" w:cs="Times New Roman"/>
              <w:bCs/>
              <w:lang w:val="zh-CN"/>
            </w:rPr>
            <w:fldChar w:fldCharType="separate"/>
          </w:r>
          <w:r>
            <w:rPr>
              <w:rFonts w:hint="default" w:ascii="Times New Roman" w:hAnsi="Times New Roman" w:cs="Times New Roman"/>
            </w:rPr>
            <w:t>11. 结论与建议</w:t>
          </w:r>
          <w:r>
            <w:tab/>
          </w:r>
          <w:r>
            <w:fldChar w:fldCharType="begin"/>
          </w:r>
          <w:r>
            <w:instrText xml:space="preserve"> PAGEREF _Toc18755 \h </w:instrText>
          </w:r>
          <w:r>
            <w:fldChar w:fldCharType="separate"/>
          </w:r>
          <w:r>
            <w:t>213</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_Toc22728 </w:instrText>
          </w:r>
          <w:r>
            <w:rPr>
              <w:rFonts w:hint="default" w:ascii="Times New Roman" w:hAnsi="Times New Roman" w:cs="Times New Roman"/>
              <w:bCs/>
              <w:lang w:val="zh-CN"/>
            </w:rPr>
            <w:fldChar w:fldCharType="separate"/>
          </w:r>
          <w:r>
            <w:rPr>
              <w:rFonts w:hint="default" w:ascii="Times New Roman" w:hAnsi="Times New Roman" w:cs="Times New Roman"/>
            </w:rPr>
            <w:t>11.1. 结论</w:t>
          </w:r>
          <w:r>
            <w:tab/>
          </w:r>
          <w:r>
            <w:fldChar w:fldCharType="begin"/>
          </w:r>
          <w:r>
            <w:instrText xml:space="preserve"> PAGEREF _Toc22728 \h </w:instrText>
          </w:r>
          <w:r>
            <w:fldChar w:fldCharType="separate"/>
          </w:r>
          <w:r>
            <w:t>213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_Toc16684 </w:instrText>
          </w:r>
          <w:r>
            <w:rPr>
              <w:rFonts w:hint="default" w:ascii="Times New Roman" w:hAnsi="Times New Roman" w:cs="Times New Roman"/>
              <w:bCs/>
              <w:lang w:val="zh-CN"/>
            </w:rPr>
            <w:fldChar w:fldCharType="separate"/>
          </w:r>
          <w:r>
            <w:rPr>
              <w:rFonts w:hint="default" w:ascii="Times New Roman" w:hAnsi="Times New Roman" w:cs="Times New Roman"/>
            </w:rPr>
            <w:t>11.1.1. 项目概况</w:t>
          </w:r>
          <w:r>
            <w:tab/>
          </w:r>
          <w:r>
            <w:fldChar w:fldCharType="begin"/>
          </w:r>
          <w:r>
            <w:instrText xml:space="preserve"> PAGEREF _Toc16684 \h </w:instrText>
          </w:r>
          <w:r>
            <w:fldChar w:fldCharType="separate"/>
          </w:r>
          <w:r>
            <w:t>213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_Toc17562 </w:instrText>
          </w:r>
          <w:r>
            <w:rPr>
              <w:rFonts w:hint="default" w:ascii="Times New Roman" w:hAnsi="Times New Roman" w:cs="Times New Roman"/>
              <w:bCs/>
              <w:lang w:val="zh-CN"/>
            </w:rPr>
            <w:fldChar w:fldCharType="separate"/>
          </w:r>
          <w:r>
            <w:rPr>
              <w:rFonts w:hint="default" w:ascii="Times New Roman" w:hAnsi="Times New Roman" w:cs="Times New Roman"/>
            </w:rPr>
            <w:t>11.1.2. 产业政策符合性</w:t>
          </w:r>
          <w:r>
            <w:tab/>
          </w:r>
          <w:r>
            <w:fldChar w:fldCharType="begin"/>
          </w:r>
          <w:r>
            <w:instrText xml:space="preserve"> PAGEREF _Toc17562 \h </w:instrText>
          </w:r>
          <w:r>
            <w:fldChar w:fldCharType="separate"/>
          </w:r>
          <w:r>
            <w:t>213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_Toc16429 </w:instrText>
          </w:r>
          <w:r>
            <w:rPr>
              <w:rFonts w:hint="default" w:ascii="Times New Roman" w:hAnsi="Times New Roman" w:cs="Times New Roman"/>
              <w:bCs/>
              <w:lang w:val="zh-CN"/>
            </w:rPr>
            <w:fldChar w:fldCharType="separate"/>
          </w:r>
          <w:r>
            <w:rPr>
              <w:rFonts w:hint="default" w:ascii="Times New Roman" w:hAnsi="Times New Roman" w:cs="Times New Roman"/>
            </w:rPr>
            <w:t>11.1.3. 项目规划符合性</w:t>
          </w:r>
          <w:r>
            <w:tab/>
          </w:r>
          <w:r>
            <w:fldChar w:fldCharType="begin"/>
          </w:r>
          <w:r>
            <w:instrText xml:space="preserve"> PAGEREF _Toc16429 \h </w:instrText>
          </w:r>
          <w:r>
            <w:fldChar w:fldCharType="separate"/>
          </w:r>
          <w:r>
            <w:t>213</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_Toc18633 </w:instrText>
          </w:r>
          <w:r>
            <w:rPr>
              <w:rFonts w:hint="default" w:ascii="Times New Roman" w:hAnsi="Times New Roman" w:cs="Times New Roman"/>
              <w:bCs/>
              <w:lang w:val="zh-CN"/>
            </w:rPr>
            <w:fldChar w:fldCharType="separate"/>
          </w:r>
          <w:r>
            <w:rPr>
              <w:rFonts w:hint="default" w:ascii="Times New Roman" w:hAnsi="Times New Roman" w:cs="Times New Roman"/>
            </w:rPr>
            <w:t>11.1.4. 项目区域环境质量现状</w:t>
          </w:r>
          <w:r>
            <w:tab/>
          </w:r>
          <w:r>
            <w:fldChar w:fldCharType="begin"/>
          </w:r>
          <w:r>
            <w:instrText xml:space="preserve"> PAGEREF _Toc18633 \h </w:instrText>
          </w:r>
          <w:r>
            <w:fldChar w:fldCharType="separate"/>
          </w:r>
          <w:r>
            <w:t>214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_Toc22056 </w:instrText>
          </w:r>
          <w:r>
            <w:rPr>
              <w:rFonts w:hint="default" w:ascii="Times New Roman" w:hAnsi="Times New Roman" w:cs="Times New Roman"/>
              <w:bCs/>
              <w:lang w:val="zh-CN"/>
            </w:rPr>
            <w:fldChar w:fldCharType="separate"/>
          </w:r>
          <w:r>
            <w:rPr>
              <w:rFonts w:hint="default" w:ascii="Times New Roman" w:hAnsi="Times New Roman" w:cs="Times New Roman"/>
            </w:rPr>
            <w:t>11.1.5. 主要环境影响评价结论</w:t>
          </w:r>
          <w:r>
            <w:tab/>
          </w:r>
          <w:r>
            <w:fldChar w:fldCharType="begin"/>
          </w:r>
          <w:r>
            <w:instrText xml:space="preserve"> PAGEREF _Toc22056 \h </w:instrText>
          </w:r>
          <w:r>
            <w:fldChar w:fldCharType="separate"/>
          </w:r>
          <w:r>
            <w:t>214</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_Toc11494 </w:instrText>
          </w:r>
          <w:r>
            <w:rPr>
              <w:rFonts w:hint="default" w:ascii="Times New Roman" w:hAnsi="Times New Roman" w:cs="Times New Roman"/>
              <w:bCs/>
              <w:lang w:val="zh-CN"/>
            </w:rPr>
            <w:fldChar w:fldCharType="separate"/>
          </w:r>
          <w:r>
            <w:rPr>
              <w:rFonts w:hint="default" w:ascii="Times New Roman" w:hAnsi="Times New Roman" w:cs="Times New Roman"/>
            </w:rPr>
            <w:t>11.1.6. 总量控制指标</w:t>
          </w:r>
          <w:r>
            <w:tab/>
          </w:r>
          <w:r>
            <w:fldChar w:fldCharType="begin"/>
          </w:r>
          <w:r>
            <w:instrText xml:space="preserve"> PAGEREF _Toc11494 \h </w:instrText>
          </w:r>
          <w:r>
            <w:fldChar w:fldCharType="separate"/>
          </w:r>
          <w:r>
            <w:t>216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_Toc3792 </w:instrText>
          </w:r>
          <w:r>
            <w:rPr>
              <w:rFonts w:hint="default" w:ascii="Times New Roman" w:hAnsi="Times New Roman" w:cs="Times New Roman"/>
              <w:bCs/>
              <w:lang w:val="zh-CN"/>
            </w:rPr>
            <w:fldChar w:fldCharType="separate"/>
          </w:r>
          <w:r>
            <w:rPr>
              <w:rFonts w:hint="default" w:ascii="Times New Roman" w:hAnsi="Times New Roman" w:cs="Times New Roman"/>
            </w:rPr>
            <w:t>11.1.7. 环境影响经济损益分析</w:t>
          </w:r>
          <w:r>
            <w:tab/>
          </w:r>
          <w:r>
            <w:fldChar w:fldCharType="begin"/>
          </w:r>
          <w:r>
            <w:instrText xml:space="preserve"> PAGEREF _Toc3792 \h </w:instrText>
          </w:r>
          <w:r>
            <w:fldChar w:fldCharType="separate"/>
          </w:r>
          <w:r>
            <w:t>216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_Toc20114 </w:instrText>
          </w:r>
          <w:r>
            <w:rPr>
              <w:rFonts w:hint="default" w:ascii="Times New Roman" w:hAnsi="Times New Roman" w:cs="Times New Roman"/>
              <w:bCs/>
              <w:lang w:val="zh-CN"/>
            </w:rPr>
            <w:fldChar w:fldCharType="separate"/>
          </w:r>
          <w:r>
            <w:rPr>
              <w:rFonts w:hint="default" w:ascii="Times New Roman" w:hAnsi="Times New Roman" w:cs="Times New Roman"/>
            </w:rPr>
            <w:t>11.1.8. 公众参与</w:t>
          </w:r>
          <w:r>
            <w:tab/>
          </w:r>
          <w:r>
            <w:fldChar w:fldCharType="begin"/>
          </w:r>
          <w:r>
            <w:instrText xml:space="preserve"> PAGEREF _Toc20114 \h </w:instrText>
          </w:r>
          <w:r>
            <w:fldChar w:fldCharType="separate"/>
          </w:r>
          <w:r>
            <w:t>216</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_Toc22266 </w:instrText>
          </w:r>
          <w:r>
            <w:rPr>
              <w:rFonts w:hint="default" w:ascii="Times New Roman" w:hAnsi="Times New Roman" w:cs="Times New Roman"/>
              <w:bCs/>
              <w:lang w:val="zh-CN"/>
            </w:rPr>
            <w:fldChar w:fldCharType="separate"/>
          </w:r>
          <w:r>
            <w:rPr>
              <w:rFonts w:hint="default" w:ascii="Times New Roman" w:hAnsi="Times New Roman" w:cs="Times New Roman"/>
            </w:rPr>
            <w:t>11.1.9. 总结论</w:t>
          </w:r>
          <w:r>
            <w:tab/>
          </w:r>
          <w:r>
            <w:fldChar w:fldCharType="begin"/>
          </w:r>
          <w:r>
            <w:instrText xml:space="preserve"> PAGEREF _Toc22266 \h </w:instrText>
          </w:r>
          <w:r>
            <w:fldChar w:fldCharType="separate"/>
          </w:r>
          <w:r>
            <w:t>216</w:t>
          </w:r>
          <w:r>
            <w:fldChar w:fldCharType="end"/>
          </w:r>
          <w:r>
            <w:rPr>
              <w:rFonts w:hint="default" w:ascii="Times New Roman" w:hAnsi="Times New Roman" w:cs="Times New Roman"/>
              <w:bCs/>
              <w:color w:val="auto"/>
              <w:lang w:val="zh-CN"/>
            </w:rPr>
            <w:fldChar w:fldCharType="end"/>
          </w:r>
        </w:p>
        <w:p>
          <w:pPr>
            <w:pStyle w:val="26"/>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_Toc15910 </w:instrText>
          </w:r>
          <w:r>
            <w:rPr>
              <w:rFonts w:hint="default" w:ascii="Times New Roman" w:hAnsi="Times New Roman" w:cs="Times New Roman"/>
              <w:bCs/>
              <w:lang w:val="zh-CN"/>
            </w:rPr>
            <w:fldChar w:fldCharType="separate"/>
          </w:r>
          <w:r>
            <w:rPr>
              <w:rFonts w:hint="default" w:ascii="Times New Roman" w:hAnsi="Times New Roman" w:cs="Times New Roman"/>
            </w:rPr>
            <w:t>11.2. 要求与建议</w:t>
          </w:r>
          <w:r>
            <w:tab/>
          </w:r>
          <w:r>
            <w:fldChar w:fldCharType="begin"/>
          </w:r>
          <w:r>
            <w:instrText xml:space="preserve"> PAGEREF _Toc15910 \h </w:instrText>
          </w:r>
          <w:r>
            <w:fldChar w:fldCharType="separate"/>
          </w:r>
          <w:r>
            <w:t>217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_Toc16682 </w:instrText>
          </w:r>
          <w:r>
            <w:rPr>
              <w:rFonts w:hint="default" w:ascii="Times New Roman" w:hAnsi="Times New Roman" w:cs="Times New Roman"/>
              <w:bCs/>
              <w:lang w:val="zh-CN"/>
            </w:rPr>
            <w:fldChar w:fldCharType="separate"/>
          </w:r>
          <w:r>
            <w:rPr>
              <w:rFonts w:hint="default" w:ascii="Times New Roman" w:hAnsi="Times New Roman" w:cs="Times New Roman"/>
            </w:rPr>
            <w:t>11.2.1. 要求</w:t>
          </w:r>
          <w:r>
            <w:tab/>
          </w:r>
          <w:r>
            <w:fldChar w:fldCharType="begin"/>
          </w:r>
          <w:r>
            <w:instrText xml:space="preserve"> PAGEREF _Toc16682 \h </w:instrText>
          </w:r>
          <w:r>
            <w:fldChar w:fldCharType="separate"/>
          </w:r>
          <w:r>
            <w:t>217</w:t>
          </w:r>
          <w:r>
            <w:fldChar w:fldCharType="end"/>
          </w:r>
          <w:r>
            <w:rPr>
              <w:rFonts w:hint="default" w:ascii="Times New Roman" w:hAnsi="Times New Roman" w:cs="Times New Roman"/>
              <w:bCs/>
              <w:color w:val="auto"/>
              <w:lang w:val="zh-CN"/>
            </w:rPr>
            <w:fldChar w:fldCharType="end"/>
          </w:r>
        </w:p>
        <w:p>
          <w:pPr>
            <w:pStyle w:val="17"/>
            <w:tabs>
              <w:tab w:val="right" w:leader="dot" w:pos="8306"/>
              <w:tab w:val="clear" w:pos="8296"/>
            </w:tabs>
          </w:pPr>
          <w:r>
            <w:rPr>
              <w:rFonts w:hint="default" w:ascii="Times New Roman" w:hAnsi="Times New Roman" w:cs="Times New Roman"/>
              <w:bCs/>
              <w:color w:val="auto"/>
              <w:lang w:val="zh-CN"/>
            </w:rPr>
            <w:fldChar w:fldCharType="begin"/>
          </w:r>
          <w:r>
            <w:rPr>
              <w:rFonts w:hint="default" w:ascii="Times New Roman" w:hAnsi="Times New Roman" w:cs="Times New Roman"/>
              <w:bCs/>
              <w:lang w:val="zh-CN"/>
            </w:rPr>
            <w:instrText xml:space="preserve"> HYPERLINK \l _Toc8567 </w:instrText>
          </w:r>
          <w:r>
            <w:rPr>
              <w:rFonts w:hint="default" w:ascii="Times New Roman" w:hAnsi="Times New Roman" w:cs="Times New Roman"/>
              <w:bCs/>
              <w:lang w:val="zh-CN"/>
            </w:rPr>
            <w:fldChar w:fldCharType="separate"/>
          </w:r>
          <w:r>
            <w:rPr>
              <w:rFonts w:hint="default" w:ascii="Times New Roman" w:hAnsi="Times New Roman" w:cs="Times New Roman"/>
            </w:rPr>
            <w:t>11.2.2. 建议</w:t>
          </w:r>
          <w:r>
            <w:tab/>
          </w:r>
          <w:r>
            <w:fldChar w:fldCharType="begin"/>
          </w:r>
          <w:r>
            <w:instrText xml:space="preserve"> PAGEREF _Toc8567 \h </w:instrText>
          </w:r>
          <w:r>
            <w:fldChar w:fldCharType="separate"/>
          </w:r>
          <w:r>
            <w:t>217</w:t>
          </w:r>
          <w:r>
            <w:fldChar w:fldCharType="end"/>
          </w:r>
          <w:r>
            <w:rPr>
              <w:rFonts w:hint="default" w:ascii="Times New Roman" w:hAnsi="Times New Roman" w:cs="Times New Roman"/>
              <w:bCs/>
              <w:color w:val="auto"/>
              <w:lang w:val="zh-CN"/>
            </w:rPr>
            <w:fldChar w:fldCharType="end"/>
          </w:r>
        </w:p>
        <w:p>
          <w:pPr>
            <w:adjustRightInd w:val="0"/>
            <w:ind w:firstLine="480"/>
            <w:rPr>
              <w:rFonts w:hint="default" w:ascii="Times New Roman" w:hAnsi="Times New Roman" w:cs="Times New Roman"/>
              <w:color w:val="auto"/>
            </w:rPr>
          </w:pPr>
          <w:r>
            <w:rPr>
              <w:rFonts w:hint="default" w:ascii="Times New Roman" w:hAnsi="Times New Roman" w:cs="Times New Roman"/>
              <w:bCs/>
              <w:color w:val="auto"/>
              <w:lang w:val="zh-CN"/>
            </w:rPr>
            <w:fldChar w:fldCharType="end"/>
          </w:r>
        </w:p>
      </w:sdtContent>
    </w:sdt>
    <w:p>
      <w:pPr>
        <w:adjustRightInd w:val="0"/>
        <w:ind w:firstLine="480"/>
        <w:rPr>
          <w:rFonts w:hint="default" w:ascii="Times New Roman" w:hAnsi="Times New Roman" w:cs="Times New Roman"/>
          <w:color w:val="auto"/>
        </w:rPr>
        <w:sectPr>
          <w:pgSz w:w="11906" w:h="16838"/>
          <w:pgMar w:top="1440" w:right="1800" w:bottom="1440" w:left="1800" w:header="851" w:footer="992" w:gutter="0"/>
          <w:cols w:space="425" w:num="1"/>
          <w:docGrid w:type="lines" w:linePitch="326" w:charSpace="0"/>
        </w:sectPr>
      </w:pPr>
    </w:p>
    <w:p>
      <w:pPr>
        <w:adjustRightInd w:val="0"/>
        <w:ind w:firstLine="562"/>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附图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项目地理位置图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本项目与规划位置关系图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本项目外环境关系及大气评价范围图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本项目近距离外环境关系图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本项目总平面布置图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本项目废气管线图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本项目分区防渗图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本项目卫生防护距离图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本项目地下水评价范围图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区域水文地质图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环境现状监测布点图</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环境现状监测布点图</w:t>
      </w:r>
      <w:r>
        <w:rPr>
          <w:rFonts w:hint="eastAsia" w:cs="Times New Roman"/>
          <w:color w:val="auto"/>
          <w:lang w:eastAsia="zh-CN"/>
        </w:rPr>
        <w:t>（</w:t>
      </w:r>
      <w:r>
        <w:rPr>
          <w:rFonts w:hint="eastAsia" w:cs="Times New Roman"/>
          <w:color w:val="auto"/>
          <w:lang w:val="en-US" w:eastAsia="zh-CN"/>
        </w:rPr>
        <w:t>地下水</w:t>
      </w:r>
      <w:r>
        <w:rPr>
          <w:rFonts w:hint="eastAsia" w:cs="Times New Roman"/>
          <w:color w:val="auto"/>
          <w:lang w:eastAsia="zh-CN"/>
        </w:rPr>
        <w:t>）</w:t>
      </w:r>
    </w:p>
    <w:p>
      <w:pPr>
        <w:pStyle w:val="45"/>
        <w:numPr>
          <w:ilvl w:val="0"/>
          <w:numId w:val="3"/>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环境跟踪监测布点图</w:t>
      </w:r>
    </w:p>
    <w:p>
      <w:pPr>
        <w:adjustRightInd w:val="0"/>
        <w:ind w:firstLine="562"/>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附件</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委托书</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营业执照</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项目备案表</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入园证明</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土地证</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尾矿、黑砂购销意向协议</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四川祥洪新型建材有限公司环评批复</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四川新乐雅陶瓷有限公司环评批复</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《关于印发&lt;乐山（沙湾）不锈钢产业园区环境影响跟踪评价报告书审查意见&gt;的函》（乐市环函〔2019〕226号）</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饮用水水源保护区批复</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锂辉石原矿委托加工合同</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锂辉石原矿检测报告</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锂辉石原矿放射性监测报告</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排放浓度承诺书</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重污染天气停产承诺书</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地下水证明</w:t>
      </w:r>
    </w:p>
    <w:p>
      <w:pPr>
        <w:pStyle w:val="45"/>
        <w:numPr>
          <w:ilvl w:val="1"/>
          <w:numId w:val="4"/>
        </w:numPr>
        <w:adjustRightInd w:val="0"/>
        <w:ind w:firstLineChars="0"/>
        <w:rPr>
          <w:rFonts w:hint="default" w:ascii="Times New Roman" w:hAnsi="Times New Roman" w:cs="Times New Roman"/>
          <w:color w:val="auto"/>
        </w:rPr>
      </w:pPr>
      <w:r>
        <w:rPr>
          <w:rFonts w:hint="default" w:ascii="Times New Roman" w:hAnsi="Times New Roman" w:cs="Times New Roman"/>
          <w:color w:val="auto"/>
        </w:rPr>
        <w:t>补充检测报告</w:t>
      </w:r>
    </w:p>
    <w:p>
      <w:pPr>
        <w:pStyle w:val="45"/>
        <w:adjustRightInd w:val="0"/>
        <w:ind w:firstLine="0" w:firstLineChars="0"/>
        <w:rPr>
          <w:rFonts w:hint="default" w:ascii="Times New Roman" w:hAnsi="Times New Roman" w:cs="Times New Roman"/>
          <w:color w:val="auto"/>
        </w:rPr>
        <w:sectPr>
          <w:pgSz w:w="11906" w:h="16838"/>
          <w:pgMar w:top="1440" w:right="1800" w:bottom="1440" w:left="1800" w:header="851" w:footer="992" w:gutter="0"/>
          <w:cols w:space="425" w:num="1"/>
          <w:docGrid w:type="lines" w:linePitch="326" w:charSpace="0"/>
        </w:sectPr>
      </w:pPr>
    </w:p>
    <w:p>
      <w:pPr>
        <w:pStyle w:val="2"/>
        <w:adjustRightInd w:val="0"/>
        <w:rPr>
          <w:rFonts w:hint="default" w:ascii="Times New Roman" w:hAnsi="Times New Roman" w:cs="Times New Roman"/>
          <w:color w:val="auto"/>
        </w:rPr>
      </w:pPr>
      <w:bookmarkStart w:id="1" w:name="_Toc27305"/>
      <w:r>
        <w:rPr>
          <w:rFonts w:hint="default" w:ascii="Times New Roman" w:hAnsi="Times New Roman" w:cs="Times New Roman"/>
          <w:color w:val="auto"/>
        </w:rPr>
        <w:t>总则</w:t>
      </w:r>
      <w:bookmarkEnd w:id="1"/>
    </w:p>
    <w:p>
      <w:pPr>
        <w:pStyle w:val="3"/>
        <w:adjustRightInd w:val="0"/>
        <w:rPr>
          <w:rFonts w:hint="default" w:ascii="Times New Roman" w:hAnsi="Times New Roman" w:cs="Times New Roman"/>
          <w:color w:val="auto"/>
        </w:rPr>
      </w:pPr>
      <w:bookmarkStart w:id="2" w:name="_Toc24170"/>
      <w:r>
        <w:rPr>
          <w:rFonts w:hint="default" w:ascii="Times New Roman" w:hAnsi="Times New Roman" w:cs="Times New Roman"/>
          <w:color w:val="auto"/>
        </w:rPr>
        <w:t>编制依据</w:t>
      </w:r>
      <w:bookmarkEnd w:id="2"/>
    </w:p>
    <w:p>
      <w:pPr>
        <w:pStyle w:val="4"/>
        <w:adjustRightInd w:val="0"/>
        <w:rPr>
          <w:rFonts w:hint="default" w:ascii="Times New Roman" w:hAnsi="Times New Roman" w:cs="Times New Roman"/>
          <w:color w:val="auto"/>
        </w:rPr>
      </w:pPr>
      <w:bookmarkStart w:id="3" w:name="_Toc31157"/>
      <w:r>
        <w:rPr>
          <w:rFonts w:hint="default" w:ascii="Times New Roman" w:hAnsi="Times New Roman" w:cs="Times New Roman"/>
          <w:color w:val="auto"/>
        </w:rPr>
        <w:t>国家环境保护法律法规和有关文件</w:t>
      </w:r>
      <w:bookmarkEnd w:id="3"/>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（1）《中华人民共和国环境保护法》（2014年4月24日修订，2015年1月1日施行）；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（2）《中华人民共和国环境影响评价法》（2018年12月29日修正，2019年1月1日起施行）；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（3）《中华人民共和国大气污染防治法》（2018年10月26日修正）；</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（4）《中华人民共和国水污染防治法》（2017年6月27日第二次修订，2018年1月1日起施行）；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（5）《中华人民共和国噪声污染防治法》（2021年12月24日通过）；</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（6）《中华人民共和国固体废物污染环境防治法》（2020年4月29日修订，2020年9月1日起施行）；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（7）《中华人民共和国清洁生产促进法》（2012年2月29日修正，2012年7月1日起施行）；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（8）《中华人民共和国水法》（2016年7月2日第二次修正）；</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（9）《中华人民共和国土地管理法》（2019年8月26日第三次修正，2020年1月1日起施行）；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（10）《中华人民共和国水土保持法》（2010年12月25日修订，2011年3月1日起施行）；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（11）《中华人民共和国节约能源法》（2018年10月26日第二次修正）；</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（12）《中华人民共和国循环经济促进法》（2018年10月26日修正）；</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（13）《建设项目环境保护管理条例》（2017年7月16日修订）；</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（14）《危险化学品安全管理条例》（2013年12月7日修订）；</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（15）《国务院关于落实科学发展观加强环境保护的决定》（国发〔2005〕39号）；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（16）《国务院关于加强环境保护重点工作的意见》（国发〔2011〕35号）；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（17）《大气污染防治行动计划》（国发〔2013〕37号）；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（18）《国务院关于印发水污染防治行动计划的通知》（国发〔2015〕17号）；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（19）《关于印发&lt;土壤污染源头防控行动计划&gt;的通知》（环土壤〔2024〕80号）；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（20）《关于印发〈建设项目主要污染物排放总量指标审核及管理暂行办法〉的通知》（环发〔2014〕197号）；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（21）《关于全面加强生态环境保护坚决打好污染防治攻坚战的意见》（中共中央国务院2018年6月16日）；</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（22）《中共中央国务院关于深入打好污染防治攻坚战的意见》（中共中央国务院2021年11月7日）；</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（23）《环境影响评价公众参与办法》（2018年4月16日审议通过，2019年1月1日起施行）；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（24）《关于进一步加强环境影响评价管理防范环境风险的通知》（环发〔2012〕77号）；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（25）《关于切实加强环境影响评价监督管理工作的通知》（环办〔2013〕104号）；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（26）《关于落实大气污染防治行动计划严格环境影响评价准入的通知》（环发〔2014〕30号）；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（27）</w:t>
      </w:r>
      <w:r>
        <w:rPr>
          <w:rFonts w:hint="eastAsia" w:cs="Times New Roman"/>
          <w:color w:val="auto"/>
          <w:lang w:eastAsia="zh-CN"/>
        </w:rPr>
        <w:t>《</w:t>
      </w:r>
      <w:r>
        <w:rPr>
          <w:rFonts w:hint="default" w:ascii="Times New Roman" w:hAnsi="Times New Roman" w:cs="Times New Roman"/>
          <w:color w:val="auto"/>
        </w:rPr>
        <w:t>关于印发</w:t>
      </w:r>
      <w:r>
        <w:rPr>
          <w:rFonts w:hint="eastAsia" w:cs="Times New Roman"/>
          <w:color w:val="auto"/>
          <w:lang w:val="en-US" w:eastAsia="zh-CN"/>
        </w:rPr>
        <w:t>&lt;</w:t>
      </w:r>
      <w:r>
        <w:rPr>
          <w:rFonts w:hint="default" w:ascii="Times New Roman" w:hAnsi="Times New Roman" w:cs="Times New Roman"/>
          <w:color w:val="auto"/>
        </w:rPr>
        <w:t>建设项目环境影响评价政府信息公开指南（试行）</w:t>
      </w:r>
      <w:r>
        <w:rPr>
          <w:rFonts w:hint="eastAsia" w:cs="Times New Roman"/>
          <w:color w:val="auto"/>
          <w:lang w:val="en-US" w:eastAsia="zh-CN"/>
        </w:rPr>
        <w:t>&gt;</w:t>
      </w:r>
      <w:r>
        <w:rPr>
          <w:rFonts w:hint="default" w:ascii="Times New Roman" w:hAnsi="Times New Roman" w:cs="Times New Roman"/>
          <w:color w:val="auto"/>
        </w:rPr>
        <w:t>的通知</w:t>
      </w:r>
      <w:r>
        <w:rPr>
          <w:rFonts w:hint="eastAsia" w:cs="Times New Roman"/>
          <w:color w:val="auto"/>
          <w:lang w:eastAsia="zh-CN"/>
        </w:rPr>
        <w:t>》</w:t>
      </w:r>
      <w:r>
        <w:rPr>
          <w:rFonts w:hint="default" w:ascii="Times New Roman" w:hAnsi="Times New Roman" w:cs="Times New Roman"/>
          <w:color w:val="auto"/>
        </w:rPr>
        <w:t>（环办〔2013〕103号）；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（28）《空气质量持续改善行动计划》（国发〔2023〕24号）；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（29）《中共四川省委四川省人民政府关于深入打好污染防治攻坚战的实施意见》（2022年9月22日）；</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（30）《危险化学品名录（2021版）》；</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（31）《国家危险废物名录（2025年版）》；</w:t>
      </w:r>
    </w:p>
    <w:p>
      <w:pPr>
        <w:pStyle w:val="4"/>
        <w:adjustRightInd w:val="0"/>
        <w:rPr>
          <w:rFonts w:hint="default" w:ascii="Times New Roman" w:hAnsi="Times New Roman" w:cs="Times New Roman"/>
          <w:color w:val="auto"/>
        </w:rPr>
      </w:pPr>
      <w:bookmarkStart w:id="4" w:name="_Toc27100"/>
      <w:r>
        <w:rPr>
          <w:rFonts w:hint="default" w:ascii="Times New Roman" w:hAnsi="Times New Roman" w:cs="Times New Roman"/>
          <w:color w:val="auto"/>
        </w:rPr>
        <w:t>地方法规及相关文件</w:t>
      </w:r>
      <w:bookmarkEnd w:id="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（1）《四川省生态环境厅关于优化调整建设项目环境影响评价文件审批权限的公告》（四川省生态环境厅公告，2023年第7号）；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（2）《四川省环境保护条例》（2017年9月22日修订，2018年1月1日施行）；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（3）《四川省打赢蓝天保卫战等九个实施方案》（川府发〔2019〕4号）；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（4）《四川省环境污染防治</w:t>
      </w:r>
      <w:r>
        <w:rPr>
          <w:rFonts w:hint="eastAsia" w:cs="Times New Roman"/>
          <w:color w:val="auto"/>
          <w:lang w:eastAsia="zh-CN"/>
        </w:rPr>
        <w:t>“</w:t>
      </w:r>
      <w:r>
        <w:rPr>
          <w:rFonts w:hint="default" w:ascii="Times New Roman" w:hAnsi="Times New Roman" w:cs="Times New Roman"/>
          <w:color w:val="auto"/>
        </w:rPr>
        <w:t>三大战役</w:t>
      </w:r>
      <w:r>
        <w:rPr>
          <w:rFonts w:hint="eastAsia" w:cs="Times New Roman"/>
          <w:color w:val="auto"/>
          <w:lang w:eastAsia="zh-CN"/>
        </w:rPr>
        <w:t>”</w:t>
      </w:r>
      <w:r>
        <w:rPr>
          <w:rFonts w:hint="default" w:ascii="Times New Roman" w:hAnsi="Times New Roman" w:cs="Times New Roman"/>
          <w:color w:val="auto"/>
        </w:rPr>
        <w:t>实施方案》；</w:t>
      </w:r>
    </w:p>
    <w:p>
      <w:pPr>
        <w:adjustRightInd w:val="0"/>
        <w:ind w:firstLine="480"/>
        <w:rPr>
          <w:rFonts w:hint="eastAsia" w:cs="Times New Roman"/>
          <w:color w:val="auto"/>
          <w:lang w:eastAsia="zh-CN"/>
        </w:rPr>
      </w:pPr>
      <w:r>
        <w:rPr>
          <w:rFonts w:hint="default" w:ascii="Times New Roman" w:hAnsi="Times New Roman" w:cs="Times New Roman"/>
          <w:color w:val="auto"/>
        </w:rPr>
        <w:t>（5）《四川省</w:t>
      </w:r>
      <w:r>
        <w:rPr>
          <w:rFonts w:hint="eastAsia" w:cs="Times New Roman"/>
          <w:color w:val="auto"/>
          <w:lang w:eastAsia="zh-CN"/>
        </w:rPr>
        <w:t>“</w:t>
      </w:r>
      <w:r>
        <w:rPr>
          <w:rFonts w:hint="default" w:ascii="Times New Roman" w:hAnsi="Times New Roman" w:cs="Times New Roman"/>
          <w:color w:val="auto"/>
        </w:rPr>
        <w:t>十四五</w:t>
      </w:r>
      <w:r>
        <w:rPr>
          <w:rFonts w:hint="eastAsia" w:cs="Times New Roman"/>
          <w:color w:val="auto"/>
          <w:lang w:eastAsia="zh-CN"/>
        </w:rPr>
        <w:t>”</w:t>
      </w:r>
      <w:r>
        <w:rPr>
          <w:rFonts w:hint="default" w:ascii="Times New Roman" w:hAnsi="Times New Roman" w:cs="Times New Roman"/>
          <w:color w:val="auto"/>
        </w:rPr>
        <w:t>重金属污染防控工作方案》（川污防攻坚办〔2022〕61号）</w:t>
      </w:r>
      <w:r>
        <w:rPr>
          <w:rFonts w:hint="eastAsia" w:cs="Times New Roman"/>
          <w:color w:val="auto"/>
          <w:lang w:eastAsia="zh-CN"/>
        </w:rPr>
        <w:t>；</w:t>
      </w:r>
    </w:p>
    <w:p>
      <w:pPr>
        <w:adjustRightInd w:val="0"/>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6</w:t>
      </w:r>
      <w:r>
        <w:rPr>
          <w:rFonts w:hint="eastAsia" w:cs="Times New Roman"/>
          <w:color w:val="auto"/>
          <w:lang w:eastAsia="zh-CN"/>
        </w:rPr>
        <w:t>）《乐山市“十四五”生态环境保护规划》（乐府发〔2022〕16号）；</w:t>
      </w:r>
    </w:p>
    <w:p>
      <w:pPr>
        <w:adjustRightInd w:val="0"/>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7</w:t>
      </w:r>
      <w:r>
        <w:rPr>
          <w:rFonts w:hint="eastAsia" w:cs="Times New Roman"/>
          <w:color w:val="auto"/>
          <w:lang w:eastAsia="zh-CN"/>
        </w:rPr>
        <w:t>）《乐山市大气污染防治三年攻坚行动2024年度“十字措施”》（乐污防攻坚〔2024〕2号）；</w:t>
      </w:r>
    </w:p>
    <w:p>
      <w:pPr>
        <w:adjustRightInd w:val="0"/>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8</w:t>
      </w:r>
      <w:r>
        <w:rPr>
          <w:rFonts w:hint="eastAsia" w:cs="Times New Roman"/>
          <w:color w:val="auto"/>
          <w:lang w:eastAsia="zh-CN"/>
        </w:rPr>
        <w:t>）《乐山市沙湾区“十四五”生态环境保护规划》（乐沙府发〔2023〕1号）。</w:t>
      </w:r>
    </w:p>
    <w:p>
      <w:pPr>
        <w:pStyle w:val="4"/>
        <w:adjustRightInd w:val="0"/>
        <w:rPr>
          <w:rFonts w:hint="default" w:ascii="Times New Roman" w:hAnsi="Times New Roman" w:cs="Times New Roman"/>
          <w:color w:val="auto"/>
        </w:rPr>
      </w:pPr>
      <w:bookmarkStart w:id="5" w:name="_Toc8769"/>
      <w:r>
        <w:rPr>
          <w:rFonts w:hint="default" w:ascii="Times New Roman" w:hAnsi="Times New Roman" w:cs="Times New Roman"/>
          <w:color w:val="auto"/>
        </w:rPr>
        <w:t>技术规范和技术导则</w:t>
      </w:r>
      <w:bookmarkEnd w:id="5"/>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（1）《建设项目环境影响评价技术导则 总纲》（HJ 2.1-2016）；</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（2）《环境影响评价技术导则 大气环境》（HJ 2.2-2018）；</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（3）《环境影响评价技术导则 地表水环境》（HJ 2.3-2018）；</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（4）《环境影响评价技术导则 地下水环境》（HJ 610-2016）；</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（5）《环境影响评价技术导则 声环境》（HJ 2.4-2021）；</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（6）《环境影响评价技术导则 生态影响》（HJ 19-2022）；</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（7）《环境影响评价技术导则 土壤环境（试行）》（HJ 964-2018）；</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（8）《建设项目环境风险评价技术导则》（HJ 169-2018）；</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（9）《风险物质重大源辨识》（GB18218-2018）；</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（10）《建设项目危险废物环境影响评价指南》（公告2017年第43号）；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（11）《突发环境事件应急监测技术规范》（HJ 589-2010）；</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（12）《一般工业固体废物贮存和填埋污染控制标准》（GB 18599-2020）；</w:t>
      </w:r>
    </w:p>
    <w:p>
      <w:pPr>
        <w:adjustRightInd w:val="0"/>
        <w:ind w:firstLine="480"/>
        <w:rPr>
          <w:rFonts w:hint="eastAsia" w:cs="Times New Roman"/>
          <w:color w:val="auto"/>
          <w:lang w:eastAsia="zh-CN"/>
        </w:rPr>
      </w:pPr>
      <w:r>
        <w:rPr>
          <w:rFonts w:hint="default" w:ascii="Times New Roman" w:hAnsi="Times New Roman" w:cs="Times New Roman"/>
          <w:color w:val="auto"/>
        </w:rPr>
        <w:t>（13）《危险废物贮存污染控制标准》（GB 18597-2023）</w:t>
      </w:r>
      <w:r>
        <w:rPr>
          <w:rFonts w:hint="eastAsia" w:cs="Times New Roman"/>
          <w:color w:val="auto"/>
          <w:lang w:eastAsia="zh-CN"/>
        </w:rPr>
        <w:t>；</w:t>
      </w:r>
    </w:p>
    <w:p>
      <w:pPr>
        <w:adjustRightInd w:val="0"/>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14</w:t>
      </w:r>
      <w:r>
        <w:rPr>
          <w:rFonts w:hint="eastAsia" w:cs="Times New Roman"/>
          <w:color w:val="auto"/>
          <w:lang w:eastAsia="zh-CN"/>
        </w:rPr>
        <w:t>）《排放源统计调查产排污核算方法和系数手册》；</w:t>
      </w:r>
    </w:p>
    <w:p>
      <w:pPr>
        <w:adjustRightInd w:val="0"/>
        <w:ind w:firstLine="480"/>
        <w:rPr>
          <w:rFonts w:hint="eastAsia" w:cs="Times New Roman"/>
          <w:color w:val="auto"/>
          <w:lang w:eastAsia="zh-CN"/>
        </w:rPr>
      </w:pPr>
      <w:r>
        <w:rPr>
          <w:rFonts w:hint="eastAsia" w:cs="Times New Roman"/>
          <w:color w:val="auto"/>
          <w:lang w:eastAsia="zh-CN"/>
        </w:rPr>
        <w:t>（</w:t>
      </w:r>
      <w:r>
        <w:rPr>
          <w:rFonts w:hint="eastAsia" w:cs="Times New Roman"/>
          <w:color w:val="auto"/>
          <w:lang w:val="en-US" w:eastAsia="zh-CN"/>
        </w:rPr>
        <w:t>15</w:t>
      </w:r>
      <w:r>
        <w:rPr>
          <w:rFonts w:hint="eastAsia" w:cs="Times New Roman"/>
          <w:color w:val="auto"/>
          <w:lang w:eastAsia="zh-CN"/>
        </w:rPr>
        <w:t>）《排污许可证申请与核发技术规范总则》（HJ942-2018）；</w:t>
      </w:r>
    </w:p>
    <w:p>
      <w:pPr>
        <w:adjustRightInd w:val="0"/>
        <w:ind w:firstLine="480"/>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16</w:t>
      </w:r>
      <w:r>
        <w:rPr>
          <w:rFonts w:hint="eastAsia" w:cs="Times New Roman"/>
          <w:color w:val="auto"/>
          <w:lang w:eastAsia="zh-CN"/>
        </w:rPr>
        <w:t>）《锂辉石精矿》（YS/T261-2011）</w:t>
      </w:r>
      <w:r>
        <w:rPr>
          <w:rFonts w:hint="default" w:ascii="Times New Roman" w:hAnsi="Times New Roman" w:cs="Times New Roman"/>
          <w:color w:val="auto"/>
        </w:rPr>
        <w:t>。</w:t>
      </w:r>
    </w:p>
    <w:p>
      <w:pPr>
        <w:pStyle w:val="4"/>
        <w:adjustRightInd w:val="0"/>
        <w:rPr>
          <w:rFonts w:hint="default" w:ascii="Times New Roman" w:hAnsi="Times New Roman" w:cs="Times New Roman"/>
          <w:color w:val="auto"/>
        </w:rPr>
      </w:pPr>
      <w:bookmarkStart w:id="6" w:name="_Toc12722"/>
      <w:r>
        <w:rPr>
          <w:rFonts w:hint="default" w:ascii="Times New Roman" w:hAnsi="Times New Roman" w:cs="Times New Roman"/>
          <w:color w:val="auto"/>
        </w:rPr>
        <w:t>其他相关资料</w:t>
      </w:r>
      <w:bookmarkEnd w:id="6"/>
    </w:p>
    <w:p>
      <w:pPr>
        <w:pStyle w:val="45"/>
        <w:numPr>
          <w:ilvl w:val="0"/>
          <w:numId w:val="5"/>
        </w:numPr>
        <w:adjustRightInd w:val="0"/>
        <w:rPr>
          <w:rFonts w:hint="default" w:ascii="Times New Roman" w:hAnsi="Times New Roman" w:cs="Times New Roman"/>
          <w:color w:val="auto"/>
        </w:rPr>
      </w:pPr>
      <w:r>
        <w:rPr>
          <w:rFonts w:hint="default" w:ascii="Times New Roman" w:hAnsi="Times New Roman" w:cs="Times New Roman"/>
          <w:color w:val="auto"/>
        </w:rPr>
        <w:t>乐山市沙湾区豪沐科技有限公司沙湾区新建50万吨锂矿加工综合利用项目环境影响评价委托书；</w:t>
      </w:r>
    </w:p>
    <w:p>
      <w:pPr>
        <w:pStyle w:val="45"/>
        <w:numPr>
          <w:ilvl w:val="0"/>
          <w:numId w:val="5"/>
        </w:numPr>
        <w:adjustRightInd w:val="0"/>
        <w:rPr>
          <w:rFonts w:hint="default" w:ascii="Times New Roman" w:hAnsi="Times New Roman" w:cs="Times New Roman"/>
          <w:color w:val="auto"/>
        </w:rPr>
      </w:pPr>
      <w:r>
        <w:rPr>
          <w:rFonts w:hint="default" w:ascii="Times New Roman" w:hAnsi="Times New Roman" w:cs="Times New Roman"/>
          <w:color w:val="auto"/>
        </w:rPr>
        <w:t>立项备案表（川投资备【2403-511126-04-01-885706】FGQB-0046号）；</w:t>
      </w:r>
    </w:p>
    <w:p>
      <w:pPr>
        <w:pStyle w:val="45"/>
        <w:numPr>
          <w:ilvl w:val="0"/>
          <w:numId w:val="5"/>
        </w:numPr>
        <w:adjustRightInd w:val="0"/>
        <w:rPr>
          <w:rFonts w:hint="default" w:ascii="Times New Roman" w:hAnsi="Times New Roman" w:cs="Times New Roman"/>
          <w:color w:val="auto"/>
        </w:rPr>
      </w:pPr>
      <w:r>
        <w:rPr>
          <w:rFonts w:hint="default" w:ascii="Times New Roman" w:hAnsi="Times New Roman" w:cs="Times New Roman"/>
          <w:color w:val="auto"/>
        </w:rPr>
        <w:t>项目区的环境质量现状监测资料；</w:t>
      </w:r>
    </w:p>
    <w:p>
      <w:pPr>
        <w:pStyle w:val="45"/>
        <w:numPr>
          <w:ilvl w:val="0"/>
          <w:numId w:val="5"/>
        </w:numPr>
        <w:adjustRightInd w:val="0"/>
        <w:rPr>
          <w:rFonts w:hint="default" w:ascii="Times New Roman" w:hAnsi="Times New Roman" w:cs="Times New Roman"/>
          <w:color w:val="auto"/>
        </w:rPr>
      </w:pPr>
      <w:r>
        <w:rPr>
          <w:rFonts w:hint="default" w:ascii="Times New Roman" w:hAnsi="Times New Roman" w:cs="Times New Roman"/>
          <w:color w:val="auto"/>
        </w:rPr>
        <w:t>锂辉石原矿检测报告</w:t>
      </w:r>
      <w:r>
        <w:rPr>
          <w:rFonts w:hint="eastAsia" w:cs="Times New Roman"/>
          <w:color w:val="auto"/>
          <w:lang w:eastAsia="zh-CN"/>
        </w:rPr>
        <w:t>；</w:t>
      </w:r>
    </w:p>
    <w:p>
      <w:pPr>
        <w:pStyle w:val="45"/>
        <w:numPr>
          <w:ilvl w:val="0"/>
          <w:numId w:val="5"/>
        </w:numPr>
        <w:adjustRightInd w:val="0"/>
        <w:rPr>
          <w:rFonts w:hint="default" w:ascii="Times New Roman" w:hAnsi="Times New Roman" w:cs="Times New Roman"/>
          <w:color w:val="auto"/>
        </w:rPr>
      </w:pPr>
      <w:r>
        <w:rPr>
          <w:rFonts w:hint="default" w:ascii="Times New Roman" w:hAnsi="Times New Roman" w:cs="Times New Roman"/>
          <w:color w:val="auto"/>
        </w:rPr>
        <w:t>锂辉石原矿放射性监测报告</w:t>
      </w:r>
      <w:r>
        <w:rPr>
          <w:rFonts w:hint="eastAsia" w:cs="Times New Roman"/>
          <w:color w:val="auto"/>
          <w:lang w:eastAsia="zh-CN"/>
        </w:rPr>
        <w:t>；</w:t>
      </w:r>
    </w:p>
    <w:p>
      <w:pPr>
        <w:pStyle w:val="45"/>
        <w:numPr>
          <w:ilvl w:val="0"/>
          <w:numId w:val="5"/>
        </w:numPr>
        <w:adjustRightInd w:val="0"/>
        <w:rPr>
          <w:rFonts w:hint="default" w:ascii="Times New Roman" w:hAnsi="Times New Roman" w:cs="Times New Roman"/>
          <w:color w:val="auto"/>
        </w:rPr>
      </w:pPr>
      <w:r>
        <w:rPr>
          <w:rFonts w:hint="default" w:ascii="Times New Roman" w:hAnsi="Times New Roman" w:cs="Times New Roman"/>
          <w:color w:val="auto"/>
        </w:rPr>
        <w:t>建设单位提供的其他资料和文件。</w:t>
      </w:r>
    </w:p>
    <w:p>
      <w:pPr>
        <w:pStyle w:val="3"/>
        <w:adjustRightInd w:val="0"/>
        <w:rPr>
          <w:rFonts w:hint="default" w:ascii="Times New Roman" w:hAnsi="Times New Roman" w:cs="Times New Roman"/>
          <w:color w:val="auto"/>
        </w:rPr>
      </w:pPr>
      <w:bookmarkStart w:id="7" w:name="_Toc8178"/>
      <w:r>
        <w:rPr>
          <w:rFonts w:hint="default" w:ascii="Times New Roman" w:hAnsi="Times New Roman" w:cs="Times New Roman"/>
          <w:color w:val="auto"/>
        </w:rPr>
        <w:t>评价目的和评价原则</w:t>
      </w:r>
      <w:bookmarkEnd w:id="7"/>
    </w:p>
    <w:p>
      <w:pPr>
        <w:pStyle w:val="4"/>
        <w:adjustRightInd w:val="0"/>
        <w:rPr>
          <w:rFonts w:hint="default" w:ascii="Times New Roman" w:hAnsi="Times New Roman" w:cs="Times New Roman"/>
          <w:color w:val="auto"/>
        </w:rPr>
      </w:pPr>
      <w:bookmarkStart w:id="8" w:name="_Toc27689"/>
      <w:r>
        <w:rPr>
          <w:rFonts w:hint="default" w:ascii="Times New Roman" w:hAnsi="Times New Roman" w:cs="Times New Roman"/>
          <w:color w:val="auto"/>
        </w:rPr>
        <w:t>评价目的</w:t>
      </w:r>
      <w:bookmarkEnd w:id="8"/>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环境影响评价的目的，是对项目实施后可能造成的环境影响进行分析、预测和评估，提出预防或者减轻不良环境影响的对策和措施。针对本项目而言，评价的目的具体表现在以下几个方面：</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（1）分析本项目建设是否符合国家现行产业政策的要求；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（2）对项目的选址、规划布局、设计等方面进行环境可行性论证，从环保角度对工程建设提出要求和建议；</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（3）调查、研究项目所在区域以及邻近地区的环境功能，开展评价区域自然环境、社会环境及环境质量现状调查，确定工程实施对环境的影响要素及主要环境保护目标；</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（4）通过对本项目在施工期和运营期可能产生的各种环境影响进行定性、定量分析、评估和预测，评价项目实施后的环境影响范围及程度；</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（5）分析本工程可能存在的环境风险，预测风险发生后可能影响的程度和范围，并根据相关规定提出相应的风险防范措施；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6）针对工程施工和运行对环境造成的不良影响，制定可行的对策和减缓措施，制定工程环境监理和环境管理规划，估算工程环境投资，保证工程顺利施工和正常运行，充分发挥工程的经济效益、社会效益和环境效益；</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7）结合企业的公众参与情况，弥补环境影响评价中可能存在的疏忽和遗漏，使拟建项目的规划、设计及环境管理更加完善与合理，力求项目建设及运营在环境效益、社会效益和经济效益等方面实现最优化的统一；为项目的生产管理和环境管理提供科学依据，为沿线地区的经济发展规划和环保规划提供依据，并为决策者提供协调环境与发展关系的科学依据；</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（8）从环保角度论证项目建设的可行性，为工程建设和环境管理提供科学依据。</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通过以上多方面的分析，明确给出本项目环境影响的可行性结论，为项目工程建设及运行中的环境管理提供依据。</w:t>
      </w:r>
    </w:p>
    <w:p>
      <w:pPr>
        <w:pStyle w:val="4"/>
        <w:adjustRightInd w:val="0"/>
        <w:rPr>
          <w:rFonts w:hint="default" w:ascii="Times New Roman" w:hAnsi="Times New Roman" w:cs="Times New Roman"/>
          <w:color w:val="auto"/>
        </w:rPr>
      </w:pPr>
      <w:bookmarkStart w:id="9" w:name="_Toc15505"/>
      <w:r>
        <w:rPr>
          <w:rFonts w:hint="default" w:ascii="Times New Roman" w:hAnsi="Times New Roman" w:cs="Times New Roman"/>
          <w:color w:val="auto"/>
        </w:rPr>
        <w:t>评价原则</w:t>
      </w:r>
      <w:bookmarkEnd w:id="9"/>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按照以人为本、建设资源节约型、环境友好型社会和科学发展的要求，遵循以下原则开展环境影响评价工作：</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（1）依法评价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（2）科学评价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规范环境影响评价方法，科学分析项目建设对环境质量的影响。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（3）突出重点</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3"/>
        <w:adjustRightInd w:val="0"/>
        <w:rPr>
          <w:rFonts w:hint="default" w:ascii="Times New Roman" w:hAnsi="Times New Roman" w:cs="Times New Roman"/>
          <w:color w:val="auto"/>
        </w:rPr>
      </w:pPr>
      <w:bookmarkStart w:id="10" w:name="_Toc32348"/>
      <w:r>
        <w:rPr>
          <w:rFonts w:hint="default" w:ascii="Times New Roman" w:hAnsi="Times New Roman" w:cs="Times New Roman"/>
          <w:color w:val="auto"/>
        </w:rPr>
        <w:t>评价重点和评价时段</w:t>
      </w:r>
      <w:bookmarkEnd w:id="10"/>
    </w:p>
    <w:p>
      <w:pPr>
        <w:pStyle w:val="4"/>
        <w:adjustRightInd w:val="0"/>
        <w:rPr>
          <w:rFonts w:hint="default" w:ascii="Times New Roman" w:hAnsi="Times New Roman" w:cs="Times New Roman"/>
          <w:color w:val="auto"/>
        </w:rPr>
      </w:pPr>
      <w:bookmarkStart w:id="11" w:name="_Toc26977"/>
      <w:r>
        <w:rPr>
          <w:rFonts w:hint="default" w:ascii="Times New Roman" w:hAnsi="Times New Roman" w:cs="Times New Roman"/>
          <w:color w:val="auto"/>
        </w:rPr>
        <w:t>评价重点</w:t>
      </w:r>
      <w:bookmarkEnd w:id="1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本项目生产工艺及特点，本项目运营期将产生颗粒物、污水、固废、噪声等污染物，结合工程建设地址的环境条件和环境特征，对本工程评价内容涉及环境空气、地表水环境、地下水环境，噪声环境及卫生环境等进行影响评价。评价重点主要是：</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（1）工程建设期及运营期对区域自然、社会及生态环境的影响及预防措施；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（2）对区域地表水和地下水环境的影响；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（3）大气污染物对区域环境空气的影响；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（4）项目尾矿作为陶瓷原料综合利用的可行性分析；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（5）工程运行的环保措施及经济、技术论证。</w:t>
      </w:r>
    </w:p>
    <w:p>
      <w:pPr>
        <w:pStyle w:val="4"/>
        <w:adjustRightInd w:val="0"/>
        <w:rPr>
          <w:rFonts w:hint="default" w:ascii="Times New Roman" w:hAnsi="Times New Roman" w:cs="Times New Roman"/>
          <w:color w:val="auto"/>
        </w:rPr>
      </w:pPr>
      <w:bookmarkStart w:id="12" w:name="_Toc31442"/>
      <w:r>
        <w:rPr>
          <w:rFonts w:hint="default" w:ascii="Times New Roman" w:hAnsi="Times New Roman" w:cs="Times New Roman"/>
          <w:color w:val="auto"/>
        </w:rPr>
        <w:t>评价时段</w:t>
      </w:r>
      <w:bookmarkEnd w:id="12"/>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评价时段为项目的施工期及运营期。</w:t>
      </w:r>
    </w:p>
    <w:p>
      <w:pPr>
        <w:pStyle w:val="3"/>
        <w:adjustRightInd w:val="0"/>
        <w:rPr>
          <w:rFonts w:hint="default" w:ascii="Times New Roman" w:hAnsi="Times New Roman" w:cs="Times New Roman"/>
          <w:color w:val="auto"/>
        </w:rPr>
      </w:pPr>
      <w:bookmarkStart w:id="13" w:name="_Toc25583"/>
      <w:r>
        <w:rPr>
          <w:rFonts w:hint="default" w:ascii="Times New Roman" w:hAnsi="Times New Roman" w:cs="Times New Roman"/>
          <w:color w:val="auto"/>
        </w:rPr>
        <w:t>政策、规划和选址符合性分析</w:t>
      </w:r>
      <w:bookmarkEnd w:id="13"/>
    </w:p>
    <w:p>
      <w:pPr>
        <w:pStyle w:val="4"/>
        <w:adjustRightInd w:val="0"/>
        <w:rPr>
          <w:rFonts w:hint="default" w:ascii="Times New Roman" w:hAnsi="Times New Roman" w:cs="Times New Roman"/>
          <w:color w:val="auto"/>
        </w:rPr>
      </w:pPr>
      <w:bookmarkStart w:id="14" w:name="_Toc20861"/>
      <w:r>
        <w:rPr>
          <w:rFonts w:hint="default" w:ascii="Times New Roman" w:hAnsi="Times New Roman" w:cs="Times New Roman"/>
          <w:color w:val="auto"/>
        </w:rPr>
        <w:t>政策符合性分析</w:t>
      </w:r>
      <w:bookmarkEnd w:id="14"/>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与国家产业政策符合性分析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本项目为锂辉石加工生产项目，根据《国民经济行业分类》（GB/T4754-2017），本项目为B0939其他稀有金属采选。根据国家发展和改革委员会2023年第7号令《产业结构调整指导目录（2024年本）》，本项目不在</w:t>
      </w:r>
      <w:r>
        <w:rPr>
          <w:rFonts w:hint="eastAsia" w:cs="Times New Roman"/>
          <w:color w:val="auto"/>
          <w:lang w:eastAsia="zh-CN"/>
        </w:rPr>
        <w:t>“</w:t>
      </w:r>
      <w:r>
        <w:rPr>
          <w:rFonts w:hint="default" w:ascii="Times New Roman" w:hAnsi="Times New Roman" w:cs="Times New Roman"/>
          <w:color w:val="auto"/>
        </w:rPr>
        <w:t>鼓励类</w:t>
      </w:r>
      <w:r>
        <w:rPr>
          <w:rFonts w:hint="eastAsia" w:cs="Times New Roman"/>
          <w:color w:val="auto"/>
          <w:lang w:eastAsia="zh-CN"/>
        </w:rPr>
        <w:t>”</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限制类</w:t>
      </w:r>
      <w:r>
        <w:rPr>
          <w:rFonts w:hint="eastAsia" w:cs="Times New Roman"/>
          <w:color w:val="auto"/>
          <w:lang w:eastAsia="zh-CN"/>
        </w:rPr>
        <w:t>”</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淘汰类</w:t>
      </w:r>
      <w:r>
        <w:rPr>
          <w:rFonts w:hint="eastAsia" w:cs="Times New Roman"/>
          <w:color w:val="auto"/>
          <w:lang w:eastAsia="zh-CN"/>
        </w:rPr>
        <w:t>”</w:t>
      </w:r>
      <w:r>
        <w:rPr>
          <w:rFonts w:hint="default" w:ascii="Times New Roman" w:hAnsi="Times New Roman" w:cs="Times New Roman"/>
          <w:color w:val="auto"/>
        </w:rPr>
        <w:t>之列，视为</w:t>
      </w:r>
      <w:r>
        <w:rPr>
          <w:rFonts w:hint="eastAsia" w:cs="Times New Roman"/>
          <w:color w:val="auto"/>
          <w:lang w:eastAsia="zh-CN"/>
        </w:rPr>
        <w:t>“</w:t>
      </w:r>
      <w:r>
        <w:rPr>
          <w:rFonts w:hint="default" w:ascii="Times New Roman" w:hAnsi="Times New Roman" w:cs="Times New Roman"/>
          <w:color w:val="auto"/>
        </w:rPr>
        <w:t>允许类</w:t>
      </w:r>
      <w:r>
        <w:rPr>
          <w:rFonts w:hint="eastAsia" w:cs="Times New Roman"/>
          <w:color w:val="auto"/>
          <w:lang w:eastAsia="zh-CN"/>
        </w:rPr>
        <w:t>”</w:t>
      </w:r>
      <w:r>
        <w:rPr>
          <w:rFonts w:hint="default" w:ascii="Times New Roman" w:hAnsi="Times New Roman" w:cs="Times New Roman"/>
          <w:color w:val="auto"/>
        </w:rPr>
        <w:t>。本项目使用的设备均不在《产业结构调整指导目录（2024年本）》及《部分工业行业淘汰落后生产工艺装备和产品指导目录（2010年本）》淘汰之列。</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2025年8月11日，沙湾区发展和改革局对本项目进行了备案（川投资备【2508-511111-04-01-291469】FGQB-0129号），原则上同意本项目建设。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因此，本项目的建设符合国家现行产业政策。</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与现行污染防治政策及规划相关要求的符合性分析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本项目与现行污染防治政策及规划相关要求的符合性如下。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本项目与污染防治相关政策符合性</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992"/>
        <w:gridCol w:w="2993"/>
        <w:gridCol w:w="2897"/>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2340"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具体要求</w:t>
            </w:r>
          </w:p>
        </w:tc>
        <w:tc>
          <w:tcPr>
            <w:tcW w:w="1701"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46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《空气质量持续改善行动计划》（国发〔2023〕24号）</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本项目不涉及VOCs排放。</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pPr>
              <w:pStyle w:val="36"/>
              <w:adjustRightInd w:val="0"/>
              <w:rPr>
                <w:rFonts w:hint="default" w:ascii="Times New Roman" w:hAnsi="Times New Roman" w:cs="Times New Roman"/>
                <w:color w:val="auto"/>
              </w:rPr>
            </w:pP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推进重点行业污染深度治理。高质量推进钢铁、水泥、焦化等重点行业及燃煤锅炉超低排放改造。到2025年，全国80%以上的钢铁产能完成超低排放改造任务；重点区域全部实现钢铁行业超低排放，基本完成燃煤锅炉超低排放改造。</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本项目不属于钢铁、水泥、焦化等行业。</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《国务院关于印发大气污染防治行动计划的通知》（国发〔2013〕37号）</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一、加大综合治理力度，减少多污染物排放。加快重点行业脱硫、脱硝、除尘改造工程建设。所有燃煤电厂、钢铁企业的烧结机和球团生产设备、石油炼制企业的催化裂化装置、有色金属冶炼企业都要安装脱硫设施，每小时20蒸吨及以上的燃煤锅炉要实施脱硫。除循环流化床锅炉以外的燃煤机组均应安装脱硝设施，新型干法水泥窑要实施低氮燃烧技术改造并安装脱硝设施。燃煤锅炉和工业窑炉现有除尘设施要实施升级改造。</w:t>
            </w:r>
          </w:p>
        </w:tc>
        <w:tc>
          <w:tcPr>
            <w:tcW w:w="1701"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本项目属于新建项目。本项目不属于燃煤电厂、钢铁企业、球团生产设备、石油炼制企业、有色金属冶炼企业。本项目不涉及燃煤锅炉、燃煤机组、工业窑炉。</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pPr>
              <w:pStyle w:val="36"/>
              <w:adjustRightInd w:val="0"/>
              <w:rPr>
                <w:rFonts w:hint="default" w:ascii="Times New Roman" w:hAnsi="Times New Roman" w:cs="Times New Roman"/>
                <w:color w:val="auto"/>
              </w:rPr>
            </w:pP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二、调整优化产业结构，推动产业转型升级。（五）加快淘汰落后产能。结合产业发展实际和环境质量状况，进一步提高环保、能耗、安全、质量等标准，分区域明确落后产能淘汰任务，倒逼产业转型升级。按照《部分工业行业淘汰落后生产工艺装备和产品指导目录（2010年本）》《产业结构调整指导目录》的要求，采取经济、技术、法律和必要的行政手段，提前一年完成钢铁、水泥、电解铝、平板玻璃等21个重点行业的“十二五”落后产能淘汰任务。2015年再淘汰炼铁1500万吨、炼钢1500万吨、水泥（熟料及粉磨能力）1亿吨、平板玻璃2000万重量箱。对未按期完成淘汰任务的地区，严格控制国家安排的投资项目，暂停对该地区重点行业建设项目办理审批、核准和备案手续。2016年、2017年，各地区要制定范围更宽、标准更高的落后产能淘汰政策，再淘汰一批落后产能。对布局分散、装备水平低、环保设施差的小型工业企业进行全面排查，制定综合整改方案，实施分类治理。</w:t>
            </w:r>
          </w:p>
        </w:tc>
        <w:tc>
          <w:tcPr>
            <w:tcW w:w="1701"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本项目所选生产工艺装备不含《部分工业行业淘汰落后生产工艺装备和产品指导目录（2010年本）》《产业结构调整指导目录》要求的淘汰落后生产工艺装备。本项目不属于钢铁、水泥、电解铝、平板玻璃等21个重点行业。</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pPr>
              <w:pStyle w:val="36"/>
              <w:adjustRightInd w:val="0"/>
              <w:rPr>
                <w:rFonts w:hint="default" w:ascii="Times New Roman" w:hAnsi="Times New Roman" w:cs="Times New Roman"/>
                <w:color w:val="auto"/>
              </w:rPr>
            </w:pP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十七）强化节能环保指标约束。提高节能环保准入门槛，健全重点行业准入条件，公布符合准入条件的企业名单并实施动态管理。严格实施污染物排放总量控制，将二氧化硫、氮氧化物、颗粒物和挥发性有机物排放是否符合总量控制要求作为建设项目环境影响评价审批的前置条件。京津冀、长三角、珠三角区域以及辽宁中部、山东、武汉及其周边、长株潭、成渝、海峡西岸、山西中北部、陕西关中、甘宁、乌鲁木齐城市群等“三区十群”中的47个城市，新建火电、钢铁、石化、水泥、有色、化工等企业以及燃煤锅炉项目要执行大气污染物特别排放限值。各地区可根据环境质量改善的需要，扩大特别排放限值实施的范围。</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本项目严格落实减排计划，实施大气污染物双倍替代削减要求。</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pPr>
              <w:pStyle w:val="36"/>
              <w:adjustRightInd w:val="0"/>
              <w:rPr>
                <w:rFonts w:hint="default" w:ascii="Times New Roman" w:hAnsi="Times New Roman" w:cs="Times New Roman"/>
                <w:color w:val="auto"/>
              </w:rPr>
            </w:pP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十八）优化空间格局。科学制定并严格实施城市规划，强化城市空间管制要求和绿地控制要求，规范各类产业园区和城市新城、新区设立和布局，禁止随意调整和修改城市规划，形成有利于大气污染物扩散的城市和区域空间格局。研究开展城市环境总体规划试点工作。结合化解过剩产能、节能减排和企业兼并重组，有序推进位于城市主城区的钢铁、石化、化工、有色金属冶炼、水泥、平板玻璃等重污染企业环保搬迁、改造，到2017年基本完成。</w:t>
            </w:r>
          </w:p>
        </w:tc>
        <w:tc>
          <w:tcPr>
            <w:tcW w:w="1701" w:type="pct"/>
            <w:vAlign w:val="center"/>
          </w:tcPr>
          <w:p>
            <w:pPr>
              <w:pStyle w:val="36"/>
              <w:adjustRightInd w:val="0"/>
              <w:rPr>
                <w:rFonts w:hint="default" w:ascii="Times New Roman" w:hAnsi="Times New Roman" w:cs="Times New Roman"/>
                <w:color w:val="auto"/>
              </w:rPr>
            </w:pPr>
            <w:r>
              <w:rPr>
                <w:rFonts w:hint="eastAsia" w:cs="Times New Roman"/>
                <w:color w:val="auto"/>
                <w:lang w:val="en-US" w:eastAsia="zh-CN"/>
              </w:rPr>
              <w:t>本项目不属于</w:t>
            </w:r>
            <w:r>
              <w:rPr>
                <w:rFonts w:hint="default" w:ascii="Times New Roman" w:hAnsi="Times New Roman" w:cs="Times New Roman"/>
                <w:color w:val="auto"/>
              </w:rPr>
              <w:t>钢铁、石化、化工、有色金属冶炼、水泥、平板玻璃等重污染企业</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pPr>
              <w:pStyle w:val="36"/>
              <w:adjustRightInd w:val="0"/>
              <w:rPr>
                <w:rFonts w:hint="eastAsia" w:ascii="Times New Roman" w:hAnsi="Times New Roman" w:eastAsia="宋体" w:cs="Times New Roman"/>
                <w:color w:val="auto"/>
                <w:lang w:eastAsia="zh-CN"/>
              </w:rPr>
            </w:pPr>
            <w:r>
              <w:rPr>
                <w:rFonts w:hint="default" w:ascii="Times New Roman" w:hAnsi="Times New Roman" w:cs="Times New Roman"/>
                <w:color w:val="auto"/>
              </w:rPr>
              <w:t>《中共四川省委四川省人民政府关于深入打好污染防治攻坚战的实施意见》</w:t>
            </w:r>
            <w:r>
              <w:rPr>
                <w:rFonts w:hint="eastAsia" w:cs="Times New Roman"/>
                <w:color w:val="auto"/>
                <w:lang w:eastAsia="zh-CN"/>
              </w:rPr>
              <w:t>（</w:t>
            </w:r>
            <w:r>
              <w:rPr>
                <w:rFonts w:hint="default" w:ascii="Times New Roman" w:hAnsi="Times New Roman" w:cs="Times New Roman"/>
                <w:color w:val="auto"/>
              </w:rPr>
              <w:t>2022年9月22日</w:t>
            </w:r>
            <w:r>
              <w:rPr>
                <w:rFonts w:hint="eastAsia" w:cs="Times New Roman"/>
                <w:color w:val="auto"/>
                <w:lang w:eastAsia="zh-CN"/>
              </w:rPr>
              <w:t>）</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推动产业结构优化升级。建立高耗能、高排放、低水平项目判定标准、管理台账和正面清单，强化"三线一单”生态环境分区管控、环境影响评价、节能审查等硬约束，坚决遏制高耗能、高排放、低水平项目盲目发展。钢铁、水泥、平板玻璃等行业新增产能严格执行产能置换政策。推动钢铁、白酒、建材等传统产业向清洁化、绿色化、智能化发展。</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根据《关于印发&lt;四川省“两高”项目管理目录（试行）&gt;的通知》（川发改环资函〔2024〕259号），本项目不属于两高项目</w:t>
            </w:r>
            <w:r>
              <w:rPr>
                <w:rFonts w:hint="eastAsia" w:cs="Times New Roman"/>
                <w:color w:val="auto"/>
                <w:lang w:eastAsia="zh-CN"/>
              </w:rPr>
              <w:t>。</w:t>
            </w:r>
            <w:r>
              <w:rPr>
                <w:rFonts w:hint="default" w:ascii="Times New Roman" w:hAnsi="Times New Roman" w:cs="Times New Roman"/>
                <w:color w:val="auto"/>
              </w:rPr>
              <w:t>本项目不属于高耗能、高排放、低水平项目。</w:t>
            </w:r>
            <w:r>
              <w:rPr>
                <w:rFonts w:hint="eastAsia" w:cs="Times New Roman"/>
                <w:color w:val="auto"/>
                <w:lang w:val="en-US" w:eastAsia="zh-CN"/>
              </w:rPr>
              <w:t>本项目不属于</w:t>
            </w:r>
            <w:r>
              <w:rPr>
                <w:rFonts w:hint="default" w:ascii="Times New Roman" w:hAnsi="Times New Roman" w:cs="Times New Roman"/>
                <w:color w:val="auto"/>
              </w:rPr>
              <w:t>钢铁、水泥、平板玻璃、钢铁、白酒、建材等行业。</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pPr>
              <w:pStyle w:val="36"/>
              <w:adjustRightInd w:val="0"/>
              <w:rPr>
                <w:rFonts w:hint="default" w:ascii="Times New Roman" w:hAnsi="Times New Roman" w:cs="Times New Roman"/>
                <w:color w:val="auto"/>
              </w:rPr>
            </w:pP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打好城市黑臭水体治理攻坚战。加强控源截污，推动城镇污水管网全覆盖、全收集、全处理。到2025年，全省基本消除城市建成区生活污水直排口。提升基础设施效能，强化城镇污水处理设施及工业园区集中式污水处理设施运营监管。抓好内源治理和生态修复，合理调配水资源，增强河湖自净功能。巩固地级及以上城市建成区黑臭水体整治成效，建立防止返黑返臭的长效机制。到2025年，全省县级城市建成区基本消除黑臭水体。</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本项目所在区域不属于缺水地区、水污染严重地区和敏感区域；</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本项目选矿废水经絮凝沉淀处理后回用于选矿，不外排；车辆冲洗废水经沉淀池处理后回用于车辆冲洗，不外排；初期雨水经初期雨水池沉淀处理后回用于喷雾降尘，不外排；生活污水经预处理池（50m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）处理达标后经污水管网排入乐山（沙湾）不锈钢产业园区污水处理厂处理。</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pPr>
              <w:pStyle w:val="36"/>
              <w:adjustRightInd w:val="0"/>
              <w:rPr>
                <w:rFonts w:hint="eastAsia" w:ascii="Times New Roman" w:hAnsi="Times New Roman" w:eastAsia="宋体" w:cs="Times New Roman"/>
                <w:color w:val="auto"/>
                <w:lang w:val="en-US" w:eastAsia="zh-CN"/>
              </w:rPr>
            </w:pPr>
            <w:r>
              <w:rPr>
                <w:rFonts w:hint="default" w:ascii="Times New Roman" w:hAnsi="Times New Roman" w:cs="Times New Roman"/>
                <w:color w:val="auto"/>
              </w:rPr>
              <w:t>《水污染防治行动计划四川省工作方案</w:t>
            </w:r>
            <w:r>
              <w:rPr>
                <w:rFonts w:hint="eastAsia" w:cs="Times New Roman"/>
                <w:color w:val="auto"/>
                <w:lang w:eastAsia="zh-CN"/>
              </w:rPr>
              <w:t>》（2016</w:t>
            </w:r>
            <w:r>
              <w:rPr>
                <w:rFonts w:hint="eastAsia" w:cs="Times New Roman"/>
                <w:color w:val="auto"/>
                <w:lang w:val="en-US" w:eastAsia="zh-CN"/>
              </w:rPr>
              <w:t>年</w:t>
            </w:r>
            <w:r>
              <w:rPr>
                <w:rFonts w:hint="eastAsia" w:cs="Times New Roman"/>
                <w:color w:val="auto"/>
                <w:lang w:eastAsia="zh-CN"/>
              </w:rPr>
              <w:t>2</w:t>
            </w:r>
            <w:r>
              <w:rPr>
                <w:rFonts w:hint="eastAsia" w:cs="Times New Roman"/>
                <w:color w:val="auto"/>
                <w:lang w:val="en-US" w:eastAsia="zh-CN"/>
              </w:rPr>
              <w:t>月</w:t>
            </w:r>
            <w:r>
              <w:rPr>
                <w:rFonts w:hint="eastAsia" w:cs="Times New Roman"/>
                <w:color w:val="auto"/>
                <w:lang w:eastAsia="zh-CN"/>
              </w:rPr>
              <w:t>17</w:t>
            </w:r>
            <w:r>
              <w:rPr>
                <w:rFonts w:hint="eastAsia" w:cs="Times New Roman"/>
                <w:color w:val="auto"/>
                <w:lang w:val="en-US" w:eastAsia="zh-CN"/>
              </w:rPr>
              <w:t>日</w:t>
            </w:r>
            <w:r>
              <w:rPr>
                <w:rFonts w:hint="eastAsia" w:cs="Times New Roman"/>
                <w:color w:val="auto"/>
                <w:lang w:eastAsia="zh-CN"/>
              </w:rPr>
              <w:t>）</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五）调整产业结构。16.依法淘汰落后产能。经济和信息化部门会同相关部门依据部分工业行业淘汰落后生产工艺装备和产品指导目录、产业结构调整指导目录及相关行业污染物排放标准，结合水质改善要求及产业发展情况，制定并实施分年度的落后产能淘汰方案，报工业和信息化部、环境保护部备案。各市（州）应层层分解落实，未完成淘汰任务的地方，暂停审批和核准相关行业新建项目。</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本项目属于《产业结构调整指导目录（2024年本）》中允许类，符合国家产业政策。</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9" w:type="pct"/>
            <w:vMerge w:val="continue"/>
            <w:vAlign w:val="center"/>
          </w:tcPr>
          <w:p>
            <w:pPr>
              <w:pStyle w:val="36"/>
              <w:adjustRightInd w:val="0"/>
              <w:rPr>
                <w:rFonts w:hint="default" w:ascii="Times New Roman" w:hAnsi="Times New Roman" w:cs="Times New Roman"/>
                <w:color w:val="auto"/>
              </w:rPr>
            </w:pP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（七）推进循环发展。22.加强工业水循环利用。经济和信息化部门指导钢铁、纺织印染、造纸、石油石化、化工、制革等高耗水企业废水深度处理回用。</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本项目不属于钢铁、纺织印染、造纸、石油石化、化工、制革等高耗水企业，不属于高耗水企业，项目生产废水循环使用，不外排。</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89" w:type="pct"/>
            <w:vMerge w:val="restart"/>
            <w:vAlign w:val="center"/>
          </w:tcPr>
          <w:p>
            <w:pPr>
              <w:pStyle w:val="36"/>
              <w:adjustRightInd w:val="0"/>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土壤污染源头防控行动计划</w:t>
            </w:r>
            <w:r>
              <w:rPr>
                <w:rFonts w:hint="eastAsia" w:cs="Times New Roman"/>
                <w:color w:val="auto"/>
                <w:lang w:eastAsia="zh-CN"/>
              </w:rPr>
              <w:t>》</w:t>
            </w:r>
            <w:r>
              <w:rPr>
                <w:rFonts w:hint="default" w:ascii="Times New Roman" w:hAnsi="Times New Roman" w:cs="Times New Roman"/>
                <w:color w:val="auto"/>
              </w:rPr>
              <w:t>（环土壤〔2024〕80号）</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（一）落实生态环境分区管控。加强农用地分类管理，衔接国土空间规划，根据土壤污染程度和相关标准，动态调整优先保护类、安全利用类和严格管控类农用地的数量和边界，细化并落实分类管 理措施。城镇开发边界外不得规划建设各类开发区，区内各类开发建设活动应严格落实生态环境准入清单。</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本项目所在区域位于城镇开发边界内，属于工业用地。</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89" w:type="pct"/>
            <w:vMerge w:val="continue"/>
            <w:vAlign w:val="center"/>
          </w:tcPr>
          <w:p>
            <w:pPr>
              <w:pStyle w:val="36"/>
              <w:adjustRightInd w:val="0"/>
              <w:rPr>
                <w:rFonts w:hint="default" w:ascii="Times New Roman" w:hAnsi="Times New Roman" w:cs="Times New Roman"/>
                <w:color w:val="auto"/>
              </w:rPr>
            </w:pP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五）强化重点单位环境管理。严格环境监管重点单位名录管理，确保土壤污染重点监管单位和地下水污染防治重点排污单位应纳尽纳。加强以排污许可为核心的环境管理，督促土壤污染重点监管单位按照排污许可证规定和标准规范落实控制有毒有害物质排放、土壤污染隐患排查、自行监测等要求。</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本项目属于新建锂辉石选矿项目，本项目已提出土壤污染预防，企业将严格落实。</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《四川省打赢蓝天保卫战等九个实施方案》（川府发〔2019〕4号）</w:t>
            </w:r>
          </w:p>
        </w:tc>
        <w:tc>
          <w:tcPr>
            <w:tcW w:w="582"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四川省打赢蓝天保卫战实施方案</w:t>
            </w:r>
          </w:p>
        </w:tc>
        <w:tc>
          <w:tcPr>
            <w:tcW w:w="1757"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一、调整产业结构，深化工业污染治理：新、改、扩建钢铁、石化、化工、焦化、建材、有色等项目的环境影响评价应满足区域、规划环境影响评价要求。推进工业污染源全面达标排放。重点区域执行大气污染物特别排放限值。开展工业炉窑污染整治，鼓励工业炉窑使用电、天然气等清洁能源或周边热电厂供热；强化挥发性有机物综合治理，新建涉及VOCs排放的工业企业入园区，实行区域内VOCs排放等量或倍量削减替代。</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①项目位于乐山（沙湾）不锈钢产业园区内，项目用地性质属于工业用地；</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②本项目无VOCs产生。</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pPr>
              <w:pStyle w:val="36"/>
              <w:adjustRightInd w:val="0"/>
              <w:rPr>
                <w:rFonts w:hint="default" w:ascii="Times New Roman" w:hAnsi="Times New Roman" w:cs="Times New Roman"/>
                <w:color w:val="auto"/>
              </w:rPr>
            </w:pPr>
          </w:p>
        </w:tc>
        <w:tc>
          <w:tcPr>
            <w:tcW w:w="582"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四川省打赢碧水保卫战实施方案</w:t>
            </w:r>
          </w:p>
        </w:tc>
        <w:tc>
          <w:tcPr>
            <w:tcW w:w="1757"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三、实施工业污染治理</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加快推进工业园区（工业集聚区）污水处理设施建设，确保污水处理设施按期建成投入使用和正常运行。在处理设施建成前，依托生活污水处理厂、一体化应急设备全面处理工业废水，确保达标排放。</w:t>
            </w:r>
          </w:p>
        </w:tc>
        <w:tc>
          <w:tcPr>
            <w:tcW w:w="170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本项目选矿废水经絮凝沉淀处理后回用于选矿，不外排；车辆冲洗废水经沉淀池处理后回用于车辆冲洗，不外排；初期雨水经初期雨水池沉淀处理后回用于喷雾降尘，不外排；生活污水经预处理池（50m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）处理达标后经污水管网排入乐山（沙湾）不锈钢产业园区污水处理厂处理。</w:t>
            </w:r>
          </w:p>
        </w:tc>
        <w:tc>
          <w:tcPr>
            <w:tcW w:w="46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pPr>
              <w:pStyle w:val="36"/>
              <w:adjustRightInd w:val="0"/>
              <w:rPr>
                <w:rFonts w:hint="default" w:ascii="Times New Roman" w:hAnsi="Times New Roman" w:cs="Times New Roman"/>
                <w:color w:val="auto"/>
              </w:rPr>
            </w:pPr>
          </w:p>
        </w:tc>
        <w:tc>
          <w:tcPr>
            <w:tcW w:w="582"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四川省打好城市黑臭水体治理攻坚战实施方案</w:t>
            </w:r>
          </w:p>
        </w:tc>
        <w:tc>
          <w:tcPr>
            <w:tcW w:w="1757"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强化工业企业污染控制。排入环境的工业污水要符合国家或地方排放标准。工业园区应建成污水集中处理设施并稳定达标运行，对废水分类收集、分质处理、应收尽收，禁止偷排漏排行为，入园企业应当按照国家有关规定进行预处理，达到工艺要求后，接入污水集中处理设施处理。</w:t>
            </w:r>
          </w:p>
        </w:tc>
        <w:tc>
          <w:tcPr>
            <w:tcW w:w="1701" w:type="pct"/>
            <w:vMerge w:val="continue"/>
            <w:vAlign w:val="center"/>
          </w:tcPr>
          <w:p>
            <w:pPr>
              <w:pStyle w:val="36"/>
              <w:adjustRightInd w:val="0"/>
              <w:rPr>
                <w:rFonts w:hint="default" w:ascii="Times New Roman" w:hAnsi="Times New Roman" w:cs="Times New Roman"/>
                <w:color w:val="auto"/>
              </w:rPr>
            </w:pPr>
          </w:p>
        </w:tc>
        <w:tc>
          <w:tcPr>
            <w:tcW w:w="469"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pStyle w:val="36"/>
              <w:adjustRightInd w:val="0"/>
              <w:rPr>
                <w:rFonts w:hint="eastAsia" w:ascii="Times New Roman" w:hAnsi="Times New Roman" w:eastAsia="宋体" w:cs="Times New Roman"/>
                <w:color w:val="auto"/>
                <w:lang w:eastAsia="zh-CN"/>
              </w:rPr>
            </w:pPr>
            <w:r>
              <w:rPr>
                <w:rFonts w:hint="eastAsia" w:cs="Times New Roman"/>
                <w:color w:val="auto"/>
                <w:lang w:eastAsia="zh-CN"/>
              </w:rPr>
              <w:t>《</w:t>
            </w:r>
            <w:r>
              <w:rPr>
                <w:rFonts w:hint="default" w:ascii="Times New Roman" w:hAnsi="Times New Roman" w:cs="Times New Roman"/>
                <w:color w:val="auto"/>
              </w:rPr>
              <w:t>四川省环境污染防治“三大战役”实施方案</w:t>
            </w:r>
            <w:r>
              <w:rPr>
                <w:rFonts w:hint="eastAsia" w:cs="Times New Roman"/>
                <w:color w:val="auto"/>
                <w:lang w:eastAsia="zh-CN"/>
              </w:rPr>
              <w:t>》（川委厅〔2016〕92号）</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一、大气污染防治</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1、实施工程治理减排行动。禁止新建城市建成区每小时20蒸吨以下燃煤锅炉；实施工业挥发性有机物整治。建立挥发性有机物污染源排放清单，对重点排放企业安装在线监控设施，强化石油化工、汽车制造、表面涂装、印刷包装等重点行业挥发性有机物污染的工程治理，加强油气回收整治工作；在印刷包装、木制家具制造、干洗等行业限制挥发性有机物高污染排放工艺、产品的使用，淘汰一批挥发性有机物高污染排放设备装置。</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①项目不使用锅炉，项目以电为能源。</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②本项目无VOCs产生。</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pStyle w:val="36"/>
              <w:adjustRightInd w:val="0"/>
              <w:rPr>
                <w:rFonts w:hint="eastAsia" w:ascii="Times New Roman" w:hAnsi="Times New Roman" w:eastAsia="宋体" w:cs="Times New Roman"/>
                <w:color w:val="auto"/>
                <w:lang w:eastAsia="zh-CN"/>
              </w:rPr>
            </w:pPr>
            <w:r>
              <w:rPr>
                <w:rFonts w:hint="eastAsia" w:cs="Times New Roman"/>
                <w:color w:val="auto"/>
                <w:lang w:eastAsia="zh-CN"/>
              </w:rPr>
              <w:t>《</w:t>
            </w:r>
            <w:r>
              <w:rPr>
                <w:rFonts w:hint="default" w:ascii="Times New Roman" w:hAnsi="Times New Roman" w:cs="Times New Roman"/>
                <w:color w:val="auto"/>
              </w:rPr>
              <w:t>四川省“十四五”重金属污染防控工作方案</w:t>
            </w:r>
            <w:r>
              <w:rPr>
                <w:rFonts w:hint="eastAsia" w:cs="Times New Roman"/>
                <w:color w:val="auto"/>
                <w:lang w:eastAsia="zh-CN"/>
              </w:rPr>
              <w:t>》（川污防攻坚办〔2022〕61号）</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二、防控重点。</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重点重金属污染物：铅、汞、铬、砷、铊和锑，并对铅、汞、镉、铬和砷五种重金属污染物排放量实施总量控制。</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重点行业：重有色金属矿采选业（铜、铅锌、镍钴、锡、锑和汞矿采选）、重有色金属冶炼业（铜、铅锌、镍钴、锡、锑和汞冶炼）、铅蓄电池制造业、电镀行业（包含专业电镀和有电镀工序的企业）、化学原料及化学制品制造业（电石法（聚）氯乙烯制造、铬盐制造、以工业固体废物为原料的锌无机化合物工业）、皮革鞣制加工业等6个行业。</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重点区域：雅安市汉源县、石棉县和凉山州甘洛县。</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本项目位于乐山市沙湾区，不属于重点区域。</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根据本项目原矿检测报告，本项目原矿中</w:t>
            </w:r>
            <w:r>
              <w:rPr>
                <w:rFonts w:hint="eastAsia" w:cs="Times New Roman"/>
                <w:color w:val="auto"/>
                <w:lang w:val="en-US" w:eastAsia="zh-CN"/>
              </w:rPr>
              <w:t>国家管控的重金属铅、汞、镉、铬、砷、铊、锑和园区管控的重金属铬、镍</w:t>
            </w:r>
            <w:r>
              <w:rPr>
                <w:rFonts w:hint="default" w:ascii="Times New Roman" w:hAnsi="Times New Roman" w:cs="Times New Roman"/>
                <w:color w:val="auto"/>
              </w:rPr>
              <w:t>均为未检出。</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建设单位应严格落实本报告提出的分区防渗、强化大气污染治理等污染防治措施，从源头和生产过程上控制项目对区域地下水和土壤环境的污染源。</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pPr>
              <w:pStyle w:val="36"/>
              <w:adjustRightInd w:val="0"/>
              <w:rPr>
                <w:rFonts w:hint="eastAsia" w:ascii="Times New Roman" w:hAnsi="Times New Roman" w:eastAsia="宋体" w:cs="Times New Roman"/>
                <w:color w:val="auto"/>
                <w:lang w:eastAsia="zh-CN"/>
              </w:rPr>
            </w:pPr>
            <w:r>
              <w:rPr>
                <w:rFonts w:hint="eastAsia" w:cs="Times New Roman"/>
                <w:color w:val="auto"/>
                <w:lang w:eastAsia="zh-CN"/>
              </w:rPr>
              <w:t>《乐山市人民政府关于印发乐山市打赢蓝天保卫战等九个实施方案的通知》（乐府发〔2019〕4号）</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严控“两高”行业产能。提高环境空气质量未达标县（市、区）产业准入门槛。严格执行质量、环保、能耗、安全等法规标准。重点区域严禁新增钢铁、焦化、电解铝、铸造、水泥、平板玻璃等行业项目及产能。加大落后产能淘汰和过剩产能压减力度，严防地条钢死灰复燃。</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根据《关于印发&lt;四川省“两高”项目管理目录（试行）&gt;的通知》（川发改环资函〔2024〕259号），本项目不属于两高项目</w:t>
            </w:r>
            <w:r>
              <w:rPr>
                <w:rFonts w:hint="eastAsia" w:cs="Times New Roman"/>
                <w:color w:val="auto"/>
                <w:lang w:eastAsia="zh-CN"/>
              </w:rPr>
              <w:t>。</w:t>
            </w:r>
            <w:r>
              <w:rPr>
                <w:rFonts w:hint="eastAsia" w:cs="Times New Roman"/>
                <w:color w:val="auto"/>
                <w:lang w:val="en-US" w:eastAsia="zh-CN"/>
              </w:rPr>
              <w:t>本项目</w:t>
            </w:r>
            <w:r>
              <w:rPr>
                <w:rFonts w:hint="default" w:ascii="Times New Roman" w:hAnsi="Times New Roman" w:cs="Times New Roman"/>
                <w:color w:val="auto"/>
              </w:rPr>
              <w:t>不属于钢铁、焦化、电解铝、铸造、水泥、平板玻璃等行业，不使用和生产地条钢。</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原矿、精矿、尾矿均暂存于密闭库房内，并设置喷雾降尘措施；项目破碎、筛分等产尘工序均在封闭车间内进行，破碎筛分粉尘经袋式除尘器处理之后通过15m高排气筒（DA001）达标外排，并在车间安装自动喷雾等降尘除尘设施；本项目运输车辆全部进行遮盖，车辆出厂前全部洗净。</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pPr>
              <w:pStyle w:val="36"/>
              <w:adjustRightInd w:val="0"/>
              <w:rPr>
                <w:rFonts w:hint="eastAsia" w:cs="Times New Roman"/>
                <w:color w:val="auto"/>
                <w:lang w:eastAsia="zh-CN"/>
              </w:rPr>
            </w:pP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减少工业废水排放量。减少重点行业工业企业废水排放量。制浆造纸、发酵酒精和白酒、啤酒、制革及毛皮加工、无机磷化工、有机磷农药等重点行业企业要尽快实施清洁生产改造，确保单位产品基准排水量达到《四川省岷江、沱江流域水污染物排放标准》。加大钢铁、印染、造纸、化工、制革等高耗水企业废水深度处理回收利用，对具备使用再生水条件但未充分利用的企业，暂停其新增取水许可审批。</w:t>
            </w:r>
          </w:p>
        </w:tc>
        <w:tc>
          <w:tcPr>
            <w:tcW w:w="1701"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本项目工业废水经过三级沉淀池（处理工艺为絮凝+沉淀）处理后回用于生产，不外排。本项目不属于制浆造纸、发酵酒精和白酒、啤酒、制革及毛皮加工、无机磷化工、有机磷农药等重点行业。本项目不属于钢铁、印染、造纸、化工、制革等高耗水企业。</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pStyle w:val="36"/>
              <w:adjustRightInd w:val="0"/>
              <w:rPr>
                <w:rFonts w:hint="eastAsia" w:ascii="Times New Roman" w:hAnsi="Times New Roman" w:eastAsia="宋体" w:cs="Times New Roman"/>
                <w:color w:val="auto"/>
                <w:lang w:eastAsia="zh-CN"/>
              </w:rPr>
            </w:pPr>
            <w:r>
              <w:rPr>
                <w:rFonts w:hint="eastAsia" w:cs="Times New Roman"/>
                <w:color w:val="auto"/>
                <w:lang w:eastAsia="zh-CN"/>
              </w:rPr>
              <w:t>《</w:t>
            </w:r>
            <w:r>
              <w:rPr>
                <w:rFonts w:hint="default" w:ascii="Times New Roman" w:hAnsi="Times New Roman" w:cs="Times New Roman"/>
                <w:color w:val="auto"/>
              </w:rPr>
              <w:t>乐山市大气污染防治六大攻坚战实施方案</w:t>
            </w:r>
            <w:r>
              <w:rPr>
                <w:rFonts w:hint="eastAsia" w:cs="Times New Roman"/>
                <w:color w:val="auto"/>
                <w:lang w:eastAsia="zh-CN"/>
              </w:rPr>
              <w:t>》（202</w:t>
            </w:r>
            <w:r>
              <w:rPr>
                <w:rFonts w:hint="eastAsia" w:cs="Times New Roman"/>
                <w:color w:val="auto"/>
                <w:lang w:val="en-US" w:eastAsia="zh-CN"/>
              </w:rPr>
              <w:t>4</w:t>
            </w:r>
            <w:r>
              <w:rPr>
                <w:rFonts w:hint="eastAsia" w:cs="Times New Roman"/>
                <w:color w:val="auto"/>
                <w:lang w:eastAsia="zh-CN"/>
              </w:rPr>
              <w:t>年1</w:t>
            </w:r>
            <w:r>
              <w:rPr>
                <w:rFonts w:hint="eastAsia" w:cs="Times New Roman"/>
                <w:color w:val="auto"/>
                <w:lang w:val="en-US" w:eastAsia="zh-CN"/>
              </w:rPr>
              <w:t>0</w:t>
            </w:r>
            <w:r>
              <w:rPr>
                <w:rFonts w:hint="eastAsia" w:cs="Times New Roman"/>
                <w:color w:val="auto"/>
                <w:lang w:eastAsia="zh-CN"/>
              </w:rPr>
              <w:t>月</w:t>
            </w:r>
            <w:r>
              <w:rPr>
                <w:rFonts w:hint="eastAsia" w:cs="Times New Roman"/>
                <w:color w:val="auto"/>
                <w:lang w:val="en-US" w:eastAsia="zh-CN"/>
              </w:rPr>
              <w:t>9</w:t>
            </w:r>
            <w:r>
              <w:rPr>
                <w:rFonts w:hint="eastAsia" w:cs="Times New Roman"/>
                <w:color w:val="auto"/>
                <w:lang w:eastAsia="zh-CN"/>
              </w:rPr>
              <w:t>日）</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工业企业环保绩效提升攻坚战——突出细颗粒物、挥发性有机物治理等重点领域，以钢铁、水泥、陶瓷、砖瓦、化工等重点行业为重点，实施超低排放改造和深度治理，全面提升企业环保绩效水平。</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原矿、精矿、尾矿均暂存于密闭库房内，并设置喷雾降尘措施；项目破碎、筛分等产尘工序均在封闭车间内进行，破碎筛分粉尘经袋式除尘器处理之后通过15m高排气筒（DA001）达标外排，并在车间安装自动喷雾等降尘除尘设施；本项目运输车辆全部进行遮盖，车辆出厂前全部洗净。本次评价要求建设单位严格按照B级企业要求落实相关措施。</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pStyle w:val="36"/>
              <w:adjustRightInd w:val="0"/>
              <w:rPr>
                <w:rFonts w:hint="eastAsia" w:ascii="Times New Roman" w:hAnsi="Times New Roman" w:eastAsia="宋体" w:cs="Times New Roman"/>
                <w:color w:val="auto"/>
                <w:lang w:eastAsia="zh-CN"/>
              </w:rPr>
            </w:pPr>
            <w:r>
              <w:rPr>
                <w:rFonts w:hint="eastAsia" w:cs="Times New Roman"/>
                <w:color w:val="auto"/>
                <w:lang w:eastAsia="zh-CN"/>
              </w:rPr>
              <w:t>《</w:t>
            </w:r>
            <w:r>
              <w:rPr>
                <w:rFonts w:hint="default" w:ascii="Times New Roman" w:hAnsi="Times New Roman" w:cs="Times New Roman"/>
                <w:color w:val="auto"/>
              </w:rPr>
              <w:t>乐山市大气污染防治三年攻坚行动总体方案</w:t>
            </w:r>
            <w:r>
              <w:rPr>
                <w:rFonts w:hint="eastAsia" w:cs="Times New Roman"/>
                <w:color w:val="auto"/>
                <w:lang w:eastAsia="zh-CN"/>
              </w:rPr>
              <w:t>》（</w:t>
            </w:r>
            <w:r>
              <w:rPr>
                <w:rFonts w:hint="default" w:ascii="Times New Roman" w:hAnsi="Times New Roman" w:cs="Times New Roman"/>
                <w:color w:val="auto"/>
              </w:rPr>
              <w:t>2022</w:t>
            </w:r>
            <w:r>
              <w:rPr>
                <w:rFonts w:hint="eastAsia" w:cs="Times New Roman"/>
                <w:color w:val="auto"/>
                <w:lang w:val="en-US" w:eastAsia="zh-CN"/>
              </w:rPr>
              <w:t>年</w:t>
            </w:r>
            <w:r>
              <w:rPr>
                <w:rFonts w:hint="default" w:ascii="Times New Roman" w:hAnsi="Times New Roman" w:cs="Times New Roman"/>
                <w:color w:val="auto"/>
              </w:rPr>
              <w:t>12</w:t>
            </w:r>
            <w:r>
              <w:rPr>
                <w:rFonts w:hint="eastAsia" w:cs="Times New Roman"/>
                <w:color w:val="auto"/>
                <w:lang w:val="en-US" w:eastAsia="zh-CN"/>
              </w:rPr>
              <w:t>月</w:t>
            </w:r>
            <w:r>
              <w:rPr>
                <w:rFonts w:hint="default" w:ascii="Times New Roman" w:hAnsi="Times New Roman" w:cs="Times New Roman"/>
                <w:color w:val="auto"/>
              </w:rPr>
              <w:t>1</w:t>
            </w:r>
            <w:r>
              <w:rPr>
                <w:rFonts w:hint="eastAsia" w:cs="Times New Roman"/>
                <w:color w:val="auto"/>
                <w:lang w:val="en-US" w:eastAsia="zh-CN"/>
              </w:rPr>
              <w:t>日</w:t>
            </w:r>
            <w:r>
              <w:rPr>
                <w:rFonts w:hint="eastAsia" w:cs="Times New Roman"/>
                <w:color w:val="auto"/>
                <w:lang w:eastAsia="zh-CN"/>
              </w:rPr>
              <w:t>）</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到2025年底，全市大气环境污染得到有效遏制，工业源、移动源、扬尘源、面源污染管控能力大幅提升；加强对未来三年大气污染防治工作的统筹，强化常态管控，结合年度各个时间段的防控重点、难点，科学安排部署针对性管控措施。</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原矿、精矿、尾矿均暂存于密闭库房内，并设置喷雾降尘措施；项目破碎、筛分等产尘工序均在封闭车间内进行，破碎筛分粉尘经袋式除尘器处理之后通过15m高排气筒（DA001）达标外排，并在车间顶部安装自动喷雾等降尘除尘设施；本项目运输车辆全部进行遮盖，车辆出厂前全部洗净。</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pPr>
              <w:pStyle w:val="36"/>
              <w:adjustRightInd w:val="0"/>
              <w:rPr>
                <w:rFonts w:hint="eastAsia" w:ascii="Times New Roman" w:hAnsi="Times New Roman" w:eastAsia="宋体" w:cs="Times New Roman"/>
                <w:color w:val="auto"/>
                <w:lang w:eastAsia="zh-CN"/>
              </w:rPr>
            </w:pPr>
            <w:r>
              <w:rPr>
                <w:rFonts w:hint="eastAsia" w:cs="Times New Roman"/>
                <w:color w:val="auto"/>
                <w:lang w:eastAsia="zh-CN"/>
              </w:rPr>
              <w:t>《</w:t>
            </w:r>
            <w:r>
              <w:rPr>
                <w:rFonts w:hint="default" w:ascii="Times New Roman" w:hAnsi="Times New Roman" w:cs="Times New Roman"/>
                <w:color w:val="auto"/>
              </w:rPr>
              <w:t>乐山市“无废城市”建设实施方案</w:t>
            </w:r>
            <w:r>
              <w:rPr>
                <w:rFonts w:hint="eastAsia" w:cs="Times New Roman"/>
                <w:color w:val="auto"/>
                <w:lang w:eastAsia="zh-CN"/>
              </w:rPr>
              <w:t>》（乐府发〔2022〕22号）</w:t>
            </w:r>
          </w:p>
        </w:tc>
        <w:tc>
          <w:tcPr>
            <w:tcW w:w="2340" w:type="pct"/>
            <w:gridSpan w:val="2"/>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加强工业固体废物减量化和循环利用，支持大宗工业固体废物资源化技术研发、成果转化和示范项目建设，重点推动炉渣、冶炼废渣、粉煤灰、选矿尾矿、造纸污泥等大宗固体废物的资源化综合利用，进一步拓宽建筑材料生产、原料替代、井下充填等综合利用渠道，提升大宗工业固废综合利用率，减少填埋处置量</w:t>
            </w:r>
          </w:p>
        </w:tc>
        <w:tc>
          <w:tcPr>
            <w:tcW w:w="170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本项目尾矿满足《日用陶瓷用长石》（QB/T1636-2017）要求就近外售陶瓷企业资源化综合利用。</w:t>
            </w:r>
          </w:p>
        </w:tc>
        <w:tc>
          <w:tcPr>
            <w:tcW w:w="46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综上分析，本项目符合《空气质量持续改善行动计划》（国发〔2023〕24号）</w:t>
      </w:r>
      <w:r>
        <w:rPr>
          <w:rFonts w:hint="eastAsia" w:cs="Times New Roman"/>
          <w:color w:val="auto"/>
          <w:lang w:eastAsia="zh-CN"/>
        </w:rPr>
        <w:t>、</w:t>
      </w:r>
      <w:r>
        <w:rPr>
          <w:rFonts w:hint="default" w:ascii="Times New Roman" w:hAnsi="Times New Roman" w:cs="Times New Roman"/>
          <w:color w:val="auto"/>
        </w:rPr>
        <w:t>《国务院关于印发大气污染防治行动计划的通知》（国发〔2013〕37号）</w:t>
      </w:r>
      <w:r>
        <w:rPr>
          <w:rFonts w:hint="eastAsia" w:cs="Times New Roman"/>
          <w:color w:val="auto"/>
          <w:lang w:eastAsia="zh-CN"/>
        </w:rPr>
        <w:t>、</w:t>
      </w:r>
      <w:r>
        <w:rPr>
          <w:rFonts w:hint="default" w:ascii="Times New Roman" w:hAnsi="Times New Roman" w:cs="Times New Roman"/>
          <w:color w:val="auto"/>
        </w:rPr>
        <w:t>《中共四川省委四川省人民政府关于深入打好污染防治攻坚战的实施意见》（2022年9月22日）</w:t>
      </w:r>
      <w:r>
        <w:rPr>
          <w:rFonts w:hint="eastAsia" w:cs="Times New Roman"/>
          <w:color w:val="auto"/>
          <w:lang w:eastAsia="zh-CN"/>
        </w:rPr>
        <w:t>、</w:t>
      </w:r>
      <w:r>
        <w:rPr>
          <w:rFonts w:hint="default" w:ascii="Times New Roman" w:hAnsi="Times New Roman" w:cs="Times New Roman"/>
          <w:color w:val="auto"/>
        </w:rPr>
        <w:t>《水污染防治行动计划四川省工作方案》（2016年2月17日）</w:t>
      </w:r>
      <w:r>
        <w:rPr>
          <w:rFonts w:hint="eastAsia" w:cs="Times New Roman"/>
          <w:color w:val="auto"/>
          <w:lang w:eastAsia="zh-CN"/>
        </w:rPr>
        <w:t>、</w:t>
      </w:r>
      <w:r>
        <w:rPr>
          <w:rFonts w:hint="default" w:ascii="Times New Roman" w:hAnsi="Times New Roman" w:cs="Times New Roman"/>
          <w:color w:val="auto"/>
        </w:rPr>
        <w:t>《土壤污染源头防控行动计划》（环土壤〔2024〕80号）</w:t>
      </w:r>
      <w:r>
        <w:rPr>
          <w:rFonts w:hint="eastAsia" w:cs="Times New Roman"/>
          <w:color w:val="auto"/>
          <w:lang w:eastAsia="zh-CN"/>
        </w:rPr>
        <w:t>、</w:t>
      </w:r>
      <w:r>
        <w:rPr>
          <w:rFonts w:hint="default" w:ascii="Times New Roman" w:hAnsi="Times New Roman" w:cs="Times New Roman"/>
          <w:color w:val="auto"/>
        </w:rPr>
        <w:t>《四川省打赢蓝天保卫战等九个实施方案》（川府发〔2019〕4号）</w:t>
      </w:r>
      <w:r>
        <w:rPr>
          <w:rFonts w:hint="eastAsia" w:cs="Times New Roman"/>
          <w:color w:val="auto"/>
          <w:lang w:eastAsia="zh-CN"/>
        </w:rPr>
        <w:t>、</w:t>
      </w:r>
      <w:r>
        <w:rPr>
          <w:rFonts w:hint="default" w:ascii="Times New Roman" w:hAnsi="Times New Roman" w:cs="Times New Roman"/>
          <w:color w:val="auto"/>
        </w:rPr>
        <w:t>《四川省环境污染防治“三大战役”实施方案》（川委厅〔2016〕92号）</w:t>
      </w:r>
      <w:r>
        <w:rPr>
          <w:rFonts w:hint="eastAsia" w:cs="Times New Roman"/>
          <w:color w:val="auto"/>
          <w:lang w:eastAsia="zh-CN"/>
        </w:rPr>
        <w:t>、</w:t>
      </w:r>
      <w:r>
        <w:rPr>
          <w:rFonts w:hint="default" w:ascii="Times New Roman" w:hAnsi="Times New Roman" w:cs="Times New Roman"/>
          <w:color w:val="auto"/>
        </w:rPr>
        <w:t>《四川省“十四五”重金属污染防控工作方案》（川污防攻坚办〔2022〕61号）</w:t>
      </w:r>
      <w:r>
        <w:rPr>
          <w:rFonts w:hint="eastAsia" w:cs="Times New Roman"/>
          <w:color w:val="auto"/>
          <w:lang w:eastAsia="zh-CN"/>
        </w:rPr>
        <w:t>、</w:t>
      </w:r>
      <w:r>
        <w:rPr>
          <w:rFonts w:hint="default" w:ascii="Times New Roman" w:hAnsi="Times New Roman" w:cs="Times New Roman"/>
          <w:color w:val="auto"/>
        </w:rPr>
        <w:t>《乐山市打赢蓝天保卫战实施方案》（乐府发〔2019〕4号）</w:t>
      </w:r>
      <w:r>
        <w:rPr>
          <w:rFonts w:hint="eastAsia" w:cs="Times New Roman"/>
          <w:color w:val="auto"/>
          <w:lang w:eastAsia="zh-CN"/>
        </w:rPr>
        <w:t>、</w:t>
      </w:r>
      <w:r>
        <w:rPr>
          <w:rFonts w:hint="default" w:ascii="Times New Roman" w:hAnsi="Times New Roman" w:cs="Times New Roman"/>
          <w:color w:val="auto"/>
        </w:rPr>
        <w:t>《乐山市大气污染防治六大攻坚战实施方案》（2024年10月9日）</w:t>
      </w:r>
      <w:r>
        <w:rPr>
          <w:rFonts w:hint="eastAsia" w:cs="Times New Roman"/>
          <w:color w:val="auto"/>
          <w:lang w:eastAsia="zh-CN"/>
        </w:rPr>
        <w:t>、</w:t>
      </w:r>
      <w:r>
        <w:rPr>
          <w:rFonts w:hint="default" w:ascii="Times New Roman" w:hAnsi="Times New Roman" w:cs="Times New Roman"/>
          <w:color w:val="auto"/>
        </w:rPr>
        <w:t>《乐山市大气污染防治三年攻坚行动总体方案》（2022年12月1日）</w:t>
      </w:r>
      <w:r>
        <w:rPr>
          <w:rFonts w:hint="eastAsia" w:cs="Times New Roman"/>
          <w:color w:val="auto"/>
          <w:lang w:eastAsia="zh-CN"/>
        </w:rPr>
        <w:t>、</w:t>
      </w:r>
      <w:r>
        <w:rPr>
          <w:rFonts w:hint="default" w:ascii="Times New Roman" w:hAnsi="Times New Roman" w:cs="Times New Roman"/>
          <w:color w:val="auto"/>
        </w:rPr>
        <w:t>《乐山市“无废城市”建设实施方案》（乐府发〔2022〕22号）等现行污染防治政策及规划中相关规定和要求。</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与《中华人民共和国长江保护法》的符合性分析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本项目与《中华人民共和国长江保护法》的符合性分析见下表。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项目与《中华人民共和国长江保护法》的符合性分析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304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0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主要内容</w:t>
            </w:r>
          </w:p>
        </w:tc>
        <w:tc>
          <w:tcPr>
            <w:tcW w:w="178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504"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第二十六条</w:t>
            </w:r>
            <w:r>
              <w:rPr>
                <w:rFonts w:hint="eastAsia" w:cs="Times New Roman"/>
                <w:color w:val="auto"/>
                <w:lang w:val="en-US" w:eastAsia="zh-CN"/>
              </w:rPr>
              <w:t xml:space="preserve"> </w:t>
            </w:r>
            <w:r>
              <w:rPr>
                <w:rFonts w:hint="default" w:ascii="Times New Roman" w:hAnsi="Times New Roman" w:cs="Times New Roman"/>
                <w:color w:val="auto"/>
              </w:rPr>
              <w:t>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禁止在长江干支流岸线一公里范围内新建、扩建化工园区和化工项目。</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禁止在长江干流岸线三公里范围内和重要支流岸线一公里范围内新建、改建、扩建尾矿库；但是以提升安全、生态环境保护水平为目的的改建除外</w:t>
            </w:r>
          </w:p>
        </w:tc>
        <w:tc>
          <w:tcPr>
            <w:tcW w:w="178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本项目建设不占用河湖岸线，</w:t>
            </w:r>
            <w:r>
              <w:rPr>
                <w:rFonts w:hint="eastAsia" w:cs="Times New Roman"/>
                <w:color w:val="auto"/>
                <w:lang w:val="en-US" w:eastAsia="zh-CN"/>
              </w:rPr>
              <w:t>本项目距离大渡河直线距离483m，</w:t>
            </w:r>
            <w:r>
              <w:rPr>
                <w:rFonts w:hint="default" w:ascii="Times New Roman" w:hAnsi="Times New Roman" w:cs="Times New Roman"/>
                <w:color w:val="auto"/>
              </w:rPr>
              <w:t>本项目不属于新建、扩建的化工项目，不属于尾矿库。</w:t>
            </w:r>
          </w:p>
        </w:tc>
        <w:tc>
          <w:tcPr>
            <w:tcW w:w="50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第二十八条</w:t>
            </w:r>
            <w:r>
              <w:rPr>
                <w:rFonts w:hint="eastAsia" w:cs="Times New Roman"/>
                <w:color w:val="auto"/>
                <w:lang w:val="en-US" w:eastAsia="zh-CN"/>
              </w:rPr>
              <w:t xml:space="preserve"> </w:t>
            </w:r>
            <w:r>
              <w:rPr>
                <w:rFonts w:hint="default" w:ascii="Times New Roman" w:hAnsi="Times New Roman" w:cs="Times New Roman"/>
                <w:color w:val="auto"/>
              </w:rPr>
              <w:t>国家建立长江流域河道采砂规划和许可制度。长江流域河道采砂应当依法取得国务院水行政主管部门有关流域管理机构或者县级以上地方人民政府水行政主管部门的许可。</w:t>
            </w:r>
          </w:p>
        </w:tc>
        <w:tc>
          <w:tcPr>
            <w:tcW w:w="178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本项目建设不涉及河道采砂。</w:t>
            </w:r>
          </w:p>
        </w:tc>
        <w:tc>
          <w:tcPr>
            <w:tcW w:w="50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综上所述，本项目建设符合《中华人民共和国长江保护法》相关要求。</w:t>
      </w:r>
    </w:p>
    <w:p>
      <w:pPr>
        <w:keepNext/>
        <w:keepLines/>
        <w:widowControl w:val="0"/>
        <w:numPr>
          <w:ilvl w:val="3"/>
          <w:numId w:val="1"/>
        </w:numPr>
        <w:adjustRightInd w:val="0"/>
        <w:snapToGrid w:val="0"/>
        <w:spacing w:line="360" w:lineRule="auto"/>
        <w:ind w:firstLine="200" w:firstLineChars="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与</w:t>
      </w:r>
      <w:r>
        <w:rPr>
          <w:rFonts w:hint="eastAsia" w:ascii="Times New Roman" w:hAnsi="Times New Roman" w:cs="Times New Roman"/>
          <w:b/>
          <w:bCs/>
          <w:color w:val="auto"/>
          <w:kern w:val="2"/>
          <w:sz w:val="28"/>
          <w:szCs w:val="28"/>
          <w:lang w:val="en-US" w:eastAsia="zh-CN" w:bidi="ar-SA"/>
        </w:rPr>
        <w:t>《</w:t>
      </w:r>
      <w:r>
        <w:rPr>
          <w:rFonts w:hint="default" w:ascii="Times New Roman" w:hAnsi="Times New Roman" w:eastAsia="宋体" w:cs="Times New Roman"/>
          <w:b/>
          <w:bCs/>
          <w:color w:val="auto"/>
          <w:kern w:val="2"/>
          <w:sz w:val="28"/>
          <w:szCs w:val="28"/>
          <w:lang w:val="en-US" w:eastAsia="zh-CN" w:bidi="ar-SA"/>
        </w:rPr>
        <w:t>国务院关于化解产能严重过剩矛盾的指导意见</w:t>
      </w:r>
      <w:r>
        <w:rPr>
          <w:rFonts w:hint="eastAsia" w:ascii="Times New Roman" w:hAnsi="Times New Roman" w:cs="Times New Roman"/>
          <w:b/>
          <w:bCs/>
          <w:color w:val="auto"/>
          <w:kern w:val="2"/>
          <w:sz w:val="28"/>
          <w:szCs w:val="28"/>
          <w:lang w:val="en-US" w:eastAsia="zh-CN" w:bidi="ar-SA"/>
        </w:rPr>
        <w:t>》（</w:t>
      </w:r>
      <w:r>
        <w:rPr>
          <w:rFonts w:hint="default" w:ascii="Times New Roman" w:hAnsi="Times New Roman" w:eastAsia="宋体" w:cs="Times New Roman"/>
          <w:b/>
          <w:bCs/>
          <w:color w:val="auto"/>
          <w:kern w:val="2"/>
          <w:sz w:val="28"/>
          <w:szCs w:val="28"/>
          <w:lang w:val="en-US" w:eastAsia="zh-CN" w:bidi="ar-SA"/>
        </w:rPr>
        <w:t>国发〔2013〕41号</w:t>
      </w:r>
      <w:r>
        <w:rPr>
          <w:rFonts w:hint="eastAsia" w:ascii="Times New Roman" w:hAnsi="Times New Roman" w:cs="Times New Roman"/>
          <w:b/>
          <w:bCs/>
          <w:color w:val="auto"/>
          <w:kern w:val="2"/>
          <w:sz w:val="28"/>
          <w:szCs w:val="28"/>
          <w:lang w:val="en-US" w:eastAsia="zh-CN" w:bidi="ar-SA"/>
        </w:rPr>
        <w:t>）</w:t>
      </w:r>
      <w:r>
        <w:rPr>
          <w:rFonts w:hint="default" w:ascii="Times New Roman" w:hAnsi="Times New Roman" w:eastAsia="宋体" w:cs="Times New Roman"/>
          <w:b/>
          <w:bCs/>
          <w:color w:val="auto"/>
          <w:kern w:val="2"/>
          <w:sz w:val="28"/>
          <w:szCs w:val="28"/>
          <w:lang w:val="en-US" w:eastAsia="zh-CN" w:bidi="ar-SA"/>
        </w:rPr>
        <w:t>的符合性分析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本项目与《国务院关于化解产能严重过剩矛盾的指导意见》（国发〔2013〕41号）的符合性分析见下表。</w:t>
      </w:r>
    </w:p>
    <w:p>
      <w:pPr>
        <w:keepNext/>
        <w:widowControl w:val="0"/>
        <w:adjustRightInd w:val="0"/>
        <w:snapToGrid w:val="0"/>
        <w:spacing w:line="240" w:lineRule="auto"/>
        <w:ind w:firstLine="0" w:firstLineChars="0"/>
        <w:jc w:val="center"/>
        <w:rPr>
          <w:rFonts w:hint="default" w:ascii="Times New Roman" w:hAnsi="Times New Roman" w:eastAsia="宋体" w:cs="Times New Roman"/>
          <w:b/>
          <w:color w:val="auto"/>
          <w:kern w:val="2"/>
          <w:sz w:val="21"/>
          <w:szCs w:val="20"/>
          <w:lang w:val="en-US" w:eastAsia="zh-CN" w:bidi="ar-SA"/>
        </w:rPr>
      </w:pPr>
      <w:r>
        <w:rPr>
          <w:rFonts w:hint="default" w:ascii="Times New Roman" w:hAnsi="Times New Roman" w:eastAsia="宋体" w:cs="Times New Roman"/>
          <w:b/>
          <w:color w:val="auto"/>
          <w:kern w:val="2"/>
          <w:sz w:val="21"/>
          <w:szCs w:val="20"/>
          <w:lang w:val="en-US" w:eastAsia="zh-CN" w:bidi="ar-SA"/>
        </w:rPr>
        <w:t xml:space="preserve">表 </w:t>
      </w:r>
      <w:r>
        <w:rPr>
          <w:rFonts w:hint="default" w:ascii="Times New Roman" w:hAnsi="Times New Roman" w:eastAsia="宋体" w:cs="Times New Roman"/>
          <w:b/>
          <w:color w:val="auto"/>
          <w:kern w:val="2"/>
          <w:sz w:val="21"/>
          <w:szCs w:val="20"/>
          <w:lang w:val="en-US" w:eastAsia="zh-CN" w:bidi="ar-SA"/>
        </w:rPr>
        <w:fldChar w:fldCharType="begin"/>
      </w:r>
      <w:r>
        <w:rPr>
          <w:rFonts w:hint="default" w:ascii="Times New Roman" w:hAnsi="Times New Roman" w:eastAsia="宋体" w:cs="Times New Roman"/>
          <w:b/>
          <w:color w:val="auto"/>
          <w:kern w:val="2"/>
          <w:sz w:val="21"/>
          <w:szCs w:val="20"/>
          <w:lang w:val="en-US" w:eastAsia="zh-CN" w:bidi="ar-SA"/>
        </w:rPr>
        <w:instrText xml:space="preserve"> STYLEREF 1 \s </w:instrText>
      </w:r>
      <w:r>
        <w:rPr>
          <w:rFonts w:hint="default" w:ascii="Times New Roman" w:hAnsi="Times New Roman" w:eastAsia="宋体" w:cs="Times New Roman"/>
          <w:b/>
          <w:color w:val="auto"/>
          <w:kern w:val="2"/>
          <w:sz w:val="21"/>
          <w:szCs w:val="20"/>
          <w:lang w:val="en-US" w:eastAsia="zh-CN" w:bidi="ar-SA"/>
        </w:rPr>
        <w:fldChar w:fldCharType="separate"/>
      </w:r>
      <w:r>
        <w:rPr>
          <w:rFonts w:hint="default" w:ascii="Times New Roman" w:hAnsi="Times New Roman" w:eastAsia="宋体" w:cs="Times New Roman"/>
          <w:b/>
          <w:color w:val="auto"/>
          <w:kern w:val="2"/>
          <w:sz w:val="21"/>
          <w:szCs w:val="20"/>
          <w:lang w:val="en-US" w:eastAsia="zh-CN" w:bidi="ar-SA"/>
        </w:rPr>
        <w:t>1</w:t>
      </w:r>
      <w:r>
        <w:rPr>
          <w:rFonts w:hint="default" w:ascii="Times New Roman" w:hAnsi="Times New Roman" w:eastAsia="宋体" w:cs="Times New Roman"/>
          <w:b/>
          <w:color w:val="auto"/>
          <w:kern w:val="2"/>
          <w:sz w:val="21"/>
          <w:szCs w:val="20"/>
          <w:lang w:val="en-US" w:eastAsia="zh-CN" w:bidi="ar-SA"/>
        </w:rPr>
        <w:fldChar w:fldCharType="end"/>
      </w:r>
      <w:r>
        <w:rPr>
          <w:rFonts w:hint="default" w:ascii="Times New Roman" w:hAnsi="Times New Roman" w:eastAsia="宋体" w:cs="Times New Roman"/>
          <w:b/>
          <w:color w:val="auto"/>
          <w:kern w:val="2"/>
          <w:sz w:val="21"/>
          <w:szCs w:val="20"/>
          <w:lang w:val="en-US" w:eastAsia="zh-CN" w:bidi="ar-SA"/>
        </w:rPr>
        <w:t>-</w:t>
      </w:r>
      <w:r>
        <w:rPr>
          <w:rFonts w:hint="default" w:ascii="Times New Roman" w:hAnsi="Times New Roman" w:eastAsia="宋体" w:cs="Times New Roman"/>
          <w:b/>
          <w:color w:val="auto"/>
          <w:kern w:val="2"/>
          <w:sz w:val="21"/>
          <w:szCs w:val="20"/>
          <w:lang w:val="en-US" w:eastAsia="zh-CN" w:bidi="ar-SA"/>
        </w:rPr>
        <w:fldChar w:fldCharType="begin"/>
      </w:r>
      <w:r>
        <w:rPr>
          <w:rFonts w:hint="default" w:ascii="Times New Roman" w:hAnsi="Times New Roman" w:eastAsia="宋体" w:cs="Times New Roman"/>
          <w:b/>
          <w:color w:val="auto"/>
          <w:kern w:val="2"/>
          <w:sz w:val="21"/>
          <w:szCs w:val="20"/>
          <w:lang w:val="en-US" w:eastAsia="zh-CN" w:bidi="ar-SA"/>
        </w:rPr>
        <w:instrText xml:space="preserve"> SEQ 表 \* ARABIC \s 1 </w:instrText>
      </w:r>
      <w:r>
        <w:rPr>
          <w:rFonts w:hint="default" w:ascii="Times New Roman" w:hAnsi="Times New Roman" w:eastAsia="宋体" w:cs="Times New Roman"/>
          <w:b/>
          <w:color w:val="auto"/>
          <w:kern w:val="2"/>
          <w:sz w:val="21"/>
          <w:szCs w:val="20"/>
          <w:lang w:val="en-US" w:eastAsia="zh-CN" w:bidi="ar-SA"/>
        </w:rPr>
        <w:fldChar w:fldCharType="separate"/>
      </w:r>
      <w:r>
        <w:rPr>
          <w:rFonts w:hint="default" w:ascii="Times New Roman" w:hAnsi="Times New Roman" w:eastAsia="宋体" w:cs="Times New Roman"/>
          <w:b/>
          <w:color w:val="auto"/>
          <w:kern w:val="2"/>
          <w:sz w:val="21"/>
          <w:szCs w:val="20"/>
          <w:lang w:val="en-US" w:eastAsia="zh-CN" w:bidi="ar-SA"/>
        </w:rPr>
        <w:t>3</w:t>
      </w:r>
      <w:r>
        <w:rPr>
          <w:rFonts w:hint="default" w:ascii="Times New Roman" w:hAnsi="Times New Roman" w:eastAsia="宋体" w:cs="Times New Roman"/>
          <w:b/>
          <w:color w:val="auto"/>
          <w:kern w:val="2"/>
          <w:sz w:val="21"/>
          <w:szCs w:val="20"/>
          <w:lang w:val="en-US" w:eastAsia="zh-CN" w:bidi="ar-SA"/>
        </w:rPr>
        <w:fldChar w:fldCharType="end"/>
      </w:r>
      <w:r>
        <w:rPr>
          <w:rFonts w:hint="default" w:ascii="Times New Roman" w:hAnsi="Times New Roman" w:eastAsia="宋体" w:cs="Times New Roman"/>
          <w:b/>
          <w:color w:val="auto"/>
          <w:kern w:val="2"/>
          <w:sz w:val="21"/>
          <w:szCs w:val="20"/>
          <w:lang w:val="en-US" w:eastAsia="zh-CN" w:bidi="ar-SA"/>
        </w:rPr>
        <w:t>项目与《国务院关于化解产能严重过剩矛盾的指导意见》的符合性分析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304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09"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主要内容</w:t>
            </w:r>
          </w:p>
        </w:tc>
        <w:tc>
          <w:tcPr>
            <w:tcW w:w="1786"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本项目情况</w:t>
            </w:r>
          </w:p>
        </w:tc>
        <w:tc>
          <w:tcPr>
            <w:tcW w:w="504"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vAlign w:val="center"/>
          </w:tcPr>
          <w:p>
            <w:pPr>
              <w:widowControl w:val="0"/>
              <w:adjustRightInd w:val="0"/>
              <w:snapToGrid w:val="0"/>
              <w:spacing w:before="65" w:beforeLines="20" w:after="65" w:afterLines="20" w:line="240" w:lineRule="auto"/>
              <w:ind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为积极有效地化解钢铁、水泥、电解铝、平板玻璃、船舶等行业产能严重过剩矛盾，同时指导其他产能过剩行业化解工作，特制定本意见</w:t>
            </w:r>
          </w:p>
        </w:tc>
        <w:tc>
          <w:tcPr>
            <w:tcW w:w="1786"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本项目不属于钢铁、水泥、电解铝、平板玻璃、船舶等行业。</w:t>
            </w:r>
          </w:p>
        </w:tc>
        <w:tc>
          <w:tcPr>
            <w:tcW w:w="504"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2709" w:type="pct"/>
            <w:vAlign w:val="center"/>
          </w:tcPr>
          <w:p>
            <w:pPr>
              <w:widowControl w:val="0"/>
              <w:adjustRightInd w:val="0"/>
              <w:snapToGrid w:val="0"/>
              <w:spacing w:before="65" w:beforeLines="20" w:after="65" w:afterLines="20" w:line="240" w:lineRule="auto"/>
              <w:ind w:firstLine="0" w:firstLineChars="0"/>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严禁建设新增产能项目。严格执行国家投资管理规定和产业政策，加强产能严重过剩行业项目管理，各地方、各部门不得以任何名义、任何方式核准、备案产能严重过剩行业新增产能项目，各相关部门和机构不得办理土地（海域）供应、能评、环评审批和新增授信支持等相关业务</w:t>
            </w:r>
            <w:r>
              <w:rPr>
                <w:rFonts w:hint="eastAsia" w:ascii="Times New Roman" w:hAnsi="Times New Roman" w:eastAsia="宋体" w:cs="Times New Roman"/>
                <w:color w:val="auto"/>
                <w:kern w:val="2"/>
                <w:sz w:val="21"/>
                <w:szCs w:val="21"/>
                <w:lang w:val="en-US" w:eastAsia="zh-CN" w:bidi="ar-SA"/>
              </w:rPr>
              <w:t>。</w:t>
            </w:r>
          </w:p>
        </w:tc>
        <w:tc>
          <w:tcPr>
            <w:tcW w:w="1786" w:type="pct"/>
            <w:vAlign w:val="center"/>
          </w:tcPr>
          <w:p>
            <w:pPr>
              <w:widowControl w:val="0"/>
              <w:adjustRightInd w:val="0"/>
              <w:snapToGrid w:val="0"/>
              <w:spacing w:before="65" w:beforeLines="20" w:after="65" w:afterLines="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本项目不属于钢铁、水泥、电解铝、平板玻璃、船舶等行业</w:t>
            </w:r>
            <w:r>
              <w:rPr>
                <w:rFonts w:hint="eastAsia" w:ascii="Times New Roman" w:hAnsi="Times New Roman" w:eastAsia="宋体" w:cs="Times New Roman"/>
                <w:color w:val="auto"/>
                <w:kern w:val="2"/>
                <w:sz w:val="21"/>
                <w:szCs w:val="21"/>
                <w:lang w:val="en-US" w:eastAsia="zh-CN" w:bidi="ar-SA"/>
              </w:rPr>
              <w:t>。</w:t>
            </w:r>
          </w:p>
        </w:tc>
        <w:tc>
          <w:tcPr>
            <w:tcW w:w="504"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vAlign w:val="center"/>
          </w:tcPr>
          <w:p>
            <w:pPr>
              <w:widowControl w:val="0"/>
              <w:adjustRightInd w:val="0"/>
              <w:snapToGrid w:val="0"/>
              <w:spacing w:before="65" w:beforeLines="20" w:after="65" w:afterLines="20" w:line="240" w:lineRule="auto"/>
              <w:ind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坚决淘汰落后产能。分解落实年度目标，在提前一年完成“十二五”钢铁、电解铝、水泥、平板玻璃等重点行业淘汰落后产能目标任务基础上，通过提高财政奖励标准，落实等量或减量置换方案等措施，鼓励地方提高淘汰落后产能标准，2015年底前再淘汰炼铁1500万吨、炼钢1500万吨、水泥（熟料及粉磨能力）1亿吨、平板玻璃2000万重量箱。“十三五”期间，结合产业发展实际和环境承载力，通过提高能源消耗、污染物排放标准，严格执行特别排放限值要求，加大执法处罚力度，加快淘汰一批落后产能。中央企业在淘汰和退出落后产能方面要发挥示范带头作用。</w:t>
            </w:r>
          </w:p>
        </w:tc>
        <w:tc>
          <w:tcPr>
            <w:tcW w:w="1786"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本项目不属于钢铁、水泥、电解铝、平板玻璃、船舶等行业。</w:t>
            </w:r>
          </w:p>
        </w:tc>
        <w:tc>
          <w:tcPr>
            <w:tcW w:w="504"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vAlign w:val="center"/>
          </w:tcPr>
          <w:p>
            <w:pPr>
              <w:widowControl w:val="0"/>
              <w:adjustRightInd w:val="0"/>
              <w:snapToGrid w:val="0"/>
              <w:spacing w:before="65" w:beforeLines="20" w:after="65" w:afterLines="20" w:line="240" w:lineRule="auto"/>
              <w:ind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完善行业管理。充分发挥行业规划、政策、标准的引导和约束作用，落实工业转型升级规划和行业发展规划，修订完善钢铁、水泥产业政策和铝、水泥、平板玻璃、船舶行业准入条件。加强行业准入和规范管理，公告符合条件的生产线和企业名单。适时发布产能严重过剩行业产能利用、市场供需等相关信息。定期发布淘汰落后产能企业名单。加强产品质量管理，推行产能严重过剩行业产品质量分类监管。发挥行业协会在行业自律、信息服务等方面的重要作用。</w:t>
            </w:r>
          </w:p>
        </w:tc>
        <w:tc>
          <w:tcPr>
            <w:tcW w:w="1786"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本项目不属于钢铁、水泥、电解铝、平板玻璃、船舶等行业。</w:t>
            </w:r>
          </w:p>
        </w:tc>
        <w:tc>
          <w:tcPr>
            <w:tcW w:w="504"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bl>
    <w:p>
      <w:pPr>
        <w:adjustRightInd w:val="0"/>
        <w:ind w:firstLine="480"/>
        <w:rPr>
          <w:rFonts w:hint="eastAsia" w:ascii="Times New Roman" w:hAnsi="Times New Roman" w:cs="Times New Roman"/>
          <w:color w:val="auto"/>
          <w:lang w:val="en-US" w:eastAsia="zh-CN"/>
        </w:rPr>
      </w:pPr>
      <w:r>
        <w:rPr>
          <w:rFonts w:hint="default" w:ascii="Times New Roman" w:hAnsi="Times New Roman" w:cs="Times New Roman"/>
          <w:color w:val="auto"/>
        </w:rPr>
        <w:t>综上所述，本项目建设符合《国务院关于化解产能严重过剩矛盾的指导意见》（国发〔2013〕41号）相关要求。</w:t>
      </w:r>
    </w:p>
    <w:p>
      <w:pPr>
        <w:keepNext/>
        <w:keepLines/>
        <w:widowControl w:val="0"/>
        <w:numPr>
          <w:ilvl w:val="3"/>
          <w:numId w:val="1"/>
        </w:numPr>
        <w:adjustRightInd w:val="0"/>
        <w:snapToGrid w:val="0"/>
        <w:spacing w:line="360" w:lineRule="auto"/>
        <w:ind w:firstLine="200" w:firstLineChars="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与《四川省人民政府关于化解产能过剩矛盾促进产业结构调整的实施意见》（川府发〔2014〕10号）的符合性分析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本项目与《四川省人民政府关于化解产能过剩矛盾促进产业结构调整的实施意见》（川府发〔2014〕10号）的符合性分析见下表。</w:t>
      </w:r>
    </w:p>
    <w:p>
      <w:pPr>
        <w:keepNext/>
        <w:widowControl w:val="0"/>
        <w:adjustRightInd w:val="0"/>
        <w:snapToGrid w:val="0"/>
        <w:spacing w:line="240" w:lineRule="auto"/>
        <w:ind w:firstLine="0" w:firstLineChars="0"/>
        <w:jc w:val="center"/>
        <w:rPr>
          <w:rFonts w:hint="default" w:ascii="Times New Roman" w:hAnsi="Times New Roman" w:eastAsia="宋体" w:cs="Times New Roman"/>
          <w:b/>
          <w:color w:val="auto"/>
          <w:kern w:val="2"/>
          <w:sz w:val="21"/>
          <w:szCs w:val="20"/>
          <w:lang w:val="en-US" w:eastAsia="zh-CN" w:bidi="ar-SA"/>
        </w:rPr>
      </w:pPr>
      <w:r>
        <w:rPr>
          <w:rFonts w:hint="default" w:ascii="Times New Roman" w:hAnsi="Times New Roman" w:eastAsia="宋体" w:cs="Times New Roman"/>
          <w:b/>
          <w:color w:val="auto"/>
          <w:kern w:val="2"/>
          <w:sz w:val="21"/>
          <w:szCs w:val="20"/>
          <w:lang w:val="en-US" w:eastAsia="zh-CN" w:bidi="ar-SA"/>
        </w:rPr>
        <w:t xml:space="preserve">表 </w:t>
      </w:r>
      <w:r>
        <w:rPr>
          <w:rFonts w:hint="default" w:ascii="Times New Roman" w:hAnsi="Times New Roman" w:eastAsia="宋体" w:cs="Times New Roman"/>
          <w:b/>
          <w:color w:val="auto"/>
          <w:kern w:val="2"/>
          <w:sz w:val="21"/>
          <w:szCs w:val="20"/>
          <w:lang w:val="en-US" w:eastAsia="zh-CN" w:bidi="ar-SA"/>
        </w:rPr>
        <w:fldChar w:fldCharType="begin"/>
      </w:r>
      <w:r>
        <w:rPr>
          <w:rFonts w:hint="default" w:ascii="Times New Roman" w:hAnsi="Times New Roman" w:eastAsia="宋体" w:cs="Times New Roman"/>
          <w:b/>
          <w:color w:val="auto"/>
          <w:kern w:val="2"/>
          <w:sz w:val="21"/>
          <w:szCs w:val="20"/>
          <w:lang w:val="en-US" w:eastAsia="zh-CN" w:bidi="ar-SA"/>
        </w:rPr>
        <w:instrText xml:space="preserve"> STYLEREF 1 \s </w:instrText>
      </w:r>
      <w:r>
        <w:rPr>
          <w:rFonts w:hint="default" w:ascii="Times New Roman" w:hAnsi="Times New Roman" w:eastAsia="宋体" w:cs="Times New Roman"/>
          <w:b/>
          <w:color w:val="auto"/>
          <w:kern w:val="2"/>
          <w:sz w:val="21"/>
          <w:szCs w:val="20"/>
          <w:lang w:val="en-US" w:eastAsia="zh-CN" w:bidi="ar-SA"/>
        </w:rPr>
        <w:fldChar w:fldCharType="separate"/>
      </w:r>
      <w:r>
        <w:rPr>
          <w:rFonts w:hint="default" w:ascii="Times New Roman" w:hAnsi="Times New Roman" w:eastAsia="宋体" w:cs="Times New Roman"/>
          <w:b/>
          <w:color w:val="auto"/>
          <w:kern w:val="2"/>
          <w:sz w:val="21"/>
          <w:szCs w:val="20"/>
          <w:lang w:val="en-US" w:eastAsia="zh-CN" w:bidi="ar-SA"/>
        </w:rPr>
        <w:t>1</w:t>
      </w:r>
      <w:r>
        <w:rPr>
          <w:rFonts w:hint="default" w:ascii="Times New Roman" w:hAnsi="Times New Roman" w:eastAsia="宋体" w:cs="Times New Roman"/>
          <w:b/>
          <w:color w:val="auto"/>
          <w:kern w:val="2"/>
          <w:sz w:val="21"/>
          <w:szCs w:val="20"/>
          <w:lang w:val="en-US" w:eastAsia="zh-CN" w:bidi="ar-SA"/>
        </w:rPr>
        <w:fldChar w:fldCharType="end"/>
      </w:r>
      <w:r>
        <w:rPr>
          <w:rFonts w:hint="default" w:ascii="Times New Roman" w:hAnsi="Times New Roman" w:eastAsia="宋体" w:cs="Times New Roman"/>
          <w:b/>
          <w:color w:val="auto"/>
          <w:kern w:val="2"/>
          <w:sz w:val="21"/>
          <w:szCs w:val="20"/>
          <w:lang w:val="en-US" w:eastAsia="zh-CN" w:bidi="ar-SA"/>
        </w:rPr>
        <w:t>-</w:t>
      </w:r>
      <w:r>
        <w:rPr>
          <w:rFonts w:hint="default" w:ascii="Times New Roman" w:hAnsi="Times New Roman" w:eastAsia="宋体" w:cs="Times New Roman"/>
          <w:b/>
          <w:color w:val="auto"/>
          <w:kern w:val="2"/>
          <w:sz w:val="21"/>
          <w:szCs w:val="20"/>
          <w:lang w:val="en-US" w:eastAsia="zh-CN" w:bidi="ar-SA"/>
        </w:rPr>
        <w:fldChar w:fldCharType="begin"/>
      </w:r>
      <w:r>
        <w:rPr>
          <w:rFonts w:hint="default" w:ascii="Times New Roman" w:hAnsi="Times New Roman" w:eastAsia="宋体" w:cs="Times New Roman"/>
          <w:b/>
          <w:color w:val="auto"/>
          <w:kern w:val="2"/>
          <w:sz w:val="21"/>
          <w:szCs w:val="20"/>
          <w:lang w:val="en-US" w:eastAsia="zh-CN" w:bidi="ar-SA"/>
        </w:rPr>
        <w:instrText xml:space="preserve"> SEQ 表 \* ARABIC \s 1 </w:instrText>
      </w:r>
      <w:r>
        <w:rPr>
          <w:rFonts w:hint="default" w:ascii="Times New Roman" w:hAnsi="Times New Roman" w:eastAsia="宋体" w:cs="Times New Roman"/>
          <w:b/>
          <w:color w:val="auto"/>
          <w:kern w:val="2"/>
          <w:sz w:val="21"/>
          <w:szCs w:val="20"/>
          <w:lang w:val="en-US" w:eastAsia="zh-CN" w:bidi="ar-SA"/>
        </w:rPr>
        <w:fldChar w:fldCharType="separate"/>
      </w:r>
      <w:r>
        <w:rPr>
          <w:rFonts w:hint="default" w:ascii="Times New Roman" w:hAnsi="Times New Roman" w:eastAsia="宋体" w:cs="Times New Roman"/>
          <w:b/>
          <w:color w:val="auto"/>
          <w:kern w:val="2"/>
          <w:sz w:val="21"/>
          <w:szCs w:val="20"/>
          <w:lang w:val="en-US" w:eastAsia="zh-CN" w:bidi="ar-SA"/>
        </w:rPr>
        <w:t>4</w:t>
      </w:r>
      <w:r>
        <w:rPr>
          <w:rFonts w:hint="default" w:ascii="Times New Roman" w:hAnsi="Times New Roman" w:eastAsia="宋体" w:cs="Times New Roman"/>
          <w:b/>
          <w:color w:val="auto"/>
          <w:kern w:val="2"/>
          <w:sz w:val="21"/>
          <w:szCs w:val="20"/>
          <w:lang w:val="en-US" w:eastAsia="zh-CN" w:bidi="ar-SA"/>
        </w:rPr>
        <w:fldChar w:fldCharType="end"/>
      </w:r>
      <w:r>
        <w:rPr>
          <w:rFonts w:hint="default" w:ascii="Times New Roman" w:hAnsi="Times New Roman" w:eastAsia="宋体" w:cs="Times New Roman"/>
          <w:b/>
          <w:color w:val="auto"/>
          <w:kern w:val="2"/>
          <w:sz w:val="21"/>
          <w:szCs w:val="20"/>
          <w:lang w:val="en-US" w:eastAsia="zh-CN" w:bidi="ar-SA"/>
        </w:rPr>
        <w:t>项目与《四川省人民政府关于化解产能过剩矛盾促进产业结构调整的实施意见》的符合性分析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304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09"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主要内容</w:t>
            </w:r>
          </w:p>
        </w:tc>
        <w:tc>
          <w:tcPr>
            <w:tcW w:w="1786"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本项目情况</w:t>
            </w:r>
          </w:p>
        </w:tc>
        <w:tc>
          <w:tcPr>
            <w:tcW w:w="504"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2709" w:type="pct"/>
            <w:vAlign w:val="center"/>
          </w:tcPr>
          <w:p>
            <w:pPr>
              <w:widowControl w:val="0"/>
              <w:adjustRightInd w:val="0"/>
              <w:snapToGrid w:val="0"/>
              <w:spacing w:before="65" w:beforeLines="20" w:after="65" w:afterLines="20" w:line="240" w:lineRule="auto"/>
              <w:ind w:firstLine="0" w:firstLineChars="0"/>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国务院关于化解产能严重过剩矛盾的指导意见》（国发〔2013〕41号）（以下简称国务院《指导意见》），为积极有效做好钢铁、水泥、平板玻璃、电解铝等行业过剩产能化解工作，促进工业转方式调结构和提升整体竞争力，特制订如下实施意见</w:t>
            </w:r>
            <w:r>
              <w:rPr>
                <w:rFonts w:hint="eastAsia" w:ascii="Times New Roman" w:hAnsi="Times New Roman" w:eastAsia="宋体" w:cs="Times New Roman"/>
                <w:color w:val="auto"/>
                <w:kern w:val="2"/>
                <w:sz w:val="21"/>
                <w:szCs w:val="21"/>
                <w:lang w:val="en-US" w:eastAsia="zh-CN" w:bidi="ar-SA"/>
              </w:rPr>
              <w:t>。</w:t>
            </w:r>
          </w:p>
        </w:tc>
        <w:tc>
          <w:tcPr>
            <w:tcW w:w="1786" w:type="pct"/>
            <w:vAlign w:val="center"/>
          </w:tcPr>
          <w:p>
            <w:pPr>
              <w:widowControl w:val="0"/>
              <w:adjustRightInd w:val="0"/>
              <w:snapToGrid w:val="0"/>
              <w:spacing w:before="65" w:beforeLines="20" w:after="65" w:afterLines="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本项目不属于钢铁、水泥、电解铝、平板玻璃等行业。</w:t>
            </w:r>
          </w:p>
        </w:tc>
        <w:tc>
          <w:tcPr>
            <w:tcW w:w="504"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vAlign w:val="center"/>
          </w:tcPr>
          <w:p>
            <w:pPr>
              <w:widowControl w:val="0"/>
              <w:adjustRightInd w:val="0"/>
              <w:snapToGrid w:val="0"/>
              <w:spacing w:before="65" w:beforeLines="20" w:after="65" w:afterLines="20" w:line="240" w:lineRule="auto"/>
              <w:ind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完善行业管理。充分发挥行业规划、政策、标准的引导和约束作用，落实工业转型升级规划和行业发展规划，严格执行钢铁、水泥、平板玻璃、电解铝等产业政策和行业准入条件，加强行业准入和规范管理，公告符合条件的生产线和企业名单，定期发布淘汰落后产能企业名单，适时发布产能严重过剩行业产能利用、市场供需等相关信息。加强产品质量管理，推行产能过剩行业产品质量分类监管。加强知识产权保护、诚信体系和质量体系建设，打击假冒伪劣产品，整顿规范市场秩序。发挥行业协会在行业自律、信息服务等方面的重要作用。</w:t>
            </w:r>
          </w:p>
        </w:tc>
        <w:tc>
          <w:tcPr>
            <w:tcW w:w="1786"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本项目不属于钢铁、水泥、电解铝、平板玻璃等行业。</w:t>
            </w:r>
          </w:p>
        </w:tc>
        <w:tc>
          <w:tcPr>
            <w:tcW w:w="504"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vAlign w:val="center"/>
          </w:tcPr>
          <w:p>
            <w:pPr>
              <w:widowControl w:val="0"/>
              <w:adjustRightInd w:val="0"/>
              <w:snapToGrid w:val="0"/>
              <w:spacing w:before="65" w:beforeLines="20" w:after="65" w:afterLines="20" w:line="240" w:lineRule="auto"/>
              <w:ind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坚决遏制过剩产能盲目扩张。严禁建设新增产能项目。严格执行国家投资管理规定和产业政策，严把项目准入关，各地各部门不得以任何名义、任何方式核准或者备案钢铁、水泥、平板玻璃、电解铝行业新增产能项目。</w:t>
            </w:r>
          </w:p>
        </w:tc>
        <w:tc>
          <w:tcPr>
            <w:tcW w:w="1786"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本项目不属于钢铁、水泥、电解铝、平板玻璃等行业。</w:t>
            </w:r>
          </w:p>
        </w:tc>
        <w:tc>
          <w:tcPr>
            <w:tcW w:w="504" w:type="pct"/>
            <w:vAlign w:val="center"/>
          </w:tcPr>
          <w:p>
            <w:pPr>
              <w:widowControl w:val="0"/>
              <w:adjustRightInd w:val="0"/>
              <w:snapToGrid w:val="0"/>
              <w:spacing w:before="65" w:beforeLines="20" w:after="65" w:afterLines="2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综上所述，本项目建设符合《四川省人民政府关于化解产能过剩矛盾促进产业结构调整的实施意见》（川府发〔2014〕10号）相关要求。</w:t>
      </w:r>
    </w:p>
    <w:p>
      <w:pPr>
        <w:keepNext/>
        <w:keepLines/>
        <w:widowControl w:val="0"/>
        <w:numPr>
          <w:ilvl w:val="3"/>
          <w:numId w:val="1"/>
        </w:numPr>
        <w:adjustRightInd w:val="0"/>
        <w:snapToGrid w:val="0"/>
        <w:spacing w:line="360" w:lineRule="auto"/>
        <w:ind w:firstLine="200" w:firstLineChars="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与《长江经济带生态环境保护规划》（环规财〔2017〕88号）的符合性分析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本项目与《长江经济带生态环境保护规划》（环规财〔2017〕88号）的符合性分析见下表。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项目与《长江经济带生态环境保护规划》的符合性分析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304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0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主要内容</w:t>
            </w:r>
          </w:p>
        </w:tc>
        <w:tc>
          <w:tcPr>
            <w:tcW w:w="178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504"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5" w:hRule="atLeast"/>
          <w:jc w:val="center"/>
        </w:trPr>
        <w:tc>
          <w:tcPr>
            <w:tcW w:w="2709" w:type="pct"/>
            <w:vAlign w:val="center"/>
          </w:tcPr>
          <w:p>
            <w:pPr>
              <w:pStyle w:val="36"/>
              <w:adjustRightInd w:val="0"/>
              <w:jc w:val="both"/>
              <w:rPr>
                <w:rFonts w:hint="eastAsia" w:ascii="Times New Roman" w:hAnsi="Times New Roman" w:eastAsia="宋体" w:cs="Times New Roman"/>
                <w:color w:val="auto"/>
                <w:lang w:eastAsia="zh-CN"/>
              </w:rPr>
            </w:pPr>
            <w:r>
              <w:rPr>
                <w:rFonts w:hint="default" w:ascii="Times New Roman" w:hAnsi="Times New Roman" w:cs="Times New Roman"/>
                <w:color w:val="auto"/>
              </w:rPr>
              <w:t>治理岷江、沱江流域总磷污染。以成都、乐山、眉山、绵阳、德阳等为重点，实施总磷污染综合治理。开展区域内涉磷小企业专项整治，加强磷化工等涉磷企业废水排放监管，执行水污染物特别排放限值。实施总磷超标控制单元新建涉磷项目倍量削减替代。关闭生产能力小于50万吨/年的小磷矿，开展磷石膏、磷渣仓储标准化管理，推进磷石膏综合利用。提升成都、泸州、资阳、绵阳、自贡城镇污水处理设施总磷削减能力。加强阿坝州理县、凉山州美姑县等地区污水处理设施建设。重点治理成都、眉山、德阳、自贡等地区规模化畜禽养殖场（小区）</w:t>
            </w:r>
            <w:r>
              <w:rPr>
                <w:rFonts w:hint="eastAsia" w:cs="Times New Roman"/>
                <w:color w:val="auto"/>
                <w:lang w:eastAsia="zh-CN"/>
              </w:rPr>
              <w:t>。</w:t>
            </w:r>
          </w:p>
        </w:tc>
        <w:tc>
          <w:tcPr>
            <w:tcW w:w="1786" w:type="pct"/>
            <w:vAlign w:val="center"/>
          </w:tcPr>
          <w:p>
            <w:pPr>
              <w:pStyle w:val="36"/>
              <w:adjustRightInd w:val="0"/>
              <w:rPr>
                <w:rFonts w:hint="eastAsia" w:ascii="Times New Roman" w:hAnsi="Times New Roman" w:eastAsia="宋体" w:cs="Times New Roman"/>
                <w:color w:val="auto"/>
                <w:lang w:eastAsia="zh-CN"/>
              </w:rPr>
            </w:pPr>
            <w:r>
              <w:rPr>
                <w:rFonts w:hint="default" w:ascii="Times New Roman" w:hAnsi="Times New Roman" w:cs="Times New Roman"/>
                <w:color w:val="auto"/>
              </w:rPr>
              <w:t>本项目不涉磷。本项目生活污水排放至园区污水处理厂（乐山沙湾经济开发区污水处理厂），执行《四川省岷江、沱江流域水污染物排放标准》（DB51 /2311-2016），本项目生产废水不外排</w:t>
            </w:r>
            <w:r>
              <w:rPr>
                <w:rFonts w:hint="eastAsia" w:cs="Times New Roman"/>
                <w:color w:val="auto"/>
                <w:lang w:eastAsia="zh-CN"/>
              </w:rPr>
              <w:t>。</w:t>
            </w:r>
          </w:p>
        </w:tc>
        <w:tc>
          <w:tcPr>
            <w:tcW w:w="50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实施城市空气质量达标计划。全面推进长江经济带126个地级及以上城市空气质量限期达标工作，已达标城市空气质量进一步巩固，未达标城市要制定并实施分阶段达标计划。完善大气污染物排放总量控制制度，加强二氧化硫、氮氧化物、烟粉尘、挥发性有机物等主要污染物综合防治。地级及以上城市建成区基本淘汰10蒸吨以下燃煤锅炉，完成35蒸吨及以上燃煤锅炉脱硫脱硝除尘改造、钢铁行业烧结机脱硫改造、水泥行业脱硝改造、平板玻璃天然气燃料替代及脱硝改造。实施燃煤电厂超低排放改造工程和清洁柴油机行动计划。实施石化、化工、工业涂装、包装印刷、油品储运销、机动车等重点行业挥发性有机物综合整治工程。强化机动车尾气治理，优先发展公共交通，鼓励发展天然气汽车，加快推广使用新能源汽车。</w:t>
            </w:r>
          </w:p>
        </w:tc>
        <w:tc>
          <w:tcPr>
            <w:tcW w:w="1786" w:type="pct"/>
            <w:vAlign w:val="center"/>
          </w:tcPr>
          <w:p>
            <w:pPr>
              <w:pStyle w:val="36"/>
              <w:adjustRightInd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本项目严格落实减排计划，实施大气污染物双倍替代削减要求。</w:t>
            </w:r>
            <w:r>
              <w:rPr>
                <w:rFonts w:hint="eastAsia" w:cs="Times New Roman"/>
                <w:color w:val="auto"/>
                <w:lang w:val="en-US" w:eastAsia="zh-CN"/>
              </w:rPr>
              <w:t>本项目不涉及燃煤锅炉，本项目不涉及挥发性有机物。</w:t>
            </w:r>
          </w:p>
        </w:tc>
        <w:tc>
          <w:tcPr>
            <w:tcW w:w="50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加强环境应急预案编制与备案管理。在不同行业、不同领域定期开展预案评估，筛选一批环境应急预案并推广示范。沿江涉危涉重企业完成基于环境风险评估的应急预案修编，开展电子化备案试点。以集中式饮用水水源为重点，推动跨省界突发水环境事件应急预案编制。2018年底前，完成长江干流县级及以上集中式饮用水水源和沿江沿岸化工园区突发环境事件应急预案备案。开展政府突发环境事件应急预案修编，2018年底前，完成地级及以上政府预案修编，完善各省市辐射事故应急预案，并实施动态管理。</w:t>
            </w:r>
          </w:p>
        </w:tc>
        <w:tc>
          <w:tcPr>
            <w:tcW w:w="1786"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本次评价要求企业编制突发环境事件应急预案。</w:t>
            </w:r>
          </w:p>
        </w:tc>
        <w:tc>
          <w:tcPr>
            <w:tcW w:w="504" w:type="pct"/>
            <w:vAlign w:val="center"/>
          </w:tcPr>
          <w:p>
            <w:pPr>
              <w:pStyle w:val="36"/>
              <w:adjustRightInd w:val="0"/>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bl>
    <w:p>
      <w:pPr>
        <w:adjustRightInd w:val="0"/>
        <w:ind w:firstLine="480"/>
        <w:rPr>
          <w:rFonts w:hint="eastAsia" w:ascii="Times New Roman" w:hAnsi="Times New Roman" w:cs="Times New Roman"/>
          <w:color w:val="auto"/>
          <w:lang w:val="en-US" w:eastAsia="zh-CN"/>
        </w:rPr>
      </w:pPr>
      <w:r>
        <w:rPr>
          <w:rFonts w:hint="default" w:ascii="Times New Roman" w:hAnsi="Times New Roman" w:cs="Times New Roman"/>
          <w:color w:val="auto"/>
        </w:rPr>
        <w:t>综上所述，本项目建设符合《长江经济带生态环境保护规划》（环规财〔2017〕88号）相关要求。</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与《长江经济带发展负面清单指南（试行，2022版）》（长江办〔2022〕7号）的符合性分析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推动长江经济带发展领导小组办公室于2022年1月19日印发《长江经济带发展负面清单指南（试行，2022年版）》（长江办〔2022〕7号），本项目与其符合性分析如下。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项目与《长江经济带发展负面清单指南（试行，2022版）》的符合性分析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8"/>
        <w:gridCol w:w="2798"/>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85"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负面清单</w:t>
            </w:r>
          </w:p>
        </w:tc>
        <w:tc>
          <w:tcPr>
            <w:tcW w:w="1641"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672" w:type="pct"/>
            <w:vAlign w:val="center"/>
          </w:tcPr>
          <w:p>
            <w:pPr>
              <w:pStyle w:val="36"/>
              <w:adjustRightInd w:val="0"/>
              <w:rPr>
                <w:rFonts w:hint="default" w:ascii="Times New Roman" w:hAnsi="Times New Roman" w:cs="Times New Roman"/>
                <w:b/>
                <w:bCs/>
                <w:color w:val="auto"/>
              </w:rPr>
            </w:pPr>
            <w:r>
              <w:rPr>
                <w:rFonts w:hint="eastAsia" w:cs="Times New Roman"/>
                <w:b/>
                <w:bCs/>
                <w:color w:va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1.禁止建设不符合全国和省级港口布局规划以及港口总体规划的码头项目，禁止建设不符合《长江干线过江通道布局规划》的过长江通道项目。</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w:t>
            </w:r>
            <w:r>
              <w:rPr>
                <w:rFonts w:hint="eastAsia" w:cs="Times New Roman"/>
                <w:color w:val="auto"/>
                <w:lang w:val="en-US" w:eastAsia="zh-CN"/>
              </w:rPr>
              <w:t>涉及</w:t>
            </w:r>
            <w:r>
              <w:rPr>
                <w:rFonts w:hint="default" w:ascii="Times New Roman" w:hAnsi="Times New Roman" w:cs="Times New Roman"/>
                <w:color w:val="auto"/>
              </w:rPr>
              <w:t>码头、长江通道项目。</w:t>
            </w:r>
          </w:p>
        </w:tc>
        <w:tc>
          <w:tcPr>
            <w:tcW w:w="672"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2.禁止在自然保护区核心区、缓冲区的岸线和河段范围内投资建设旅游和生产经营项目。禁止在风景名胜区核心景区的岸线和河段范围内投资建设与风景名胜资源保护无关的项目。</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不涉及</w:t>
            </w:r>
            <w:r>
              <w:rPr>
                <w:rFonts w:hint="default" w:ascii="Times New Roman" w:hAnsi="Times New Roman" w:cs="Times New Roman"/>
                <w:color w:val="auto"/>
              </w:rPr>
              <w:t>自然保护区核心区、缓冲区、风景名胜区。</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不涉及</w:t>
            </w:r>
            <w:r>
              <w:rPr>
                <w:rFonts w:hint="default" w:ascii="Times New Roman" w:hAnsi="Times New Roman" w:cs="Times New Roman"/>
                <w:color w:val="auto"/>
              </w:rPr>
              <w:t>饮用水水源一级保护区的岸线和河段范围、饮用水水源二级保护区的岸线和河段范围内。</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不涉及</w:t>
            </w:r>
            <w:r>
              <w:rPr>
                <w:rFonts w:hint="default" w:ascii="Times New Roman" w:hAnsi="Times New Roman" w:cs="Times New Roman"/>
                <w:color w:val="auto"/>
              </w:rPr>
              <w:t>水产种质资源保护区、国家湿地公园；不属于围湖造田、围海造地或围填海、挖沙、采矿项目。</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本项目建设未占用长江流域河湖岸线，项目所在地</w:t>
            </w:r>
            <w:r>
              <w:rPr>
                <w:rFonts w:hint="eastAsia" w:cs="Times New Roman"/>
                <w:color w:val="auto"/>
                <w:lang w:val="en-US" w:eastAsia="zh-CN"/>
              </w:rPr>
              <w:t>不涉及</w:t>
            </w:r>
            <w:r>
              <w:rPr>
                <w:rFonts w:hint="default" w:ascii="Times New Roman" w:hAnsi="Times New Roman" w:cs="Times New Roman"/>
                <w:color w:val="auto"/>
              </w:rPr>
              <w:t>《全国重要江河湖泊水功能区划》划定的河段及湖泊保护区、保留区。</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6.禁止未经许可在长江干支流及湖泊新设、改设或扩大排污口。</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本项目不涉及排污口建设。</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7.禁止在“一江一口两湖七河”和332个水生生物保护区开展生产性捕捞。</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不涉及</w:t>
            </w:r>
            <w:r>
              <w:rPr>
                <w:rFonts w:hint="default" w:ascii="Times New Roman" w:hAnsi="Times New Roman" w:cs="Times New Roman"/>
                <w:color w:val="auto"/>
              </w:rPr>
              <w:t>开展生产性捕捞。</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8.禁止在长江干支流、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本项目建设不属于化工园区和化工项目；不属于尾矿库、冶炼渣库和磷石膏库项目。</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9.禁止在合规园区外新建、扩建钢铁、石化、化工、焦化、建材、有色、制浆造纸等高污染项目。</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本项目建设不属于新建、扩建、钢铁、石化、化工、焦化、建材、有色、制浆造纸等高污染项目，项目建设位于合规园区内。</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10.禁止新建、扩建不符合国家石化、现代煤化工等产业布局规划的项目。</w:t>
            </w:r>
          </w:p>
        </w:tc>
        <w:tc>
          <w:tcPr>
            <w:tcW w:w="1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本项目建设不涉及国家石化、现代煤化工等产业布局规划。</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685"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11.禁止新建、扩建法律法规和相关政策明令禁止的落后产能项目。禁止新建、扩建不符合国家产能置换要求的严重过剩产能行业的项目。禁止新建、扩建不符合要求的高耗能高排放项目。</w:t>
            </w:r>
          </w:p>
        </w:tc>
        <w:tc>
          <w:tcPr>
            <w:tcW w:w="1641" w:type="pct"/>
            <w:vAlign w:val="center"/>
          </w:tcPr>
          <w:p>
            <w:pPr>
              <w:pStyle w:val="36"/>
              <w:adjustRightInd w:val="0"/>
              <w:rPr>
                <w:rFonts w:hint="eastAsia" w:ascii="Times New Roman" w:hAnsi="Times New Roman" w:eastAsia="宋体" w:cs="Times New Roman"/>
                <w:color w:val="auto"/>
                <w:lang w:eastAsia="zh-CN"/>
              </w:rPr>
            </w:pPr>
            <w:r>
              <w:rPr>
                <w:rFonts w:hint="default" w:ascii="Times New Roman" w:hAnsi="Times New Roman" w:cs="Times New Roman"/>
                <w:color w:val="auto"/>
              </w:rPr>
              <w:t>根据《关于印发&lt;四川省“两高”项目管理目录（试行）&gt;的通知》（川发改环资函〔2024〕259号），本项目不属于两高项目</w:t>
            </w:r>
            <w:r>
              <w:rPr>
                <w:rFonts w:hint="eastAsia" w:cs="Times New Roman"/>
                <w:color w:val="auto"/>
                <w:lang w:eastAsia="zh-CN"/>
              </w:rPr>
              <w:t>。</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本项目不属于落后产能、过剩产能、高耗能高排放项目。</w:t>
            </w:r>
          </w:p>
        </w:tc>
        <w:tc>
          <w:tcPr>
            <w:tcW w:w="672" w:type="pct"/>
            <w:vAlign w:val="center"/>
          </w:tcPr>
          <w:p>
            <w:pPr>
              <w:pStyle w:val="36"/>
              <w:adjustRightInd w:val="0"/>
              <w:rPr>
                <w:rFonts w:hint="default" w:ascii="Times New Roman" w:hAnsi="Times New Roman" w:cs="Times New Roman"/>
                <w:color w:val="auto"/>
              </w:rPr>
            </w:pPr>
            <w:r>
              <w:rPr>
                <w:rFonts w:hint="eastAsia"/>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由上表可知，本项目不在《长江经济带发展负面清单指南（试行，2022年版）》（长江办〔2022〕7号）确定的负面清单之列，项目的建设是可行的。</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与《四川省、重庆市长江经济带发展负面清单实施细则（试行，2022年版）》（川长江办〔2022〕17号）的符合性分析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四川省推动长江经济带发展领导小组办公室、重庆市推动长江经济带发展领导小组办公室于2022年8月25日印发《四川省、重庆市长江经济带发展负面清单实施细则（试行，2022年版）》（川长江办〔2022〕17号），本项目与其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项目与《四川省、重庆市长江经济带发展负面清单实施细则（试行，2022年版）》的符合性分析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8"/>
        <w:gridCol w:w="310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68"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管控内容</w:t>
            </w:r>
          </w:p>
        </w:tc>
        <w:tc>
          <w:tcPr>
            <w:tcW w:w="182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608" w:type="pct"/>
            <w:vAlign w:val="center"/>
          </w:tcPr>
          <w:p>
            <w:pPr>
              <w:pStyle w:val="36"/>
              <w:adjustRightInd w:val="0"/>
              <w:rPr>
                <w:rFonts w:hint="eastAsia" w:ascii="Times New Roman" w:hAnsi="Times New Roman" w:eastAsia="宋体" w:cs="Times New Roman"/>
                <w:b/>
                <w:bCs/>
                <w:color w:val="auto"/>
                <w:lang w:eastAsia="zh-CN"/>
              </w:rPr>
            </w:pPr>
            <w:r>
              <w:rPr>
                <w:rFonts w:hint="eastAsia" w:cs="Times New Roman"/>
                <w:b/>
                <w:bCs/>
                <w:color w:va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第五条 禁止新建、改建和扩建不符合全国港口布局规划，以及《四川省内河水运发展规划》《泸州—宜宾——乐山港口群布局规划》《重庆港总体规划（2035年）》等省级港口布局规划及市级港口总体规划的码头项目。</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不涉及</w:t>
            </w:r>
            <w:r>
              <w:rPr>
                <w:rFonts w:hint="default" w:ascii="Times New Roman" w:hAnsi="Times New Roman" w:cs="Times New Roman"/>
                <w:color w:val="auto"/>
              </w:rPr>
              <w:t>码头项目。</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第六条 禁止新建、改建和扩建不符合《长江干线过江通道布局规划（2020—2035年）》的过长江通道项目（含桥梁、隧道），国家发展改革委同意过长江通道线位调整的除外。</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eastAsia="zh-CN"/>
              </w:rPr>
              <w:t>不涉及</w:t>
            </w:r>
            <w:r>
              <w:rPr>
                <w:rFonts w:hint="default" w:ascii="Times New Roman" w:hAnsi="Times New Roman" w:cs="Times New Roman"/>
                <w:color w:val="auto"/>
              </w:rPr>
              <w:t>过长江通道项目（含桥梁、隧道）。</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第七条 禁止在自然保护区核心区、缓冲区的岸线和河段范围内投资建设旅游和生产经营项目。自然保护区的内部未分区的，依照核心区和缓冲区的规定管控。</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本项目建设位于工业园区，</w:t>
            </w:r>
            <w:r>
              <w:rPr>
                <w:rFonts w:hint="eastAsia" w:cs="Times New Roman"/>
                <w:color w:val="auto"/>
                <w:lang w:eastAsia="zh-CN"/>
              </w:rPr>
              <w:t>不涉及</w:t>
            </w:r>
            <w:r>
              <w:rPr>
                <w:rFonts w:hint="default" w:ascii="Times New Roman" w:hAnsi="Times New Roman" w:cs="Times New Roman"/>
                <w:color w:val="auto"/>
              </w:rPr>
              <w:t>自然保护区核心区、缓冲区的岸线和河段。</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第八条 禁止违反风景名胜区规划，在风景名胜区内设立各类开发区。禁止在风景名胜区核心景区的岸线和河段范围内建设宾馆、招待所、培训中心、疗养院以及与风景名胜资源保护无关的项目。</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本项目建设位于工业园区，</w:t>
            </w:r>
            <w:r>
              <w:rPr>
                <w:rFonts w:hint="eastAsia" w:cs="Times New Roman"/>
                <w:color w:val="auto"/>
                <w:lang w:val="en-US" w:eastAsia="zh-CN"/>
              </w:rPr>
              <w:t>不涉及</w:t>
            </w:r>
            <w:r>
              <w:rPr>
                <w:rFonts w:hint="default" w:ascii="Times New Roman" w:hAnsi="Times New Roman" w:cs="Times New Roman"/>
                <w:color w:val="auto"/>
              </w:rPr>
              <w:t>风景名胜区，</w:t>
            </w:r>
            <w:r>
              <w:rPr>
                <w:rFonts w:hint="eastAsia" w:cs="Times New Roman"/>
                <w:color w:val="auto"/>
                <w:lang w:eastAsia="zh-CN"/>
              </w:rPr>
              <w:t>不涉及</w:t>
            </w:r>
            <w:r>
              <w:rPr>
                <w:rFonts w:hint="default" w:ascii="Times New Roman" w:hAnsi="Times New Roman" w:cs="Times New Roman"/>
                <w:color w:val="auto"/>
              </w:rPr>
              <w:t>风景名胜区核心景区的岸线和河段。</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第九条 禁止在饮用水水源准保护区的岸线和河段范围内新建、扩建对水体污染严重的建设项目，禁止改建增加排污量的建设项目。</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本项目建设位于工业园区，不属于饮用水水源准保护区的岸线和河段范围内。</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第十条 饮用水水源二级保护区的岸线和河段范围内，除遵守准保护区规定外，禁止新建、改建、扩建排放污染物的投资建设项目；禁止从事对水体有污染的水产养殖等活动。</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本项目建设位于工业园区，不属于饮用水水源二级保护区的岸线和河段范围内；项目建设不</w:t>
            </w:r>
            <w:r>
              <w:rPr>
                <w:rFonts w:hint="eastAsia" w:cs="Times New Roman"/>
                <w:color w:val="auto"/>
                <w:lang w:val="en-US" w:eastAsia="zh-CN"/>
              </w:rPr>
              <w:t>涉及</w:t>
            </w:r>
            <w:r>
              <w:rPr>
                <w:rFonts w:hint="default" w:ascii="Times New Roman" w:hAnsi="Times New Roman" w:cs="Times New Roman"/>
                <w:color w:val="auto"/>
              </w:rPr>
              <w:t>水产养殖等活动。</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822" w:type="pct"/>
            <w:vAlign w:val="center"/>
          </w:tcPr>
          <w:p>
            <w:pPr>
              <w:pStyle w:val="36"/>
              <w:adjustRightInd w:val="0"/>
              <w:rPr>
                <w:rFonts w:hint="eastAsia" w:cs="Times New Roman"/>
                <w:color w:val="auto"/>
                <w:lang w:eastAsia="zh-CN"/>
              </w:rPr>
            </w:pPr>
            <w:r>
              <w:rPr>
                <w:rFonts w:hint="default" w:ascii="Times New Roman" w:hAnsi="Times New Roman" w:cs="Times New Roman"/>
                <w:color w:val="auto"/>
              </w:rPr>
              <w:t>项目场地东南侧约1802m为乐山市大渡河安谷电站库区集中式饮用水水源保护区取水口，项目距离乐山市大渡河安谷电站库区集中式饮用水水源保护区最近直线距离为1246m</w:t>
            </w:r>
            <w:r>
              <w:rPr>
                <w:rFonts w:hint="eastAsia" w:cs="Times New Roman"/>
                <w:color w:val="auto"/>
                <w:lang w:eastAsia="zh-CN"/>
              </w:rPr>
              <w:t>。</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本项目建设位于工业园区，不属于饮用水水源一级保护区的岸线和河段范围内。</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第十二条 禁止在水产种质资源保护区岸线和河段范围内新建围湖造田、围湖造地或挖沙采石等投资建设项目。</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本项目建设位于工业园区，不</w:t>
            </w:r>
            <w:r>
              <w:rPr>
                <w:rFonts w:hint="eastAsia" w:cs="Times New Roman"/>
                <w:color w:val="auto"/>
                <w:lang w:val="en-US" w:eastAsia="zh-CN"/>
              </w:rPr>
              <w:t>涉及</w:t>
            </w:r>
            <w:r>
              <w:rPr>
                <w:rFonts w:hint="default" w:ascii="Times New Roman" w:hAnsi="Times New Roman" w:cs="Times New Roman"/>
                <w:color w:val="auto"/>
              </w:rPr>
              <w:t>水产种质资源保护区岸线和河段。</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本项目建设位于工业园区，不</w:t>
            </w:r>
            <w:r>
              <w:rPr>
                <w:rFonts w:hint="eastAsia" w:cs="Times New Roman"/>
                <w:color w:val="auto"/>
                <w:lang w:val="en-US" w:eastAsia="zh-CN"/>
              </w:rPr>
              <w:t>涉及</w:t>
            </w:r>
            <w:r>
              <w:rPr>
                <w:rFonts w:hint="default" w:ascii="Times New Roman" w:hAnsi="Times New Roman" w:cs="Times New Roman"/>
                <w:color w:val="auto"/>
              </w:rPr>
              <w:t>国家湿地公园的岸线和河段。</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本项目建设未占用长江流域河湖岸线，不属于《长江岸线保护和开发利用总体规划》划定的岸线保护区和岸线保留区内。</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第十五条 禁止在《全国重要江河湖泊水功能区划》划定的河段及湖泊保护区、保留区内投资建设不利于水资源及自然生态保护的项目。</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本项目所在地不属于《全国重要江河湖泊水功能区划》划定的河段及湖泊保护区、保留区。</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第十六条 禁止在长江流域江河、湖泊新设、改设或者扩大排污口，经有管辖权的生态环境主管部门或者长江流域生态环境监督管理机构同意的除外。</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本项目不涉及新设、改设或者扩大排污口。</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第十七条 禁止在长江干流、大渡河、岷江、赤水河、沱江、嘉陵江、乌江、汉江和51个（四川省45个、重庆市6个）水生生物保护区开展生产性捕捞。</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本项目所在地不属于长江干流、大渡河、岷江、赤水河、沱江、嘉陵江、乌江、汉江和51个（四川省45个、重庆市6个）水生生物保护区，项目建设不涉及生产性捕捞。</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第十八条 禁止在长江干支流、重要湖泊岸线一公里范围内新建、扩建化工园区和化工项目。</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本项目建设不属于化工园区和化工项目。</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第十九条 禁止在长江干流岸线三公里范围内和重要支流岸线一公里范围内新建、改建、扩建尾矿库、冶炼渣库、磷石膏库，以提升安全、生态环境保护水平为目的的改建除外。</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本项目建设不属于尾矿库、冶炼渣库、磷石膏库。</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第二十条 禁止在生态保护红线区域、永久基本农田集中区域和其他需要特别保护的区域内选址建设尾矿库、冶炼渣库、磷石膏库。</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本项目所在地不</w:t>
            </w:r>
            <w:r>
              <w:rPr>
                <w:rFonts w:hint="eastAsia" w:cs="Times New Roman"/>
                <w:color w:val="auto"/>
                <w:lang w:val="en-US" w:eastAsia="zh-CN"/>
              </w:rPr>
              <w:t>涉及</w:t>
            </w:r>
            <w:r>
              <w:rPr>
                <w:rFonts w:hint="default" w:ascii="Times New Roman" w:hAnsi="Times New Roman" w:cs="Times New Roman"/>
                <w:color w:val="auto"/>
              </w:rPr>
              <w:t>生态保护红线区域、永久基本农田集中区域和其他需要特别保护的区域内，项目建设不属于尾矿库、冶炼渣库、磷石膏库。</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第二十一条 禁止在合规园区外新建、扩建钢铁、石化、化工、焦化、建材、有色、制浆造纸等高污染项目。</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本项目建设不属于新建、扩建、钢铁、石化、化工、焦化、建材、有色、制浆造纸等高污染项目，项目建设位于合规园区内。</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第二十二条 禁止新建、扩建不符合国家石化、现代煤化工等产业布局规划的项目。</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（一）严格控制新增炼油产能，未列入《石化产业规划布局方案（修订版）》的新增炼油产能一律不得建设。</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（二）新建煤制烯烃、煤制芳烃项目必须列入《现代煤化工产业创新发展布局方案》，必须符合《现代煤化工建设项目环境准入条件（试行）》要求。</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本项目建设不属于石化、现代煤化工项目，项目建设不新增炼油产能，不属于新建煤制烯烃、煤制芳烃项目。</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本项目不属于法律法规和相关政策明令禁止的落后产能项目，不属于《产业结构调整指导目录》中的淘汰类、限制类项目。</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第二十四条 禁止新建、扩建不符合国家产能置换要求的严重过剩产能行业的项目。对于不符合国家产能置换要求的严重过剩产能行业，不得以其他任何名义、任何方式备案新增产能项目。</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本项目建设不属于不符合国家产能置换要求的严重过剩产能行业的项目。</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第二十五条 禁止建设以下燃油汽车投资项目（不在中国境内销售产品的投资项目除外）：</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（一）新建独立燃油汽车企业；</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（二）现有汽车企业跨乘用车、商用车类别建设燃油汽车生产能力；</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（三）外省现有燃油汽车企业整体搬迁至本省（列入国家级区域发展规划或不改变企业股权结构的项目除外）；</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（四）对行业管理部门特别公示的燃油汽车企业进行投资（企业原有股东投资或将该企业转为非独立法人的投资项目除外）。</w:t>
            </w:r>
          </w:p>
        </w:tc>
        <w:tc>
          <w:tcPr>
            <w:tcW w:w="182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本项目建设不属于燃油汽车投资项目。</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第二十六条 禁止新建、扩建不符合要求的高耗能、高排放、低水平项目。</w:t>
            </w:r>
          </w:p>
        </w:tc>
        <w:tc>
          <w:tcPr>
            <w:tcW w:w="1822" w:type="pct"/>
            <w:vAlign w:val="center"/>
          </w:tcPr>
          <w:p>
            <w:pPr>
              <w:pStyle w:val="36"/>
              <w:adjustRightInd w:val="0"/>
              <w:rPr>
                <w:rFonts w:hint="eastAsia" w:ascii="Times New Roman" w:hAnsi="Times New Roman" w:eastAsia="宋体" w:cs="Times New Roman"/>
                <w:color w:val="auto"/>
                <w:lang w:val="en-US" w:eastAsia="zh-CN"/>
              </w:rPr>
            </w:pPr>
            <w:r>
              <w:rPr>
                <w:rFonts w:hint="default" w:ascii="Times New Roman" w:hAnsi="Times New Roman" w:cs="Times New Roman"/>
                <w:color w:val="auto"/>
              </w:rPr>
              <w:t>根据《关于印发&lt;四川省“两高”项目管理目录（试行）&gt;的通知》（川发改环资函〔2024〕259号），本项目不属于两高项目</w:t>
            </w:r>
            <w:r>
              <w:rPr>
                <w:rFonts w:hint="eastAsia" w:cs="Times New Roman"/>
                <w:color w:val="auto"/>
                <w:lang w:eastAsia="zh-CN"/>
              </w:rPr>
              <w:t>。</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本项目建设不属于高耗能、高排放、低水平项目。</w:t>
            </w:r>
          </w:p>
        </w:tc>
        <w:tc>
          <w:tcPr>
            <w:tcW w:w="608" w:type="pct"/>
            <w:vAlign w:val="center"/>
          </w:tcPr>
          <w:p>
            <w:pPr>
              <w:pStyle w:val="36"/>
              <w:adjustRightInd w:val="0"/>
              <w:rPr>
                <w:rFonts w:hint="default" w:ascii="Times New Roman" w:hAnsi="Times New Roman" w:cs="Times New Roman"/>
                <w:color w:val="auto"/>
              </w:rPr>
            </w:pPr>
            <w:r>
              <w:rPr>
                <w:rFonts w:hint="eastAsia"/>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由上表可知，本项目不在《四川省、重庆市长江经济带发展负面清单实施细则（试行，2022年版）》（川长江办〔2022〕17号）确定的管控内容之列，项目的建设是可行的。</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与《四川省“十四五”生态环境保护规划》（川府发〔2022〕2号）符合性分析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四川省人民政府于2022年1月20日印发《四川省“十四五”生态环境保护规划》，本项目与其符合性分析如下。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t>本项目与《四川省“十四五”生态环境保护规划》的符合性分析</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3730"/>
        <w:gridCol w:w="293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2709" w:type="pct"/>
            <w:gridSpan w:val="2"/>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《规划》规定</w:t>
            </w:r>
          </w:p>
        </w:tc>
        <w:tc>
          <w:tcPr>
            <w:tcW w:w="172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56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主要内容</w:t>
            </w:r>
          </w:p>
        </w:tc>
        <w:tc>
          <w:tcPr>
            <w:tcW w:w="172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p>
        </w:tc>
        <w:tc>
          <w:tcPr>
            <w:tcW w:w="56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52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深化工业源污染防治</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强化重点行业污染治理。加快火电、钢铁、水泥、焦化及燃煤工业锅炉超低排放改造。推进平板玻璃、陶瓷、铁合金、有色等重点行业深度治理。</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本项目不属于火电、钢铁、水泥、焦化及燃煤工业，不属于平板玻璃、陶瓷、铁合金、有色等重点行业。</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控制挥发性有机物（VOCs）排放。严格控制VOCs排放总量，新建VOCs项目应实施等量或倍量替代。强化VOCs源头削减，以工业涂装、家具制造、包装印刷等行业为重点，大力推进低（无）VOCs含量原辅材料替代。严格控制生产和使用高VOCs含量溶剂型涂料、油墨、胶粘剂、清洗剂等建设项目。强化VOCs综合治理，以石化、化工、工业涂装、包装印刷、电子、纺织印染、制鞋、家具制造、油品储运销等行业为重点，提升废气收集率、治污设施同步运行率和去除率，科学合理选择治理工艺，推进设施设备提标升级改造。强化无组织排放管控，加大含VOCs物料储存、转移和输送、设备与管线组件泄漏、敞开液面逸散等管控力度，开展泄漏检测与修复工作。强化企业VOCs排放达标监管，实施季节性调控。完善挥发性有机物产品标准体系建立低挥发性有机物含量产品标识制度。</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本项目不涉及挥发性有机物排放。本项目建设不属于石化、化工、工业涂装、包装印刷、电子、纺织印染、制鞋、家具制造、油品储运销等行业；本次评价要求建设单位严格落实本报告提出的废气治理措施。</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系统推进“三水”共治,巩固提升水环境质量</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both"/>
              <w:rPr>
                <w:rFonts w:hint="eastAsia" w:ascii="Times New Roman" w:hAnsi="Times New Roman" w:eastAsia="宋体" w:cs="Times New Roman"/>
                <w:color w:val="auto"/>
                <w:lang w:eastAsia="zh-CN"/>
              </w:rPr>
            </w:pPr>
            <w:r>
              <w:rPr>
                <w:rFonts w:hint="default" w:ascii="Times New Roman" w:hAnsi="Times New Roman" w:cs="Times New Roman"/>
                <w:color w:val="auto"/>
              </w:rPr>
              <w:t>强化工业污水综合整治。深入实施工业企业污水处理设施升级改造</w:t>
            </w:r>
            <w:r>
              <w:rPr>
                <w:rFonts w:hint="eastAsia" w:cs="Times New Roman"/>
                <w:color w:val="auto"/>
                <w:lang w:eastAsia="zh-CN"/>
              </w:rPr>
              <w:t>，</w:t>
            </w:r>
            <w:r>
              <w:rPr>
                <w:rFonts w:hint="default" w:ascii="Times New Roman" w:hAnsi="Times New Roman" w:cs="Times New Roman"/>
                <w:color w:val="auto"/>
              </w:rPr>
              <w:t>重点开展电子信息、造纸、印染、化工、酿造等行业废水专项治理,全面实现工业废水达标排放。对涉及重金属、高盐和高浓度难降解废水的企业</w:t>
            </w:r>
            <w:r>
              <w:rPr>
                <w:rFonts w:hint="eastAsia" w:cs="Times New Roman"/>
                <w:color w:val="auto"/>
                <w:lang w:eastAsia="zh-CN"/>
              </w:rPr>
              <w:t>，</w:t>
            </w:r>
            <w:r>
              <w:rPr>
                <w:rFonts w:hint="default" w:ascii="Times New Roman" w:hAnsi="Times New Roman" w:cs="Times New Roman"/>
                <w:color w:val="auto"/>
              </w:rPr>
              <w:t>强化分质、分类预处理,提高企业与末端处理设施的联动监控能力</w:t>
            </w:r>
            <w:r>
              <w:rPr>
                <w:rFonts w:hint="eastAsia" w:cs="Times New Roman"/>
                <w:color w:val="auto"/>
                <w:lang w:eastAsia="zh-CN"/>
              </w:rPr>
              <w:t>，</w:t>
            </w:r>
            <w:r>
              <w:rPr>
                <w:rFonts w:hint="default" w:ascii="Times New Roman" w:hAnsi="Times New Roman" w:cs="Times New Roman"/>
                <w:color w:val="auto"/>
              </w:rPr>
              <w:t>确保末端污水处理设施安全稳定运行。推动电镀行业集中集聚发展,实施一批电镀废水“零排放”试点工程。开展开发区污水集中处理设施升级改造和污水管网排查整治</w:t>
            </w:r>
            <w:r>
              <w:rPr>
                <w:rFonts w:hint="eastAsia" w:cs="Times New Roman"/>
                <w:color w:val="auto"/>
                <w:lang w:eastAsia="zh-CN"/>
              </w:rPr>
              <w:t>，</w:t>
            </w:r>
            <w:r>
              <w:rPr>
                <w:rFonts w:hint="default" w:ascii="Times New Roman" w:hAnsi="Times New Roman" w:cs="Times New Roman"/>
                <w:color w:val="auto"/>
              </w:rPr>
              <w:t>完善园区及企业雨污分流系统</w:t>
            </w:r>
            <w:r>
              <w:rPr>
                <w:rFonts w:hint="eastAsia" w:cs="Times New Roman"/>
                <w:color w:val="auto"/>
                <w:lang w:eastAsia="zh-CN"/>
              </w:rPr>
              <w:t>，</w:t>
            </w:r>
            <w:r>
              <w:rPr>
                <w:rFonts w:hint="default" w:ascii="Times New Roman" w:hAnsi="Times New Roman" w:cs="Times New Roman"/>
                <w:color w:val="auto"/>
              </w:rPr>
              <w:t>推动初期雨水收集处理</w:t>
            </w:r>
            <w:r>
              <w:rPr>
                <w:rFonts w:hint="eastAsia" w:cs="Times New Roman"/>
                <w:color w:val="auto"/>
                <w:lang w:eastAsia="zh-CN"/>
              </w:rPr>
              <w:t>，</w:t>
            </w:r>
            <w:r>
              <w:rPr>
                <w:rFonts w:hint="default" w:ascii="Times New Roman" w:hAnsi="Times New Roman" w:cs="Times New Roman"/>
                <w:color w:val="auto"/>
              </w:rPr>
              <w:t>鼓励有条件的园区实施“一企一管、明管输送、实时监测”。推进现有企业和园区开展以节水为重点的绿色高质量转型升级和循环化改造,加快节水及水循环利用设施建设,促进企业间串联用水、分质用水、一水多用和循环利用,鼓励岷江、沱江及长江干流流域省级及以上园区积极开展节水标杆园区创建</w:t>
            </w:r>
            <w:r>
              <w:rPr>
                <w:rFonts w:hint="eastAsia" w:cs="Times New Roman"/>
                <w:color w:val="auto"/>
                <w:lang w:eastAsia="zh-CN"/>
              </w:rPr>
              <w:t>。</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电子信息、造纸、印染、化工、酿造等行业。本项目生活污水排放至园区污水处理厂（乐山沙湾经济开发区污水处理厂），执行《四川省岷江、沱江流域水污染物排放标准》（DB51/2311-2016），本项目生产废水不外排。本项目设施雨污分流，初期雨水经过初期雨水收集池收集后回用于生产。根据本项目原矿检测报告，本项目原矿中国家管控的重金属铅、汞、镉、铬、砷、铊、锑和园区管控的重金属铬、镍均为未检出。</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推进土壤污染源头防治</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加强空间布局管控。强化规划环评刚性约束，严格空间管控，合理规划土地用途，强化涉及土壤污染建设项目布局论证，鼓励土壤污染重点工业企业集聚发展，探索土壤环境承载能力分析。禁止在居民区、学校、医院、疗养院和养老院等单位周边新（改、扩）建可能造成土壤污染的建设项目，禁止在永久基本农田集中区域新建可能造成土壤污染的建设项目。</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本次评价要求建设单位严格落实本报告提出的分区防渗措施，确保对土壤污染途径进行有效阻断。</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强化固体废弃物分类处置</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建立固废信息清单。深入推进固体废物申报登记制度，落实工业企业污染防治的主体责任，建立并动态更新固体废物重点监管点位清单。开展主要固体废物（危险废物）贮存场所排查，建立“一库一档”。探索开展固体废物（危险废物）“二维码”数字信息登记管理制度。开展危险废物申报登记试点，摸清危险废物产生、转移、贮存、利用和处置情况，推动建立危险废物“三个清单”，持续推进危险废物规范化环境管理评估工作。</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eastAsia" w:ascii="Times New Roman" w:hAnsi="Times New Roman" w:eastAsia="宋体" w:cs="Times New Roman"/>
                <w:color w:val="auto"/>
                <w:lang w:eastAsia="zh-CN"/>
              </w:rPr>
            </w:pPr>
            <w:r>
              <w:rPr>
                <w:rFonts w:hint="default" w:ascii="Times New Roman" w:hAnsi="Times New Roman" w:cs="Times New Roman"/>
                <w:color w:val="auto"/>
              </w:rPr>
              <w:t>本项目产生的危险废物暂存于厂内标准危废暂存间，定期交由资质单位处置。</w:t>
            </w:r>
            <w:r>
              <w:rPr>
                <w:rFonts w:hint="eastAsia" w:cs="Times New Roman"/>
                <w:color w:val="auto"/>
                <w:lang w:val="en-US" w:eastAsia="zh-CN"/>
              </w:rPr>
              <w:t>本项目一般固废</w:t>
            </w:r>
            <w:r>
              <w:rPr>
                <w:rFonts w:hint="default" w:ascii="Times New Roman" w:hAnsi="Times New Roman" w:cs="Times New Roman"/>
                <w:color w:val="auto"/>
              </w:rPr>
              <w:t>沉淀池沉渣回用于生产、尾矿、黑砂外售陶瓷企业综合利用、废滤袋由厂家更换时回收、布袋收尘回用于生产、废布袋由厂家更换时回收、废包装材料外售废品回收站、生活垃圾由环卫部门清运</w:t>
            </w:r>
            <w:r>
              <w:rPr>
                <w:rFonts w:hint="eastAsia" w:cs="Times New Roman"/>
                <w:color w:val="auto"/>
                <w:lang w:eastAsia="zh-CN"/>
              </w:rPr>
              <w:t>。</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综上所述，本项目建设符合《四川省“十四五”生态环境保护规划》的相关要求。</w:t>
      </w:r>
    </w:p>
    <w:p>
      <w:pPr>
        <w:keepNext/>
        <w:keepLines/>
        <w:widowControl w:val="0"/>
        <w:numPr>
          <w:ilvl w:val="3"/>
          <w:numId w:val="1"/>
        </w:numPr>
        <w:adjustRightInd w:val="0"/>
        <w:snapToGrid w:val="0"/>
        <w:spacing w:line="360" w:lineRule="auto"/>
        <w:ind w:firstLine="200" w:firstLineChars="0"/>
        <w:jc w:val="both"/>
        <w:outlineLvl w:val="3"/>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与《四川省“十四五”重金属污染防控工作方案》（川污防攻坚办〔2022〕61号）符合性分析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四川省污染防治攻坚战领导小组办公室于2022年7月</w:t>
      </w:r>
      <w:r>
        <w:rPr>
          <w:rFonts w:hint="eastAsia" w:cs="Times New Roman"/>
          <w:color w:val="auto"/>
          <w:lang w:val="en-US" w:eastAsia="zh-CN"/>
        </w:rPr>
        <w:t>7</w:t>
      </w:r>
      <w:r>
        <w:rPr>
          <w:rFonts w:hint="default" w:ascii="Times New Roman" w:hAnsi="Times New Roman" w:cs="Times New Roman"/>
          <w:color w:val="auto"/>
        </w:rPr>
        <w:t>日印发《四川省污染防治攻坚战领导小组办公室》（川污防攻坚办〔2022〕61号），本项目与其符合性分析如下。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t>本项目与《四川省污染防治攻坚战领导小组办公室》的符合性分析</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3731"/>
        <w:gridCol w:w="293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2709"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《规划》规定</w:t>
            </w:r>
          </w:p>
        </w:tc>
        <w:tc>
          <w:tcPr>
            <w:tcW w:w="172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56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51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218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主要内容</w:t>
            </w:r>
          </w:p>
        </w:tc>
        <w:tc>
          <w:tcPr>
            <w:tcW w:w="1725" w:type="pct"/>
            <w:vMerge w:val="continue"/>
            <w:vAlign w:val="center"/>
          </w:tcPr>
          <w:p>
            <w:pPr>
              <w:pStyle w:val="36"/>
              <w:adjustRightInd w:val="0"/>
              <w:rPr>
                <w:rFonts w:hint="default" w:ascii="Times New Roman" w:hAnsi="Times New Roman" w:cs="Times New Roman"/>
                <w:b/>
                <w:bCs/>
                <w:color w:val="auto"/>
              </w:rPr>
            </w:pPr>
          </w:p>
        </w:tc>
        <w:tc>
          <w:tcPr>
            <w:tcW w:w="565" w:type="pct"/>
            <w:vMerge w:val="continue"/>
            <w:vAlign w:val="center"/>
          </w:tcPr>
          <w:p>
            <w:pPr>
              <w:pStyle w:val="36"/>
              <w:adjustRightInd w:val="0"/>
              <w:rPr>
                <w:rFonts w:hint="default" w:ascii="Times New Roman" w:hAnsi="Times New Roman" w:cs="Times New Roman"/>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防控重点</w:t>
            </w:r>
          </w:p>
        </w:tc>
        <w:tc>
          <w:tcPr>
            <w:tcW w:w="218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重点重金属污染物。铅（Pb）、汞（Hg）、镉（Cd）、铬（Cr）、砷（As）、铊（Tl）和锑（Sb），并对铅、汞、镉、铬和砷五种重金属污染物排放量实施总量控制。</w:t>
            </w:r>
          </w:p>
        </w:tc>
        <w:tc>
          <w:tcPr>
            <w:tcW w:w="1725" w:type="pct"/>
            <w:vAlign w:val="center"/>
          </w:tcPr>
          <w:p>
            <w:pPr>
              <w:pStyle w:val="36"/>
              <w:adjustRightInd w:val="0"/>
              <w:rPr>
                <w:rFonts w:hint="default" w:ascii="Times New Roman" w:hAnsi="Times New Roman" w:cs="Times New Roman"/>
                <w:color w:val="auto"/>
              </w:rPr>
            </w:pPr>
            <w:r>
              <w:rPr>
                <w:rFonts w:hint="eastAsia" w:cs="Times New Roman"/>
                <w:color w:val="auto"/>
                <w:lang w:val="en-US" w:eastAsia="zh-CN"/>
              </w:rPr>
              <w:t>根据检测报告，</w:t>
            </w:r>
            <w:r>
              <w:rPr>
                <w:rFonts w:hint="default" w:ascii="Times New Roman" w:hAnsi="Times New Roman" w:cs="Times New Roman"/>
                <w:color w:val="auto"/>
              </w:rPr>
              <w:t>本项目</w:t>
            </w:r>
            <w:r>
              <w:rPr>
                <w:rFonts w:hint="eastAsia" w:cs="Times New Roman"/>
                <w:color w:val="auto"/>
                <w:lang w:val="en-US" w:eastAsia="zh-CN"/>
              </w:rPr>
              <w:t>原矿不含</w:t>
            </w:r>
            <w:r>
              <w:rPr>
                <w:rFonts w:hint="default" w:ascii="Times New Roman" w:hAnsi="Times New Roman" w:cs="Times New Roman"/>
                <w:color w:val="auto"/>
              </w:rPr>
              <w:t>铅（Pb）、汞（Hg）、镉（Cd）、铬（Cr）、砷（As）、铊（Tl）和锑（Sb）</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continue"/>
            <w:vAlign w:val="center"/>
          </w:tcPr>
          <w:p>
            <w:pPr>
              <w:pStyle w:val="36"/>
              <w:adjustRightInd w:val="0"/>
              <w:rPr>
                <w:rFonts w:hint="default" w:ascii="Times New Roman" w:hAnsi="Times New Roman" w:cs="Times New Roman"/>
                <w:color w:val="auto"/>
              </w:rPr>
            </w:pPr>
          </w:p>
        </w:tc>
        <w:tc>
          <w:tcPr>
            <w:tcW w:w="2189" w:type="pct"/>
            <w:vAlign w:val="center"/>
          </w:tcPr>
          <w:p>
            <w:pPr>
              <w:pStyle w:val="36"/>
              <w:adjustRightInd w:val="0"/>
              <w:jc w:val="both"/>
              <w:rPr>
                <w:rFonts w:hint="default" w:ascii="Times New Roman" w:hAnsi="Times New Roman" w:cs="Times New Roman"/>
                <w:color w:val="auto"/>
              </w:rPr>
            </w:pPr>
            <w:r>
              <w:rPr>
                <w:rFonts w:hint="eastAsia"/>
                <w:color w:val="auto"/>
              </w:rPr>
              <w:t>重点行业。重有色金属矿采选业（铜、铅锌、镍钴、锡、锑和汞矿采选）、重有色金属冶炼业（铜、铅锌、镍钴、锡、锑和汞冶炼）、铅蓄电池制造业、电镀行业（包含专业电镀和有电镀工序的企业）、化学原料及化学制品制造业（电石法（聚）氯乙烯制造、铬盐制造、以工业固体废物为原料的锌无机化合物工业）、皮革鞣制加工业等6个行业。</w:t>
            </w:r>
          </w:p>
        </w:tc>
        <w:tc>
          <w:tcPr>
            <w:tcW w:w="172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重有色金属矿采选业（铜、铅锌、镍钴、锡、锑和汞矿采选）、重有色金属冶炼业（铜、铅锌、镍钴、锡、锑和汞冶炼）、铅蓄电池制造业、电镀行业（包含专业电镀和有电镀工序的企业）、化学原料及化学制品制造业（电石法（聚）氯乙烯制造、铬盐制造、以工业固体废物为原料的锌无机化合物工业）、皮革鞣制加工业等6个行业。</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综上所述，本项目建设符合《四川省“十四五”重金属污染防控工作方案》（川污防攻坚办〔2022〕61号）的相关要求。</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与《乐山市“十四五”生态环境保护规划》（乐府发〔2022〕16号）符合性分析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乐山市人民政府于2022年7月21日印发《乐山市“十四五”生态环境保护规划》，本项目与其符合性分析如下。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本项目与《乐山市“十四五”生态环境保护规划》的符合性分析</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3730"/>
        <w:gridCol w:w="293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2709"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《规划》规定</w:t>
            </w:r>
          </w:p>
        </w:tc>
        <w:tc>
          <w:tcPr>
            <w:tcW w:w="172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56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520"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2188"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主要内容</w:t>
            </w:r>
          </w:p>
        </w:tc>
        <w:tc>
          <w:tcPr>
            <w:tcW w:w="1725" w:type="pct"/>
            <w:vMerge w:val="continue"/>
            <w:vAlign w:val="center"/>
          </w:tcPr>
          <w:p>
            <w:pPr>
              <w:pStyle w:val="36"/>
              <w:adjustRightInd w:val="0"/>
              <w:rPr>
                <w:rFonts w:hint="default" w:ascii="Times New Roman" w:hAnsi="Times New Roman" w:cs="Times New Roman"/>
                <w:b/>
                <w:bCs/>
                <w:color w:val="auto"/>
              </w:rPr>
            </w:pPr>
          </w:p>
        </w:tc>
        <w:tc>
          <w:tcPr>
            <w:tcW w:w="565" w:type="pct"/>
            <w:vMerge w:val="continue"/>
            <w:vAlign w:val="center"/>
          </w:tcPr>
          <w:p>
            <w:pPr>
              <w:pStyle w:val="36"/>
              <w:adjustRightInd w:val="0"/>
              <w:rPr>
                <w:rFonts w:hint="default" w:ascii="Times New Roman" w:hAnsi="Times New Roman" w:cs="Times New Roman"/>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强化工业源污染治理</w:t>
            </w:r>
          </w:p>
        </w:tc>
        <w:tc>
          <w:tcPr>
            <w:tcW w:w="218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严格涉气项目环境准入。严格控制石化、化工、火电、钢铁、有色金属冶炼、水泥、陶瓷等“两高”项目建设。严格控制城市及近郊新增涉气排放高架点源（排气筒高度高于50米）。严格控制园区外新建涉气工业企业，空气质量不达标区域严格落实颗粒物、二氧化硫、氮氧化物、挥发性有机物2倍现役源削减替代。</w:t>
            </w:r>
          </w:p>
        </w:tc>
        <w:tc>
          <w:tcPr>
            <w:tcW w:w="172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本项目不属于石化、化工、火电、钢铁、有色金属冶炼、水泥、陶瓷等“两高”项目。本项目颗粒物总量由生态环境主管部门调控。</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Merge w:val="continue"/>
            <w:vAlign w:val="center"/>
          </w:tcPr>
          <w:p>
            <w:pPr>
              <w:pStyle w:val="36"/>
              <w:adjustRightInd w:val="0"/>
              <w:rPr>
                <w:rFonts w:hint="default" w:ascii="Times New Roman" w:hAnsi="Times New Roman" w:cs="Times New Roman"/>
                <w:color w:val="auto"/>
              </w:rPr>
            </w:pPr>
          </w:p>
        </w:tc>
        <w:tc>
          <w:tcPr>
            <w:tcW w:w="218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持续深化重点行业深度治理。持续推进水泥、陶瓷、砖瓦、铸造、铁合金、钢铁等行业大气污染防治深度治理，深入推进颗粒物、二氧化硫、氮氧化物和挥发性有机物治理，持续推进陶瓷行业（喷雾干燥塔）清洁能源改造工程，加快推进五通桥区涉氨排放化工企业氨排放治理。强化钢铁、水泥、矿山等行业无组织排放整治。</w:t>
            </w:r>
          </w:p>
        </w:tc>
        <w:tc>
          <w:tcPr>
            <w:tcW w:w="172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本项目不属于水泥、陶瓷、砖瓦、铸造、铁合金、钢铁等行业，本次评价要求建设单位严格落实本报告提出的废气治理措施。</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推进建设用地污染防治</w:t>
            </w:r>
          </w:p>
        </w:tc>
        <w:tc>
          <w:tcPr>
            <w:tcW w:w="218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加强土壤、地下水污染协同防治。在土壤污染风险管控中，充分考虑地下水影响与污染防控，做到统筹安排、同步考虑、同步落实。对土壤污染影响或可能影响地下水的农用地地块，将地下水内容纳入污染防治方案。对列入风险管控和修复名录的建设用地地块，将地下水污染风险管控和修复内容纳入地块的风险管控措施和修复方案。</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本次评价要求建设单位严格落实本报告提出的分区防渗措施，确保对土壤污染途径进行有效阻断。</w:t>
            </w:r>
            <w:r>
              <w:rPr>
                <w:rFonts w:hint="eastAsia" w:cs="Times New Roman"/>
                <w:color w:val="auto"/>
                <w:lang w:val="en-US" w:eastAsia="zh-CN"/>
              </w:rPr>
              <w:t>本地块未列入风险管控和修复名录。</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强化固体废弃物分类处置</w:t>
            </w:r>
          </w:p>
        </w:tc>
        <w:tc>
          <w:tcPr>
            <w:tcW w:w="2188"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建立固废信息清单。深入推进固体废物申报登记制度，落实工业企业污染防治的主体责任，建立并动态更新固体废物重点监管点位清单。开展主要固体废物（危险废物）贮存场所排查，建立尾矿库“一库一档”。摸清危险废物产生、转移、贮存、利用和处置情况，持续推进危险废物规范化环境管理评估工作。</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本项目产生的危险废物暂存于厂内标准危废暂存间，定期交由资质单位处置。</w:t>
            </w:r>
            <w:r>
              <w:rPr>
                <w:rStyle w:val="35"/>
                <w:rFonts w:hint="eastAsia" w:cs="Times New Roman"/>
                <w:color w:val="auto"/>
                <w:lang w:val="en-US" w:eastAsia="zh-CN"/>
              </w:rPr>
              <w:t>本项目一般固废沉淀池沉渣回用于生产、尾矿、黑砂外售陶瓷企业综合利用、废滤袋由厂家更换时回收、布袋收尘回用于生产、废布袋由厂家更换时回收、废包装材料外售废品回收站、生活垃圾由环卫部门清运。</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综上所述，本项目建设符合《乐山市“十四五”生态环境保护规划》的相关要求。</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与《乐山市大气污染防治三年攻坚行动2024年度“十字措施”》</w:t>
      </w:r>
      <w:r>
        <w:rPr>
          <w:rFonts w:hint="eastAsia" w:cs="Times New Roman"/>
          <w:color w:val="auto"/>
          <w:lang w:eastAsia="zh-CN"/>
        </w:rPr>
        <w:t>（</w:t>
      </w:r>
      <w:r>
        <w:rPr>
          <w:rFonts w:hint="default" w:ascii="Times New Roman" w:hAnsi="Times New Roman" w:cs="Times New Roman"/>
          <w:color w:val="auto"/>
        </w:rPr>
        <w:t>乐污防攻坚〔2024〕2号）符合性分析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2024年4月，乐山市污染防治攻坚战领导小组发布了《乐山市大气污染防治三年攻坚行动2024年度“十字措施”》</w:t>
      </w:r>
      <w:r>
        <w:rPr>
          <w:rFonts w:hint="eastAsia" w:cs="Times New Roman"/>
          <w:color w:val="auto"/>
          <w:lang w:eastAsia="zh-CN"/>
        </w:rPr>
        <w:t>（乐污防攻坚〔2024〕2号）</w:t>
      </w:r>
      <w:r>
        <w:rPr>
          <w:rFonts w:hint="default" w:ascii="Times New Roman" w:hAnsi="Times New Roman" w:cs="Times New Roman"/>
          <w:color w:val="auto"/>
        </w:rPr>
        <w:t>，该文件相关要求为：充分发挥“三线一单”作用，严格建设项目准入管理，新改扩建项目严格落实国家、省市产业规划、产业政策、生态环境分区管控方案、规划环评、项目环评、节能审查、产能置换、重点污染物总量控制、污染物排放区域削减、碳排放达峰目标等相关要求，原则上采用清洁运输方式。坚决遏制高耗能、高排放、低水平项目盲目上马，严格控制钢铁、水泥新增产能，积极引导砖瓦行业产能资源整合和减量淘汰，加快推动落后产能落后装备淘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分析，本项目符合《乐山市人民政府关于印发乐山市生态环境分区管控方案（2023年版）的通知》（乐府发〔2024〕10号）相关要求；项目符合国家现行产业政策要求；项目不属于园区负面清单禁止准入的项目类型，属于与园区主导产业相容的、不形成交叉影响的产业，为园区允许类；项目厂内运输车辆采用清洁运输车辆（国六或新能源车辆）；项目不属于高耗能、高排放、低水平项目；项目不属于钢铁、水泥、砖瓦行业。</w:t>
      </w:r>
    </w:p>
    <w:p>
      <w:pPr>
        <w:pStyle w:val="5"/>
        <w:bidi w:val="0"/>
        <w:rPr>
          <w:rFonts w:hint="default"/>
          <w:color w:val="auto"/>
          <w:lang w:val="en-US" w:eastAsia="zh-CN"/>
        </w:rPr>
      </w:pPr>
      <w:r>
        <w:rPr>
          <w:rFonts w:hint="eastAsia"/>
          <w:color w:val="auto"/>
          <w:lang w:val="en-US" w:eastAsia="zh-CN"/>
        </w:rPr>
        <w:t>与《乐山市沙湾区“十四五”生态环境保护规划》（乐沙府发〔2023〕1号）符合性分析</w:t>
      </w:r>
    </w:p>
    <w:p>
      <w:pPr>
        <w:rPr>
          <w:rFonts w:hint="eastAsia"/>
          <w:color w:val="auto"/>
          <w:lang w:val="en-US" w:eastAsia="zh-CN"/>
        </w:rPr>
      </w:pPr>
      <w:r>
        <w:rPr>
          <w:rFonts w:hint="eastAsia"/>
          <w:color w:val="auto"/>
          <w:lang w:val="en-US" w:eastAsia="zh-CN"/>
        </w:rPr>
        <w:t>乐山市沙湾区人民政府于2023年1月31日印发《乐山市沙湾区“十四五”生态环境保护规划》（乐沙府发〔2023〕1号），本项目与其符合性分析如下。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t>本项目与《乐山市沙湾区“十四五”生态环境保护规划》的符合性分析</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3731"/>
        <w:gridCol w:w="293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2709"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《规划》规定</w:t>
            </w:r>
          </w:p>
        </w:tc>
        <w:tc>
          <w:tcPr>
            <w:tcW w:w="172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56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51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218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主要内容</w:t>
            </w:r>
          </w:p>
        </w:tc>
        <w:tc>
          <w:tcPr>
            <w:tcW w:w="1725" w:type="pct"/>
            <w:vMerge w:val="continue"/>
            <w:vAlign w:val="center"/>
          </w:tcPr>
          <w:p>
            <w:pPr>
              <w:pStyle w:val="36"/>
              <w:adjustRightInd w:val="0"/>
              <w:rPr>
                <w:rFonts w:hint="default" w:ascii="Times New Roman" w:hAnsi="Times New Roman" w:cs="Times New Roman"/>
                <w:b/>
                <w:bCs/>
                <w:color w:val="auto"/>
              </w:rPr>
            </w:pPr>
          </w:p>
        </w:tc>
        <w:tc>
          <w:tcPr>
            <w:tcW w:w="565" w:type="pct"/>
            <w:vMerge w:val="continue"/>
            <w:vAlign w:val="center"/>
          </w:tcPr>
          <w:p>
            <w:pPr>
              <w:pStyle w:val="36"/>
              <w:adjustRightInd w:val="0"/>
              <w:rPr>
                <w:rFonts w:hint="default" w:ascii="Times New Roman" w:hAnsi="Times New Roman" w:cs="Times New Roman"/>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深入推进工业源污染防治</w:t>
            </w:r>
          </w:p>
        </w:tc>
        <w:tc>
          <w:tcPr>
            <w:tcW w:w="218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推进工业污染达标排放。聚焦钢铁、水泥、砖瓦、石灰等重点行业，严禁新增大气污染物排放。严格实施工业污染源清单制管理，加大超标处罚和联合惩戒力度，依法依规责令排放未达标的企业停产整治，问题严重、屡次整治无法达标的企业，依法责令关闭。加大不达标工业炉窑淘汰力度，加快推进工业炉窑使用电、天然气等清洁能源进程，鼓励由周边热电联产项目集中供热。强化治理设施运行监管，确保按照排放限值及相关标准要求运行，减少非正常工况排放。</w:t>
            </w:r>
          </w:p>
        </w:tc>
        <w:tc>
          <w:tcPr>
            <w:tcW w:w="172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本项目不属钢铁、水泥、砖瓦、石灰等重点行业。本项目</w:t>
            </w:r>
            <w:r>
              <w:rPr>
                <w:rFonts w:hint="eastAsia" w:cs="Times New Roman"/>
                <w:color w:val="auto"/>
                <w:lang w:val="en-US" w:eastAsia="zh-CN"/>
              </w:rPr>
              <w:t>不涉及工业炉窑</w:t>
            </w:r>
            <w:r>
              <w:rPr>
                <w:rFonts w:hint="default" w:ascii="Times New Roman" w:hAnsi="Times New Roman" w:cs="Times New Roman"/>
                <w:color w:val="auto"/>
              </w:rPr>
              <w:t>。</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continue"/>
            <w:vAlign w:val="center"/>
          </w:tcPr>
          <w:p>
            <w:pPr>
              <w:pStyle w:val="36"/>
              <w:adjustRightInd w:val="0"/>
              <w:rPr>
                <w:rFonts w:hint="default" w:ascii="Times New Roman" w:hAnsi="Times New Roman" w:cs="Times New Roman"/>
                <w:color w:val="auto"/>
              </w:rPr>
            </w:pPr>
          </w:p>
        </w:tc>
        <w:tc>
          <w:tcPr>
            <w:tcW w:w="218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深度治理工业废气污染。以颗粒物、二氧化硫、氮氧化物和挥发性有机物为重点，深入推进工业大气污染物治理。以钢铁、建材、铸造等重点行业和燃煤锅炉为重点，持续开展无组织排放整治，建立动态管理台账，实施精细化管理。深度整治钢铁、水泥等大气污染重点行业，督促指导恒大矿业、德胜钒钛、德胜水泥等重点企业按时保质完成大气污染治理设施升级改造。严格控制工业园区外新建涉气工业企业，探索工业园区集中供热，支持工业园区燃气热电联产项目规划建设，新建工业炉窑建设项目原则上进入工业园区。</w:t>
            </w:r>
          </w:p>
        </w:tc>
        <w:tc>
          <w:tcPr>
            <w:tcW w:w="172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本项目不属于钢铁、建材、铸造等重点行业</w:t>
            </w:r>
            <w:r>
              <w:rPr>
                <w:rFonts w:hint="eastAsia" w:cs="Times New Roman"/>
                <w:color w:val="auto"/>
                <w:lang w:eastAsia="zh-CN"/>
              </w:rPr>
              <w:t>，</w:t>
            </w:r>
            <w:r>
              <w:rPr>
                <w:rFonts w:hint="eastAsia" w:cs="Times New Roman"/>
                <w:color w:val="auto"/>
                <w:lang w:val="en-US" w:eastAsia="zh-CN"/>
              </w:rPr>
              <w:t>本项目不涉及燃煤锅炉、工业炉窑</w:t>
            </w:r>
            <w:r>
              <w:rPr>
                <w:rFonts w:hint="default" w:ascii="Times New Roman" w:hAnsi="Times New Roman" w:cs="Times New Roman"/>
                <w:color w:val="auto"/>
              </w:rPr>
              <w:t>，</w:t>
            </w:r>
            <w:r>
              <w:rPr>
                <w:rFonts w:hint="eastAsia" w:cs="Times New Roman"/>
                <w:color w:val="auto"/>
                <w:lang w:val="en-US" w:eastAsia="zh-CN"/>
              </w:rPr>
              <w:t>本项目位于工业园区内，</w:t>
            </w:r>
            <w:r>
              <w:rPr>
                <w:rFonts w:hint="default" w:ascii="Times New Roman" w:hAnsi="Times New Roman" w:cs="Times New Roman"/>
                <w:color w:val="auto"/>
              </w:rPr>
              <w:t>本次评价要求建设单位严格落实本报告提出的废气治理措施。</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严控挥发性有机物排放</w:t>
            </w:r>
          </w:p>
        </w:tc>
        <w:tc>
          <w:tcPr>
            <w:tcW w:w="218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严格落实污染总量减排。严格控制涉VOCs排放新建项目，对新增VOCs 排放项目实施倍量或减量替代。持续开展重点行业企业“一厂一策”综合治理，实施重点行业VOCs 达标排放整治。明确优先减排的重点控制区和重点行业，持续更新区域VOCs排放清单，及时修正制定VOCs减排策</w:t>
            </w:r>
            <w:r>
              <w:rPr>
                <w:rFonts w:hint="eastAsia" w:cs="Times New Roman"/>
                <w:color w:val="auto"/>
                <w:lang w:eastAsia="zh-CN"/>
              </w:rPr>
              <w:t>本部分涉密</w:t>
            </w:r>
            <w:r>
              <w:rPr>
                <w:rFonts w:hint="default" w:ascii="Times New Roman" w:hAnsi="Times New Roman" w:cs="Times New Roman"/>
                <w:color w:val="auto"/>
              </w:rPr>
              <w:t>。对含VOCs 物料（包括含VOCs原辅材料、含VOCs 产品、含VOCs 废料以及有机聚合物材料等）储存、转移和输送、设备与管线组件泄漏、敞开液面逸散以及工艺过程等五类排放源实施重点管控，通过采取设备与场所密闭、工艺改进、废气有效收集等措施，削减VOCs 无组织排放。</w:t>
            </w:r>
          </w:p>
        </w:tc>
        <w:tc>
          <w:tcPr>
            <w:tcW w:w="1725" w:type="pct"/>
            <w:vAlign w:val="center"/>
          </w:tcPr>
          <w:p>
            <w:pPr>
              <w:pStyle w:val="36"/>
              <w:adjustRightInd w:val="0"/>
              <w:rPr>
                <w:rFonts w:hint="default" w:ascii="Times New Roman" w:hAnsi="Times New Roman" w:cs="Times New Roman"/>
                <w:color w:val="auto"/>
              </w:rPr>
            </w:pPr>
            <w:r>
              <w:rPr>
                <w:rFonts w:hint="eastAsia" w:cs="Times New Roman"/>
                <w:color w:val="auto"/>
                <w:lang w:val="en-US" w:eastAsia="zh-CN"/>
              </w:rPr>
              <w:t>本项目不涉及VOCs</w:t>
            </w:r>
            <w:r>
              <w:rPr>
                <w:rFonts w:hint="default" w:ascii="Times New Roman" w:hAnsi="Times New Roman" w:cs="Times New Roman"/>
                <w:color w:val="auto"/>
              </w:rPr>
              <w:t>。</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加强水资源管理保护及利用</w:t>
            </w:r>
          </w:p>
        </w:tc>
        <w:tc>
          <w:tcPr>
            <w:tcW w:w="218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强力推进河湖岸线保护。严格执行长江岸线保护和开发利用总体规划，统筹规划岸线资源，严格分区管理与用途管制，强化长江重要支流岸线保护，严禁在大渡河等长江重要支流岸线1公里范围内新建化工园区和化工项目。全面落实河（湖）长制，编制实施“一河一策”“一湖一策”方案，针对突出问题，开展专项整治行动，推进河湖岸线综合整治，严厉打击筑坝围堰等违法违规行为，加强水域岸线管理保护。严格涉河建设项目审批，依法加强监管。严禁非法采砂，严格落实禁采区、可采区、保留区和禁采期管理措施，加强对非法采砂行为的监督执法。持续巩固非法采砂、非法码头专项整治成果，实现已拆除非法码头生态复绿。加强大渡河、沫溪河等水质优良水体保护，严格控制河流湖库周边开发建设，持续改善河流湖库自然生态环境。协同推进山水林田湖草系统治理，强化水域、岸线空间管控与保护，继续开展大渡河“绿岸行动”和生态湿地修复，严格规范采砂等涉水活动，坚决整治侵占、破坏河湖的行为。</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本项目位于乐山（沙湾）不锈钢产业园区内，不属于工业园区。本项目不属于化工项目</w:t>
            </w:r>
            <w:r>
              <w:rPr>
                <w:rFonts w:hint="default" w:ascii="Times New Roman" w:hAnsi="Times New Roman" w:cs="Times New Roman"/>
                <w:color w:val="auto"/>
              </w:rPr>
              <w:t>。</w:t>
            </w:r>
            <w:r>
              <w:rPr>
                <w:rFonts w:hint="eastAsia" w:cs="Times New Roman"/>
                <w:color w:val="auto"/>
                <w:lang w:val="en-US" w:eastAsia="zh-CN"/>
              </w:rPr>
              <w:t>本项目不涉及采砂等涉水活动。</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推进土壤污染源头防控</w:t>
            </w:r>
          </w:p>
        </w:tc>
        <w:tc>
          <w:tcPr>
            <w:tcW w:w="218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加强工业污染源头防控。持续开展重点企业、固体废物堆存场所、再生利用行业企业等土壤污染隐患排查整治行动，督促土壤重点监管单位依法开展隐患排查、自行监测、信息公开，并有序纳入排污许可证管理。加强耕地周边涉重企业排查整治。严格执行拆除活动污染防治方案报备制度，鼓励土壤污染重点监管单位实施防渗漏改造。</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本次评价要求建设单位严格落实本报告提出的分区防渗措施，确保对土壤污染途径进行有效阻断</w:t>
            </w:r>
            <w:r>
              <w:rPr>
                <w:rFonts w:hint="eastAsia" w:cs="Times New Roman"/>
                <w:color w:val="auto"/>
                <w:lang w:eastAsia="zh-CN"/>
              </w:rPr>
              <w:t>。</w:t>
            </w:r>
            <w:r>
              <w:rPr>
                <w:rFonts w:hint="eastAsia" w:cs="Times New Roman"/>
                <w:color w:val="auto"/>
                <w:lang w:val="en-US" w:eastAsia="zh-CN"/>
              </w:rPr>
              <w:t>本次报告要求企业后续开展土壤污染隐患排查。</w:t>
            </w:r>
          </w:p>
        </w:tc>
        <w:tc>
          <w:tcPr>
            <w:tcW w:w="565"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强化固体废物分类处置</w:t>
            </w:r>
          </w:p>
        </w:tc>
        <w:tc>
          <w:tcPr>
            <w:tcW w:w="218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提升工业固废利用水平。构建工业固体废物管理体系，按照《工业企业一般工业固废管理台帐（企业用）》相关要求，掌握工业固体废物产生类别、数量以及贮存、利用、处置、转移等情况。强化新建项目固废源头管理，对工业固体废物处置出路难、产生量大且无法就近处置的项目从严把关审批。建立遗存工业固废管控台账，全面排查辖区范围内工业固废堆放点，完成工业废物堆放点的勘测及取样监测，明确各个堆放点的位置、面积、储存量及废料成份，并对危险性进行鉴别，建立沙湾区遗存工业固废管控台账。推进固废流转全过程监管，积极构建固体废弃物资源化利用平台。加快构建废旧物资循环利用体系，鼓励有条件的大中型企业、产业功能区延伸产业链，自行配套建设综合利用项目进行消纳，提升生活污水厂污泥及工业固废综合利用率。2025年，一般工业固体废物综合利用率达到94%。</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本项目产生的一般工业固废（</w:t>
            </w:r>
            <w:r>
              <w:rPr>
                <w:rFonts w:hint="default" w:ascii="Times New Roman" w:hAnsi="Times New Roman" w:cs="Times New Roman"/>
                <w:color w:val="auto"/>
              </w:rPr>
              <w:t>沉淀池沉渣</w:t>
            </w:r>
            <w:r>
              <w:rPr>
                <w:rFonts w:hint="eastAsia" w:cs="Times New Roman"/>
                <w:color w:val="auto"/>
                <w:lang w:eastAsia="zh-CN"/>
              </w:rPr>
              <w:t>、</w:t>
            </w:r>
            <w:r>
              <w:rPr>
                <w:rFonts w:hint="default" w:ascii="Times New Roman" w:hAnsi="Times New Roman" w:cs="Times New Roman"/>
                <w:color w:val="auto"/>
              </w:rPr>
              <w:t>尾矿</w:t>
            </w:r>
            <w:r>
              <w:rPr>
                <w:rFonts w:hint="eastAsia" w:cs="Times New Roman"/>
                <w:color w:val="auto"/>
                <w:lang w:eastAsia="zh-CN"/>
              </w:rPr>
              <w:t>、</w:t>
            </w:r>
            <w:r>
              <w:rPr>
                <w:rFonts w:hint="default" w:ascii="Times New Roman" w:hAnsi="Times New Roman" w:cs="Times New Roman"/>
                <w:color w:val="auto"/>
              </w:rPr>
              <w:t>黑砂</w:t>
            </w:r>
            <w:r>
              <w:rPr>
                <w:rFonts w:hint="eastAsia" w:cs="Times New Roman"/>
                <w:color w:val="auto"/>
                <w:lang w:eastAsia="zh-CN"/>
              </w:rPr>
              <w:t>、</w:t>
            </w:r>
            <w:r>
              <w:rPr>
                <w:rFonts w:hint="default" w:ascii="Times New Roman" w:hAnsi="Times New Roman" w:cs="Times New Roman"/>
                <w:color w:val="auto"/>
              </w:rPr>
              <w:t>废滤袋</w:t>
            </w:r>
            <w:r>
              <w:rPr>
                <w:rFonts w:hint="eastAsia" w:cs="Times New Roman"/>
                <w:color w:val="auto"/>
                <w:lang w:eastAsia="zh-CN"/>
              </w:rPr>
              <w:t>、</w:t>
            </w:r>
            <w:r>
              <w:rPr>
                <w:rFonts w:hint="default" w:ascii="Times New Roman" w:hAnsi="Times New Roman" w:cs="Times New Roman"/>
                <w:color w:val="auto"/>
              </w:rPr>
              <w:t>布袋收尘</w:t>
            </w:r>
            <w:r>
              <w:rPr>
                <w:rFonts w:hint="eastAsia" w:cs="Times New Roman"/>
                <w:color w:val="auto"/>
                <w:lang w:eastAsia="zh-CN"/>
              </w:rPr>
              <w:t>、</w:t>
            </w:r>
            <w:r>
              <w:rPr>
                <w:rFonts w:hint="default" w:ascii="Times New Roman" w:hAnsi="Times New Roman" w:cs="Times New Roman"/>
                <w:color w:val="auto"/>
              </w:rPr>
              <w:t>废布袋</w:t>
            </w:r>
            <w:r>
              <w:rPr>
                <w:rFonts w:hint="eastAsia" w:cs="Times New Roman"/>
                <w:color w:val="auto"/>
                <w:lang w:eastAsia="zh-CN"/>
              </w:rPr>
              <w:t>、</w:t>
            </w:r>
            <w:r>
              <w:rPr>
                <w:rFonts w:hint="default" w:ascii="Times New Roman" w:hAnsi="Times New Roman" w:cs="Times New Roman"/>
                <w:color w:val="auto"/>
              </w:rPr>
              <w:t>废包装材料</w:t>
            </w:r>
            <w:r>
              <w:rPr>
                <w:rFonts w:hint="eastAsia" w:cs="Times New Roman"/>
                <w:color w:val="auto"/>
                <w:lang w:eastAsia="zh-CN"/>
              </w:rPr>
              <w:t>、</w:t>
            </w:r>
            <w:r>
              <w:rPr>
                <w:rFonts w:hint="default" w:ascii="Times New Roman" w:hAnsi="Times New Roman" w:cs="Times New Roman"/>
                <w:color w:val="auto"/>
              </w:rPr>
              <w:t>生活垃圾</w:t>
            </w:r>
            <w:r>
              <w:rPr>
                <w:rFonts w:hint="eastAsia" w:cs="Times New Roman"/>
                <w:color w:val="auto"/>
                <w:lang w:eastAsia="zh-CN"/>
              </w:rPr>
              <w:t>）</w:t>
            </w:r>
            <w:r>
              <w:rPr>
                <w:rFonts w:hint="eastAsia" w:cs="Times New Roman"/>
                <w:color w:val="auto"/>
                <w:lang w:val="en-US" w:eastAsia="zh-CN"/>
              </w:rPr>
              <w:t>暂存于一般固废暂存间，按照《工业企业一般工业固废管理台帐（企业用）》相关要求进行管理</w:t>
            </w:r>
          </w:p>
        </w:tc>
        <w:tc>
          <w:tcPr>
            <w:tcW w:w="565"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continue"/>
            <w:vAlign w:val="center"/>
          </w:tcPr>
          <w:p>
            <w:pPr>
              <w:pStyle w:val="36"/>
              <w:adjustRightInd w:val="0"/>
              <w:rPr>
                <w:rFonts w:hint="default" w:ascii="Times New Roman" w:hAnsi="Times New Roman" w:cs="Times New Roman"/>
                <w:color w:val="auto"/>
              </w:rPr>
            </w:pPr>
          </w:p>
        </w:tc>
        <w:tc>
          <w:tcPr>
            <w:tcW w:w="2189"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推进危险废物规范化处置。根据本地区危险废物产生数量、危害特性，科学评估其环境风险，实施分级分类管理，建立危险废物信息化监管体系。开展危险废物利用处置单位的整治提升行动，规范危险废物贮存，紧密对接危废产处企业，加快推进危险转移管理，完善危险废物流转全过程监管机制，确保危险废物100%处置。</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本项目产生的危险废物（</w:t>
            </w:r>
            <w:r>
              <w:rPr>
                <w:rFonts w:hint="default" w:ascii="Times New Roman" w:hAnsi="Times New Roman" w:cs="Times New Roman"/>
                <w:color w:val="auto"/>
              </w:rPr>
              <w:t>废机油</w:t>
            </w:r>
            <w:r>
              <w:rPr>
                <w:rFonts w:hint="eastAsia" w:cs="Times New Roman"/>
                <w:color w:val="auto"/>
                <w:lang w:eastAsia="zh-CN"/>
              </w:rPr>
              <w:t>、</w:t>
            </w:r>
            <w:r>
              <w:rPr>
                <w:rFonts w:hint="default" w:ascii="Times New Roman" w:hAnsi="Times New Roman" w:cs="Times New Roman"/>
                <w:color w:val="auto"/>
              </w:rPr>
              <w:t>废机油桶</w:t>
            </w:r>
            <w:r>
              <w:rPr>
                <w:rFonts w:hint="eastAsia" w:cs="Times New Roman"/>
                <w:color w:val="auto"/>
                <w:lang w:eastAsia="zh-CN"/>
              </w:rPr>
              <w:t>、</w:t>
            </w:r>
            <w:r>
              <w:rPr>
                <w:rFonts w:hint="default" w:ascii="Times New Roman" w:hAnsi="Times New Roman" w:cs="Times New Roman"/>
                <w:color w:val="auto"/>
              </w:rPr>
              <w:t>含油抹布及手套</w:t>
            </w:r>
            <w:r>
              <w:rPr>
                <w:rFonts w:hint="eastAsia" w:cs="Times New Roman"/>
                <w:color w:val="auto"/>
                <w:lang w:eastAsia="zh-CN"/>
              </w:rPr>
              <w:t>、</w:t>
            </w:r>
            <w:r>
              <w:rPr>
                <w:rFonts w:hint="default" w:ascii="Times New Roman" w:hAnsi="Times New Roman" w:cs="Times New Roman"/>
                <w:color w:val="auto"/>
              </w:rPr>
              <w:t>废氢氧化钠包装袋</w:t>
            </w:r>
            <w:r>
              <w:rPr>
                <w:rFonts w:hint="eastAsia" w:cs="Times New Roman"/>
                <w:color w:val="auto"/>
                <w:lang w:eastAsia="zh-CN"/>
              </w:rPr>
              <w:t>、</w:t>
            </w:r>
            <w:r>
              <w:rPr>
                <w:rFonts w:hint="default" w:ascii="Times New Roman" w:hAnsi="Times New Roman" w:cs="Times New Roman"/>
                <w:color w:val="auto"/>
              </w:rPr>
              <w:t>废碳酸钠包装袋</w:t>
            </w:r>
            <w:r>
              <w:rPr>
                <w:rFonts w:hint="eastAsia" w:cs="Times New Roman"/>
                <w:color w:val="auto"/>
                <w:lang w:eastAsia="zh-CN"/>
              </w:rPr>
              <w:t>、</w:t>
            </w:r>
            <w:r>
              <w:rPr>
                <w:rFonts w:hint="default" w:ascii="Times New Roman" w:hAnsi="Times New Roman" w:cs="Times New Roman"/>
                <w:color w:val="auto"/>
              </w:rPr>
              <w:t>废氯化镁包装袋</w:t>
            </w:r>
            <w:r>
              <w:rPr>
                <w:rFonts w:hint="eastAsia" w:cs="Times New Roman"/>
                <w:color w:val="auto"/>
                <w:lang w:eastAsia="zh-CN"/>
              </w:rPr>
              <w:t>、</w:t>
            </w:r>
            <w:r>
              <w:rPr>
                <w:rFonts w:hint="default" w:ascii="Times New Roman" w:hAnsi="Times New Roman" w:cs="Times New Roman"/>
                <w:color w:val="auto"/>
              </w:rPr>
              <w:t>废捕收剂桶</w:t>
            </w:r>
            <w:r>
              <w:rPr>
                <w:rFonts w:hint="eastAsia" w:cs="Times New Roman"/>
                <w:color w:val="auto"/>
                <w:lang w:eastAsia="zh-CN"/>
              </w:rPr>
              <w:t>）</w:t>
            </w:r>
            <w:r>
              <w:rPr>
                <w:rFonts w:hint="eastAsia" w:cs="Times New Roman"/>
                <w:color w:val="auto"/>
                <w:lang w:val="en-US" w:eastAsia="zh-CN"/>
              </w:rPr>
              <w:t>暂存于危废暂存间，交有资质单位进行处置</w:t>
            </w:r>
          </w:p>
        </w:tc>
        <w:tc>
          <w:tcPr>
            <w:tcW w:w="565" w:type="pct"/>
            <w:vAlign w:val="center"/>
          </w:tcPr>
          <w:p>
            <w:pPr>
              <w:pStyle w:val="36"/>
              <w:adjustRightInd w:val="0"/>
              <w:rPr>
                <w:rFonts w:hint="default" w:ascii="Times New Roman" w:hAnsi="Times New Roman" w:cs="Times New Roman"/>
                <w:color w:val="auto"/>
              </w:rPr>
            </w:pP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综上所述，本项目建设符合《乐山市沙湾区“十四五”生态环境保护规划》的相关要求。</w:t>
      </w:r>
    </w:p>
    <w:p>
      <w:pPr>
        <w:pStyle w:val="5"/>
        <w:bidi w:val="0"/>
        <w:rPr>
          <w:rFonts w:hint="default"/>
          <w:color w:val="auto"/>
          <w:lang w:val="en-US" w:eastAsia="zh-CN"/>
        </w:rPr>
      </w:pPr>
      <w:r>
        <w:rPr>
          <w:rFonts w:hint="eastAsia"/>
          <w:color w:val="auto"/>
          <w:lang w:val="en-US" w:eastAsia="zh-CN"/>
        </w:rPr>
        <w:t>与《有色金属行业碳达峰实施方案》（工信部联原〔2022〕153号）的符合性分析</w:t>
      </w:r>
    </w:p>
    <w:p>
      <w:pPr>
        <w:rPr>
          <w:rFonts w:hint="eastAsia"/>
          <w:color w:val="auto"/>
          <w:lang w:val="en-US" w:eastAsia="zh-CN"/>
        </w:rPr>
      </w:pPr>
      <w:r>
        <w:rPr>
          <w:rFonts w:hint="eastAsia" w:ascii="Times New Roman" w:eastAsia="宋体"/>
          <w:color w:val="auto"/>
          <w:lang w:val="en-US" w:eastAsia="zh-CN"/>
        </w:rPr>
        <w:t>工业和信息化部</w:t>
      </w:r>
      <w:r>
        <w:rPr>
          <w:rFonts w:hint="eastAsia"/>
          <w:color w:val="auto"/>
          <w:lang w:val="en-US" w:eastAsia="zh-CN"/>
        </w:rPr>
        <w:t>、</w:t>
      </w:r>
      <w:r>
        <w:rPr>
          <w:rFonts w:hint="eastAsia" w:ascii="Times New Roman" w:eastAsia="宋体"/>
          <w:color w:val="auto"/>
          <w:lang w:val="en-US" w:eastAsia="zh-CN"/>
        </w:rPr>
        <w:t>国家发展和改革委员会</w:t>
      </w:r>
      <w:r>
        <w:rPr>
          <w:rFonts w:hint="eastAsia"/>
          <w:color w:val="auto"/>
          <w:lang w:val="en-US" w:eastAsia="zh-CN"/>
        </w:rPr>
        <w:t>、</w:t>
      </w:r>
      <w:r>
        <w:rPr>
          <w:rFonts w:hint="eastAsia" w:ascii="Times New Roman" w:eastAsia="宋体"/>
          <w:color w:val="auto"/>
          <w:lang w:val="en-US" w:eastAsia="zh-CN"/>
        </w:rPr>
        <w:t>生态环境部于202</w:t>
      </w:r>
      <w:r>
        <w:rPr>
          <w:rFonts w:hint="eastAsia"/>
          <w:color w:val="auto"/>
          <w:lang w:val="en-US" w:eastAsia="zh-CN"/>
        </w:rPr>
        <w:t>2</w:t>
      </w:r>
      <w:r>
        <w:rPr>
          <w:rFonts w:hint="eastAsia" w:ascii="Times New Roman" w:eastAsia="宋体"/>
          <w:color w:val="auto"/>
          <w:lang w:val="en-US" w:eastAsia="zh-CN"/>
        </w:rPr>
        <w:t>年</w:t>
      </w:r>
      <w:r>
        <w:rPr>
          <w:rFonts w:hint="eastAsia"/>
          <w:color w:val="auto"/>
          <w:lang w:val="en-US" w:eastAsia="zh-CN"/>
        </w:rPr>
        <w:t>1</w:t>
      </w:r>
      <w:r>
        <w:rPr>
          <w:rFonts w:hint="eastAsia" w:ascii="Times New Roman" w:eastAsia="宋体"/>
          <w:color w:val="auto"/>
          <w:lang w:val="en-US" w:eastAsia="zh-CN"/>
        </w:rPr>
        <w:t>1月</w:t>
      </w:r>
      <w:r>
        <w:rPr>
          <w:rFonts w:hint="eastAsia"/>
          <w:color w:val="auto"/>
          <w:lang w:val="en-US" w:eastAsia="zh-CN"/>
        </w:rPr>
        <w:t>10</w:t>
      </w:r>
      <w:r>
        <w:rPr>
          <w:rFonts w:hint="eastAsia" w:ascii="Times New Roman" w:eastAsia="宋体"/>
          <w:color w:val="auto"/>
          <w:lang w:val="en-US" w:eastAsia="zh-CN"/>
        </w:rPr>
        <w:t>日印发《有色金属行业碳达峰实施方案》（工信部联原〔2022〕153号），本项目与其符合性分析如下。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t>本项目与《有色金属行业碳达峰实施方案》的符合性分析</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3736"/>
        <w:gridCol w:w="293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2709"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《方案》规定</w:t>
            </w:r>
          </w:p>
        </w:tc>
        <w:tc>
          <w:tcPr>
            <w:tcW w:w="172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56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51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219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主要内容</w:t>
            </w:r>
          </w:p>
        </w:tc>
        <w:tc>
          <w:tcPr>
            <w:tcW w:w="1725" w:type="pct"/>
            <w:vMerge w:val="continue"/>
            <w:vAlign w:val="center"/>
          </w:tcPr>
          <w:p>
            <w:pPr>
              <w:pStyle w:val="36"/>
              <w:adjustRightInd w:val="0"/>
              <w:rPr>
                <w:rFonts w:hint="default" w:ascii="Times New Roman" w:hAnsi="Times New Roman" w:cs="Times New Roman"/>
                <w:b/>
                <w:bCs/>
                <w:color w:val="auto"/>
              </w:rPr>
            </w:pPr>
          </w:p>
        </w:tc>
        <w:tc>
          <w:tcPr>
            <w:tcW w:w="565" w:type="pct"/>
            <w:vMerge w:val="continue"/>
            <w:vAlign w:val="center"/>
          </w:tcPr>
          <w:p>
            <w:pPr>
              <w:pStyle w:val="36"/>
              <w:adjustRightInd w:val="0"/>
              <w:rPr>
                <w:rFonts w:hint="default" w:ascii="Times New Roman" w:hAnsi="Times New Roman" w:cs="Times New Roman"/>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控制化石能源消费</w:t>
            </w:r>
          </w:p>
        </w:tc>
        <w:tc>
          <w:tcPr>
            <w:tcW w:w="2192"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推进有色金属行业燃煤窑炉以电代煤，提升用能电气化水平。在气源有保障、气价可承受的条件下有序推进以气代煤。推动落后自备燃煤机组淘汰关停或采用清洁燃料替代。严禁在国家政策允许的领域以外新（扩）建燃煤自备电厂，推动电解铝行业从使用自备电向网电转化。支持企业参与光伏、风电等可再生能源和氢能、储能系统开发建设。加强企业节能管理，严格落实国家强制性节能标准，持续开展工业节能监察，规范企业用能行为。</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本项目不</w:t>
            </w:r>
            <w:r>
              <w:rPr>
                <w:rFonts w:hint="eastAsia" w:cs="Times New Roman"/>
                <w:color w:val="auto"/>
                <w:lang w:val="en-US" w:eastAsia="zh-CN"/>
              </w:rPr>
              <w:t>涉及燃煤窑炉、燃煤机组</w:t>
            </w:r>
            <w:r>
              <w:rPr>
                <w:rFonts w:hint="default" w:ascii="Times New Roman" w:hAnsi="Times New Roman" w:cs="Times New Roman"/>
                <w:color w:val="auto"/>
              </w:rPr>
              <w:t>。</w:t>
            </w:r>
            <w:r>
              <w:rPr>
                <w:rFonts w:hint="eastAsia" w:cs="Times New Roman"/>
                <w:color w:val="auto"/>
                <w:lang w:val="en-US" w:eastAsia="zh-CN"/>
              </w:rPr>
              <w:t>本项目不属于电解铝行业。本次环评要求企业加强企业节能管理，严格落实国家强制性节能标准，持续开展工业节能监察，规范企业用能行为。</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构建绿色清洁生产体系</w:t>
            </w:r>
          </w:p>
        </w:tc>
        <w:tc>
          <w:tcPr>
            <w:tcW w:w="2192"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引导有色金属生产企业选用绿色原辅料、技术、装备、物流，建立绿色低碳供应链管理体系。对标国际领先水平，全面开展清洁生产审核评价和认证，实施清洁生产改造，推动减污降碳协同治理。提高有色金属企业厂外物料和产品清洁运输比例，优化厂内物流运输结构，全面实施皮带、轨道、辊道运输系统建设，推动大气污染防治重点区域淘汰国四及以下厂内车辆和国二及以下的非道路移动机械。基于产品全生命周期的绿色低碳发展理念，开展工业产品绿色设计，引导下游行业选用绿色有色金属产品。</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企业选用绿色原辅料、技术、装备、物流</w:t>
            </w:r>
            <w:r>
              <w:rPr>
                <w:rFonts w:hint="default" w:ascii="Times New Roman" w:hAnsi="Times New Roman" w:cs="Times New Roman"/>
                <w:color w:val="auto"/>
              </w:rPr>
              <w:t>。</w:t>
            </w:r>
            <w:r>
              <w:rPr>
                <w:rFonts w:hint="eastAsia" w:cs="Times New Roman"/>
                <w:color w:val="auto"/>
                <w:lang w:val="en-US" w:eastAsia="zh-CN"/>
              </w:rPr>
              <w:t>本次环评以对企业清洁生产提出要求。厂内矿山运输均采用封闭式皮带进行运输。本项目不使用国四及以下厂内车辆和国二及以下的非道路移动机械。</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综上所述，本项目建设符合《有色金属行业碳达峰实施方案》（工信部联原〔2022〕153号）的相关要求。</w:t>
      </w:r>
    </w:p>
    <w:p>
      <w:pPr>
        <w:keepNext/>
        <w:keepLines/>
        <w:widowControl w:val="0"/>
        <w:numPr>
          <w:ilvl w:val="3"/>
          <w:numId w:val="1"/>
        </w:numPr>
        <w:bidi w:val="0"/>
        <w:snapToGrid w:val="0"/>
        <w:spacing w:line="360" w:lineRule="auto"/>
        <w:ind w:firstLine="200" w:firstLineChars="0"/>
        <w:jc w:val="both"/>
        <w:outlineLvl w:val="3"/>
        <w:rPr>
          <w:rFonts w:hint="default" w:ascii="Times New Roman" w:hAnsi="Times New Roman" w:eastAsia="宋体" w:cstheme="majorBidi"/>
          <w:b/>
          <w:bCs/>
          <w:color w:val="auto"/>
          <w:kern w:val="2"/>
          <w:sz w:val="28"/>
          <w:szCs w:val="28"/>
          <w:lang w:val="en-US" w:eastAsia="zh-CN" w:bidi="ar-SA"/>
        </w:rPr>
      </w:pPr>
      <w:r>
        <w:rPr>
          <w:rFonts w:hint="eastAsia" w:ascii="Times New Roman" w:hAnsi="Times New Roman" w:eastAsia="宋体" w:cstheme="majorBidi"/>
          <w:b/>
          <w:bCs/>
          <w:color w:val="auto"/>
          <w:kern w:val="2"/>
          <w:sz w:val="28"/>
          <w:szCs w:val="28"/>
          <w:lang w:val="en-US" w:eastAsia="zh-CN" w:bidi="ar-SA"/>
        </w:rPr>
        <w:t>与《有色金属行业稳增长工作方案》（工信部联原〔2023〕130号）的符合性分析</w:t>
      </w:r>
    </w:p>
    <w:p>
      <w:pPr>
        <w:rPr>
          <w:rFonts w:hint="eastAsia"/>
          <w:color w:val="auto"/>
          <w:lang w:val="en-US" w:eastAsia="zh-CN"/>
        </w:rPr>
      </w:pPr>
      <w:r>
        <w:rPr>
          <w:rFonts w:hint="eastAsia" w:ascii="Times New Roman" w:eastAsia="宋体"/>
          <w:color w:val="auto"/>
          <w:lang w:val="en-US" w:eastAsia="zh-CN"/>
        </w:rPr>
        <w:t>工业和信息化部、国家发展和改革委员会、生态环境部于2022年11月10日印发《有色金属行业稳增长工作方案》（工信部联原〔2023〕130号），本项目与其符合性分析如下。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cs="Times New Roman"/>
          <w:color w:val="auto"/>
        </w:rPr>
        <w:t>本项目与《有色金属行业稳增长工作方案》的符合性分析</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3736"/>
        <w:gridCol w:w="293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2709"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《方案》规定</w:t>
            </w:r>
          </w:p>
        </w:tc>
        <w:tc>
          <w:tcPr>
            <w:tcW w:w="172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565"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51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219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主要内容</w:t>
            </w:r>
          </w:p>
        </w:tc>
        <w:tc>
          <w:tcPr>
            <w:tcW w:w="1725" w:type="pct"/>
            <w:vMerge w:val="continue"/>
            <w:vAlign w:val="center"/>
          </w:tcPr>
          <w:p>
            <w:pPr>
              <w:pStyle w:val="36"/>
              <w:adjustRightInd w:val="0"/>
              <w:rPr>
                <w:rFonts w:hint="default" w:ascii="Times New Roman" w:hAnsi="Times New Roman" w:cs="Times New Roman"/>
                <w:b/>
                <w:bCs/>
                <w:color w:val="auto"/>
              </w:rPr>
            </w:pPr>
          </w:p>
        </w:tc>
        <w:tc>
          <w:tcPr>
            <w:tcW w:w="565" w:type="pct"/>
            <w:vMerge w:val="continue"/>
            <w:vAlign w:val="center"/>
          </w:tcPr>
          <w:p>
            <w:pPr>
              <w:pStyle w:val="36"/>
              <w:adjustRightInd w:val="0"/>
              <w:rPr>
                <w:rFonts w:hint="default" w:ascii="Times New Roman" w:hAnsi="Times New Roman" w:cs="Times New Roman"/>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1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主要目标</w:t>
            </w:r>
          </w:p>
        </w:tc>
        <w:tc>
          <w:tcPr>
            <w:tcW w:w="2192" w:type="pct"/>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2025—2026年，有色金属行业增加值年均增长5%左右，经济效益保持向好态势，十种有色金属产量年均增长1.5%左右，铜、铝、锂等国内资源开发取得积极进展，再生金属产量突破2000万吨，高端产品供给能力不断增强，绿色低碳、数字化发展水平持续提升。</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w:t>
            </w:r>
            <w:r>
              <w:rPr>
                <w:rFonts w:hint="eastAsia" w:cs="Times New Roman"/>
                <w:color w:val="auto"/>
                <w:lang w:val="en-US" w:eastAsia="zh-CN"/>
              </w:rPr>
              <w:t>属于锂矿采选项目，有利于推动锂等国内资源开发取得积极进展。</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1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推动绿色化升级</w:t>
            </w:r>
          </w:p>
        </w:tc>
        <w:tc>
          <w:tcPr>
            <w:tcW w:w="2192" w:type="pct"/>
            <w:vAlign w:val="center"/>
          </w:tcPr>
          <w:p>
            <w:pPr>
              <w:pStyle w:val="36"/>
              <w:adjustRightInd w:val="0"/>
              <w:jc w:val="both"/>
              <w:rPr>
                <w:rFonts w:hint="eastAsia" w:ascii="Times New Roman" w:hAnsi="Times New Roman" w:eastAsia="宋体" w:cs="Times New Roman"/>
                <w:color w:val="auto"/>
                <w:lang w:eastAsia="zh-CN"/>
              </w:rPr>
            </w:pPr>
            <w:r>
              <w:rPr>
                <w:rFonts w:hint="eastAsia"/>
                <w:color w:val="auto"/>
              </w:rPr>
              <w:t>围绕能效标杆和环保绩效A级水平，推进氧化铝、电解铝、铜冶炼、铅冶炼、锌冶炼等行业节能减污降碳改造，加快新型稳流保温铝电解槽、铜锍连续吹炼设备等绿色高效节能设备更新，逐步淘汰低效落后的工艺、技术。规范开展赤泥、锂渣、高铝粉煤灰等大宗固废的安全处置及资源化利用。建成有色金属行业绿色低碳公共服务平台，推动建设一批数字化能碳管理中心，推进碳足迹管理体系建设，开展绿电铝等低碳产品评价，支持企业积极参与碳排放权交易市场</w:t>
            </w:r>
            <w:r>
              <w:rPr>
                <w:rFonts w:hint="eastAsia"/>
                <w:color w:val="auto"/>
                <w:lang w:eastAsia="zh-CN"/>
              </w:rPr>
              <w:t>。</w:t>
            </w:r>
          </w:p>
        </w:tc>
        <w:tc>
          <w:tcPr>
            <w:tcW w:w="1725" w:type="pct"/>
            <w:vAlign w:val="center"/>
          </w:tcPr>
          <w:p>
            <w:pPr>
              <w:pStyle w:val="36"/>
              <w:adjustRightInd w:val="0"/>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氧化铝、电解铝、铜冶炼、铅冶炼、锌冶炼。本项目不涉及新型稳流保温铝电解槽、铜锍连续吹炼设备。本项目尾矿外售给四川新乐雅陶瓷有限公司、四川祥洪新型建材有限公司进行陶瓷生产，实现了资源化利用。</w:t>
            </w:r>
          </w:p>
        </w:tc>
        <w:tc>
          <w:tcPr>
            <w:tcW w:w="56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color w:val="auto"/>
          <w:lang w:val="en-US" w:eastAsia="zh-CN"/>
        </w:rPr>
      </w:pPr>
      <w:r>
        <w:rPr>
          <w:rFonts w:hint="default" w:ascii="Times New Roman" w:hAnsi="Times New Roman" w:cs="Times New Roman"/>
          <w:color w:val="auto"/>
        </w:rPr>
        <w:t>综上所述，本项目建设符合《有色金属行业碳达峰实施方案》（工信部联原〔2023〕130号）的相关要求。</w:t>
      </w:r>
    </w:p>
    <w:p>
      <w:pPr>
        <w:pStyle w:val="4"/>
        <w:adjustRightInd w:val="0"/>
        <w:rPr>
          <w:rFonts w:hint="default" w:ascii="Times New Roman" w:hAnsi="Times New Roman" w:cs="Times New Roman"/>
          <w:color w:val="auto"/>
        </w:rPr>
      </w:pPr>
      <w:bookmarkStart w:id="15" w:name="_Toc19094"/>
      <w:r>
        <w:rPr>
          <w:rFonts w:hint="default" w:ascii="Times New Roman" w:hAnsi="Times New Roman" w:cs="Times New Roman"/>
          <w:color w:val="auto"/>
        </w:rPr>
        <w:t>规划符合性分析</w:t>
      </w:r>
      <w:bookmarkEnd w:id="15"/>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与《乐山市沙湾区国土空间总体规划（2021-2035年）》的符合性分析</w:t>
      </w:r>
    </w:p>
    <w:p>
      <w:pPr>
        <w:adjustRightInd w:val="0"/>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一</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规划时限</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规划基期为2020年，规划期限为2021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2035年，近期到2025年，远景展望到2050年。</w:t>
      </w:r>
    </w:p>
    <w:p>
      <w:pPr>
        <w:adjustRightInd w:val="0"/>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（二）规划范围</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范围包括全域和中心城区两个层级，全域层级为沙湾区行政辖区范围，总面积605.26平方千米；中心城区层级为上位规划所划定的沙湾中心城区开发边界所围合的区域，包括现状建成区与规划扩展区，总面积14.95平方千米。</w:t>
      </w:r>
    </w:p>
    <w:p>
      <w:pPr>
        <w:adjustRightInd w:val="0"/>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（三）产业定位</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落实市委、市政府对沙湾区的部署，以打造“工旅融合发展示范区”为目标，实施“农旅兴区、工业强区”战</w:t>
      </w:r>
      <w:r>
        <w:rPr>
          <w:rFonts w:hint="eastAsia" w:cs="Times New Roman"/>
          <w:color w:val="auto"/>
          <w:lang w:val="en-US" w:eastAsia="zh-CN"/>
        </w:rPr>
        <w:t>本部分涉密</w:t>
      </w:r>
      <w:r>
        <w:rPr>
          <w:rFonts w:hint="default" w:ascii="Times New Roman" w:hAnsi="Times New Roman" w:cs="Times New Roman"/>
          <w:color w:val="auto"/>
          <w:lang w:val="en-US" w:eastAsia="zh-CN"/>
        </w:rPr>
        <w:t>。严守底线，争创国家级农业园区；践行绿色转型核心方针，推动先进制造业集聚；大力实施全域旅游战</w:t>
      </w:r>
      <w:r>
        <w:rPr>
          <w:rFonts w:hint="eastAsia" w:cs="Times New Roman"/>
          <w:color w:val="auto"/>
          <w:lang w:val="en-US" w:eastAsia="zh-CN"/>
        </w:rPr>
        <w:t>本部分涉密</w:t>
      </w:r>
      <w:r>
        <w:rPr>
          <w:rFonts w:hint="default" w:ascii="Times New Roman" w:hAnsi="Times New Roman" w:cs="Times New Roman"/>
          <w:color w:val="auto"/>
          <w:lang w:val="en-US" w:eastAsia="zh-CN"/>
        </w:rPr>
        <w:t>，做实全域旅游一张名片。确定沙湾区总体定位为“一区一地一城”。</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区：盆周山区粮药经济示范区。落实成都平原经济区打造更高水平的“天府粮仓”、建设全省粮食主产区的要求。立足丘陵地貌，聚焦现代农业，坚持“粮下地、药上山”，打造更高水平的盆周山区粮药经济示范区。</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一地：西南新型建材产业基地。主动融入先进制造业集聚区建设，打造西南新型建材产业基地，铸就沙湾工业强区之根基。</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一城：大峨眉旅游圈文化名城。落实《四川省建设世界重要旅游目的地规划（2023—2035 年）》，主动融入大峨眉旅游圈，提升大渡河风景道旅游服务水平，注入具有沙湾特色的沫若、铜河文化，突出文旅融合发展，建设大峨眉旅游圈文化名城。</w:t>
      </w:r>
    </w:p>
    <w:p>
      <w:pPr>
        <w:adjustRightInd w:val="0"/>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（四）市政基础设施</w:t>
      </w:r>
    </w:p>
    <w:p>
      <w:pPr>
        <w:adjustRightInd w:val="0"/>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（1）给水设施</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至2035年，全域城镇自来水普及率达到100%，农村自来水普及率达到95%。加强供水安全与保障能力，构建城乡一体、全域覆盖的供水体系，规划新建葫芦水厂，建成后与安谷水厂并网，为沙湾中心城区、所有镇区及周边部分有条件的乡村供水，供水规模为6万立方米/天，原范店乡由现状范店社区水厂供水。规划保留原沙湾、嘉农、太平水厂作为备用水厂。加强农村供水基础设施建设，逐步提高自来水入户率。位于城镇周边的农村可与镇区共享基础设施，加强城镇供水管网向周边村庄蔓延；对于较为偏远的农村，可以采取局部集中供水的方案。</w:t>
      </w:r>
    </w:p>
    <w:p>
      <w:pPr>
        <w:adjustRightInd w:val="0"/>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排水设施</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沙湾区中心城区和中心镇镇区排水体制采用雨污分流制；一般镇宜采用雨污分流制，或根据地形采用截流式合流制、不完全分流制，农村鼓励采用雨污分流制。规划至2035年，全域共设置城市污水处理厂3座，总处理规模达3.7万立方米/天；乡镇污水处理厂（站）12座，总处理规模达0.83万立方米/天；全域城镇污水处理率达到100%，农村地区污水处理率达到95%。城镇污水处理厂出水水质应严格执行《四川省岷江、沱江流域水污染物排放标准》的相关要求达标排放，农村生活污水处理设施水污染物排放浓度按照四川省《农村生活污水处理设施水污染物排放标准》执行，切实改善全域水体环境质量。完善再生水利用设施。远期全域布置再生水厂3座，再生水回用率达到30%以上。</w:t>
      </w:r>
    </w:p>
    <w:p>
      <w:pPr>
        <w:adjustRightInd w:val="0"/>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（3）公路</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按照《公路安全保护条例》要求，划定公路建筑控制区的范围。从公路边沟外缘起向外的距离分别为：国道不少于20米；省道不少于15米；县道不少于10米；乡道不少于5米；属于高速公路的，公路建筑控制区的范围不少于30米，同时符合国家相关标准。</w:t>
      </w:r>
    </w:p>
    <w:p>
      <w:pPr>
        <w:adjustRightInd w:val="0"/>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（4）电力设施</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据《城市工程管线综合规划规范》，确定高压架空电力线路规划走廊宽度。220kV电力线路全部采用架空敷设，规划走廊宽度30～40米；110kV架空线路规划走廊宽度15～25米；35kV架空线路规划走廊宽度15～20米，同时符合国家相关标准。</w:t>
      </w:r>
    </w:p>
    <w:p>
      <w:pPr>
        <w:adjustRightInd w:val="0"/>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燃气设施</w:t>
      </w:r>
    </w:p>
    <w:p>
      <w:pPr>
        <w:adjustRightInd w:val="0"/>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据《燃气工程项目规范》，确定城市、镇、农村的燃气输配管道及附属设施的保护和控制范围。低压和中压为外缘周边5米，次高压为外缘周边15米，高压及高压以上为外缘周边50米；同时满足《城镇燃气设计规范》和《城市工程管线综合规划规范》相关规定。长输管道应布置在规划城镇区域外围，与公路、铁路、建（构）筑物及其他基础设施的距离应按《输气管道工程设计规范》的规定执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根据《乐山市沙湾区国土空间总体规划（202-2035年）》，本项目建设地在沙湾区城镇开发边界内，满足城镇开发用地规划管控要求。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综上所述，本项目建设符合《乐山市沙湾区国土空间总体规划（202-2035年）》相关要求。</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与《乐山（沙湾）不锈钢产业园区规划环境影响跟踪评价报告书》的</w:t>
      </w:r>
      <w:r>
        <w:rPr>
          <w:rFonts w:hint="eastAsia" w:cs="Times New Roman"/>
          <w:color w:val="auto"/>
          <w:lang w:val="en-US" w:eastAsia="zh-CN"/>
        </w:rPr>
        <w:t>审查</w:t>
      </w:r>
      <w:r>
        <w:rPr>
          <w:rFonts w:hint="default" w:ascii="Times New Roman" w:hAnsi="Times New Roman" w:cs="Times New Roman"/>
          <w:color w:val="auto"/>
        </w:rPr>
        <w:t>意见的符合性分析</w:t>
      </w:r>
    </w:p>
    <w:p>
      <w:pPr>
        <w:adjustRightInd w:val="0"/>
        <w:ind w:firstLine="480"/>
        <w:rPr>
          <w:rFonts w:hint="eastAsia" w:ascii="Times New Roman" w:hAnsi="Times New Roman"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一</w:t>
      </w:r>
      <w:r>
        <w:rPr>
          <w:rFonts w:hint="eastAsia" w:cs="Times New Roman"/>
          <w:color w:val="auto"/>
          <w:lang w:eastAsia="zh-CN"/>
        </w:rPr>
        <w:t>）园区规划环评内容</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1</w:t>
      </w:r>
      <w:r>
        <w:rPr>
          <w:rFonts w:hint="default" w:ascii="Times New Roman" w:hAnsi="Times New Roman" w:cs="Times New Roman"/>
          <w:color w:val="auto"/>
        </w:rPr>
        <w:t>）规划范围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乐山（沙湾）不锈钢产业园区（现更名为四川乐山沙湾经济开发区）位于乐山市沙湾区嘉农镇、太平镇，由不锈钢民生产业园、钢铁钒钛循环经济产业园两大片区构成，规划区面积27.09km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其中不锈钢民生产业园位于沙湾区嘉农镇、太平镇，四至范围为：东至太平镇肖店村外缘、月儿坝村外缘、马胡埂村外缘；南至嘉农镇新园村外缘、魏坝村外缘，太平镇杜家桥村外缘、马胡埂村外缘：西至嘉农镇燎原村外缘、双槐树村外缘、白岩村外缘、新兴村外缘；北至嘉农镇燎原村外缘、太平镇肖店村外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钢铁钒钛循环经济产业园东至太平镇稻麦村外缘，付塘村外缘、杨坝村外缘；南至沙湾镇三峨村外缘、王田村外缘，太平镇罗一村外缘；西至省道103线，北至紧邻沙湾城区。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2</w:t>
      </w:r>
      <w:r>
        <w:rPr>
          <w:rFonts w:hint="default" w:ascii="Times New Roman" w:hAnsi="Times New Roman" w:cs="Times New Roman"/>
          <w:color w:val="auto"/>
        </w:rPr>
        <w:t>）规划期限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近期：2009—2015年；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远期：2016—2020年。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）产业定位</w:t>
      </w:r>
    </w:p>
    <w:p>
      <w:pPr>
        <w:adjustRightInd w:val="0"/>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本项目位于不锈钢民生产业园</w:t>
      </w:r>
      <w:r>
        <w:rPr>
          <w:rFonts w:hint="eastAsia" w:cs="Times New Roman"/>
          <w:color w:val="auto"/>
          <w:lang w:val="en-US" w:eastAsia="zh-CN"/>
        </w:rPr>
        <w:t>-</w:t>
      </w:r>
      <w:r>
        <w:rPr>
          <w:rFonts w:hint="default" w:ascii="Times New Roman" w:hAnsi="Times New Roman" w:cs="Times New Roman"/>
          <w:color w:val="auto"/>
        </w:rPr>
        <w:t>嘉农组团，其产业定位为：冶金产品下游产品加工、机械制造加工、建材、物流。以西南不锈钢公司、天华机械制造为龙头，壮大发展以不锈钢为代表的冶金产品下游产品加工产业；以特种水泥、水泥制品、新型墙体材料为代表的建材产业；加快发展以现代物流为代表的生产性服务业；并与钢铁钒钛循环经济产业园整体联动发展，共同打造成西南重要的冶金建材基地</w:t>
      </w:r>
      <w:r>
        <w:rPr>
          <w:rFonts w:hint="eastAsia" w:cs="Times New Roman"/>
          <w:color w:val="auto"/>
          <w:lang w:eastAsia="zh-CN"/>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）发展重点</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依托园区产业发展和基础设施建设，合理引导人口聚集，推动嘉农镇城镇化进程。根据环境承载能力相对较强的特点，制定适宜的技术和环保标准。制定并加快实施园区建设规划，加强园内道路通信、给排水工程以及能源环保设施建设。提高土地使用效率，改善用地条件。同时限制土地功能转换，除必要的配套建设用地外，不得改变土地用途。实现土地高效集约利用。布局发展采用先进实用技术且进行清洁生产的土地投资强度较大、产出效益较高的冶金建材、机械制造项目以及废物处理的环保产业，成为冶金建材、机械制造项目的聚集地。</w:t>
      </w:r>
    </w:p>
    <w:p>
      <w:pPr>
        <w:adjustRightInd w:val="0"/>
        <w:ind w:firstLine="480"/>
        <w:rPr>
          <w:rFonts w:hint="eastAsia" w:ascii="Times New Roman" w:hAnsi="Times New Roman"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二</w:t>
      </w:r>
      <w:r>
        <w:rPr>
          <w:rFonts w:hint="eastAsia" w:cs="Times New Roman"/>
          <w:color w:val="auto"/>
          <w:lang w:eastAsia="zh-CN"/>
        </w:rPr>
        <w:t>）园区规划跟踪评价调整建议及符合性分析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2008年4月17日，乐山市发展和改革委员会以乐发改函〔2008〕16号文正式批准成立“乐山沙湾工业园区”，2009年12月26日乐山市工业集中区建设发展工作领导小组办公室同意“乐山沙湾工业园区”更名为“乐山（沙湾）冶金建材产业园区”，并在原有“乐山沙湾工业园区”区域范围的基础上扩大四至界范围。调整后四至界范围如下：乐山（沙湾）冶金建材产业园区规划面积27.09平方公里，位于乐山市沙湾区嘉农镇、太平镇，由不锈钢民生产业园、钢铁钒钛循环经济产业园两大片区构成。2013年7月10日，根据《乐山市沙湾区人民政府关于产业园区更名的公告》（乐沙府公告〔2013〕5号）乐山（沙湾）冶金建材产业园区更名为乐山（沙湾）不锈钢产业园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2010年，西南交通大学接受委托编制《乐山（沙湾）冶金建材产业园区规划环境影响报告书》；2010</w:t>
      </w:r>
      <w:r>
        <w:rPr>
          <w:rFonts w:hint="eastAsia" w:cs="Times New Roman"/>
          <w:color w:val="auto"/>
          <w:lang w:eastAsia="zh-CN"/>
        </w:rPr>
        <w:t>年</w:t>
      </w:r>
      <w:r>
        <w:rPr>
          <w:rFonts w:hint="default" w:ascii="Times New Roman" w:hAnsi="Times New Roman" w:cs="Times New Roman"/>
          <w:color w:val="auto"/>
        </w:rPr>
        <w:t>11</w:t>
      </w:r>
      <w:r>
        <w:rPr>
          <w:rFonts w:hint="eastAsia" w:cs="Times New Roman"/>
          <w:color w:val="auto"/>
          <w:lang w:eastAsia="zh-CN"/>
        </w:rPr>
        <w:t>月</w:t>
      </w:r>
      <w:bookmarkStart w:id="471" w:name="_GoBack"/>
      <w:bookmarkEnd w:id="471"/>
      <w:r>
        <w:rPr>
          <w:rFonts w:hint="default" w:ascii="Times New Roman" w:hAnsi="Times New Roman" w:cs="Times New Roman"/>
          <w:color w:val="auto"/>
        </w:rPr>
        <w:t>5日通过乐山市环保局组织的专家审查并出具《乐山（沙湾）冶金建材产业园区规划环境影响报告书》审查小组的审查意见；2010</w:t>
      </w:r>
      <w:r>
        <w:rPr>
          <w:rFonts w:hint="eastAsia" w:cs="Times New Roman"/>
          <w:color w:val="auto"/>
          <w:lang w:eastAsia="zh-CN"/>
        </w:rPr>
        <w:t>年</w:t>
      </w:r>
      <w:r>
        <w:rPr>
          <w:rFonts w:hint="default" w:ascii="Times New Roman" w:hAnsi="Times New Roman" w:cs="Times New Roman"/>
          <w:color w:val="auto"/>
        </w:rPr>
        <w:t>11</w:t>
      </w:r>
      <w:r>
        <w:rPr>
          <w:rFonts w:hint="eastAsia" w:cs="Times New Roman"/>
          <w:color w:val="auto"/>
          <w:lang w:eastAsia="zh-CN"/>
        </w:rPr>
        <w:t>月</w:t>
      </w:r>
      <w:r>
        <w:rPr>
          <w:rFonts w:hint="default" w:ascii="Times New Roman" w:hAnsi="Times New Roman" w:cs="Times New Roman"/>
          <w:color w:val="auto"/>
        </w:rPr>
        <w:t>8日，乐山市环境保护局印发关于《乐山（沙湾）冶金建材产业园区规划环境影响报告书》的审查意见（乐市环〔2010〕136号）。2018年，新疆清风朗月环保科技有限公司受委托编制《乐山（沙湾）不锈钢产业园区规划环境影响跟踪评价报告书》；2019年5月24日，乐山市生态环境局出具了《关于印发&lt;乐山（沙湾）不锈钢产业园区环境影响跟踪评价报告书审查意见&gt;的函》（乐市环函〔2019〕226号）。</w:t>
      </w:r>
    </w:p>
    <w:p>
      <w:pPr>
        <w:adjustRightInd w:val="0"/>
        <w:ind w:firstLine="480"/>
        <w:rPr>
          <w:rFonts w:hint="eastAsia" w:cs="Times New Roman"/>
          <w:color w:val="auto"/>
          <w:lang w:eastAsia="zh-CN"/>
        </w:rPr>
      </w:pPr>
      <w:r>
        <w:rPr>
          <w:rFonts w:hint="default" w:ascii="Times New Roman" w:hAnsi="Times New Roman" w:cs="Times New Roman"/>
          <w:color w:val="auto"/>
        </w:rPr>
        <w:t>跟踪评价对园区后续规划发展提出以下调整建议，本项目与调整意见的符合性如下表所示</w:t>
      </w:r>
      <w:r>
        <w:rPr>
          <w:rFonts w:hint="eastAsia" w:cs="Times New Roman"/>
          <w:color w:val="auto"/>
          <w:lang w:eastAsia="zh-CN"/>
        </w:rPr>
        <w:t>：</w:t>
      </w:r>
    </w:p>
    <w:p>
      <w:pPr>
        <w:pStyle w:val="12"/>
        <w:adjustRightInd w:val="0"/>
        <w:ind w:firstLine="480"/>
        <w:rPr>
          <w:rFonts w:hint="eastAsia" w:cs="Times New Roman"/>
          <w:color w:val="auto"/>
          <w:lang w:eastAsia="zh-CN"/>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14</w:t>
      </w:r>
      <w:r>
        <w:rPr>
          <w:color w:val="auto"/>
        </w:rPr>
        <w:fldChar w:fldCharType="end"/>
      </w:r>
      <w:r>
        <w:rPr>
          <w:rFonts w:hint="eastAsia"/>
          <w:color w:val="auto"/>
        </w:rPr>
        <w:t>项目与园区规划跟踪评价调整建议符合性</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82"/>
        <w:gridCol w:w="2907"/>
        <w:gridCol w:w="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trPr>
        <w:tc>
          <w:tcPr>
            <w:tcW w:w="2806"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bidi w:val="0"/>
              <w:rPr>
                <w:rFonts w:hint="default"/>
                <w:b/>
                <w:bCs/>
                <w:color w:val="auto"/>
                <w:lang w:val="en-US" w:eastAsia="zh-CN"/>
              </w:rPr>
            </w:pPr>
            <w:r>
              <w:rPr>
                <w:rFonts w:hint="default"/>
                <w:b/>
                <w:bCs/>
                <w:color w:val="auto"/>
                <w:lang w:val="en-US" w:eastAsia="zh-CN"/>
              </w:rPr>
              <w:t>规划调整建议</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lang w:val="en-US" w:eastAsia="zh-CN"/>
              </w:rPr>
            </w:pPr>
            <w:r>
              <w:rPr>
                <w:rFonts w:hint="default"/>
                <w:b/>
                <w:bCs/>
                <w:color w:val="auto"/>
                <w:lang w:val="en-US" w:eastAsia="zh-CN"/>
              </w:rPr>
              <w:t>本项目情况</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lang w:val="en-US" w:eastAsia="zh-CN"/>
              </w:rPr>
            </w:pPr>
            <w:r>
              <w:rPr>
                <w:rFonts w:hint="default"/>
                <w:b/>
                <w:bCs/>
                <w:color w:val="auto"/>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1.以成立四川乐山沙湾经济开发区为契机，对原规划进行修编并依法开展规划环境影响评价。对原规划面积及规划布局进行优化调整，取消太平组团，调整优化嘉农组团及钒钛钢铁组团的规划布局</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eastAsia"/>
                <w:color w:val="auto"/>
                <w:lang w:val="en-US" w:eastAsia="zh-CN"/>
              </w:rPr>
              <w:t>本项目</w:t>
            </w:r>
            <w:r>
              <w:rPr>
                <w:rFonts w:hint="default"/>
                <w:color w:val="auto"/>
                <w:lang w:val="en-US" w:eastAsia="zh-CN"/>
              </w:rPr>
              <w:t>不涉及</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414" w:hRule="atLeast"/>
        </w:trPr>
        <w:tc>
          <w:tcPr>
            <w:tcW w:w="2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2.调整和优化园区产业结构及产业布局，降低冶金建材等产业发展比重，提升新兴产业，绿色制造等下游产业比重。嘉农组团：重点发展不锈钢冶炼、压延加工，不锈钢制品研发、生产及交易、机械装备制造、新型建材、新材料、物流及商贸业，全面形成完整的不锈钢生产、研发、销售产业链。钒钛钢铁组团：重点发展钒钛钢铁冶炼、深加工及高炉渣制水泥循环经济产业，推广高强度建筑钢筋，配套钒深加工、钢渣回收处理等精加工，推动高档次钒钛钢铁产品及高端装备制造业、机械加工的发展。</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eastAsia"/>
                <w:color w:val="auto"/>
                <w:lang w:val="en-US" w:eastAsia="zh-CN"/>
              </w:rPr>
              <w:t>本项目</w:t>
            </w:r>
            <w:r>
              <w:rPr>
                <w:rFonts w:hint="default"/>
                <w:color w:val="auto"/>
                <w:lang w:val="en-US" w:eastAsia="zh-CN"/>
              </w:rPr>
              <w:t>位于嘉农组团。属于与园区主导产业相容的、不形成交叉影响的产业，为园区允许类。</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3.严格控制高污染燃料总量。不再新增燃煤锅炉及燃煤设施，不新增加区域煤炭消费总量；按省市蓝天保卫战要求，加快实施钢铁、水泥等行业大气污染排放深度治理改造。严控新建、扩建涉大气污染物排放的污染项目，对新增大气污染物排放的项目采取2倍替代削减，确保区域环境空气质量持续改善。合理调整优化运输结构，推动钢铁、水泥等行业大宗物料以铁路运输为主，降低公路运输量。</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eastAsia"/>
                <w:color w:val="auto"/>
                <w:lang w:val="en-US" w:eastAsia="zh-CN"/>
              </w:rPr>
              <w:t>本项目不涉及高污染燃料。</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4.完善工业园区排水管网建设，提高污水收集率，尽快对园区污水处理厂进行提标改造，确保2020年达到《四川省岷江、沱江流域水污染排放标准》（DB51/2311-2016）。</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项目实施后，</w:t>
            </w:r>
            <w:r>
              <w:rPr>
                <w:rFonts w:hint="eastAsia"/>
                <w:color w:val="auto"/>
                <w:lang w:val="en-US" w:eastAsia="zh-CN"/>
              </w:rPr>
              <w:t>生产废水</w:t>
            </w:r>
            <w:r>
              <w:rPr>
                <w:rFonts w:hint="default"/>
                <w:color w:val="auto"/>
                <w:lang w:val="en-US" w:eastAsia="zh-CN"/>
              </w:rPr>
              <w:t>经</w:t>
            </w:r>
            <w:r>
              <w:rPr>
                <w:rFonts w:hint="eastAsia"/>
                <w:color w:val="auto"/>
                <w:lang w:val="en-US" w:eastAsia="zh-CN"/>
              </w:rPr>
              <w:t>絮凝沉淀</w:t>
            </w:r>
            <w:r>
              <w:rPr>
                <w:rFonts w:hint="default"/>
                <w:color w:val="auto"/>
                <w:lang w:val="en-US" w:eastAsia="zh-CN"/>
              </w:rPr>
              <w:t>后</w:t>
            </w:r>
            <w:r>
              <w:rPr>
                <w:rFonts w:hint="eastAsia"/>
                <w:color w:val="auto"/>
                <w:lang w:val="en-US" w:eastAsia="zh-CN"/>
              </w:rPr>
              <w:t>回用于生产，不外排</w:t>
            </w:r>
            <w:r>
              <w:rPr>
                <w:rFonts w:hint="default"/>
                <w:color w:val="auto"/>
                <w:lang w:val="en-US" w:eastAsia="zh-CN"/>
              </w:rPr>
              <w:t>；生活污水</w:t>
            </w:r>
            <w:r>
              <w:rPr>
                <w:rFonts w:hint="eastAsia"/>
                <w:color w:val="auto"/>
                <w:lang w:val="en-US" w:eastAsia="zh-CN"/>
              </w:rPr>
              <w:t>经厂区预处理池处理后排放至园区污水处理厂</w:t>
            </w:r>
            <w:r>
              <w:rPr>
                <w:rFonts w:hint="default"/>
                <w:color w:val="auto"/>
                <w:lang w:val="en-US" w:eastAsia="zh-CN"/>
              </w:rPr>
              <w:t>。</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5.加快园区配套的渣场、固废综合利用项目建设，确保钢铁冶炼炉渣、高炉炉渣、酸洗黄泥等得到妥善处置。在酸洗黄泥暂存间，强化防范预警措施，确保环境风险可控。</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项目固废均实现综合利用，收集暂存位于厂区内，并采取相应的污染防治措施，环境风险可控</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6.推进园区涉重金属企业废水治理设施深度改造升级，严格控制重点重金属污染物排放总量，定期开展园区及周边环境土壤质量监测，按期完成园区水气土协同预警体系建设。</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项目不排放重金属污染物，不涉及重点重金属污染物排放总量；企业制定了园区及周边环境土壤质量监测计划</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7.建立健全园区环保管理机构，构建政府、园区、企业三级防范体系，配备足够的事故应急设施、设备，园区和入园企业均应制定突发环境事件应急预案，报环境主管部门和有关部门备案，定期开展环境风险应急演练。</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eastAsia"/>
                <w:color w:val="auto"/>
                <w:lang w:val="en-US" w:eastAsia="zh-CN"/>
              </w:rPr>
              <w:t>本次环评要求</w:t>
            </w:r>
            <w:r>
              <w:rPr>
                <w:rFonts w:hint="default"/>
                <w:color w:val="auto"/>
                <w:lang w:val="en-US" w:eastAsia="zh-CN"/>
              </w:rPr>
              <w:t>企业</w:t>
            </w:r>
            <w:r>
              <w:rPr>
                <w:rFonts w:hint="eastAsia"/>
                <w:color w:val="auto"/>
                <w:lang w:val="en-US" w:eastAsia="zh-CN"/>
              </w:rPr>
              <w:t>项目建设完成后，须编制</w:t>
            </w:r>
            <w:r>
              <w:rPr>
                <w:rFonts w:hint="default"/>
                <w:color w:val="auto"/>
                <w:lang w:val="en-US" w:eastAsia="zh-CN"/>
              </w:rPr>
              <w:t>突发环境事件应急预案进行完善，并报管部门和有关部门备案，定期开展环境风险应急演练</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8.制定园区环境质量跟踪监测计划，严格落实规划区大气、水、土壤、噪声等环境跟踪监测。</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eastAsia"/>
                <w:color w:val="auto"/>
                <w:lang w:val="en-US" w:eastAsia="zh-CN"/>
              </w:rPr>
              <w:t>本次环评</w:t>
            </w:r>
            <w:r>
              <w:rPr>
                <w:rFonts w:hint="default"/>
                <w:color w:val="auto"/>
                <w:lang w:val="en-US" w:eastAsia="zh-CN"/>
              </w:rPr>
              <w:t>制定了环境质量跟踪监测计划，</w:t>
            </w:r>
            <w:r>
              <w:rPr>
                <w:rFonts w:hint="eastAsia"/>
                <w:color w:val="auto"/>
                <w:lang w:val="en-US" w:eastAsia="zh-CN"/>
              </w:rPr>
              <w:t>企业</w:t>
            </w:r>
            <w:r>
              <w:rPr>
                <w:rFonts w:hint="default"/>
                <w:color w:val="auto"/>
                <w:lang w:val="en-US" w:eastAsia="zh-CN"/>
              </w:rPr>
              <w:t>将严格落实环境跟踪监测</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28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default"/>
                <w:color w:val="auto"/>
                <w:lang w:val="en-US" w:eastAsia="zh-CN"/>
              </w:rPr>
              <w:t>9.以循环经济产业园区和生态型工业园区的理念，加强园区内产业链衔接和资源再生利用、循环利用，采用国家鼓励的循环经济技术、工艺和设备，推进园区废水、固废集中处理处置、循环利用，建成循环经济产业园。</w:t>
            </w:r>
          </w:p>
        </w:tc>
        <w:tc>
          <w:tcPr>
            <w:tcW w:w="17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lang w:val="en-US" w:eastAsia="zh-CN"/>
              </w:rPr>
            </w:pPr>
            <w:r>
              <w:rPr>
                <w:rFonts w:hint="eastAsia"/>
                <w:color w:val="auto"/>
                <w:lang w:val="en-US" w:eastAsia="zh-CN"/>
              </w:rPr>
              <w:t>本项目</w:t>
            </w:r>
            <w:r>
              <w:rPr>
                <w:rFonts w:hint="default"/>
                <w:color w:val="auto"/>
                <w:lang w:val="en-US" w:eastAsia="zh-CN"/>
              </w:rPr>
              <w:t>不涉及</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w:t>
            </w:r>
          </w:p>
        </w:tc>
      </w:tr>
    </w:tbl>
    <w:p>
      <w:pPr>
        <w:adjustRightInd w:val="0"/>
        <w:ind w:firstLine="480"/>
        <w:rPr>
          <w:rFonts w:hint="eastAsia" w:cs="Times New Roman"/>
          <w:color w:val="auto"/>
          <w:lang w:val="en-US" w:eastAsia="zh-CN"/>
        </w:rPr>
      </w:pPr>
      <w:r>
        <w:rPr>
          <w:rFonts w:hint="eastAsia" w:cs="Times New Roman"/>
          <w:color w:val="auto"/>
          <w:lang w:val="en-US" w:eastAsia="zh-CN"/>
        </w:rPr>
        <w:t>园区工辅设施分析如下表。</w:t>
      </w:r>
    </w:p>
    <w:p>
      <w:pPr>
        <w:pStyle w:val="12"/>
        <w:adjustRightInd w:val="0"/>
        <w:ind w:firstLine="480"/>
        <w:rPr>
          <w:rFonts w:hint="eastAsia" w:cs="Times New Roman"/>
          <w:color w:val="auto"/>
          <w:lang w:val="en-US" w:eastAsia="zh-CN"/>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15</w:t>
      </w:r>
      <w:r>
        <w:rPr>
          <w:color w:val="auto"/>
        </w:rPr>
        <w:fldChar w:fldCharType="end"/>
      </w:r>
      <w:r>
        <w:rPr>
          <w:rFonts w:hint="eastAsia"/>
          <w:color w:val="auto"/>
        </w:rPr>
        <w:t>本项目与园区工辅设施的符合性分析</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2904"/>
        <w:gridCol w:w="2063"/>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77" w:type="dxa"/>
            <w:vAlign w:val="center"/>
          </w:tcPr>
          <w:p>
            <w:pPr>
              <w:pStyle w:val="36"/>
              <w:bidi w:val="0"/>
              <w:ind w:left="0" w:leftChars="0" w:right="0" w:rightChars="0" w:firstLine="0" w:firstLineChars="0"/>
              <w:jc w:val="center"/>
              <w:rPr>
                <w:rFonts w:hint="default"/>
                <w:b/>
                <w:bCs/>
                <w:color w:val="auto"/>
                <w:lang w:val="en-US" w:eastAsia="zh-CN"/>
              </w:rPr>
            </w:pPr>
            <w:r>
              <w:rPr>
                <w:rFonts w:hint="eastAsia"/>
                <w:b/>
                <w:bCs/>
                <w:color w:val="auto"/>
                <w:lang w:val="en-US" w:eastAsia="zh-CN"/>
              </w:rPr>
              <w:t>项目</w:t>
            </w:r>
          </w:p>
        </w:tc>
        <w:tc>
          <w:tcPr>
            <w:tcW w:w="2904" w:type="dxa"/>
            <w:vAlign w:val="center"/>
          </w:tcPr>
          <w:p>
            <w:pPr>
              <w:pStyle w:val="36"/>
              <w:bidi w:val="0"/>
              <w:ind w:left="0" w:leftChars="0" w:right="0" w:rightChars="0" w:firstLine="0" w:firstLineChars="0"/>
              <w:jc w:val="center"/>
              <w:rPr>
                <w:rFonts w:hint="default"/>
                <w:b/>
                <w:bCs/>
                <w:color w:val="auto"/>
                <w:lang w:val="en-US" w:eastAsia="zh-CN"/>
              </w:rPr>
            </w:pPr>
            <w:r>
              <w:rPr>
                <w:rFonts w:hint="default"/>
                <w:b/>
                <w:bCs/>
                <w:color w:val="auto"/>
                <w:lang w:val="en-US" w:eastAsia="zh-CN"/>
              </w:rPr>
              <w:t>跟踪评价要点</w:t>
            </w:r>
          </w:p>
        </w:tc>
        <w:tc>
          <w:tcPr>
            <w:tcW w:w="2063" w:type="dxa"/>
            <w:vAlign w:val="center"/>
          </w:tcPr>
          <w:p>
            <w:pPr>
              <w:pStyle w:val="36"/>
              <w:bidi w:val="0"/>
              <w:ind w:left="0" w:leftChars="0" w:right="0" w:rightChars="0" w:firstLine="0" w:firstLineChars="0"/>
              <w:jc w:val="center"/>
              <w:rPr>
                <w:rFonts w:hint="default"/>
                <w:b/>
                <w:bCs/>
                <w:color w:val="auto"/>
                <w:lang w:val="en-US" w:eastAsia="zh-CN"/>
              </w:rPr>
            </w:pPr>
            <w:r>
              <w:rPr>
                <w:rFonts w:hint="eastAsia"/>
                <w:b/>
                <w:bCs/>
                <w:color w:val="auto"/>
                <w:lang w:val="en-US" w:eastAsia="zh-CN"/>
              </w:rPr>
              <w:t>本项目</w:t>
            </w:r>
          </w:p>
        </w:tc>
        <w:tc>
          <w:tcPr>
            <w:tcW w:w="1778" w:type="dxa"/>
            <w:vAlign w:val="center"/>
          </w:tcPr>
          <w:p>
            <w:pPr>
              <w:pStyle w:val="36"/>
              <w:bidi w:val="0"/>
              <w:ind w:left="0" w:leftChars="0" w:right="0" w:rightChars="0" w:firstLine="0" w:firstLineChars="0"/>
              <w:jc w:val="center"/>
              <w:rPr>
                <w:rFonts w:hint="default"/>
                <w:b/>
                <w:bCs/>
                <w:color w:val="auto"/>
                <w:lang w:val="en-US" w:eastAsia="zh-CN"/>
              </w:rPr>
            </w:pPr>
            <w:r>
              <w:rPr>
                <w:rFonts w:hint="eastAsia"/>
                <w:b/>
                <w:bCs/>
                <w:color w:va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vAlign w:val="center"/>
          </w:tcPr>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给水工程规划</w:t>
            </w:r>
          </w:p>
        </w:tc>
        <w:tc>
          <w:tcPr>
            <w:tcW w:w="2904" w:type="dxa"/>
            <w:vAlign w:val="center"/>
          </w:tcPr>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规划区用水以大渡河水为水源，对于工业生产用水规划中采取直接从大渡河左岸工业用水取水口取水。</w:t>
            </w:r>
          </w:p>
        </w:tc>
        <w:tc>
          <w:tcPr>
            <w:tcW w:w="2063" w:type="dxa"/>
            <w:vAlign w:val="center"/>
          </w:tcPr>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本项目位于乐山（沙湾）不锈钢产业园区内，厂区给水由市政供水管网提供，供水压力满足本项目使用要求。厂区给水主要用于生活、运行及消防等。给水干管管径DN150，厂区内呈环网状，利于消防和安全供水</w:t>
            </w:r>
          </w:p>
        </w:tc>
        <w:tc>
          <w:tcPr>
            <w:tcW w:w="1778" w:type="dxa"/>
            <w:vAlign w:val="center"/>
          </w:tcPr>
          <w:p>
            <w:pPr>
              <w:pStyle w:val="36"/>
              <w:bidi w:val="0"/>
              <w:ind w:left="0" w:leftChars="0" w:right="0" w:rightChars="0" w:firstLine="0" w:firstLineChars="0"/>
              <w:jc w:val="cente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vAlign w:val="center"/>
          </w:tcPr>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排水工程规划</w:t>
            </w:r>
          </w:p>
        </w:tc>
        <w:tc>
          <w:tcPr>
            <w:tcW w:w="2904" w:type="dxa"/>
            <w:vAlign w:val="center"/>
          </w:tcPr>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规划区为新开发区加城镇建设区，排水体制采用雨污水分流；生活污水、工业废水分流排放制</w:t>
            </w:r>
          </w:p>
        </w:tc>
        <w:tc>
          <w:tcPr>
            <w:tcW w:w="2063" w:type="dxa"/>
            <w:vAlign w:val="center"/>
          </w:tcPr>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本项目生活污水排放至园区污水处理厂（乐山沙湾经济开发区污水处理厂），执行《四川省岷江、沱江流域水污染物排放标准》（DB51 /2311-2016），本项目生产废水不外排</w:t>
            </w:r>
          </w:p>
        </w:tc>
        <w:tc>
          <w:tcPr>
            <w:tcW w:w="1778" w:type="dxa"/>
            <w:vAlign w:val="center"/>
          </w:tcPr>
          <w:p>
            <w:pPr>
              <w:pStyle w:val="36"/>
              <w:bidi w:val="0"/>
              <w:ind w:left="0" w:leftChars="0" w:right="0" w:rightChars="0" w:firstLine="0" w:firstLineChars="0"/>
              <w:jc w:val="cente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vAlign w:val="center"/>
          </w:tcPr>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供电工程规划</w:t>
            </w:r>
          </w:p>
        </w:tc>
        <w:tc>
          <w:tcPr>
            <w:tcW w:w="2904" w:type="dxa"/>
            <w:vAlign w:val="center"/>
          </w:tcPr>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规划区内电源为嘉农镇110kV变电站和新建的110kV变电站。</w:t>
            </w:r>
          </w:p>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本规划区内用电由110kV变电站引出4回3x(YJV32-10kV-3X240-DA)，供规划区用电，在规划区内采用树枝状接线。</w:t>
            </w:r>
          </w:p>
        </w:tc>
        <w:tc>
          <w:tcPr>
            <w:tcW w:w="2063" w:type="dxa"/>
            <w:vAlign w:val="center"/>
          </w:tcPr>
          <w:p>
            <w:pPr>
              <w:pStyle w:val="36"/>
              <w:bidi w:val="0"/>
              <w:ind w:left="0" w:leftChars="0" w:right="0" w:rightChars="0" w:firstLine="0" w:firstLineChars="0"/>
              <w:jc w:val="center"/>
              <w:rPr>
                <w:rFonts w:hint="default"/>
                <w:color w:val="auto"/>
                <w:lang w:val="en-US" w:eastAsia="zh-CN"/>
              </w:rPr>
            </w:pPr>
            <w:r>
              <w:rPr>
                <w:rFonts w:hint="default"/>
                <w:color w:val="auto"/>
                <w:lang w:val="en-US" w:eastAsia="zh-CN"/>
              </w:rPr>
              <w:t>本项目供电系统由市政电网保障。本项目设10kV配电室为全厂供电，其10kV电源引自市政电网。配电室内安装1台1600kVA10/0.4kV变压器为低压设备配电。</w:t>
            </w:r>
          </w:p>
        </w:tc>
        <w:tc>
          <w:tcPr>
            <w:tcW w:w="1778" w:type="dxa"/>
            <w:vAlign w:val="center"/>
          </w:tcPr>
          <w:p>
            <w:pPr>
              <w:pStyle w:val="36"/>
              <w:bidi w:val="0"/>
              <w:ind w:left="0" w:leftChars="0" w:right="0" w:rightChars="0" w:firstLine="0" w:firstLineChars="0"/>
              <w:jc w:val="center"/>
              <w:rPr>
                <w:rFonts w:hint="default"/>
                <w:color w:val="auto"/>
                <w:lang w:val="en-US" w:eastAsia="zh-CN"/>
              </w:rPr>
            </w:pPr>
            <w:r>
              <w:rPr>
                <w:rFonts w:hint="eastAsia"/>
                <w:color w:val="auto"/>
                <w:lang w:val="en-US" w:eastAsia="zh-CN"/>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根据园区跟踪评价的要求，本项目与《乐山（沙湾）不锈钢产业园区规划环境影响跟踪评价报告书》的</w:t>
      </w:r>
      <w:r>
        <w:rPr>
          <w:rFonts w:hint="eastAsia" w:cs="Times New Roman"/>
          <w:color w:val="auto"/>
          <w:lang w:eastAsia="zh-CN"/>
        </w:rPr>
        <w:t>审查</w:t>
      </w:r>
      <w:r>
        <w:rPr>
          <w:rFonts w:hint="default" w:ascii="Times New Roman" w:hAnsi="Times New Roman" w:cs="Times New Roman"/>
          <w:color w:val="auto"/>
        </w:rPr>
        <w:t>意见的符合性分析如下表。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rPr>
        <w:t>本项目与园区跟踪评价的符合性分析</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577"/>
        <w:gridCol w:w="2884"/>
        <w:gridCol w:w="3092"/>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1"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2031"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跟踪评价要点</w:t>
            </w:r>
          </w:p>
        </w:tc>
        <w:tc>
          <w:tcPr>
            <w:tcW w:w="1814"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w:t>
            </w:r>
          </w:p>
        </w:tc>
        <w:tc>
          <w:tcPr>
            <w:tcW w:w="51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规划面积规划范围</w:t>
            </w:r>
          </w:p>
        </w:tc>
        <w:tc>
          <w:tcPr>
            <w:tcW w:w="2031" w:type="pct"/>
            <w:gridSpan w:val="2"/>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园区规划面积27.09km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规划范围：其中不锈钢民生产业园位于沙湾区嘉农镇、太平镇，四至范围为：东至太平镇肖店村外缘、月儿坝村外缘、马胡埂村外缘；南至嘉农镇新园村外缘、魏坝村外缘，太平镇杜家桥村外缘、马胡埂村外缘；西至嘉农镇燎原村外缘、双槐树村外缘、白岩村外缘、新兴村外缘；北至嘉农镇燎原村外缘、太平镇肖店村外缘。钢铁钒钛循环经济产业园东至太平镇稻麦村外缘，付塘村外缘、杨坝村外缘；南至沙湾镇三峨村外缘、王田村外缘，太平镇罗一村外缘；西至省道103线，北至紧邻沙湾城区。</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本项目拟建地位于乐山市沙湾区嘉农镇凤凰路1号（乐山（沙湾）不锈钢产业园区内），属于园区规划范围内。</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产业定位</w:t>
            </w:r>
          </w:p>
        </w:tc>
        <w:tc>
          <w:tcPr>
            <w:tcW w:w="2031" w:type="pct"/>
            <w:gridSpan w:val="2"/>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园区共分为</w:t>
            </w:r>
            <w:r>
              <w:rPr>
                <w:rFonts w:hint="eastAsia" w:cs="Times New Roman"/>
                <w:color w:val="auto"/>
                <w:lang w:val="en-US" w:eastAsia="zh-CN"/>
              </w:rPr>
              <w:t>两</w:t>
            </w:r>
            <w:r>
              <w:rPr>
                <w:rFonts w:hint="default" w:ascii="Times New Roman" w:hAnsi="Times New Roman" w:cs="Times New Roman"/>
                <w:color w:val="auto"/>
              </w:rPr>
              <w:t>个组团，分别为钒钛钢铁循环经济组团、民生不锈钢产业园嘉农组团、民生不锈钢产业园太平组团，产业定位如下：</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①嘉农组团产业定位：冶金产品下游产品加工、机械制造加工、建材、物流。</w:t>
            </w:r>
          </w:p>
          <w:p>
            <w:pPr>
              <w:pStyle w:val="36"/>
              <w:adjustRightInd w:val="0"/>
              <w:rPr>
                <w:rFonts w:hint="default" w:ascii="Times New Roman" w:hAnsi="Times New Roman" w:cs="Times New Roman"/>
                <w:color w:val="auto"/>
              </w:rPr>
            </w:pPr>
            <w:r>
              <w:rPr>
                <w:rFonts w:hint="eastAsia" w:cs="Times New Roman"/>
                <w:color w:val="auto"/>
                <w:lang w:val="en-US" w:eastAsia="zh-CN"/>
              </w:rPr>
              <w:t>②</w:t>
            </w:r>
            <w:r>
              <w:rPr>
                <w:rFonts w:hint="default" w:ascii="Times New Roman" w:hAnsi="Times New Roman" w:cs="Times New Roman"/>
                <w:color w:val="auto"/>
              </w:rPr>
              <w:t>钢铁钒钛循环经济产业园产业定位：冶金（钢铁钒钛）、机械制造加工、焦化、建材。</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本项目为锂辉石</w:t>
            </w:r>
            <w:r>
              <w:rPr>
                <w:rFonts w:hint="eastAsia" w:cs="Times New Roman"/>
                <w:color w:val="auto"/>
                <w:lang w:eastAsia="zh-CN"/>
              </w:rPr>
              <w:t>采选</w:t>
            </w:r>
            <w:r>
              <w:rPr>
                <w:rFonts w:hint="default" w:ascii="Times New Roman" w:hAnsi="Times New Roman" w:cs="Times New Roman"/>
                <w:color w:val="auto"/>
              </w:rPr>
              <w:t>项目，属于与园区主导产业相容的、不形成交叉影响的产业，为园区允许类。</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园区环境准入负面清单</w:t>
            </w:r>
          </w:p>
        </w:tc>
        <w:tc>
          <w:tcPr>
            <w:tcW w:w="33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禁止类</w:t>
            </w: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①不符合国家现行产业政策及乐山市环境准入要求的项目，清洁生产水平低于二级水平的项目</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为锂辉石加工生产项目，根据《国民经济行业分类》（GB/T4754-2017），本项目为B0939其他稀有金属采选。根据国家发展和改革委员会2023年第7号令《产业结构调整指导目录（2024年本）》，本项目不在“鼓励类”、“限制类”、“淘汰类”之列，视为“允许类”。本项目采用国内先进水平的生产工艺、设备及污染治理技术，符合清洁生产门槛。</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②与园区产业定位及《中共四川省委关于全面推动高质量发展的决定》不相符的石油化工、煤化工、纸浆造纸、生物医药、发酵制药、印染、制革、基础化工、涉磷、火电等项目</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本项目为锂辉石</w:t>
            </w:r>
            <w:r>
              <w:rPr>
                <w:rFonts w:hint="eastAsia" w:cs="Times New Roman"/>
                <w:color w:val="auto"/>
                <w:lang w:eastAsia="zh-CN"/>
              </w:rPr>
              <w:t>采选</w:t>
            </w:r>
            <w:r>
              <w:rPr>
                <w:rFonts w:hint="default" w:ascii="Times New Roman" w:hAnsi="Times New Roman" w:cs="Times New Roman"/>
                <w:color w:val="auto"/>
              </w:rPr>
              <w:t>项目，本项目不属于与园区产业定位及《中共四川省委关于全面推动高质量发展的决定》不相符的项目。</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③国家明令禁止的“十五小”“新五小”企业及工艺设备落后、产品滞销、污染严重，且污染物不能进行有效治理的项目</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本项目不属于国家明令禁止的“十五小”“新五小”企业，本项目采用国内先进水平的生产工艺、设备及污染治理技术、产品销量较好。</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④禁止新建焦化项目、硫酸生产项目、盐酸生产项目、电石法工艺路线PVC生产项目等大气污染严重项目</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本项目为锂辉石</w:t>
            </w:r>
            <w:r>
              <w:rPr>
                <w:rFonts w:hint="eastAsia" w:cs="Times New Roman"/>
                <w:color w:val="auto"/>
                <w:lang w:eastAsia="zh-CN"/>
              </w:rPr>
              <w:t>采选</w:t>
            </w:r>
            <w:r>
              <w:rPr>
                <w:rFonts w:hint="default" w:ascii="Times New Roman" w:hAnsi="Times New Roman" w:cs="Times New Roman"/>
                <w:color w:val="auto"/>
              </w:rPr>
              <w:t>项目，本项目不属于焦化项目、硫酸生产项目、盐酸生产项目、电石法工艺路线PVC生产项目等大气污染严重项目</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⑤印染、专业电镀、造纸、制革等废水难于处理且存在较大环境风险的企业</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本项目为锂辉石</w:t>
            </w:r>
            <w:r>
              <w:rPr>
                <w:rFonts w:hint="eastAsia" w:cs="Times New Roman"/>
                <w:color w:val="auto"/>
                <w:lang w:eastAsia="zh-CN"/>
              </w:rPr>
              <w:t>采选</w:t>
            </w:r>
            <w:r>
              <w:rPr>
                <w:rFonts w:hint="default" w:ascii="Times New Roman" w:hAnsi="Times New Roman" w:cs="Times New Roman"/>
                <w:color w:val="auto"/>
              </w:rPr>
              <w:t>项目，本项目不属于印染、专业电镀、造纸、制革等废水难于处理且存在较大环境风险的企业</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⑥电子元器件行业：禁止引入印刷电路板制造项目。</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本项目为锂辉石</w:t>
            </w:r>
            <w:r>
              <w:rPr>
                <w:rFonts w:hint="eastAsia" w:cs="Times New Roman"/>
                <w:color w:val="auto"/>
                <w:lang w:eastAsia="zh-CN"/>
              </w:rPr>
              <w:t>采选</w:t>
            </w:r>
            <w:r>
              <w:rPr>
                <w:rFonts w:hint="default" w:ascii="Times New Roman" w:hAnsi="Times New Roman" w:cs="Times New Roman"/>
                <w:color w:val="auto"/>
              </w:rPr>
              <w:t>项目，本项目不属于电子元器件行业。</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⑦化学原料及化学品制造：基本化学原料制造、农药制造</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本项目为锂辉石</w:t>
            </w:r>
            <w:r>
              <w:rPr>
                <w:rFonts w:hint="eastAsia" w:cs="Times New Roman"/>
                <w:color w:val="auto"/>
                <w:lang w:eastAsia="zh-CN"/>
              </w:rPr>
              <w:t>采选</w:t>
            </w:r>
            <w:r>
              <w:rPr>
                <w:rFonts w:hint="default" w:ascii="Times New Roman" w:hAnsi="Times New Roman" w:cs="Times New Roman"/>
                <w:color w:val="auto"/>
              </w:rPr>
              <w:t>项目，本项目不属于化学原料及化学品制造。</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⑧化学纤维制造、橡胶制品业中的轮胎制造，建材制造中的平板玻璃制造、石棉制造、石墨及其他非金属矿物制品制造</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本项目为锂辉石</w:t>
            </w:r>
            <w:r>
              <w:rPr>
                <w:rFonts w:hint="eastAsia" w:cs="Times New Roman"/>
                <w:color w:val="auto"/>
                <w:lang w:eastAsia="zh-CN"/>
              </w:rPr>
              <w:t>采选</w:t>
            </w:r>
            <w:r>
              <w:rPr>
                <w:rFonts w:hint="default" w:ascii="Times New Roman" w:hAnsi="Times New Roman" w:cs="Times New Roman"/>
                <w:color w:val="auto"/>
              </w:rPr>
              <w:t>项目，本项目不属于化学纤维制造、橡胶制品业、建材制造。</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⑨其它不符合国家产业政策，不符合园区产业定位的企业</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本项目为锂辉石</w:t>
            </w:r>
            <w:r>
              <w:rPr>
                <w:rFonts w:hint="eastAsia" w:cs="Times New Roman"/>
                <w:color w:val="auto"/>
                <w:lang w:eastAsia="zh-CN"/>
              </w:rPr>
              <w:t>采选</w:t>
            </w:r>
            <w:r>
              <w:rPr>
                <w:rFonts w:hint="default" w:ascii="Times New Roman" w:hAnsi="Times New Roman" w:cs="Times New Roman"/>
                <w:color w:val="auto"/>
              </w:rPr>
              <w:t>项目，本项目不属于其它不符合国家产业政策，不符合园区产业定位的企业</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⑩其他水污染物排放量大、废水处理难度大、排放有毒有害及铅、汞、六价铬等重金属废水的项目</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本项目生产废水不外排。</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限制类</w:t>
            </w: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建议园区今后产业发展应严格限制Ⅲ类工业及未落实减排计划的新增大量烟（粉）尘排放项目入园。根据《国务院关于化解产能严重过剩矛盾的指导意见》（国发〔2013〕41号）、《四川省人民政府关于化解产能过剩矛盾促进产业结构调整的实施意见》（川府发〔2014〕10号）相关要求，园区应严格限制违规新增钢铁、水泥产能。</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本项目不属于Ⅲ类工业，本项目严格落实减排计划，实施大气污染物双倍替代削减要求。</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园区应严控涉大气污染物排放的重污染项目，采取积极有效的措施，严格落实主要大气污染物双倍替代削减要求，确保当地环境空气质量逐步改善</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本项目严格落实减排计划，实施大气污染物双倍替代削减要求。</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对涉及表面处理工艺企业的建议：规划区应严禁设立专业电镀厂，规划区涉及不锈钢酸洗电镀等表面处理等工艺，在符合四川省及成都市“十二五”重金属污染防治规划，满足区域重金属污染物总量控制的前提下，要求对电镀等表面处理工序应采取严格有效的环保治理措施，对电镀产生的废水、废气等污染物进行处理，确保废水、废气等污染物处理后达到电镀污染物排放标准，并满足《清洁生产标准——电镀行业》二级标准及以上的要求，加强对重金属的污染控制，确保满足总量控制要求</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本项目不涉及表面处理工艺。</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1" w:type="pct"/>
            <w:vMerge w:val="continue"/>
            <w:vAlign w:val="center"/>
          </w:tcPr>
          <w:p>
            <w:pPr>
              <w:pStyle w:val="36"/>
              <w:adjustRightInd w:val="0"/>
              <w:rPr>
                <w:rFonts w:hint="default" w:ascii="Times New Roman" w:hAnsi="Times New Roman" w:cs="Times New Roman"/>
                <w:color w:val="auto"/>
              </w:rPr>
            </w:pPr>
          </w:p>
        </w:tc>
        <w:tc>
          <w:tcPr>
            <w:tcW w:w="339" w:type="pct"/>
            <w:vMerge w:val="continue"/>
            <w:vAlign w:val="center"/>
          </w:tcPr>
          <w:p>
            <w:pPr>
              <w:pStyle w:val="36"/>
              <w:adjustRightInd w:val="0"/>
              <w:rPr>
                <w:rFonts w:hint="default" w:ascii="Times New Roman" w:hAnsi="Times New Roman" w:cs="Times New Roman"/>
                <w:color w:val="auto"/>
              </w:rPr>
            </w:pPr>
          </w:p>
        </w:tc>
        <w:tc>
          <w:tcPr>
            <w:tcW w:w="16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园区应重点加强涉及电镀工艺的天宏、凯天、鑫和美等不锈钢加工企业的监管，开展现有含电镀工艺企业产生含重金属的废水或固废的专项污染防治工作，鼓励企业在达标排放的基础上进行深度处理、改造、提升现有治污设施，确保重金属满足总量控制的要求，确保重点重金属污染物排放量不超过2007年水平，环境质量维持稳定，重金属污染得到有效控制。</w:t>
            </w:r>
          </w:p>
        </w:tc>
        <w:tc>
          <w:tcPr>
            <w:tcW w:w="181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本项目不涉及电镀工艺。</w:t>
            </w:r>
          </w:p>
        </w:tc>
        <w:tc>
          <w:tcPr>
            <w:tcW w:w="5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pStyle w:val="5"/>
        <w:rPr>
          <w:rFonts w:hint="default" w:ascii="Times New Roman" w:hAnsi="Times New Roman" w:cs="Times New Roman"/>
          <w:color w:val="auto"/>
        </w:rPr>
      </w:pPr>
      <w:r>
        <w:rPr>
          <w:rFonts w:hint="default" w:ascii="Times New Roman" w:hAnsi="Times New Roman" w:cs="Times New Roman"/>
          <w:color w:val="auto"/>
        </w:rPr>
        <w:t>与《四川省重污染天气金属表面处理及热处理加工等10个行业应急减排措施制定技术指南》符合性分析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《四川省重污染天气金属表面处理及热处理加工等10个行业应急减排措施制定技术指南》中“二、矿石采选与石材加工”适用范围为：适用于《国民经济行业分类》（GB/T 4754-2017）中的B08黑色金属矿采选业、</w:t>
      </w:r>
      <w:r>
        <w:rPr>
          <w:rFonts w:hint="default" w:ascii="Times New Roman" w:hAnsi="Times New Roman" w:cs="Times New Roman"/>
          <w:b/>
          <w:bCs/>
          <w:color w:val="auto"/>
        </w:rPr>
        <w:t>B09有色金属矿采选业</w:t>
      </w:r>
      <w:r>
        <w:rPr>
          <w:rFonts w:hint="default" w:ascii="Times New Roman" w:hAnsi="Times New Roman" w:cs="Times New Roman"/>
          <w:color w:val="auto"/>
        </w:rPr>
        <w:t>、B10非金属矿采选业、C3032建筑用石加工业。其中，石材加工主要包括碎石加工、石料加工、石质型材等加工企业，仅制定绩效引领性指标。</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本项目与矿石采选行业绩效分级指标中相关要求的符合性分析如下。</w:t>
      </w:r>
    </w:p>
    <w:p>
      <w:pPr>
        <w:adjustRightInd w:val="0"/>
        <w:ind w:firstLine="480"/>
        <w:rPr>
          <w:rFonts w:hint="default" w:ascii="Times New Roman" w:hAnsi="Times New Roman" w:cs="Times New Roman"/>
          <w:color w:val="auto"/>
        </w:rPr>
        <w:sectPr>
          <w:headerReference r:id="rId11" w:type="default"/>
          <w:footerReference r:id="rId12" w:type="default"/>
          <w:pgSz w:w="11906" w:h="16838"/>
          <w:pgMar w:top="1440" w:right="1800" w:bottom="1440" w:left="1800" w:header="851" w:footer="992" w:gutter="0"/>
          <w:pgNumType w:start="1"/>
          <w:cols w:space="425" w:num="1"/>
          <w:docGrid w:type="lines" w:linePitch="326" w:charSpace="0"/>
        </w:sectPr>
      </w:pP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color w:val="auto"/>
        </w:rPr>
        <w:t>本项目与矿石采选行业绩效分级指标中相关要求的符合性分析</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3142"/>
        <w:gridCol w:w="3150"/>
        <w:gridCol w:w="2336"/>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lang w:bidi="ar"/>
              </w:rPr>
            </w:pPr>
            <w:r>
              <w:rPr>
                <w:rFonts w:hint="default" w:ascii="Times New Roman" w:hAnsi="Times New Roman" w:cs="Times New Roman"/>
                <w:b/>
                <w:bCs/>
                <w:color w:val="auto"/>
                <w:kern w:val="21"/>
                <w:sz w:val="21"/>
                <w:lang w:bidi="ar"/>
              </w:rPr>
              <w:t>差异化指标</w:t>
            </w:r>
          </w:p>
        </w:tc>
        <w:tc>
          <w:tcPr>
            <w:tcW w:w="110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lang w:bidi="ar"/>
              </w:rPr>
            </w:pPr>
            <w:r>
              <w:rPr>
                <w:rFonts w:hint="default" w:ascii="Times New Roman" w:hAnsi="Times New Roman" w:cs="Times New Roman"/>
                <w:b/>
                <w:bCs/>
                <w:color w:val="auto"/>
                <w:kern w:val="21"/>
                <w:sz w:val="21"/>
                <w:lang w:bidi="ar"/>
              </w:rPr>
              <w:t>A级企业</w:t>
            </w:r>
          </w:p>
        </w:tc>
        <w:tc>
          <w:tcPr>
            <w:tcW w:w="111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lang w:bidi="ar"/>
              </w:rPr>
            </w:pPr>
            <w:r>
              <w:rPr>
                <w:rFonts w:hint="default" w:ascii="Times New Roman" w:hAnsi="Times New Roman" w:cs="Times New Roman"/>
                <w:b/>
                <w:bCs/>
                <w:color w:val="auto"/>
                <w:kern w:val="21"/>
                <w:sz w:val="21"/>
                <w:lang w:bidi="ar"/>
              </w:rPr>
              <w:t>B级企业</w:t>
            </w:r>
          </w:p>
        </w:tc>
        <w:tc>
          <w:tcPr>
            <w:tcW w:w="82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lang w:bidi="ar"/>
              </w:rPr>
            </w:pPr>
            <w:r>
              <w:rPr>
                <w:rFonts w:hint="default" w:ascii="Times New Roman" w:hAnsi="Times New Roman" w:cs="Times New Roman"/>
                <w:b/>
                <w:bCs/>
                <w:color w:val="auto"/>
                <w:kern w:val="21"/>
                <w:sz w:val="21"/>
                <w:lang w:bidi="ar"/>
              </w:rPr>
              <w:t>C级企业</w:t>
            </w:r>
          </w:p>
        </w:tc>
        <w:tc>
          <w:tcPr>
            <w:tcW w:w="1386" w:type="pct"/>
            <w:vAlign w:val="center"/>
          </w:tcPr>
          <w:p>
            <w:pPr>
              <w:overflowPunct w:val="0"/>
              <w:adjustRightInd w:val="0"/>
              <w:spacing w:before="65" w:beforeLines="20" w:after="65" w:afterLines="20" w:line="240" w:lineRule="auto"/>
              <w:ind w:firstLine="0" w:firstLineChars="0"/>
              <w:jc w:val="center"/>
              <w:rPr>
                <w:rFonts w:hint="eastAsia" w:ascii="Times New Roman" w:hAnsi="Times New Roman" w:eastAsia="宋体" w:cs="Times New Roman"/>
                <w:b/>
                <w:bCs/>
                <w:color w:val="auto"/>
                <w:kern w:val="21"/>
                <w:sz w:val="21"/>
                <w:lang w:val="en-US" w:eastAsia="zh-CN" w:bidi="ar"/>
              </w:rPr>
            </w:pPr>
            <w:r>
              <w:rPr>
                <w:rFonts w:hint="default" w:ascii="Times New Roman" w:hAnsi="Times New Roman" w:cs="Times New Roman"/>
                <w:b/>
                <w:bCs/>
                <w:color w:val="auto"/>
                <w:kern w:val="21"/>
                <w:sz w:val="21"/>
                <w:lang w:bidi="ar"/>
              </w:rPr>
              <w:t>本项目</w:t>
            </w:r>
            <w:r>
              <w:rPr>
                <w:rFonts w:hint="eastAsia" w:cs="Times New Roman"/>
                <w:b/>
                <w:bCs/>
                <w:color w:val="auto"/>
                <w:kern w:val="21"/>
                <w:sz w:val="21"/>
                <w:lang w:val="en-US" w:eastAsia="zh-CN" w:bidi="ar"/>
              </w:rPr>
              <w:t>及环评要求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能源类型</w:t>
            </w: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采用电、天然气等能源。</w:t>
            </w:r>
          </w:p>
        </w:tc>
        <w:tc>
          <w:tcPr>
            <w:tcW w:w="82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未达到A、B级要求。</w:t>
            </w: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本项目生产采用电能。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装备水平</w:t>
            </w:r>
          </w:p>
        </w:tc>
        <w:tc>
          <w:tcPr>
            <w:tcW w:w="1108" w:type="pct"/>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1、采用凿岩穿孔等先进钻孔方式并配备除尘设施。</w:t>
            </w:r>
          </w:p>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2、深孔液压爆破等先进静态爆破工艺。</w:t>
            </w:r>
          </w:p>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3、自动化采装及自动化封闭式输送设备。</w:t>
            </w:r>
          </w:p>
        </w:tc>
        <w:tc>
          <w:tcPr>
            <w:tcW w:w="1110" w:type="pct"/>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1、同A级第1条要求。</w:t>
            </w:r>
          </w:p>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2、深孔微差、低尘爆破等先进低尘爆破工艺。</w:t>
            </w:r>
          </w:p>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3、采用带苫盖且封闭良好的车辆运输。</w:t>
            </w:r>
          </w:p>
        </w:tc>
        <w:tc>
          <w:tcPr>
            <w:tcW w:w="82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未达到B级要求。</w:t>
            </w: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本项目不涉及矿山开采，项目</w:t>
            </w:r>
            <w:r>
              <w:rPr>
                <w:rFonts w:hint="default" w:ascii="Times New Roman" w:hAnsi="Times New Roman" w:cs="Times New Roman"/>
                <w:color w:val="auto"/>
                <w:kern w:val="21"/>
                <w:sz w:val="21"/>
              </w:rPr>
              <w:t>运输车辆均采用带苫盖且封闭良好的车辆。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污染治理技术</w:t>
            </w:r>
          </w:p>
        </w:tc>
        <w:tc>
          <w:tcPr>
            <w:tcW w:w="1108" w:type="pct"/>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 xml:space="preserve">除尘采用覆膜滤袋、滤筒、湿电等高效除尘技术。 </w:t>
            </w:r>
          </w:p>
        </w:tc>
        <w:tc>
          <w:tcPr>
            <w:tcW w:w="1110" w:type="pct"/>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除尘采用袋式除尘、电袋复合除尘等技术。</w:t>
            </w:r>
          </w:p>
        </w:tc>
        <w:tc>
          <w:tcPr>
            <w:tcW w:w="82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未达到B级要求。</w:t>
            </w: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项目产生粉尘经集气罩收集后通过布袋除尘器处理达标后经15m排气筒（DA001）排放。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pct"/>
            <w:vMerge w:val="restar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无组织管控</w:t>
            </w: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1、露天采矿采取自上而下水平分层开采，并配备洒水或喷雾等抑尘措施。</w:t>
            </w:r>
          </w:p>
        </w:tc>
        <w:tc>
          <w:tcPr>
            <w:tcW w:w="824" w:type="pct"/>
            <w:vMerge w:val="restar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未达到A、B级要求。</w:t>
            </w: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本项目不涉及矿山开采。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2、矿山矿石装载配备有效抑尘措施；矿石卸载应在封闭厂房内作业，并配备有效抑尘措施；破碎、筛分等产尘工序应在封闭厂房内作业，产尘点设置集尘罩及除尘设施；生产车间无可见粉尘外逸。</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项目矿石装卸在密闭原矿仓库内进行；破碎、筛分等产尘工序均在封闭碎矿车间内作业，项目产生粉尘经集气罩收集后进入布袋除尘器处理达标后经15m排气筒（DA001）排放。本次评价要求建设单位严格落实本报告提出的喷雾降尘等无组织粉尘控制措施，确保生产车间无可见粉尘外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粉状物料全部采取储罐、筒仓或覆膜吨袋等密闭储存；粒状、块状物料全部封闭或密闭储存，封闭料场内配置喷雾抑尘装置，料场货物进出大门设置自动感应门，在确保安全的情况下，所有门窗保持常闭状态。</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Merge w:val="restar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项目不涉及粉状物料，本项目原料、成品均密闭储存在封闭仓库内，设置喷雾抑尘设施，物料输送采用封闭式廊道，料场货物进出大门设置自动感应门。本项目物料装载、转移、下料口等产尘点均设置收集除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4、各工序粒状、块状物料输送环节采取密封式输送机（加封闭廊道）、地下密闭廊道或其他清洁运输方式；粉状物料采取管状带式输送机、气力输送；物料装载、转移、下料口等产尘点应采取收集除尘措施，配套的除尘设施不与其他工序混用。</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Merge w:val="continue"/>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5、厂区出口、各料场出口处配备高压清洗装置对所有车辆车轮、底盘进行冲洗，洗车平台四周应设置洗车废水收集治理设施。</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Merge w:val="restar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本项目厂区出入口设置车辆冲洗装置，洗车废水经沉淀池处理后回用洗车。厂区道路水泥硬化，加强路面清扫及洒水降尘，厂区出口处设置车辆冲洗装置，运输车辆加盖篷布。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6、采矿企业尾矿库、废石场、排土场应采取防尘网等抑尘措施，矿区工业广场、废石场、矿区专用道路，路面应硬化，并采取定期清扫、洒水等抑尘措施；企业厂区内道路、堆场等路面应硬化，保持清洁，路面保持湿润且无明显可见扬尘，道路两侧区域实施绿化或覆盖。</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Merge w:val="continue"/>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7、除尘器应设置密闭灰仓，除尘灰应采用气力输送、密闭罐车、吨袋等密闭方式卸灰和运输，不得直接卸落到地面。</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本项目除尘器均设置</w:t>
            </w:r>
            <w:r>
              <w:rPr>
                <w:rFonts w:hint="default" w:ascii="Times New Roman" w:hAnsi="Times New Roman" w:cs="Times New Roman"/>
                <w:color w:val="auto"/>
                <w:kern w:val="21"/>
                <w:sz w:val="21"/>
              </w:rPr>
              <w:t>密闭灰仓，除尘灰采用吨袋密闭卸灰和运输。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8、采矿企业矿山开采面、作业平台干净整洁，无明显扬尘，开采面在停产期间需用防尘网全覆盖；选矿企业地面全部硬化或绿化，无物料散落，破碎、筛分二次封闭空间及物料运输廊道无可见粉尘外逸。</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本次评价要求建设单位严格落实本报告提出的扬尘防治措施，</w:t>
            </w:r>
            <w:r>
              <w:rPr>
                <w:rFonts w:hint="default" w:ascii="Times New Roman" w:hAnsi="Times New Roman" w:cs="Times New Roman"/>
                <w:color w:val="auto"/>
                <w:kern w:val="21"/>
                <w:sz w:val="21"/>
              </w:rPr>
              <w:t>地面全部硬化，无物料散落，破碎、筛分二次封闭空间及物料运输廊道无可见粉尘外逸。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排放限值</w:t>
            </w: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所有工序有组织PM排放浓度不超过10mg/m</w:t>
            </w:r>
            <w:r>
              <w:rPr>
                <w:rFonts w:hint="default" w:ascii="Times New Roman" w:hAnsi="Times New Roman" w:cs="Times New Roman"/>
                <w:color w:val="auto"/>
                <w:kern w:val="21"/>
                <w:sz w:val="21"/>
                <w:vertAlign w:val="superscript"/>
              </w:rPr>
              <w:t>3</w:t>
            </w:r>
            <w:r>
              <w:rPr>
                <w:rFonts w:hint="default" w:ascii="Times New Roman" w:hAnsi="Times New Roman" w:cs="Times New Roman"/>
                <w:color w:val="auto"/>
                <w:kern w:val="21"/>
                <w:sz w:val="21"/>
              </w:rPr>
              <w:t>，厂界无组织PM排放浓度不超过0.5mg/m</w:t>
            </w:r>
            <w:r>
              <w:rPr>
                <w:rFonts w:hint="default" w:ascii="Times New Roman" w:hAnsi="Times New Roman" w:cs="Times New Roman"/>
                <w:color w:val="auto"/>
                <w:kern w:val="21"/>
                <w:sz w:val="21"/>
                <w:vertAlign w:val="superscript"/>
              </w:rPr>
              <w:t>3</w:t>
            </w:r>
          </w:p>
        </w:tc>
        <w:tc>
          <w:tcPr>
            <w:tcW w:w="82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未达到A、B级要求。</w:t>
            </w: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本项目有组织颗粒物排放浓度执行1</w:t>
            </w:r>
            <w:r>
              <w:rPr>
                <w:rFonts w:hint="default" w:ascii="Times New Roman" w:hAnsi="Times New Roman" w:cs="Times New Roman"/>
                <w:color w:val="auto"/>
                <w:kern w:val="21"/>
                <w:sz w:val="21"/>
              </w:rPr>
              <w:t>0mg/m</w:t>
            </w:r>
            <w:r>
              <w:rPr>
                <w:rFonts w:hint="default" w:ascii="Times New Roman" w:hAnsi="Times New Roman" w:cs="Times New Roman"/>
                <w:color w:val="auto"/>
                <w:kern w:val="21"/>
                <w:sz w:val="21"/>
                <w:vertAlign w:val="superscript"/>
              </w:rPr>
              <w:t>3</w:t>
            </w:r>
            <w:r>
              <w:rPr>
                <w:rFonts w:hint="default" w:ascii="Times New Roman" w:hAnsi="Times New Roman" w:cs="Times New Roman"/>
                <w:color w:val="auto"/>
                <w:kern w:val="21"/>
                <w:sz w:val="21"/>
              </w:rPr>
              <w:t>，厂界无组织</w:t>
            </w:r>
            <w:r>
              <w:rPr>
                <w:rFonts w:hint="default" w:ascii="Times New Roman" w:hAnsi="Times New Roman" w:cs="Times New Roman"/>
                <w:color w:val="auto"/>
                <w:kern w:val="21"/>
                <w:sz w:val="21"/>
                <w:lang w:bidi="ar"/>
              </w:rPr>
              <w:t>颗粒物</w:t>
            </w:r>
            <w:r>
              <w:rPr>
                <w:rFonts w:hint="default" w:ascii="Times New Roman" w:hAnsi="Times New Roman" w:cs="Times New Roman"/>
                <w:color w:val="auto"/>
                <w:kern w:val="21"/>
                <w:sz w:val="21"/>
              </w:rPr>
              <w:t>排放浓度</w:t>
            </w:r>
            <w:r>
              <w:rPr>
                <w:rFonts w:hint="default" w:ascii="Times New Roman" w:hAnsi="Times New Roman" w:cs="Times New Roman"/>
                <w:color w:val="auto"/>
                <w:kern w:val="21"/>
                <w:sz w:val="21"/>
                <w:lang w:bidi="ar"/>
              </w:rPr>
              <w:t>执行</w:t>
            </w:r>
            <w:r>
              <w:rPr>
                <w:rFonts w:hint="default" w:ascii="Times New Roman" w:hAnsi="Times New Roman" w:cs="Times New Roman"/>
                <w:color w:val="auto"/>
                <w:kern w:val="21"/>
                <w:sz w:val="21"/>
              </w:rPr>
              <w:t>0.5mg/m</w:t>
            </w:r>
            <w:r>
              <w:rPr>
                <w:rFonts w:hint="default" w:ascii="Times New Roman" w:hAnsi="Times New Roman" w:cs="Times New Roman"/>
                <w:color w:val="auto"/>
                <w:kern w:val="21"/>
                <w:sz w:val="21"/>
                <w:vertAlign w:val="superscript"/>
              </w:rPr>
              <w:t>3</w:t>
            </w:r>
            <w:r>
              <w:rPr>
                <w:rFonts w:hint="default" w:ascii="Times New Roman" w:hAnsi="Times New Roman" w:cs="Times New Roman"/>
                <w:color w:val="auto"/>
                <w:kern w:val="21"/>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restar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监测监控水平</w:t>
            </w: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重点排污单位及排污许可重点管理单位主要排口应当安装污染物排放自动监测设备（CEMS），并与生态环境主管部门的监控设备联网，数据保存一年以上（投产或安装时间不满一年以上的企业，以现有数据为准）。</w:t>
            </w:r>
          </w:p>
        </w:tc>
        <w:tc>
          <w:tcPr>
            <w:tcW w:w="824" w:type="pct"/>
            <w:vMerge w:val="restar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未达到A、B级要求。</w:t>
            </w: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本项目不属于重点排污单位及排污许可重点管理单位。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2、按照排污许可证、行业自行监测指南或排污单位自行监测技术指南等相关要求开展自行监测。</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本次评价要求建设单位严格按照</w:t>
            </w:r>
            <w:r>
              <w:rPr>
                <w:rFonts w:hint="default" w:ascii="Times New Roman" w:hAnsi="Times New Roman" w:cs="Times New Roman"/>
                <w:color w:val="auto"/>
                <w:kern w:val="21"/>
                <w:sz w:val="21"/>
              </w:rPr>
              <w:t>排污许可证、行业自行监测指南或排污单位自行监测技术指南等相关要求开展自行监测。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2219" w:type="pct"/>
            <w:gridSpan w:val="2"/>
            <w:vAlign w:val="center"/>
          </w:tcPr>
          <w:p>
            <w:pPr>
              <w:widowControl/>
              <w:adjustRightInd w:val="0"/>
              <w:spacing w:before="65" w:beforeLines="20" w:after="65" w:afterLines="20" w:line="240" w:lineRule="auto"/>
              <w:ind w:firstLine="0" w:firstLineChars="0"/>
              <w:jc w:val="left"/>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3、厂区货运进出口、易产尘点安装高清视频监控系统，视频监控数据保存 3 个月以上。</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本次评价要求建设单位在厂区货运进出口、无组织排放重点管控点位和在线监测站房安装高清视频监控系统，视频监控数据保存3个月以上。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4、企业主要环保设施及生产设施安装分布式控制系统（DCS）或可保存和查看历史数据的可编程控制系统（PLC），记录企业环保设施运行及相关生产过程主要参数，数据保存一年以上。</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本次评价要求建设单位在主要环保设施及生产设施将安装可保存和查看历史数据的可编程控制系统（PLC），记录企业环保设施运行及相关生产过程主要参数，数据保存一年以上。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5、厂界需安装颗粒物（PM</w:t>
            </w:r>
            <w:r>
              <w:rPr>
                <w:rFonts w:hint="default" w:ascii="Times New Roman" w:hAnsi="Times New Roman" w:cs="Times New Roman"/>
                <w:color w:val="auto"/>
                <w:kern w:val="21"/>
                <w:sz w:val="21"/>
                <w:vertAlign w:val="subscript"/>
              </w:rPr>
              <w:t>2.5</w:t>
            </w:r>
            <w:r>
              <w:rPr>
                <w:rFonts w:hint="default" w:ascii="Times New Roman" w:hAnsi="Times New Roman" w:cs="Times New Roman"/>
                <w:color w:val="auto"/>
                <w:kern w:val="21"/>
                <w:sz w:val="21"/>
              </w:rPr>
              <w:t>和PM</w:t>
            </w:r>
            <w:r>
              <w:rPr>
                <w:rFonts w:hint="default" w:ascii="Times New Roman" w:hAnsi="Times New Roman" w:cs="Times New Roman"/>
                <w:color w:val="auto"/>
                <w:kern w:val="21"/>
                <w:sz w:val="21"/>
                <w:vertAlign w:val="subscript"/>
              </w:rPr>
              <w:t>10</w:t>
            </w:r>
            <w:r>
              <w:rPr>
                <w:rFonts w:hint="default" w:ascii="Times New Roman" w:hAnsi="Times New Roman" w:cs="Times New Roman"/>
                <w:color w:val="auto"/>
                <w:kern w:val="21"/>
                <w:sz w:val="21"/>
              </w:rPr>
              <w:t>）无组织自动监控设施。</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本次评价要求建设单位在厂界安装颗粒物（PM</w:t>
            </w:r>
            <w:r>
              <w:rPr>
                <w:rFonts w:hint="default" w:ascii="Times New Roman" w:hAnsi="Times New Roman" w:cs="Times New Roman"/>
                <w:color w:val="auto"/>
                <w:kern w:val="21"/>
                <w:sz w:val="21"/>
                <w:vertAlign w:val="subscript"/>
              </w:rPr>
              <w:t>2.5</w:t>
            </w:r>
            <w:r>
              <w:rPr>
                <w:rFonts w:hint="default" w:ascii="Times New Roman" w:hAnsi="Times New Roman" w:cs="Times New Roman"/>
                <w:color w:val="auto"/>
                <w:kern w:val="21"/>
                <w:sz w:val="21"/>
              </w:rPr>
              <w:t>和PM</w:t>
            </w:r>
            <w:r>
              <w:rPr>
                <w:rFonts w:hint="default" w:ascii="Times New Roman" w:hAnsi="Times New Roman" w:cs="Times New Roman"/>
                <w:color w:val="auto"/>
                <w:kern w:val="21"/>
                <w:sz w:val="21"/>
                <w:vertAlign w:val="subscript"/>
              </w:rPr>
              <w:t>10</w:t>
            </w:r>
            <w:r>
              <w:rPr>
                <w:rFonts w:hint="default" w:ascii="Times New Roman" w:hAnsi="Times New Roman" w:cs="Times New Roman"/>
                <w:color w:val="auto"/>
                <w:kern w:val="21"/>
                <w:sz w:val="21"/>
              </w:rPr>
              <w:t>）无组织自动监控设施。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restar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环境管理水平</w:t>
            </w: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环保档案：1、环评批复文件和竣工环保验收文件或者环境现状评估备案证明；2、排污许可证或固定污染源排污登记回执；3、环境管理制度（有组织、无组织排放长效管理机制，主要包括岗位责任制度、达标公示制度和定期巡查维护制度等）；4、废气治理设施运行管理规程；5、一年内废气监测报告。</w:t>
            </w:r>
          </w:p>
        </w:tc>
        <w:tc>
          <w:tcPr>
            <w:tcW w:w="824" w:type="pct"/>
            <w:vMerge w:val="restar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未达到A、B级要求。</w:t>
            </w: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本项目将设置安环部，妥善保管环评批复文件、竣工环保验收文件、排污许可证、环境管理制度、废气治理设施运行管理规程、一年内废气监测报告等文件。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台账记录：1、生产设施运行管理信息（生产时间、运行负荷、产品产量等）；2、废气污染治理设施运行管理信息；3、监测记录信息（主要污染排放口废气排放记录等）；4、主要原辅材料消耗记录；5、燃料消耗记录；6、固废、危废处理记录；7、运输车辆、厂内车辆、非道路移动机械电子台账（进出场时间、车辆或非道路移动机械信息、运送货物名称及运量等）。</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项目将设置安环部，做好以下台账记录：生产设施运行管理信息（生产时间、运行负荷、产品产量等）；废气污染治理设施运行管理信息；监测记录信息（主要污染排放口废气排放记录等）；主要原辅材料消耗记录；固废、危废处理记录；运输车辆、厂内车辆、非道路移动机械电子台账（进出场时间、车辆或非道路移动机械信息、运送货物名称及运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人员配置：配备专职环保人员，并具备相应的环境管理能力（学历、培训、从业经验等）</w:t>
            </w:r>
          </w:p>
        </w:tc>
        <w:tc>
          <w:tcPr>
            <w:tcW w:w="824"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本项目设置</w:t>
            </w:r>
            <w:r>
              <w:rPr>
                <w:rFonts w:hint="default" w:ascii="Times New Roman" w:hAnsi="Times New Roman" w:cs="Times New Roman"/>
                <w:color w:val="auto"/>
                <w:kern w:val="21"/>
                <w:sz w:val="21"/>
              </w:rPr>
              <w:t>具备相应的环境管理能力（学历、培训、从业经验等）的专职环保人员。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运输方式</w:t>
            </w:r>
          </w:p>
        </w:tc>
        <w:tc>
          <w:tcPr>
            <w:tcW w:w="1108" w:type="pct"/>
            <w:vAlign w:val="center"/>
          </w:tcPr>
          <w:p>
            <w:pPr>
              <w:widowControl/>
              <w:numPr>
                <w:ilvl w:val="0"/>
                <w:numId w:val="6"/>
              </w:num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矿石采选运输车辆全部采用国五及以上排放标准重型载货车辆（含燃气）或新能源车辆等清洁运输方式。</w:t>
            </w:r>
          </w:p>
          <w:p>
            <w:pPr>
              <w:widowControl/>
              <w:numPr>
                <w:ilvl w:val="0"/>
                <w:numId w:val="6"/>
              </w:num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厂内运输车辆全部达到国五及以上排放标准（含燃气）或使用新能源车辆。</w:t>
            </w:r>
          </w:p>
          <w:p>
            <w:pPr>
              <w:widowControl/>
              <w:numPr>
                <w:ilvl w:val="0"/>
                <w:numId w:val="6"/>
              </w:num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厂内非道路移动机械全部达到国三及以上排放标准或使用新能源机械。</w:t>
            </w:r>
          </w:p>
        </w:tc>
        <w:tc>
          <w:tcPr>
            <w:tcW w:w="1110" w:type="pct"/>
            <w:vAlign w:val="center"/>
          </w:tcPr>
          <w:p>
            <w:pPr>
              <w:widowControl/>
              <w:numPr>
                <w:ilvl w:val="0"/>
                <w:numId w:val="7"/>
              </w:num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矿石采选运输车辆采用国五及以上排放标准重型载货车辆（含燃气）或新能源车辆等清洁运输方式的比例不低于80%。</w:t>
            </w:r>
          </w:p>
          <w:p>
            <w:pPr>
              <w:widowControl/>
              <w:numPr>
                <w:ilvl w:val="0"/>
                <w:numId w:val="7"/>
              </w:num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厂内运输车辆达到国五及以上排放标准（含燃气）或使用新能源车辆比例不低于80%。</w:t>
            </w:r>
          </w:p>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3、厂内非道路移动机械达到国三及以上排放标准或使用新能源机械比例不低于80%。</w:t>
            </w:r>
          </w:p>
        </w:tc>
        <w:tc>
          <w:tcPr>
            <w:tcW w:w="82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未达到B级要求。</w:t>
            </w: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本次评价要求建设单位在项目运营后，厂外运输车辆采用国六</w:t>
            </w:r>
            <w:r>
              <w:rPr>
                <w:rFonts w:hint="default" w:ascii="Times New Roman" w:hAnsi="Times New Roman" w:cs="Times New Roman"/>
                <w:color w:val="auto"/>
                <w:kern w:val="21"/>
                <w:sz w:val="21"/>
                <w:lang w:eastAsia="zh-Hans"/>
              </w:rPr>
              <w:t>排放标准</w:t>
            </w:r>
            <w:r>
              <w:rPr>
                <w:rFonts w:hint="default" w:ascii="Times New Roman" w:hAnsi="Times New Roman" w:cs="Times New Roman"/>
                <w:color w:val="auto"/>
                <w:kern w:val="21"/>
                <w:sz w:val="21"/>
              </w:rPr>
              <w:t>重型载货车辆（含燃气）或新能源车辆；厂内运输车辆全部采用国六</w:t>
            </w:r>
            <w:r>
              <w:rPr>
                <w:rFonts w:hint="default" w:ascii="Times New Roman" w:hAnsi="Times New Roman" w:cs="Times New Roman"/>
                <w:color w:val="auto"/>
                <w:kern w:val="21"/>
                <w:sz w:val="21"/>
                <w:lang w:eastAsia="zh-Hans"/>
              </w:rPr>
              <w:t>排放标准</w:t>
            </w:r>
            <w:r>
              <w:rPr>
                <w:rFonts w:hint="default" w:ascii="Times New Roman" w:hAnsi="Times New Roman" w:cs="Times New Roman"/>
                <w:color w:val="auto"/>
                <w:kern w:val="21"/>
                <w:sz w:val="21"/>
              </w:rPr>
              <w:t>（含燃气）或新能源车辆；厂内非道路移动机械全部采用国四及以上排放标准或新能源机械。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运输监管</w:t>
            </w:r>
          </w:p>
        </w:tc>
        <w:tc>
          <w:tcPr>
            <w:tcW w:w="2219" w:type="pct"/>
            <w:gridSpan w:val="2"/>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建立门禁系统和电子台账，创建要求参照《重点行业移动源监管与核查技术指南》（HJ 1321）。</w:t>
            </w:r>
          </w:p>
        </w:tc>
        <w:tc>
          <w:tcPr>
            <w:tcW w:w="82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未达到A、B级要求。</w:t>
            </w:r>
          </w:p>
        </w:tc>
        <w:tc>
          <w:tcPr>
            <w:tcW w:w="1386" w:type="pct"/>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rPr>
              <w:t>本次评价要求建设单位参照《重污染天气重点行业移动源应急管理技术指南》建立门禁系统和电子台账。</w:t>
            </w:r>
          </w:p>
        </w:tc>
      </w:tr>
    </w:tbl>
    <w:p>
      <w:pPr>
        <w:adjustRightInd w:val="0"/>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企业按照上诉要求进行修建和管理，可满足B级企业要求。</w:t>
      </w: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sectPr>
          <w:pgSz w:w="16838" w:h="11906" w:orient="landscape"/>
          <w:pgMar w:top="1800" w:right="1440" w:bottom="1800" w:left="1440" w:header="851" w:footer="992" w:gutter="0"/>
          <w:cols w:space="425" w:num="1"/>
          <w:docGrid w:type="lines" w:linePitch="326" w:charSpace="0"/>
        </w:sectPr>
      </w:pPr>
    </w:p>
    <w:p>
      <w:pPr>
        <w:pStyle w:val="5"/>
        <w:rPr>
          <w:rFonts w:hint="default" w:ascii="Times New Roman" w:hAnsi="Times New Roman" w:cs="Times New Roman"/>
          <w:color w:val="auto"/>
        </w:rPr>
      </w:pPr>
      <w:r>
        <w:rPr>
          <w:rFonts w:hint="default" w:ascii="Times New Roman" w:hAnsi="Times New Roman" w:cs="Times New Roman"/>
          <w:color w:val="auto"/>
        </w:rPr>
        <w:t>与“生态环境分区管控”符合性分析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2020年6月28日，四川省人民政府办公厅印发《四川省人民政府关于落实生态保护红线、环境质量底线、资源利用上线制定生态环境准入清单实施生态环境分区管控的通知》（川府发〔2020〕9号），就落实生态保护红线、环境质量底线、资源利用上线，制定生态环境准入清单，建立生态环境分区管控体系并监督实施提出要求。</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（1）项目涉及管控单元信息</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四川省生态环境厅办公室关于印发〈产业园区规划环评“三线一单”符合性分析技术要点（试行）〉和〈项目环评“三线一单”〉符合性分析技术要点（试行）的通知》（川环办函〔2021〕469号）要求，查询四川省生态环境厅生态环境分区管控数据分析系统，本项目所在地在四川省“生态环境分区管控”数据分析系统中的位置如下图所示：</w:t>
      </w:r>
    </w:p>
    <w:p>
      <w:pPr>
        <w:pStyle w:val="54"/>
        <w:adjustRightInd w:val="0"/>
        <w:rPr>
          <w:rFonts w:hint="default" w:ascii="Times New Roman" w:hAnsi="Times New Roman" w:cs="Times New Roman"/>
          <w:color w:val="auto"/>
        </w:rPr>
      </w:pPr>
      <w:r>
        <w:rPr>
          <w:rFonts w:hint="default" w:ascii="Times New Roman" w:hAnsi="Times New Roman" w:cs="Times New Roman"/>
          <w:color w:val="auto"/>
          <w:kern w:val="21"/>
          <w:sz w:val="20"/>
          <w:szCs w:val="22"/>
        </w:rPr>
        <mc:AlternateContent>
          <mc:Choice Requires="wpg">
            <w:drawing>
              <wp:anchor distT="0" distB="0" distL="114300" distR="114300" simplePos="0" relativeHeight="251661312" behindDoc="0" locked="0" layoutInCell="1" allowOverlap="1">
                <wp:simplePos x="0" y="0"/>
                <wp:positionH relativeFrom="column">
                  <wp:posOffset>3608705</wp:posOffset>
                </wp:positionH>
                <wp:positionV relativeFrom="paragraph">
                  <wp:posOffset>1637030</wp:posOffset>
                </wp:positionV>
                <wp:extent cx="1229995" cy="410210"/>
                <wp:effectExtent l="5715" t="3175" r="0" b="0"/>
                <wp:wrapNone/>
                <wp:docPr id="24" name="组合 24"/>
                <wp:cNvGraphicFramePr/>
                <a:graphic xmlns:a="http://schemas.openxmlformats.org/drawingml/2006/main">
                  <a:graphicData uri="http://schemas.microsoft.com/office/word/2010/wordprocessingGroup">
                    <wpg:wgp>
                      <wpg:cNvGrpSpPr/>
                      <wpg:grpSpPr>
                        <a:xfrm>
                          <a:off x="0" y="0"/>
                          <a:ext cx="1229995" cy="410210"/>
                          <a:chOff x="4629" y="429529"/>
                          <a:chExt cx="1937" cy="646"/>
                        </a:xfrm>
                      </wpg:grpSpPr>
                      <wps:wsp>
                        <wps:cNvPr id="20" name="文本框 20"/>
                        <wps:cNvSpPr txBox="1"/>
                        <wps:spPr>
                          <a:xfrm>
                            <a:off x="4790" y="429583"/>
                            <a:ext cx="1776" cy="5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hint="eastAsia" w:ascii="仿宋" w:hAnsi="仿宋" w:eastAsia="仿宋" w:cs="仿宋"/>
                                  <w:b/>
                                  <w:bCs/>
                                  <w:color w:val="FF0000"/>
                                  <w:szCs w:val="22"/>
                                </w:rPr>
                              </w:pPr>
                              <w:r>
                                <w:rPr>
                                  <w:rFonts w:hint="eastAsia" w:ascii="仿宋" w:hAnsi="仿宋" w:eastAsia="仿宋" w:cs="仿宋"/>
                                  <w:b/>
                                  <w:bCs/>
                                  <w:color w:val="FF0000"/>
                                  <w:szCs w:val="22"/>
                                </w:rPr>
                                <w:t>本项目所在地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 name="组合 22"/>
                        <wpg:cNvGrpSpPr/>
                        <wpg:grpSpPr>
                          <a:xfrm>
                            <a:off x="4629" y="429529"/>
                            <a:ext cx="1833" cy="530"/>
                            <a:chOff x="6538" y="234527"/>
                            <a:chExt cx="1833" cy="530"/>
                          </a:xfrm>
                        </wpg:grpSpPr>
                        <wps:wsp>
                          <wps:cNvPr id="21" name="直接连接符 18"/>
                          <wps:cNvCnPr/>
                          <wps:spPr>
                            <a:xfrm>
                              <a:off x="6538" y="234527"/>
                              <a:ext cx="293" cy="530"/>
                            </a:xfrm>
                            <a:prstGeom prst="line">
                              <a:avLst/>
                            </a:prstGeom>
                            <a:noFill/>
                            <a:ln w="12700" cap="flat" cmpd="sng" algn="ctr">
                              <a:solidFill>
                                <a:srgbClr val="FF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3" name="直接连接符 17"/>
                          <wps:cNvCnPr/>
                          <wps:spPr>
                            <a:xfrm flipV="1">
                              <a:off x="6818" y="235043"/>
                              <a:ext cx="1553" cy="2"/>
                            </a:xfrm>
                            <a:prstGeom prst="line">
                              <a:avLst/>
                            </a:prstGeom>
                            <a:noFill/>
                            <a:ln w="12700" cap="flat" cmpd="sng" algn="ctr">
                              <a:solidFill>
                                <a:srgbClr val="FF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84.15pt;margin-top:128.9pt;height:32.3pt;width:96.85pt;z-index:251661312;mso-width-relative:page;mso-height-relative:page;" coordorigin="4629,429529" coordsize="1937,646" o:gfxdata="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4loLj2wAAAAsBAAAPAAAAAAAAAAEAIAAAACIAAABk&#10;cnMvZG93bnJldi54bWxQSwECFAAUAAAACACHTuJAMWGZmssDAADBCgAADgAAAAAAAAABACAAAAAq&#10;AQAAZHJzL2Uyb0RvYy54bWxQSwUGAAAAAAYABgBZAQAAZwcAAAAA&#10;">
                <o:lock v:ext="edit" aspectratio="f"/>
                <v:shape id="_x0000_s1026" o:spid="_x0000_s1026" o:spt="202" type="#_x0000_t202" style="position:absolute;left:4790;top:429583;height:593;width:1776;"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240" w:lineRule="auto"/>
                          <w:ind w:firstLine="0" w:firstLineChars="0"/>
                          <w:jc w:val="center"/>
                          <w:rPr>
                            <w:rFonts w:hint="eastAsia" w:ascii="仿宋" w:hAnsi="仿宋" w:eastAsia="仿宋" w:cs="仿宋"/>
                            <w:b/>
                            <w:bCs/>
                            <w:color w:val="FF0000"/>
                            <w:szCs w:val="22"/>
                          </w:rPr>
                        </w:pPr>
                        <w:r>
                          <w:rPr>
                            <w:rFonts w:hint="eastAsia" w:ascii="仿宋" w:hAnsi="仿宋" w:eastAsia="仿宋" w:cs="仿宋"/>
                            <w:b/>
                            <w:bCs/>
                            <w:color w:val="FF0000"/>
                            <w:szCs w:val="22"/>
                          </w:rPr>
                          <w:t>本项目所在地</w:t>
                        </w:r>
                      </w:p>
                    </w:txbxContent>
                  </v:textbox>
                </v:shape>
                <v:group id="_x0000_s1026" o:spid="_x0000_s1026" o:spt="203" style="position:absolute;left:4629;top:429529;height:530;width:1833;" coordorigin="6538,234527" coordsize="1833,53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line id="直接连接符 18" o:spid="_x0000_s1026" o:spt="20" style="position:absolute;left:6538;top:234527;height:530;width:293;" filled="f" stroked="t" coordsize="21600,21600" o:gfxdata="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5tqr4A&#10;AADbAAAADwAAAAAAAAABACAAAAAiAAAAZHJzL2Rvd25yZXYueG1sUEsBAhQAFAAAAAgAh07iQDMv&#10;BZ47AAAAOQAAABAAAAAAAAAAAQAgAAAADQEAAGRycy9zaGFwZXhtbC54bWxQSwUGAAAAAAYABgBb&#10;AQAAtwMAAAAA&#10;">
                    <v:fill on="f" focussize="0,0"/>
                    <v:stroke weight="1pt" color="#FF0000 [3204]" miterlimit="8" joinstyle="miter"/>
                    <v:imagedata o:title=""/>
                    <o:lock v:ext="edit" aspectratio="f"/>
                  </v:line>
                  <v:line id="直接连接符 17" o:spid="_x0000_s1026" o:spt="20" style="position:absolute;left:6818;top:235043;flip:y;height:2;width:1553;" filled="f" stroked="t" coordsize="21600,21600" o:gfxdata="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PDmvQAA&#10;ANsAAAAPAAAAAAAAAAEAIAAAACIAAABkcnMvZG93bnJldi54bWxQSwECFAAUAAAACACHTuJAMy8F&#10;njsAAAA5AAAAEAAAAAAAAAABACAAAAAMAQAAZHJzL3NoYXBleG1sLnhtbFBLBQYAAAAABgAGAFsB&#10;AAC2AwAAAAA=&#10;">
                    <v:fill on="f" focussize="0,0"/>
                    <v:stroke weight="1pt" color="#FF0000 [3204]" miterlimit="8" joinstyle="miter"/>
                    <v:imagedata o:title=""/>
                    <o:lock v:ext="edit" aspectratio="f"/>
                  </v:line>
                </v:group>
              </v:group>
            </w:pict>
          </mc:Fallback>
        </mc:AlternateContent>
      </w:r>
      <w:r>
        <w:rPr>
          <w:rFonts w:hint="default" w:ascii="Times New Roman" w:hAnsi="Times New Roman" w:cs="Times New Roman"/>
          <w:color w:val="auto"/>
        </w:rPr>
        <mc:AlternateContent>
          <mc:Choice Requires="wps">
            <w:drawing>
              <wp:anchor distT="0" distB="0" distL="114300" distR="114300" simplePos="0" relativeHeight="251660288" behindDoc="0" locked="0" layoutInCell="1" allowOverlap="1">
                <wp:simplePos x="0" y="0"/>
                <wp:positionH relativeFrom="column">
                  <wp:posOffset>3042285</wp:posOffset>
                </wp:positionH>
                <wp:positionV relativeFrom="paragraph">
                  <wp:posOffset>1128395</wp:posOffset>
                </wp:positionV>
                <wp:extent cx="678180" cy="605155"/>
                <wp:effectExtent l="19685" t="20320" r="26035" b="22225"/>
                <wp:wrapNone/>
                <wp:docPr id="2" name="任意多边形 2"/>
                <wp:cNvGraphicFramePr/>
                <a:graphic xmlns:a="http://schemas.openxmlformats.org/drawingml/2006/main">
                  <a:graphicData uri="http://schemas.microsoft.com/office/word/2010/wordprocessingShape">
                    <wps:wsp>
                      <wps:cNvSpPr/>
                      <wps:spPr>
                        <a:xfrm>
                          <a:off x="4185285" y="7475855"/>
                          <a:ext cx="678180" cy="605155"/>
                        </a:xfrm>
                        <a:custGeom>
                          <a:avLst/>
                          <a:gdLst>
                            <a:gd name="connisteX0" fmla="*/ 201930 w 678180"/>
                            <a:gd name="connsiteY0" fmla="*/ 0 h 605155"/>
                            <a:gd name="connisteX1" fmla="*/ 678180 w 678180"/>
                            <a:gd name="connsiteY1" fmla="*/ 325120 h 605155"/>
                            <a:gd name="connisteX2" fmla="*/ 454025 w 678180"/>
                            <a:gd name="connsiteY2" fmla="*/ 605155 h 605155"/>
                            <a:gd name="connisteX3" fmla="*/ 0 w 678180"/>
                            <a:gd name="connsiteY3" fmla="*/ 307975 h 605155"/>
                            <a:gd name="connisteX4" fmla="*/ 201930 w 678180"/>
                            <a:gd name="connsiteY4" fmla="*/ 0 h 60515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78180" h="605155">
                              <a:moveTo>
                                <a:pt x="201930" y="0"/>
                              </a:moveTo>
                              <a:lnTo>
                                <a:pt x="678180" y="325120"/>
                              </a:lnTo>
                              <a:lnTo>
                                <a:pt x="454025" y="605155"/>
                              </a:lnTo>
                              <a:lnTo>
                                <a:pt x="0" y="307975"/>
                              </a:lnTo>
                              <a:lnTo>
                                <a:pt x="201930" y="0"/>
                              </a:lnTo>
                              <a:close/>
                            </a:path>
                          </a:pathLst>
                        </a:cu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39.55pt;margin-top:88.85pt;height:47.65pt;width:53.4pt;z-index:251660288;mso-width-relative:page;mso-height-relative:page;" filled="f" stroked="t" coordsize="678180,605155" o:gfxdata="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BAb4gXYAAAACwEAAA8AAAAAAAAAAQAgAAAAIgAAAGRycy9k&#10;b3ducmV2LnhtbFBLAQIUABQAAAAIAIdO4kB2oHg5HwMAAEwIAAAOAAAAAAAAAAEAIAAAACcBAABk&#10;cnMvZTJvRG9jLnhtbFBLBQYAAAAABgAGAFkBAAC4BgAAAAA=&#10;" path="m201930,0l678180,325120,454025,605155,0,307975,201930,0xe">
                <v:path o:connectlocs="201930,0;678180,325120;454025,605155;0,307975;201930,0" o:connectangles="0,0,0,0,0"/>
                <v:fill on="f" focussize="0,0"/>
                <v:stroke weight="2.25pt" color="#FF0000 [2404]" miterlimit="8" joinstyle="miter"/>
                <v:imagedata o:title=""/>
                <o:lock v:ext="edit" aspectratio="f"/>
              </v:shape>
            </w:pict>
          </mc:Fallback>
        </mc:AlternateContent>
      </w:r>
      <w:r>
        <w:rPr>
          <w:rFonts w:hint="default" w:ascii="Times New Roman" w:hAnsi="Times New Roman" w:cs="Times New Roman"/>
          <w:color w:val="auto"/>
        </w:rPr>
        <w:drawing>
          <wp:inline distT="0" distB="0" distL="114300" distR="114300">
            <wp:extent cx="5260340" cy="2366010"/>
            <wp:effectExtent l="0" t="0" r="16510" b="15240"/>
            <wp:docPr id="1" name="图片 1"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
                    <pic:cNvPicPr>
                      <a:picLocks noChangeAspect="1"/>
                    </pic:cNvPicPr>
                  </pic:nvPicPr>
                  <pic:blipFill>
                    <a:blip r:embed="rId14"/>
                    <a:stretch>
                      <a:fillRect/>
                    </a:stretch>
                  </pic:blipFill>
                  <pic:spPr>
                    <a:xfrm>
                      <a:off x="0" y="0"/>
                      <a:ext cx="5260340" cy="2366010"/>
                    </a:xfrm>
                    <a:prstGeom prst="rect">
                      <a:avLst/>
                    </a:prstGeom>
                  </pic:spPr>
                </pic:pic>
              </a:graphicData>
            </a:graphic>
          </wp:inline>
        </w:drawing>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本项目在四川省生态环境分区管控数据分析系统中的位置（http://103.203.219.138:8083/gis2/n_index.html）</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根据本项目“生态环境分区管控”符合性分析结果，本项目涉及1个环境重点管控单元，如下图所示：</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项目涉及管控单元信息表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2"/>
        <w:gridCol w:w="2006"/>
        <w:gridCol w:w="1841"/>
        <w:gridCol w:w="1337"/>
        <w:gridCol w:w="26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62"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20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涉及环境管控单元名称</w:t>
            </w:r>
          </w:p>
        </w:tc>
        <w:tc>
          <w:tcPr>
            <w:tcW w:w="18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涉及环境管控单元编码</w:t>
            </w:r>
          </w:p>
        </w:tc>
        <w:tc>
          <w:tcPr>
            <w:tcW w:w="13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行政区划</w:t>
            </w:r>
          </w:p>
        </w:tc>
        <w:tc>
          <w:tcPr>
            <w:tcW w:w="26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环境管控单元类型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20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四川乐山沙湾经济开发区</w:t>
            </w:r>
          </w:p>
        </w:tc>
        <w:tc>
          <w:tcPr>
            <w:tcW w:w="18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ZH51111120002</w:t>
            </w:r>
          </w:p>
        </w:tc>
        <w:tc>
          <w:tcPr>
            <w:tcW w:w="13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乐山市</w:t>
            </w:r>
          </w:p>
        </w:tc>
        <w:tc>
          <w:tcPr>
            <w:tcW w:w="26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重点管控单元</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涉及的环境要素管控分区有6个，分别是：</w:t>
      </w:r>
    </w:p>
    <w:p>
      <w:pPr>
        <w:pStyle w:val="12"/>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19</w:t>
      </w:r>
      <w:r>
        <w:rPr>
          <w:rFonts w:hint="default" w:ascii="Times New Roman" w:hAnsi="Times New Roman" w:cs="Times New Roman"/>
          <w:color w:val="auto"/>
        </w:rPr>
        <w:fldChar w:fldCharType="end"/>
      </w:r>
      <w:r>
        <w:rPr>
          <w:rFonts w:hint="default" w:ascii="Times New Roman" w:hAnsi="Times New Roman" w:cs="Times New Roman"/>
          <w:color w:val="auto"/>
        </w:rPr>
        <w:t>涉及的环境要素管控分区</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2"/>
        <w:gridCol w:w="2012"/>
        <w:gridCol w:w="1841"/>
        <w:gridCol w:w="1335"/>
        <w:gridCol w:w="1336"/>
        <w:gridCol w:w="13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涉及环境要素管控分区名称</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涉及环境要素管控分区编码</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行政区划</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环境要素类型</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环境要素细类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沙湾区其他区域</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YS5111113110001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乐山市</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生态</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一般管控区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大渡河-沙湾区-大渡河安谷电站大坝-控制单元</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YS5111112210001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乐山市</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水</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水环境工业污染重点管控区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四川乐山沙湾经济开发区</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YS5111112310001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乐山市</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大气</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大气环境高排放重点管控区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沙湾区自然资源重点管控区</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YS5111112550001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乐山市</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自然资源</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自然资源重点管控区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沙湾区城镇开发边界</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YS5111112530001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乐山市</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自然资源</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土地资源重点管控区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减污降碳重点管控区——</w:t>
            </w:r>
            <w:bookmarkStart w:id="16" w:name="OLE_LINK1"/>
            <w:r>
              <w:rPr>
                <w:rFonts w:hint="default" w:ascii="Times New Roman" w:hAnsi="Times New Roman" w:cs="Times New Roman"/>
                <w:color w:val="auto"/>
              </w:rPr>
              <w:t>四川乐山沙湾经济开发区</w:t>
            </w:r>
            <w:bookmarkEnd w:id="16"/>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YS5111112590001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乐山市</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减污降碳</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rPr>
                <w:rFonts w:hint="default" w:ascii="Times New Roman" w:hAnsi="Times New Roman" w:cs="Times New Roman"/>
                <w:color w:val="auto"/>
              </w:rPr>
            </w:pPr>
            <w:r>
              <w:rPr>
                <w:rFonts w:hint="default" w:ascii="Times New Roman" w:hAnsi="Times New Roman" w:cs="Times New Roman"/>
                <w:color w:val="auto"/>
              </w:rPr>
              <w:t>其他自然资源重点管控区</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w:t>
      </w:r>
      <w:r>
        <w:rPr>
          <w:rFonts w:hint="eastAsia" w:cs="Times New Roman"/>
          <w:color w:val="auto"/>
          <w:lang w:eastAsia="zh-CN"/>
        </w:rPr>
        <w:t>“</w:t>
      </w:r>
      <w:r>
        <w:rPr>
          <w:rFonts w:hint="default" w:ascii="Times New Roman" w:hAnsi="Times New Roman" w:cs="Times New Roman"/>
          <w:color w:val="auto"/>
        </w:rPr>
        <w:t>生态环境分区管控</w:t>
      </w:r>
      <w:r>
        <w:rPr>
          <w:rFonts w:hint="eastAsia" w:cs="Times New Roman"/>
          <w:color w:val="auto"/>
          <w:lang w:eastAsia="zh-CN"/>
        </w:rPr>
        <w:t>”</w:t>
      </w:r>
      <w:r>
        <w:rPr>
          <w:rFonts w:hint="default" w:ascii="Times New Roman" w:hAnsi="Times New Roman" w:cs="Times New Roman"/>
          <w:color w:val="auto"/>
        </w:rPr>
        <w:t>相关要求的符合性分析见下表：</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（2）准入清单</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①所属经济区要求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本项目与所属经济区要求的符合性分析如下：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20</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本项目与所属经济区要求的符合性分析</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8"/>
        <w:gridCol w:w="1109"/>
        <w:gridCol w:w="3720"/>
        <w:gridCol w:w="1834"/>
        <w:gridCol w:w="9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adjustRightInd w:val="0"/>
              <w:rPr>
                <w:rFonts w:hint="default" w:ascii="Times New Roman" w:hAnsi="Times New Roman" w:cs="Times New Roman"/>
                <w:b/>
                <w:color w:val="auto"/>
              </w:rPr>
            </w:pPr>
            <w:r>
              <w:rPr>
                <w:rFonts w:hint="default" w:ascii="Times New Roman" w:hAnsi="Times New Roman" w:cs="Times New Roman"/>
                <w:b/>
                <w:color w:val="auto"/>
              </w:rPr>
              <w:t>经济区</w:t>
            </w:r>
          </w:p>
        </w:tc>
        <w:tc>
          <w:tcPr>
            <w:tcW w:w="496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color w:val="auto"/>
              </w:rPr>
            </w:pPr>
            <w:r>
              <w:rPr>
                <w:rFonts w:hint="default" w:ascii="Times New Roman" w:hAnsi="Times New Roman" w:cs="Times New Roman"/>
                <w:b/>
                <w:color w:val="auto"/>
              </w:rPr>
              <w:t>要求</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color w:val="auto"/>
              </w:rPr>
            </w:pPr>
            <w:r>
              <w:rPr>
                <w:rFonts w:hint="default" w:ascii="Times New Roman" w:hAnsi="Times New Roman" w:cs="Times New Roman"/>
                <w:b/>
                <w:color w:val="auto"/>
              </w:rPr>
              <w:t>本项目情况</w:t>
            </w:r>
          </w:p>
        </w:tc>
        <w:tc>
          <w:tcPr>
            <w:tcW w:w="9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color w:val="auto"/>
              </w:rPr>
            </w:pPr>
            <w:r>
              <w:rPr>
                <w:rFonts w:hint="default" w:ascii="Times New Roman" w:hAnsi="Times New Roman" w:cs="Times New Roman"/>
                <w:b/>
                <w:color w:val="auto"/>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成都平原经济区</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区域特点</w:t>
            </w:r>
          </w:p>
        </w:tc>
        <w:tc>
          <w:tcPr>
            <w:tcW w:w="38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成都、德阳、绵阳、眉山、乐山、资阳、遂宁、雅安8市大部分区域属于国家层面重点开发区，是重点管控单元的集中分布区域。</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该区域发展定位为全省第一经济增长极。到2025年，区域生产总值目标为3万亿元，人口城镇化率要达到68%，发展与环境承载压力最为突出。</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本项目位于乐山市。</w:t>
            </w:r>
          </w:p>
        </w:tc>
        <w:tc>
          <w:tcPr>
            <w:tcW w:w="9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发展定位与目标</w:t>
            </w:r>
          </w:p>
        </w:tc>
        <w:tc>
          <w:tcPr>
            <w:tcW w:w="38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创新改革试验的先导区、现代高端产业的集聚区、西部内陆开放的前沿区、区域协同发展的样板区以及全面建成小康社会的先行区。</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重点发展电子信息、装备制造、先进材料、食品饮料产业和数字经济，建设全国重要的先进制造业基地，打造世界级新一代信息技术、高端装备制造产业集群和国内领先的集成电路、新型显示、航空航天、轨道交通、汽车、生物医药、新型材料等产业集群。</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本项目的产品为锂精矿，作为生产汽车电池的原材料。对打造世界级汽车产业集群有促进作用。</w:t>
            </w:r>
          </w:p>
        </w:tc>
        <w:tc>
          <w:tcPr>
            <w:tcW w:w="9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区域突出生态环境问题</w:t>
            </w:r>
          </w:p>
        </w:tc>
        <w:tc>
          <w:tcPr>
            <w:tcW w:w="38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1、水资源时空分布不均，用水排水矛盾突出，岷江流域单位面积水污染排放量高，氮磷污染并重，结构性污染短期内难以彻底解决，水质改善压力大。</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2、区域城市开发活动集中，发展与环境资源承载矛盾突出，属深盆地形，扩散条件差，冬季灰霾污染严重，夏季臭氧污染问题凸显，环境空气质量改善压力大。</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3、长江主要支流岷江流域沿江、临城产业聚集，流域性、区域性环境风险形势严峻，重金属、持久性有机物、危险废物和危险化学品等累积性环境风险隐患较大。</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Style w:val="35"/>
                <w:rFonts w:hint="default" w:ascii="Times New Roman" w:hAnsi="Times New Roman" w:cs="Times New Roman"/>
                <w:color w:val="auto"/>
              </w:rPr>
            </w:pPr>
            <w:r>
              <w:rPr>
                <w:rFonts w:hint="default" w:ascii="Times New Roman" w:hAnsi="Times New Roman" w:cs="Times New Roman"/>
                <w:color w:val="auto"/>
              </w:rPr>
              <w:t>本项目生产废水循环使用，不外排。本项目严格落实减排计划，实施大气污染物双倍替代削减要求，减少对环境空气质量的影响。</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根据本项目原矿检测报告，本项目原矿中</w:t>
            </w:r>
            <w:r>
              <w:rPr>
                <w:rFonts w:hint="eastAsia" w:cs="Times New Roman"/>
                <w:color w:val="auto"/>
                <w:lang w:val="en-US" w:eastAsia="zh-CN"/>
              </w:rPr>
              <w:t>国家管控的重金属铅、汞、镉、铬、砷、铊、锑和园区管控的重金属铬、镍</w:t>
            </w:r>
            <w:r>
              <w:rPr>
                <w:rFonts w:hint="default" w:ascii="Times New Roman" w:hAnsi="Times New Roman" w:cs="Times New Roman"/>
                <w:color w:val="auto"/>
              </w:rPr>
              <w:t>均为未检出。本项目不涉及重金属、持久性有机物</w:t>
            </w:r>
            <w:r>
              <w:rPr>
                <w:rFonts w:hint="eastAsia" w:cs="Times New Roman"/>
                <w:color w:val="auto"/>
                <w:lang w:eastAsia="zh-CN"/>
              </w:rPr>
              <w:t>，</w:t>
            </w:r>
            <w:r>
              <w:rPr>
                <w:rFonts w:hint="eastAsia" w:cs="Times New Roman"/>
                <w:color w:val="auto"/>
                <w:lang w:val="en-US" w:eastAsia="zh-CN"/>
              </w:rPr>
              <w:t>本项目</w:t>
            </w:r>
            <w:r>
              <w:rPr>
                <w:rFonts w:hint="default" w:ascii="Times New Roman" w:hAnsi="Times New Roman" w:cs="Times New Roman"/>
                <w:color w:val="auto"/>
              </w:rPr>
              <w:t>危险化学品</w:t>
            </w:r>
            <w:r>
              <w:rPr>
                <w:rFonts w:hint="eastAsia" w:cs="Times New Roman"/>
                <w:color w:val="auto"/>
                <w:lang w:eastAsia="zh-CN"/>
              </w:rPr>
              <w:t>（</w:t>
            </w:r>
            <w:r>
              <w:rPr>
                <w:rFonts w:hint="eastAsia" w:cs="Times New Roman"/>
                <w:color w:val="auto"/>
                <w:lang w:val="en-US" w:eastAsia="zh-CN"/>
              </w:rPr>
              <w:t>氢氧化钠</w:t>
            </w:r>
            <w:r>
              <w:rPr>
                <w:rFonts w:hint="eastAsia" w:cs="Times New Roman"/>
                <w:color w:val="auto"/>
                <w:lang w:eastAsia="zh-CN"/>
              </w:rPr>
              <w:t>）</w:t>
            </w:r>
            <w:r>
              <w:rPr>
                <w:rFonts w:hint="eastAsia" w:cs="Times New Roman"/>
                <w:color w:val="auto"/>
                <w:lang w:val="en-US" w:eastAsia="zh-CN"/>
              </w:rPr>
              <w:t>放置于药剂库，不乱存乱放，能有效防止环境风险发生。</w:t>
            </w:r>
            <w:r>
              <w:rPr>
                <w:rFonts w:hint="default" w:ascii="Times New Roman" w:hAnsi="Times New Roman" w:cs="Times New Roman"/>
                <w:color w:val="auto"/>
              </w:rPr>
              <w:t>本</w:t>
            </w:r>
            <w:r>
              <w:rPr>
                <w:rFonts w:hint="eastAsia" w:cs="Times New Roman"/>
                <w:color w:val="auto"/>
                <w:lang w:val="en-US" w:eastAsia="zh-CN"/>
              </w:rPr>
              <w:t>评价要求</w:t>
            </w:r>
            <w:r>
              <w:rPr>
                <w:rFonts w:hint="default" w:ascii="Times New Roman" w:hAnsi="Times New Roman" w:cs="Times New Roman"/>
                <w:color w:val="auto"/>
              </w:rPr>
              <w:t>危险废物暂存于危废间，不乱存乱放，能有效防止环境风险发生。</w:t>
            </w:r>
          </w:p>
        </w:tc>
        <w:tc>
          <w:tcPr>
            <w:tcW w:w="9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总体管控要求</w:t>
            </w:r>
          </w:p>
        </w:tc>
        <w:tc>
          <w:tcPr>
            <w:tcW w:w="38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1、针对突出生态环境问题，大力优化调整产业结构；</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2、实施最严格的环境准入要求；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3、加快GDP贡献小、污染排放强度大的产业如建材、家具等产业替代升级，结构优化；</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4、对重点发展的电子信息、装备制造、先进材料、食品饮料、生物医药等产业提出最严格的环境准入门槛；</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5、岷沱江流域执行岷沱江污染物排放标准；</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6、优化涉危涉化产业布局，严控环境风险，保障人居安全。</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eastAsia" w:ascii="Times New Roman" w:hAnsi="Times New Roman" w:eastAsia="宋体" w:cs="Times New Roman"/>
                <w:color w:val="auto"/>
                <w:lang w:val="en-US" w:eastAsia="zh-CN"/>
              </w:rPr>
            </w:pPr>
            <w:r>
              <w:rPr>
                <w:rFonts w:hint="eastAsia" w:cs="Times New Roman"/>
                <w:color w:val="auto"/>
                <w:lang w:val="en-US" w:eastAsia="zh-CN"/>
              </w:rPr>
              <w:t>对比</w:t>
            </w:r>
            <w:r>
              <w:rPr>
                <w:rFonts w:hint="default" w:ascii="Times New Roman" w:hAnsi="Times New Roman" w:cs="Times New Roman"/>
                <w:color w:val="auto"/>
              </w:rPr>
              <w:t>《产业结构调整指导目录（2024年本）》</w:t>
            </w:r>
            <w:r>
              <w:rPr>
                <w:rFonts w:hint="eastAsia" w:cs="Times New Roman"/>
                <w:color w:val="auto"/>
                <w:lang w:eastAsia="zh-CN"/>
              </w:rPr>
              <w:t>，</w:t>
            </w:r>
            <w:r>
              <w:rPr>
                <w:rFonts w:hint="default" w:ascii="Times New Roman" w:hAnsi="Times New Roman" w:cs="Times New Roman"/>
                <w:color w:val="auto"/>
              </w:rPr>
              <w:t>本项目不在“鼓励类”、“限制类”、“淘汰类”之列，视为“允许类”</w:t>
            </w:r>
            <w:r>
              <w:rPr>
                <w:rFonts w:hint="eastAsia" w:cs="Times New Roman"/>
                <w:color w:val="auto"/>
                <w:lang w:eastAsia="zh-CN"/>
              </w:rPr>
              <w:t>。</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本项目实施最严格的环境准入要求</w:t>
            </w:r>
            <w:r>
              <w:rPr>
                <w:rFonts w:hint="eastAsia" w:cs="Times New Roman"/>
                <w:color w:val="auto"/>
                <w:lang w:eastAsia="zh-CN"/>
              </w:rPr>
              <w:t>（</w:t>
            </w:r>
            <w:r>
              <w:rPr>
                <w:rFonts w:hint="eastAsia" w:cs="Times New Roman"/>
                <w:color w:val="auto"/>
                <w:lang w:val="en-US" w:eastAsia="zh-CN"/>
              </w:rPr>
              <w:t>见章节1.4.2.2</w:t>
            </w:r>
            <w:r>
              <w:rPr>
                <w:rFonts w:hint="eastAsia" w:cs="Times New Roman"/>
                <w:color w:val="auto"/>
                <w:lang w:eastAsia="zh-CN"/>
              </w:rPr>
              <w:t>）</w:t>
            </w:r>
            <w:r>
              <w:rPr>
                <w:rFonts w:hint="default" w:ascii="Times New Roman" w:hAnsi="Times New Roman" w:cs="Times New Roman"/>
                <w:color w:val="auto"/>
              </w:rPr>
              <w:t>。本项目生产废水循环使用，不外排</w:t>
            </w:r>
            <w:r>
              <w:rPr>
                <w:rFonts w:hint="eastAsia" w:cs="Times New Roman"/>
                <w:color w:val="auto"/>
                <w:lang w:eastAsia="zh-CN"/>
              </w:rPr>
              <w:t>，</w:t>
            </w:r>
            <w:r>
              <w:rPr>
                <w:rFonts w:hint="eastAsia" w:cs="Times New Roman"/>
                <w:color w:val="auto"/>
                <w:lang w:val="en-US" w:eastAsia="zh-CN"/>
              </w:rPr>
              <w:t>本项目生活污水排放至园区污水处理厂（乐山沙湾经济开发区污水处理厂），执行《四川省岷江、沱江流域水污染物排放标准》（DB51 /2311-2016）。</w:t>
            </w:r>
            <w:r>
              <w:rPr>
                <w:rFonts w:hint="default" w:ascii="Times New Roman" w:hAnsi="Times New Roman" w:cs="Times New Roman"/>
                <w:color w:val="auto"/>
              </w:rPr>
              <w:t>本项目严控环境风险，保障人居安全。</w:t>
            </w:r>
          </w:p>
        </w:tc>
        <w:tc>
          <w:tcPr>
            <w:tcW w:w="9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②普适性清单</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本项目与重点管控单元普适性清单符合性分析如下：</w:t>
      </w:r>
    </w:p>
    <w:p>
      <w:pPr>
        <w:pStyle w:val="12"/>
        <w:adjustRightInd w:val="0"/>
        <w:ind w:firstLine="480"/>
        <w:rPr>
          <w:rFonts w:hint="default" w:ascii="Times New Roman" w:hAnsi="Times New Roman" w:cs="Times New Roman"/>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21</w:t>
      </w:r>
      <w:r>
        <w:rPr>
          <w:color w:val="auto"/>
        </w:rPr>
        <w:fldChar w:fldCharType="end"/>
      </w:r>
      <w:r>
        <w:rPr>
          <w:rFonts w:hint="default" w:ascii="Times New Roman" w:hAnsi="Times New Roman" w:cs="Times New Roman"/>
          <w:color w:val="auto"/>
        </w:rPr>
        <w:t>本项目与所属重点管控单元普适性清单符合性分析</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3"/>
        <w:gridCol w:w="1111"/>
        <w:gridCol w:w="3747"/>
        <w:gridCol w:w="1816"/>
        <w:gridCol w:w="8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53"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管控单元</w:t>
            </w:r>
          </w:p>
        </w:tc>
        <w:tc>
          <w:tcPr>
            <w:tcW w:w="48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要求</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restart"/>
            <w:tcBorders>
              <w:top w:val="single" w:color="000000" w:sz="4" w:space="0"/>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重点管控单元</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空间布局约束</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禁止开发建设活动的要求：（1）禁止在长江干支流、重要湖泊岸线一公里范围内新建、扩建化工园区和化工项目；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（2）禁止在长江干流岸线三公里范围内和重要支流岸线一公里范围内新建、改建、扩建尾矿库（以提升安全、生态环境保护水平为目的的改建除外）；</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禁止在合规园区外新建、扩建钢铁、石化、化工、焦化、建材、有色、制浆造纸等高污染项目（高污染项目严格按照《环境保护综合名录》“高污染”产品目录执行；合规园区指已列入《中国开发区审核公告目录》或由省级人民政府批准设立、审核认定的开发区或其他园区，新设立或认定园区须明确园区面积、四至范围、主导产业并经省级政府同意）。</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（4）禁止新建、扩建不符合国家石化、现代煤化工等产业布局规划的项目；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（5）重点区域严禁新增钢铁、焦化、电解铝、铸造、水泥、平板玻璃等行业项目及产能。</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（6）未通过认定的化工园区，不得新建、改扩建化工项目（安全、环保、节能和智能化改造项目除外），按属地原则依法依规妥善做好未通过认定化工园区及园内企业的转型、关闭、处置及监管工作。</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限制开发建设活动的要求: （1）继续化解过剩产能，严禁钢铁、水泥、电解铝、平板玻璃等行业新增产能，对确有必要新建的必须实施等量或减量置换；</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（2）长江干流及重要支流岸线一公里范围内严控新建制革、有色金属、三磷项目。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允许开发建设活动的要求: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不符合空间布局要求活动的退出要求: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（1）现有属于园区禁止引入产业门类的企业，原则上限制发展，污染物排放只降不增，允许以提升安全、生态环境保护水平为目的的改建，引导企业结合产业升级等适时搬迁；</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（2）加强沿江化工园区和重点企业的环境风险防范和污染治理，对限期未完成治理的化工企业实施关闭，逐步实施五通桥盐磷化工产业园、马边磷化特色产业园等沿江沿河化工园区和重点企业的搬迁。</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其他空间布局约束要求：/</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禁止开发建设活动的要求：（1）本项目位于乐山（沙湾）不锈钢产业园内，不属于化工园区；（2）本项目不新建、改建、扩建尾矿库；（3）本项目位于乐山（沙湾）不锈钢产业园内；（4）本项目不涉及；（5）本项目不属于钢铁、焦化、电解铝、铸造、水泥、平板玻璃行业；（6）本项目位于乐山（沙湾）不锈钢产业园内，不属于化工园区。</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限制开发建设活动的要求：（1）本项目不属于钢铁、水泥、电解铝、平板玻璃行业；（2）本项目不属于制革、有色金属、三磷项目。</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不符合空间布局要求活动的退出要求：（1）本项目位于乐山（沙湾）不锈钢产业园内，本项目不属于园区禁止引入类项目；（2）本项目不属于沿江化工园区和重点企业。</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现有源提标升级改造: （1）现有工业园区集中污水处理厂执行《四川省岷江、沱江流域水污染物排放标准》（DB51 /2311-2016），增加工业污水中水回用配套设施建设，鼓励园区和企业中水回用；</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（2）推进高污染、高耗水行业清洁生产改造，确保单位产品基准排水量达到《四川省岷江、沱江流域水污染物排放标准》。加大钢铁、印染、造纸、化工、制革等高耗水企业废水深度处理回用；</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（3）市中区、五通桥区、沙湾区、犍为县、井研县、峨眉山市、夹江县属大气污染重点区域，执行大气污染物排放特别限值和特别控制要求；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（4）全市燃煤锅炉稳定达到超低排放限值要求，烟粉尘低于10毫克/立方米，二氧化硫低于35毫克/立方米，氮氧化物低于50毫克/立方米；</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5）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6）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新增源等量或倍量替代: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新增源排放标准限值: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污染物排放绩效水平准入要求: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其他污染物排放管控要求: （1）工业废水集中处理设施实现稳定达《四川省岷江、沱江流域水污染物排放标准》相应标准限值排放。磷肥和含磷农药制造等企业，应当按照排污许可要求，采取有效措施控制总磷排放浓度和排放总量；</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（2）大力推进低（无）VOCs含量原辅材料替代；聚焦治污设施“三率”，提升综合治理效率。</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（3）化工园区应按照分类收集，分质处理的要求，配备专业化工生产废水集中处理设施（独立建设或依托骨干企业）及专管或明管输送的配套管网，化工生产废水纳管率达到 100%。入河排污口设置应符合相关规定。</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5）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kern w:val="21"/>
              </w:rPr>
            </w:pPr>
            <w:r>
              <w:rPr>
                <w:rFonts w:hint="default" w:ascii="Times New Roman" w:hAnsi="Times New Roman" w:cs="Times New Roman"/>
                <w:color w:val="auto"/>
              </w:rPr>
              <w:t>现有源提标升级改造：（1）本项目生活污水排放至园区污水处理厂（乐山沙湾经济开发区污水处理厂），执行《四川省岷江、沱江流域水污染物排放标准》（DB51 /2311-2016）；（2）本项目生产废水不外排；（3）本项目严格落实减排计划，实施大气污染物双倍替代削减要求，减少对环境空气质量的影响；（4）</w:t>
            </w:r>
            <w:r>
              <w:rPr>
                <w:rFonts w:hint="default" w:ascii="Times New Roman" w:hAnsi="Times New Roman" w:cs="Times New Roman"/>
                <w:color w:val="auto"/>
                <w:kern w:val="21"/>
                <w:lang w:bidi="ar"/>
              </w:rPr>
              <w:t>本项目有组织颗粒物排放浓度执行1</w:t>
            </w:r>
            <w:r>
              <w:rPr>
                <w:rFonts w:hint="default" w:ascii="Times New Roman" w:hAnsi="Times New Roman" w:cs="Times New Roman"/>
                <w:color w:val="auto"/>
                <w:kern w:val="21"/>
              </w:rPr>
              <w:t>0mg/m</w:t>
            </w:r>
            <w:r>
              <w:rPr>
                <w:rFonts w:hint="default" w:ascii="Times New Roman" w:hAnsi="Times New Roman" w:cs="Times New Roman"/>
                <w:color w:val="auto"/>
                <w:kern w:val="21"/>
                <w:vertAlign w:val="superscript"/>
              </w:rPr>
              <w:t>3</w:t>
            </w:r>
            <w:r>
              <w:rPr>
                <w:rFonts w:hint="default" w:ascii="Times New Roman" w:hAnsi="Times New Roman" w:cs="Times New Roman"/>
                <w:color w:val="auto"/>
                <w:kern w:val="21"/>
              </w:rPr>
              <w:t>，厂界无组织</w:t>
            </w:r>
            <w:r>
              <w:rPr>
                <w:rFonts w:hint="default" w:ascii="Times New Roman" w:hAnsi="Times New Roman" w:cs="Times New Roman"/>
                <w:color w:val="auto"/>
                <w:kern w:val="21"/>
                <w:lang w:bidi="ar"/>
              </w:rPr>
              <w:t>颗粒物</w:t>
            </w:r>
            <w:r>
              <w:rPr>
                <w:rFonts w:hint="default" w:ascii="Times New Roman" w:hAnsi="Times New Roman" w:cs="Times New Roman"/>
                <w:color w:val="auto"/>
                <w:kern w:val="21"/>
              </w:rPr>
              <w:t>排放浓度</w:t>
            </w:r>
            <w:r>
              <w:rPr>
                <w:rFonts w:hint="default" w:ascii="Times New Roman" w:hAnsi="Times New Roman" w:cs="Times New Roman"/>
                <w:color w:val="auto"/>
                <w:kern w:val="21"/>
                <w:lang w:bidi="ar"/>
              </w:rPr>
              <w:t>执行</w:t>
            </w:r>
            <w:r>
              <w:rPr>
                <w:rFonts w:hint="default" w:ascii="Times New Roman" w:hAnsi="Times New Roman" w:cs="Times New Roman"/>
                <w:color w:val="auto"/>
                <w:kern w:val="21"/>
              </w:rPr>
              <w:t>0.5mg/m</w:t>
            </w:r>
            <w:r>
              <w:rPr>
                <w:rFonts w:hint="default" w:ascii="Times New Roman" w:hAnsi="Times New Roman" w:cs="Times New Roman"/>
                <w:color w:val="auto"/>
                <w:kern w:val="21"/>
                <w:vertAlign w:val="superscript"/>
              </w:rPr>
              <w:t>3</w:t>
            </w:r>
            <w:r>
              <w:rPr>
                <w:rFonts w:hint="default" w:ascii="Times New Roman" w:hAnsi="Times New Roman" w:cs="Times New Roman"/>
                <w:color w:val="auto"/>
                <w:kern w:val="21"/>
              </w:rPr>
              <w:t>；（5）本项目不属于水泥、陶瓷、砖瓦、铸造、铁合金、钢铁行业；（6）本项目实行雨污分流，初期雨水经初期雨水收集池收集处理后回用于生产。</w:t>
            </w:r>
          </w:p>
          <w:p>
            <w:pPr>
              <w:pStyle w:val="36"/>
              <w:adjustRightInd w:val="0"/>
              <w:rPr>
                <w:rFonts w:hint="default" w:ascii="Times New Roman" w:hAnsi="Times New Roman" w:cs="Times New Roman"/>
                <w:color w:val="auto"/>
                <w:kern w:val="21"/>
              </w:rPr>
            </w:pPr>
            <w:r>
              <w:rPr>
                <w:rFonts w:hint="default" w:ascii="Times New Roman" w:hAnsi="Times New Roman" w:cs="Times New Roman"/>
                <w:color w:val="auto"/>
                <w:kern w:val="21"/>
              </w:rPr>
              <w:t>其他污染物排放管控要求：（1）本项目生活污水排放至园区污水处理厂（乐山沙湾经济开发区污水处理厂），执行《四川省岷江、沱江流域水污染物排放标准》（DB51 /2311-2016），</w:t>
            </w:r>
            <w:r>
              <w:rPr>
                <w:rFonts w:hint="eastAsia" w:cs="Times New Roman"/>
                <w:color w:val="auto"/>
                <w:kern w:val="21"/>
                <w:lang w:val="en-US" w:eastAsia="zh-CN"/>
              </w:rPr>
              <w:t>本项目生产废水不外排，</w:t>
            </w:r>
            <w:r>
              <w:rPr>
                <w:rFonts w:hint="default" w:ascii="Times New Roman" w:hAnsi="Times New Roman" w:cs="Times New Roman"/>
                <w:color w:val="auto"/>
                <w:kern w:val="21"/>
              </w:rPr>
              <w:t>本项目不属于磷肥和含磷农药制造企业；（2）本项目不涉及VOCs；（3）本项目位于乐山（沙湾）不锈钢产业园内，不属于化工园区；（4）根据本项目原矿检测报告，本项目原矿中国国家管控的重金属铅、汞、镉、铬、砷、铊、锑和园区管控的重金属铬、镍均为未检出；（5）本项目不涉及VOCs。</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环境风险防控</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严格管控类农用地管控要求: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安全利用类农用地管控要求: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污染地块管控要求: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园区环境风险防控要求: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企业环境风险防控要求: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其他环境风险防控要求: （1）涉及有毒有害、易燃易爆物质新建、改扩建项目，严控准入要求；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（2）严格涉重金属企业和园区环境准入管理，新（改、扩）建涉重金属重点行业建设项目实施“等量替代”或“减量替代”；</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（5）化工园区应具有安全风险监控体系、建立生态环境监测监控体系、建立必要的突发环境事件应急体系。</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其他环境风险防控要求：（1）本项目不涉及有毒有害、易燃易爆物质；（2）根据本项目原矿检测报告，本项目原矿中国家管控的重金属铅、汞、镉、铬、砷、铊、锑和园区管控的重金属铬、镍均为未检出；（3）本项目不属于色金属冶炼、石油加工、化工、焦化、电镀、制革行业；（4）本项目不涉及；（5）本项目位于乐山（沙湾）不锈钢产业园内，不属于化工园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资源开发效率要求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水资源利用效率要求:（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地下水开采要求: /</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能源利用效率要求: （1）严格控制煤炭消费总量。严格控制新建、改建、扩建耗煤项目，新增耗煤项目实行当年煤炭消耗减量倍量替代。</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其他资源利用效率要求: /。</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水资源利用效率要求：（1）本项目生活污水排放至园区污水处理厂（乐山沙湾经济开发区污水处理厂），执行《四川省岷江、沱江流域水污染物排放标准》（DB51 /2311-2016）；（2）本项目生产废水不外排，均循环使用。</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能源利用效率要求：本项目不涉及煤炭使用。</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本项目与乐山市及沙湾区普适性清单符合性分析如下：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22</w:t>
      </w:r>
      <w:r>
        <w:rPr>
          <w:rFonts w:hint="default" w:ascii="Times New Roman" w:hAnsi="Times New Roman" w:cs="Times New Roman"/>
          <w:color w:val="auto"/>
        </w:rPr>
        <w:fldChar w:fldCharType="end"/>
      </w:r>
      <w:r>
        <w:rPr>
          <w:rFonts w:hint="default" w:ascii="Times New Roman" w:hAnsi="Times New Roman" w:cs="Times New Roman"/>
          <w:color w:val="auto"/>
        </w:rPr>
        <w:t>本项目与乐山市及沙湾区普适性清单符合性</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3"/>
        <w:gridCol w:w="1111"/>
        <w:gridCol w:w="3747"/>
        <w:gridCol w:w="1816"/>
        <w:gridCol w:w="8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53"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管控单元</w:t>
            </w:r>
          </w:p>
        </w:tc>
        <w:tc>
          <w:tcPr>
            <w:tcW w:w="485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要求</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restart"/>
            <w:tcBorders>
              <w:top w:val="single" w:color="000000" w:sz="4" w:space="0"/>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乐山市</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区域特点</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暂无</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发展定位与目标</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发展定位：以中国式现代化引领乐山现代化建设为主题，以“全面融入成渝地区双城经济圈建设”为总牵引，以“四化同步、城乡融合、五区共兴”为总抓手，大力实施“产业强市、旅游兴市”发展战</w:t>
            </w:r>
            <w:r>
              <w:rPr>
                <w:rFonts w:hint="eastAsia" w:cs="Times New Roman"/>
                <w:color w:val="auto"/>
                <w:lang w:eastAsia="zh-CN"/>
              </w:rPr>
              <w:t>本部分涉密</w:t>
            </w:r>
            <w:r>
              <w:rPr>
                <w:rFonts w:hint="default" w:ascii="Times New Roman" w:hAnsi="Times New Roman" w:cs="Times New Roman"/>
                <w:color w:val="auto"/>
              </w:rPr>
              <w:t>。乐山总体定位为“全省区域中心城市、中国绿色硅谷、中国堆谷、世界重要旅游目的地”。坚持工业聚集、产城融合战</w:t>
            </w:r>
            <w:r>
              <w:rPr>
                <w:rFonts w:hint="eastAsia" w:cs="Times New Roman"/>
                <w:color w:val="auto"/>
                <w:lang w:eastAsia="zh-CN"/>
              </w:rPr>
              <w:t>本部分涉密</w:t>
            </w:r>
            <w:r>
              <w:rPr>
                <w:rFonts w:hint="default" w:ascii="Times New Roman" w:hAnsi="Times New Roman" w:cs="Times New Roman"/>
                <w:color w:val="auto"/>
              </w:rPr>
              <w:t>。对接全省“两区三屏、一轴三带”省域空间总体格局，优化提升先进制造业，打造高质量现代服务业，形成产城融合发展。构建现代产业体系，推动产业高质量发展。以建设中国绿色硅谷、中国堆谷为重点推进新型工业化，加快传统产业转型升级、优势产业延链提升，实施战</w:t>
            </w:r>
            <w:r>
              <w:rPr>
                <w:rFonts w:hint="eastAsia" w:cs="Times New Roman"/>
                <w:color w:val="auto"/>
                <w:lang w:eastAsia="zh-CN"/>
              </w:rPr>
              <w:t>本部分涉密</w:t>
            </w:r>
            <w:r>
              <w:rPr>
                <w:rFonts w:hint="default" w:ascii="Times New Roman" w:hAnsi="Times New Roman" w:cs="Times New Roman"/>
                <w:color w:val="auto"/>
              </w:rPr>
              <w:t>性新兴产业引进培育计划。梯次构建1个国家级高新区，五通桥区、犍为县、峨眉山市、夹江县4个国家级经开区为核心，多个省级经开区或特色园区为支撑的产业园区发展格局。</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发展目标：围绕打造全省区域中心城市，全面推进全市工业转型提质增效，力争在规模质量、产业结构、空间布局、创新实力、绿色发展等五方面实现显著提升。</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lang w:val="en-US"/>
              </w:rPr>
            </w:pPr>
            <w:r>
              <w:rPr>
                <w:rFonts w:hint="default" w:ascii="Times New Roman" w:hAnsi="Times New Roman" w:cs="Times New Roman"/>
                <w:color w:val="auto"/>
              </w:rPr>
              <w:t>本项目为锂矿采选项目，</w:t>
            </w:r>
            <w:r>
              <w:rPr>
                <w:rFonts w:hint="eastAsia" w:cs="Times New Roman"/>
                <w:color w:val="auto"/>
                <w:lang w:val="en-US" w:eastAsia="zh-CN"/>
              </w:rPr>
              <w:t>位于工业园区内，本项目建成有利于推动全市工业发展。</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区域突出生态环境问题</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（1）水环境方面：大渡河、青衣江等良好水体保护责任重大，水环境治理成果仍不稳固，岷江干流枯水期存在水质波动问题，茫溪河、泥溪河等小流域尚未实现稳定达标，自然湿地与自然岸线保护需持续推进。</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大气环境方面：乐山中心城区空气质量尚未实现达标，市中区、沙湾区、五通桥区、井研县、夹江县、犍为县等区县空气质量未实现达标，主要超标因子均为细颗粒物；细颗粒物与臭氧协同控制形势严峻，实现全市全面稳定达标的形势依然严峻。</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（3）固体废物处置利用方面：一般工业固体废物、危险废物产生量较大，一般工业固体废物综合利用率不高，建筑垃圾等资源化利用水平仍需提升，部分区县生活垃圾未实现焚烧处置。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产业结构方面：工业结构以钢铁、水泥、化工等高耗能、高排放行业为主，以煤炭为主的化石能源消费大，大气污染物排放量、碳排放总量和强度居全省前列。交通运输结构以公路运输为主，水运、铁路货运、管道运输等绿色运输占比较低。</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5）产业布局方面：重化工业“围城”、沿江沿河化工布局等问题未得到根本解决，城区周边的陶瓷、化工、钢铁、水泥等高污染行业对城市环境空气质量影响明显，需进一步协调工业布局与城镇化发展的关系。</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（6）农村环境方面：农村生活污水治理率和生活垃圾收集率仍需提升。</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7）环境基础设施方面：城镇污水管网收集率需进一步提升，部分城镇污水处理厂进水浓度低，深度处理和中水利用设施建设需进一步加快；工业园区污水处理、固废处置利用等配套基础设施不完善，危险废物、一般工业固体废物综合利用设施和生活污泥安全处置等能力不足。</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default" w:ascii="Times New Roman" w:hAnsi="Times New Roman" w:cs="Times New Roman"/>
                <w:color w:val="auto"/>
              </w:rPr>
              <w:t>本项目生活污水排放至园区污水处理厂（乐山沙湾经济开发区污水处理厂），执行《四川省岷江、沱江流域水污染物排放标准》（DB51 /2311-2016），本项目生产废水不外排。</w:t>
            </w:r>
          </w:p>
          <w:p>
            <w:pPr>
              <w:pStyle w:val="36"/>
              <w:adjustRightInd w:val="0"/>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）根据沙湾区《2024年乐山市沙湾区环境质量报告书》，项目所在区域为达标区。</w:t>
            </w:r>
            <w:r>
              <w:rPr>
                <w:rFonts w:hint="default" w:ascii="Times New Roman" w:hAnsi="Times New Roman" w:cs="Times New Roman"/>
                <w:color w:val="auto"/>
              </w:rPr>
              <w:t>本项目严格落实减排计划，实施大气污染物双倍替代削减要求，减少对环境空气质量的影响。</w:t>
            </w:r>
          </w:p>
          <w:p>
            <w:pPr>
              <w:pStyle w:val="36"/>
              <w:adjustRightInd w:val="0"/>
              <w:rPr>
                <w:rFonts w:hint="default" w:ascii="Times New Roman" w:hAnsi="Times New Roman" w:eastAsia="宋体" w:cs="Times New Roman"/>
                <w:color w:val="auto"/>
                <w:lang w:val="en-US"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cs="Times New Roman"/>
                <w:color w:val="auto"/>
              </w:rPr>
              <w:t>本项目危险废物暂存于危废间，不乱存乱放，能有效防止环境风险发生。</w:t>
            </w:r>
            <w:r>
              <w:rPr>
                <w:rFonts w:hint="eastAsia" w:cs="Times New Roman"/>
                <w:color w:val="auto"/>
                <w:lang w:val="en-US" w:eastAsia="zh-CN"/>
              </w:rPr>
              <w:t>本项目一般工业固体沉淀池沉渣回用于生产、尾矿、黑砂外售陶瓷企业综合利用、废滤袋由厂家更换时回收、布袋收尘回用于生产、废布袋由厂家更换时回收、废包装材料外售废品回收站、生活垃圾由环卫部门清运。本项目采用预处理池处理生活污水，预处理池污泥定期清掏交由环卫部门进行处理。</w:t>
            </w:r>
          </w:p>
          <w:p>
            <w:pPr>
              <w:pStyle w:val="36"/>
              <w:adjustRightInd w:val="0"/>
              <w:rPr>
                <w:rFonts w:hint="default" w:ascii="Times New Roman" w:hAnsi="Times New Roman" w:eastAsia="宋体" w:cs="Times New Roman"/>
                <w:color w:val="auto"/>
                <w:lang w:val="en-US" w:eastAsia="zh-CN"/>
              </w:rPr>
            </w:pPr>
            <w:r>
              <w:rPr>
                <w:rFonts w:hint="eastAsia" w:cs="Times New Roman"/>
                <w:color w:val="auto"/>
                <w:lang w:eastAsia="zh-CN"/>
              </w:rPr>
              <w:t>（</w:t>
            </w:r>
            <w:r>
              <w:rPr>
                <w:rFonts w:hint="eastAsia" w:cs="Times New Roman"/>
                <w:color w:val="auto"/>
                <w:lang w:val="en-US" w:eastAsia="zh-CN"/>
              </w:rPr>
              <w:t>4</w:t>
            </w:r>
            <w:r>
              <w:rPr>
                <w:rFonts w:hint="eastAsia" w:cs="Times New Roman"/>
                <w:color w:val="auto"/>
                <w:lang w:eastAsia="zh-CN"/>
              </w:rPr>
              <w:t>）</w:t>
            </w:r>
            <w:r>
              <w:rPr>
                <w:rFonts w:hint="default" w:ascii="Times New Roman" w:hAnsi="Times New Roman" w:cs="Times New Roman"/>
                <w:color w:val="auto"/>
              </w:rPr>
              <w:t>本项目不属于钢铁、水泥、化工等高耗能、高排放行业，不属于陶瓷、化工、钢铁、水泥等高污染行业。</w:t>
            </w:r>
            <w:r>
              <w:rPr>
                <w:rFonts w:hint="eastAsia" w:cs="Times New Roman"/>
                <w:color w:val="auto"/>
                <w:lang w:val="en-US" w:eastAsia="zh-CN"/>
              </w:rPr>
              <w:t>本项目生产设备均采用电作为能源，对减少碳排放有积极作用。</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总体管控要求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（1）对化工、钢铁、水泥、陶瓷、造纸、铁合金、砖瓦等重点产业提出严格资源环境绩效水平要求；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（2）禁止在长江干支流岸线一公里范围内新建、扩建化工园区和化工项目；鼓励现有化工企业逐步搬入合规园区；</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（3）按照“一总部五基地”工业总体布局，推进城区以及布局不合理的高排放、高能耗企业“退城入园”，引导企业在搬迁改造中压减低端、低效、负效产能；</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（4）严格控制高排放、高能耗项目准入；严格执行能源消费总量和强度双控制度；严格执行煤炭消费总量控制要求;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（5）引进项目应符合园区规划环评和区域产业准入清单要求；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（6）深化成都平原、川南、川东北地区大气污染联防联控工作机制，加强川渝地区联防联控。强化重污染天气区域应急联动机制，深化区域重污染天气联合应对；</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（7）现有处理规模大于1000吨/日的城镇生活污水处理厂，以及存栏量≥300头猪、粪污经处理后向环境排放的畜禽养殖场，应执行《四川省岷江、沱江流域水污染物排放标准》（DB51/2311-2016）相关要求；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8）市中区、五通桥区、沙湾区、犍为县、井研县、夹江县、峨眉山市的现有企业执行相应行业以及锅炉大气污染物排放标准中颗粒物、二氧化硫、氮氧化物和挥发性有机物特别排放限值和特别控制要求。全市燃煤锅炉稳定达到超低排放限值要求，烟粉尘低于10毫克/立方米，二氧化硫低于35毫克/立方米，氮氧化物低于50毫克/立方米；</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9）严禁新增钢铁、电力、水泥、玻璃、砖瓦、陶瓷、焦化、电解铝、有色等重点行业大气污染物排放。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eastAsia" w:ascii="Times New Roman" w:hAnsi="Times New Roman" w:eastAsia="宋体" w:cs="Times New Roman"/>
                <w:color w:val="auto"/>
                <w:lang w:eastAsia="zh-CN"/>
              </w:rPr>
            </w:pPr>
            <w:r>
              <w:rPr>
                <w:rFonts w:hint="eastAsia" w:cs="Times New Roman"/>
                <w:color w:val="auto"/>
                <w:lang w:val="en-US" w:eastAsia="zh-CN"/>
              </w:rPr>
              <w:t>本项目不属于化工、钢铁、水泥、陶瓷、造纸、铁合金、砖瓦等重点产业。</w:t>
            </w:r>
            <w:r>
              <w:rPr>
                <w:rFonts w:hint="default" w:ascii="Times New Roman" w:hAnsi="Times New Roman" w:cs="Times New Roman"/>
                <w:color w:val="auto"/>
              </w:rPr>
              <w:t>本项目符合园区规划环评和区域产业准入清单要求。本项目颗粒物有组织排放浓度参照执行《乐山市打赢蓝天保卫战实施方案》要求和《四川省重污染天气金属表面处理及热处理加工等10个行业应急减排措施制定技术指南》中“二、矿石采选与石材加工”的B级要求（排放浓度＜10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kern w:val="21"/>
                <w:lang w:bidi="ar"/>
              </w:rPr>
              <w:t>本项目有组织颗粒物排放浓度执行1</w:t>
            </w:r>
            <w:r>
              <w:rPr>
                <w:rFonts w:hint="default" w:ascii="Times New Roman" w:hAnsi="Times New Roman" w:cs="Times New Roman"/>
                <w:color w:val="auto"/>
                <w:kern w:val="21"/>
              </w:rPr>
              <w:t>0mg/m</w:t>
            </w:r>
            <w:r>
              <w:rPr>
                <w:rFonts w:hint="default" w:ascii="Times New Roman" w:hAnsi="Times New Roman" w:cs="Times New Roman"/>
                <w:color w:val="auto"/>
                <w:kern w:val="21"/>
                <w:vertAlign w:val="superscript"/>
              </w:rPr>
              <w:t>3</w:t>
            </w:r>
            <w:r>
              <w:rPr>
                <w:rFonts w:hint="default" w:ascii="Times New Roman" w:hAnsi="Times New Roman" w:cs="Times New Roman"/>
                <w:color w:val="auto"/>
                <w:kern w:val="21"/>
              </w:rPr>
              <w:t>，厂界无组织</w:t>
            </w:r>
            <w:r>
              <w:rPr>
                <w:rFonts w:hint="default" w:ascii="Times New Roman" w:hAnsi="Times New Roman" w:cs="Times New Roman"/>
                <w:color w:val="auto"/>
                <w:kern w:val="21"/>
                <w:lang w:bidi="ar"/>
              </w:rPr>
              <w:t>颗粒物</w:t>
            </w:r>
            <w:r>
              <w:rPr>
                <w:rFonts w:hint="default" w:ascii="Times New Roman" w:hAnsi="Times New Roman" w:cs="Times New Roman"/>
                <w:color w:val="auto"/>
                <w:kern w:val="21"/>
              </w:rPr>
              <w:t>排放浓度</w:t>
            </w:r>
            <w:r>
              <w:rPr>
                <w:rFonts w:hint="default" w:ascii="Times New Roman" w:hAnsi="Times New Roman" w:cs="Times New Roman"/>
                <w:color w:val="auto"/>
                <w:kern w:val="21"/>
                <w:lang w:bidi="ar"/>
              </w:rPr>
              <w:t>执行</w:t>
            </w:r>
            <w:r>
              <w:rPr>
                <w:rFonts w:hint="default" w:ascii="Times New Roman" w:hAnsi="Times New Roman" w:cs="Times New Roman"/>
                <w:color w:val="auto"/>
                <w:kern w:val="21"/>
              </w:rPr>
              <w:t>0.5mg/m</w:t>
            </w:r>
            <w:r>
              <w:rPr>
                <w:rFonts w:hint="default" w:ascii="Times New Roman" w:hAnsi="Times New Roman" w:cs="Times New Roman"/>
                <w:color w:val="auto"/>
                <w:kern w:val="21"/>
                <w:vertAlign w:val="superscript"/>
              </w:rPr>
              <w:t>3</w:t>
            </w:r>
            <w:r>
              <w:rPr>
                <w:rFonts w:hint="default" w:ascii="Times New Roman" w:hAnsi="Times New Roman" w:cs="Times New Roman"/>
                <w:color w:val="auto"/>
                <w:kern w:val="21"/>
              </w:rPr>
              <w:t>。</w:t>
            </w:r>
            <w:r>
              <w:rPr>
                <w:rFonts w:hint="eastAsia" w:cs="Times New Roman"/>
                <w:color w:val="auto"/>
                <w:lang w:val="en-US" w:eastAsia="zh-CN"/>
              </w:rPr>
              <w:t>本项目生产设备均采用电作为能源，对减少碳排放有积极作用</w:t>
            </w:r>
            <w:r>
              <w:rPr>
                <w:rFonts w:hint="eastAsia" w:cs="Times New Roman"/>
                <w:color w:val="auto"/>
                <w:kern w:val="21"/>
                <w:lang w:eastAsia="zh-CN"/>
              </w:rPr>
              <w:t>。</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空间布局约束</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生态保护红线内自然保护地核心保护区外，禁止开发性、生产性建设活动，在符合法律法规的前提下，仅允许《关于加强生态保护红线管理的通知（试行）》（自然资发〔2022〕142号）中规定的十类对生态功能不造成破坏的有限人为活动。生态保护红线内自然保护区、风景名胜区、饮用水水源保护区等区域，依照法律法规执行。</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一般生态空间禁止开发建设活动的要求：一般生态空间按限制开发区域的要求进行管理，原则上不再新建各类开发区和扩大现有工业园区面积。涉及相关保护地的，按照现行法律法规进行管控。</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本项目不涉及生态保护红线。本项目不新建各类开发区和扩大现有工业园区面积。</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自然保护区禁止开发建设活动的要求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禁止任何人进入自然保护区的核心区。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禁止在自然保护区的缓冲区开展旅游和生产经营活动。因教学科学研的目的，需要进入自然保护区的缓冲区从事非破坏性的科学研究、教学实习和标本采集活动的，应当事先向自然保护区管理机构提交申请和活动计划，经自然保护区管理机构批准。（2）禁止在自然保护区内进行砍伐、放牧、狩猎、捕捞、采药、开垦、烧荒、开矿、采石、挖沙等活动（法律、行政法规另有规定除外）。在自然保护区的核心区和缓冲区内，禁止建设任何生产设施。在自然保护区的实验区内，不得建设污染环境、破坏资源或者景观的生产设施；建设其他项目，其污染物排放不得超过国家和地方规定的污染物排放标准。（3）自然保护区的内部未分区的，依照上述有关核心区和缓冲区的规定管理。（4）禁止在自然保护区核心区、缓冲区的岸线和河段范围内投资建设旅游和生产经营项目。</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本项目不涉及自然保护区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风景名胜区禁止开发建设活动的要求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禁止开山、采石、开矿、开荒、修坟立碑等破坏景观、植被和地形地貌的活动；（2）禁止违反风景名胜区规划，在风景名胜区内设立各类开发区和在核心景区内建设宾馆、招待所、培训中心、疗养院以及与风景名胜资源保护无关的其他建筑物；已经建设的，应当按照风景名胜区规划，逐步迁出；（3）禁止风景名胜区内修建储存或者输送爆炸性、易燃性、放射性、毒害性、腐蚀性物品等危险品的设施，或者其他破坏景观、污染环境、妨碍游览和危害风景名胜区生态、公共安全的建筑物和构筑物。在风景名胜区及其外围保护地带内，不得设立开发区、度假区，不得建设破坏景观、污染环境的工矿企业和其他项目、设施。在游人集中的游览区和自然环境保留地内，不得建设旅馆、招待所、休疗养机构、生活区以及其他影响观瞻或污染环境的工程设施。在重要景点上，除必需的保护设施外，不得兴建其他工程设施。（4）禁止超过风景名胜区总体规划确定的容量接待游客。</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本项目不涉及风景名胜区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世界自然遗产地禁止开发建设活动的要求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其他损害或者破坏世界遗产真实性和完整性的行为。（2）擅自出让或者变相出让世界遗产资源；非法砍伐林木、采挖野生植物、损害古树名木，毁林开垦、毁林采种、砍柴以及违反操作技术规程采脂、挖笋、掘根、剥树皮、过度修枝等毁林行为；非法猎捕野生动物；擅自引进外来植物和动物物种；擅自改变水系自然环境现状；敞放牲畜、违法放牧，建设畜禽养殖场、养殖小区。（3）非法猎捕野生动物，破坏野生动物栖息地；新建水电站或者擅自从事引水、截水、蓄水等改变水系自然环境现状的活动</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本项目不涉及世界自然遗产地</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饮用水水源保护区禁止开发建设活动的要求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在饮用水水源保护区内，禁止设置排污口。禁止在饮用水水源一级保护区内新建、改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禁止在饮用水水源二级保护区内新建、改建、扩建排放污染物的建设项目；已建成的排放污染物的建设项目，由县级以上人民政府责令拆除或者关闭。除《乐山市集中式饮用水水源保护管理条例》第十四条第二款规定的收集污水并外输的管道外，集中式饮用水水源二级保护区内禁止铺设输送污水、油类、有毒有害物质的管道。禁止在饮用水水源准保护区内新建、扩建对水体污染严重的建设项目；改建建设项目，不得增加排污量；禁止建设畜禽养殖场、养殖小区；禁止设置化工原料、矿物油类及有毒有害矿产品的贮存场所，以及工业固体废物和危险废物的堆放、转运、贮存、处置的设施、场所。（2）地下水饮用水水源一级保护区内，禁止建设与取水设施无关的建筑物或者构筑物；禁止设置排污口。二级保护区内禁止新建、改建、扩建排放污染物的建设项目；准保护区内禁止设置化工原料、矿物油类及有毒有害矿产品的贮存场所，以及生活垃圾、工业固体废物和危险废物的堆放场所和转运站。（3）集中式饮用水水源保护区、准保护区内人口集中地区的生活污水应当统一收集，并在保护区和准保护区外达标排放，禁止未经处理直接排放。（4）集中式饮用水水源保护区、准保护区内不符合法律、法规和本条例规定的已建成和在建的建设项目、设施、场所、建（构）筑物和排污口，由市、县（市、区）人民政府组织有关部门依法搬迁、拆除或者关闭，并按照规定组织实施生态修复。</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不涉及</w:t>
            </w:r>
            <w:r>
              <w:rPr>
                <w:rFonts w:hint="default" w:ascii="Times New Roman" w:hAnsi="Times New Roman" w:cs="Times New Roman"/>
                <w:color w:val="auto"/>
              </w:rPr>
              <w:t>饮用水水源保护区内</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森林公园禁止开发建设活动的要求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default" w:ascii="Times New Roman" w:hAnsi="Times New Roman" w:cs="Times New Roman"/>
                <w:color w:val="auto"/>
              </w:rPr>
              <w:t>禁止擅自在国家级森林自然公园内从事采矿、房地产、开发区、高尔夫球场、风力光伏电场等不符合管控要求的开发活动。</w:t>
            </w: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default" w:ascii="Times New Roman" w:hAnsi="Times New Roman" w:cs="Times New Roman"/>
                <w:color w:val="auto"/>
              </w:rPr>
              <w:t>禁止违规侵占国家级森林自然公园，排放不符合水污染物排放标准的工业废水、生活污水及其他的废水、污水，倾倒、堆放、丢弃、遗撒固体废物等污染生态环境的行为。</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本项目不涉及森林公园</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地质公园禁止开发建设活动的要求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（1）禁止在保护区内及可能对地质遗迹造成影响的一定范围内进行采石、取土、开矿、放牧、砍伐以及其它对保护对象有损害的活动。未经管理机构批准，禁止在保护区范围内采集标本和化石。</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（2）禁止在保护区内修建与地质遗迹保护无关的厂房或其他建筑设施。（3）除必要的保护和附属设施外，禁止其他任何生产建设活动。</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本项目不涉及地质公园</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基本农田禁止开发建设活动的要求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永久基本农田，实行严格保护，除法律规定的重点建设项目选址确实无法避让外，其他任何建设不得占用。（2）在永久基本农田集中区域，不得新建可能造成土壤污染的建设项目；已经建成的，应当限期关闭拆除。（3）基本农田保护区经依法划定后，任何单位和个人不得改变或者占用。禁止任何单位和个人在基本农田保护区内建窑、建房、建坟、挖砂、采石、采矿、取土、堆放固体废弃物或者进行其他破坏基本农田的活动。禁止占用基本农田发展林果业和挖塘养鱼。</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本项目不涉及基本农田</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水产种质资源保护区禁止开发建设活动的要求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禁止在水产种质资源保护区内从事围河（湖）造田、造地工程。（2）禁止在水产种质资源保护区内新建排污口。（3）水产种质资源保护区核心区的特别保护区全年实行封闭式保护，禁止从事捕捞、爆破作业以及其他可能对保护区内生物资源和生态环境造成损害的活动。（4）国家级水产种质资源保护区核心区范围内禁止开展水产养殖，经相关部门审批后可合理开展以改良水质为目的水生动植物的自然增殖活动。（5）四川省境内水产种质资源保护区实行全年禁渔。（6）禁止在水产种质资源保护区内从事捕捞、垂钓、挖砂采石以及其他可能对保护区内生物资源和生态环境造成损害的活动。</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本项目不涉及水产种质资源保护区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优先保护岸线禁止开发建设活动的要求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禁止在长江干支流岸线一公里范围内新建、扩建化工园区和化工项目；禁止在长江重要支流岸线一公里范围内新建、改建、扩建尾矿库（以提升安全、生态环境保护水平为目的的改建除外）。（2）禁止在河道、湖泊管理范围内建设妨碍行洪的建筑物、构筑物，倾倒垃圾、渣土，从事影响河势稳定、危害河岸堤防安全和其他妨碍河道行洪的活动。禁止在行洪河道内种植阻碍行洪的林木和高秆作物。（3）风景名胜区内的岸线保护区禁止建设违反风景名胜区规划以及与风景名胜资源保护无关的项目；水产种质资源保护区内的岸线保护区禁止围垦和建设排污口。湿地范围内的岸线保护区禁止建设破坏湿地及其生态功能的项目；国家湿地公园等生态敏感区内的岸线保留区禁止建设影响其保护目标的项目。（4）加强滨水岸线管控，禁止沿江设置废弃渣土场、砂石堆场、砂石码头，现有设施限期整治；严禁新建危险化学品仓储设施。（5）严格危化品港口建设项目审批管理。</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本项目不涉及优先保护岸线</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水土保持功能重要区、水土流失敏感区禁止开发建设活动的要求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（1）禁止在二十五度以上陡坡地开垦种植农作物。禁止过度放牧。禁止在崩塌、滑坡危险区和泥石流易发区从事取土、挖砂、采石等可能造成水土流失的活动。</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（2）禁止毁林、毁草开垦和采集发菜。（3）禁止在长江流域水土流失严重、生态脆弱的区域开展可能造成水土流失的生产建设活动。确因国家发展战</w:t>
            </w:r>
            <w:r>
              <w:rPr>
                <w:rFonts w:hint="eastAsia" w:cs="Times New Roman"/>
                <w:color w:val="auto"/>
                <w:lang w:eastAsia="zh-CN"/>
              </w:rPr>
              <w:t>本部分涉密</w:t>
            </w:r>
            <w:r>
              <w:rPr>
                <w:rFonts w:hint="default" w:ascii="Times New Roman" w:hAnsi="Times New Roman" w:cs="Times New Roman"/>
                <w:color w:val="auto"/>
              </w:rPr>
              <w:t>和国计民生需要建设的，应当经科学论证，并依法办理审批手续。</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本项目不涉及水土保持功能重要区、水土流失敏感区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水源涵养重要区禁止开发建设活动的要求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禁止导致水体污染的产业发展；（2）禁止各种损害生态系统水源涵养功能的经济社会活动和生产方式，如无序采矿、毁林开荒、湿地和草地开垦、过度放牧等；（3）禁止高水资源消耗产业在水源涵养生态功能区布局。</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本项目不涉及水源涵养重要区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水源涵养重要区限制开发建设活动的要求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（1）坚持自然恢复为主，严格限制在水源涵养区大规模人工造林；（2）严格控制载畜量，实行以草定蓄</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本项目不涉及水源涵养重要区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生物多样性维护重要区禁止开发建设活动的要求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维护生物多样性，禁止对野生动植物进行滥捕、乱采、乱猎。（2）加强对外来物种入侵的控制，禁止在生物多样性保护功能区引进外来有害物种。（3）禁止各种损害栖息地的经济社会活动和生产方式，如无序采矿、毁林开荒、湿地和草地开垦等。防止生态建设导致栖息环境的改变。</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（4）禁止生物多样性维护生态功能区的大规模水电开发和林纸一体化产业发展。</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禁止在生态保护红线区域、永久基本农田集中区域和其他需要特别保护的区域内选址建设尾矿库、冶炼渣库磷石膏库。</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以上自然保护地为截至2023年6月的自然保护地整合优化预案数据，最终名称、范围等以国家正式批复为准。一般生态空间限制开发建设活动的要求：一般生态空间内已有的工业开发区要逐步改造成为低能耗、可循环的生态型工业区。涉及相关保护地的，按照现行法律法规进行管控。</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本项目不涉及生物多样性维护重要区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自然保护区限制开发建设活动的要求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（1）严格限制在长江流域自然保护地水域实施航道整治工程；确需整治的</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应当经科学论证，并依法办理相关手续。（2）在自然保护区的实验区内开展参观、旅游活动的，由自然保护区管理机构编制方案，方案应当符合自然保护区管理目标。严禁开设与自然保护区保护方向不一致的参观、旅游项目。</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本项目不涉及自然保护区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森林公园限制开发建设活动的要求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default" w:ascii="Times New Roman" w:hAnsi="Times New Roman" w:cs="Times New Roman"/>
                <w:color w:val="auto"/>
              </w:rPr>
              <w:t>国家级森林自然公园按照一般控制区管理。</w:t>
            </w: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default" w:ascii="Times New Roman" w:hAnsi="Times New Roman" w:cs="Times New Roman"/>
                <w:color w:val="auto"/>
              </w:rPr>
              <w:t>国家级森林自然公园范围内除国家重大项目外，仅允许对生态功能不造成破坏的有限人为活动：</w:t>
            </w:r>
            <w:r>
              <w:rPr>
                <w:rFonts w:hint="eastAsia" w:cs="Times New Roman"/>
                <w:color w:val="auto"/>
                <w:lang w:val="en-US" w:eastAsia="zh-CN"/>
              </w:rPr>
              <w:t>①</w:t>
            </w:r>
            <w:r>
              <w:rPr>
                <w:rFonts w:hint="default" w:ascii="Times New Roman" w:hAnsi="Times New Roman" w:cs="Times New Roman"/>
                <w:color w:val="auto"/>
              </w:rPr>
              <w:t>自然公园内居民和其他合法权益主体依法依规开展的生产生活及设施建设。</w:t>
            </w:r>
            <w:r>
              <w:rPr>
                <w:rFonts w:hint="eastAsia" w:cs="Times New Roman"/>
                <w:color w:val="auto"/>
                <w:lang w:val="en-US" w:eastAsia="zh-CN"/>
              </w:rPr>
              <w:t>②</w:t>
            </w:r>
            <w:r>
              <w:rPr>
                <w:rFonts w:hint="default" w:ascii="Times New Roman" w:hAnsi="Times New Roman" w:cs="Times New Roman"/>
                <w:color w:val="auto"/>
              </w:rPr>
              <w:t>符合自然公园保护管理要求的文化、体育活动和必要的配套设施建设。</w:t>
            </w:r>
            <w:r>
              <w:rPr>
                <w:rFonts w:hint="eastAsia" w:cs="Times New Roman"/>
                <w:color w:val="auto"/>
                <w:lang w:val="en-US" w:eastAsia="zh-CN"/>
              </w:rPr>
              <w:t>③</w:t>
            </w:r>
            <w:r>
              <w:rPr>
                <w:rFonts w:hint="default" w:ascii="Times New Roman" w:hAnsi="Times New Roman" w:cs="Times New Roman"/>
                <w:color w:val="auto"/>
              </w:rPr>
              <w:t>符合生态保护红线管控要求的其他活动和设施建设。</w:t>
            </w:r>
            <w:r>
              <w:rPr>
                <w:rFonts w:hint="eastAsia" w:cs="Times New Roman"/>
                <w:color w:val="auto"/>
                <w:lang w:val="en-US" w:eastAsia="zh-CN"/>
              </w:rPr>
              <w:t>④</w:t>
            </w:r>
            <w:r>
              <w:rPr>
                <w:rFonts w:hint="default" w:ascii="Times New Roman" w:hAnsi="Times New Roman" w:cs="Times New Roman"/>
                <w:color w:val="auto"/>
              </w:rPr>
              <w:t>法律法规和国家政策允许在自然公园内开展的其他活动。</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本项目不涉及森林公园</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湿地公园</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在湿地范围内从事旅游、种植、畜牧、水产养殖、航运等利用活动，应当避免改变湿地的自然状况，并采取措施减轻对湿地生态功能的不利影响。（2）地方各级人民政府应当严格控制河流源头和蓄滞洪区、水土流失严重区等区域的湿地开发利用活动，减轻对湿地及其生物多样性的不利影响。（3）地方各级人民政府对省级重要湿地和一般湿地利用活动进行分类指导，鼓励单位和个人开展符合湿地保护要求的生态旅游、生态农业、生态教育、自然体验等活动，适度控制种植养殖等湿地利用规模。（4）国家级湿地自然公园按照一般控制区管理。（5）国家级湿地自然公园范围内除国家重大项目外，仅允许对生态功能不造成破坏的有限人为活动：①自然公园内居民和其他合法权益主体依法依规开展的生产生活及设施建设。②符合自然公园保护管理要求的文化、体育活动和必要的配套设施建设。③符合生态保护红线管控要求的其他活动和设施建设。④法律法规和国家政策允许在自然公园内开展的其他活动。</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本项目不涉及湿地公园</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基本农田限制开发建设活动的要求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（1）国家重大战</w:t>
            </w:r>
            <w:r>
              <w:rPr>
                <w:rFonts w:hint="eastAsia" w:cs="Times New Roman"/>
                <w:color w:val="auto"/>
                <w:lang w:eastAsia="zh-CN"/>
              </w:rPr>
              <w:t>本部分涉密</w:t>
            </w:r>
            <w:r>
              <w:rPr>
                <w:rFonts w:hint="default" w:ascii="Times New Roman" w:hAnsi="Times New Roman" w:cs="Times New Roman"/>
                <w:color w:val="auto"/>
              </w:rPr>
              <w:t>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本项目不涉及基本农田</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优先保护岸线限制开发建设活动的要求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加强滨水岸线管控，以生态保护为主基调，加快推进生态修复工作进程，不得新建与环保无关、除必要交通、水利等基础设施外的其他项目；上述项目须经充分论证，按照相关法律法规要求并履行相关许可程序后，方可开发建设。（2）长江流域河道采砂应当依法取得国务院水行政主管部门有关流域管理机构或者县级以上地方人民政府水行政主管部门的许可。严格控制采砂区域、采砂总量和采砂区域内的采砂船舶数量</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本项目不涉及滨水岸线、长江流域河道采砂</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水土保持功能重要区、水土流失敏感区限制开发建设活动的要求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（1）限制陡坡垦殖和超载过牧。加强对能源和矿产资源开发及建设项目的监管，加大矿山环境整治和生态修复力度。（2）限制土地资源高消耗产业在水土保持生态功能区发展。</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本项目不涉及水土保持功能重要区、水土流失敏感区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生物多样性维护重要区限制开发建设活动的要求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生物多样性维护重要区在不损害生态系统功能的前提下，可因地制宜地适度发展旅游、农林产品生产和加工、观光休闲农业等产业。</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以上自然保护地为截至2023年6月的自然保护地整合优化预案数据，最终名称、范围等以国家正式批复为准。已有矿业权与生态保护红线、自然保护地等禁止或限制开发区域重叠的，要按相关要求主动退出或避让。</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对现有不符合要求和规划、造成污染或破坏的设施，应限期治理或退出。涉及相关保护地的，按照现行法律法规进行管控。</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本项目不涉及生物多样性维护重要区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优先保护岸线不符合空间布局要求活动的退出要求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岷江岸线1公里范围内不准新增化工园区，依法淘汰取缔违法违规工业园区。（2）对存在违法违规排污问题的化工企业（特别是位于岷江、青衣江、大渡河岸线延伸陆域1公里范围内的化工企业）和废水超标排放的化工园区限期整改，整改后仍不能达到要求的依法责令关闭。（3）岷江岸线延伸至陆域200米范围内基本消除畜禽养殖场（小区）。</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本项目位于乐山（沙湾）不锈钢产业园区，不属于化工园区，本项目不属于畜禽养殖场（小区）。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自然保护区不符合扩建布局要求活动的退出要求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（1）划入自然保护地核心保护区的永久基本农田，依法有序退出并予以补划。（2）自然保护区核心区内原有居民确有必要迁出的，由自然保护区所在地的县级以上地方人民政府制定方案，予以妥善安置。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水产种质资源保护区不符合空间布局要求活动的退出要求：（1）对不符合要求和规划、造成污染或破坏的设施，应限期治理或退出。</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以上自然保护地为截至2023年6月的自然保护地整合优化预案数据，最终名称、范围等以国家正式批复为准。水产种质资源保护区允许开发建设活动的要求：（1）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2）在水产种质资源保护区附近新建、改建、扩建排污口，应当保证保护区水体不受污染。</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以上自然保护地为截至2023年6月的自然保护地整合优化预案数据，最终名称、范围等以国家正式批复为准。</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本项目不涉及自然保护区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沙湾区</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空间布局约束</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禁止开发建设活动的要求: 禁止在长江干支流岸线一公里范围内新建、扩建化工园区和化工项目。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限制开发建设活动的要求: 1.优化调整产业结构，严格高排放、高能耗项目环境准入要求；2.禁止违规新增钢铁、水泥等行业产能。</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允许开发建设活动的要求: 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不符合空间布局要求活动的退出要求: /</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其他空间布局约束要求: /</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本项目位于乐山（沙湾）不锈钢产业园区，不属于</w:t>
            </w:r>
            <w:r>
              <w:rPr>
                <w:rFonts w:hint="eastAsia" w:cs="Times New Roman"/>
                <w:color w:val="auto"/>
                <w:lang w:val="en-US" w:eastAsia="zh-CN"/>
              </w:rPr>
              <w:t>化工</w:t>
            </w:r>
            <w:r>
              <w:rPr>
                <w:rFonts w:hint="default" w:ascii="Times New Roman" w:hAnsi="Times New Roman" w:cs="Times New Roman"/>
                <w:color w:val="auto"/>
              </w:rPr>
              <w:t>园区。本项目不属于高排放、高能耗项目。本项目不属于钢铁、水泥行业。</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现有源提标升级改造:1.加强区域大气污染治理，禁止违规新增钢铁、水泥等行业产能，推动大气深度治理改造；执行大气污染物特别排放限值。2.加强非金属矿山生态环境保护，系统推进矿山生态保护修复。</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新增源等量或倍量替代：暂无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新增源排放标准限值：暂无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污染物排放绩效水平准入要求：暂无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其他污染物排放管控要求：1.加强城乡生态环境保护基础设施建设；2.纸浆造纸行业参考执行其行业资源环境绩效指标准入要求</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本项目不属于钢铁、水泥、矿山、纸浆造纸行业。</w:t>
            </w:r>
            <w:r>
              <w:rPr>
                <w:rFonts w:hint="default" w:ascii="Times New Roman" w:hAnsi="Times New Roman" w:cs="Times New Roman"/>
                <w:color w:val="auto"/>
                <w:kern w:val="21"/>
                <w:lang w:bidi="ar"/>
              </w:rPr>
              <w:t>本项目有组织颗粒物排放浓度执行1</w:t>
            </w:r>
            <w:r>
              <w:rPr>
                <w:rFonts w:hint="default" w:ascii="Times New Roman" w:hAnsi="Times New Roman" w:cs="Times New Roman"/>
                <w:color w:val="auto"/>
                <w:kern w:val="21"/>
              </w:rPr>
              <w:t>0mg/m</w:t>
            </w:r>
            <w:r>
              <w:rPr>
                <w:rFonts w:hint="default" w:ascii="Times New Roman" w:hAnsi="Times New Roman" w:cs="Times New Roman"/>
                <w:color w:val="auto"/>
                <w:kern w:val="21"/>
                <w:vertAlign w:val="superscript"/>
              </w:rPr>
              <w:t>3</w:t>
            </w:r>
            <w:r>
              <w:rPr>
                <w:rFonts w:hint="default" w:ascii="Times New Roman" w:hAnsi="Times New Roman" w:cs="Times New Roman"/>
                <w:color w:val="auto"/>
                <w:kern w:val="21"/>
              </w:rPr>
              <w:t>，厂界无组织</w:t>
            </w:r>
            <w:r>
              <w:rPr>
                <w:rFonts w:hint="default" w:ascii="Times New Roman" w:hAnsi="Times New Roman" w:cs="Times New Roman"/>
                <w:color w:val="auto"/>
                <w:kern w:val="21"/>
                <w:lang w:bidi="ar"/>
              </w:rPr>
              <w:t>颗粒物</w:t>
            </w:r>
            <w:r>
              <w:rPr>
                <w:rFonts w:hint="default" w:ascii="Times New Roman" w:hAnsi="Times New Roman" w:cs="Times New Roman"/>
                <w:color w:val="auto"/>
                <w:kern w:val="21"/>
              </w:rPr>
              <w:t>排放浓度</w:t>
            </w:r>
            <w:r>
              <w:rPr>
                <w:rFonts w:hint="default" w:ascii="Times New Roman" w:hAnsi="Times New Roman" w:cs="Times New Roman"/>
                <w:color w:val="auto"/>
                <w:kern w:val="21"/>
                <w:lang w:bidi="ar"/>
              </w:rPr>
              <w:t>执行</w:t>
            </w:r>
            <w:r>
              <w:rPr>
                <w:rFonts w:hint="default" w:ascii="Times New Roman" w:hAnsi="Times New Roman" w:cs="Times New Roman"/>
                <w:color w:val="auto"/>
                <w:kern w:val="21"/>
              </w:rPr>
              <w:t>0.5mg/m</w:t>
            </w:r>
            <w:r>
              <w:rPr>
                <w:rFonts w:hint="default" w:ascii="Times New Roman" w:hAnsi="Times New Roman" w:cs="Times New Roman"/>
                <w:color w:val="auto"/>
                <w:kern w:val="21"/>
                <w:vertAlign w:val="superscript"/>
              </w:rPr>
              <w:t>3</w:t>
            </w:r>
            <w:r>
              <w:rPr>
                <w:rFonts w:hint="default" w:ascii="Times New Roman" w:hAnsi="Times New Roman" w:cs="Times New Roman"/>
                <w:color w:val="auto"/>
                <w:kern w:val="21"/>
              </w:rPr>
              <w:t>。</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环境风险防控</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严格管控类农用地管控要求：暂无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安全利用类农用地管控要求：暂无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污染地块管控要求：暂无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园区环境风险防控要求：暂无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企业环境风险防控要求：暂无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其他环境风险防控要求：加强大渡河良好水体保护，严格控制大渡河流域新建、扩建水环境风险突出项目。</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本项目不属于水环境风险突出项目</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资源开发效率要求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水资源利用效率要求：暂无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地下水开采要求：暂无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能源利用效率要求：暂无</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其他资源利用效率要求：暂无</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区域特点</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暂无</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发展定位与目标</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主动融入先进制造业集聚区建设，打造西南新型建材产业基地。坚持绿色低碳，壮大光电信息、新型建材、食品饮料等产业集群。打造钒钛钢产业集群，做强不锈钢产业集群，建设农产品加工产业园区。乐山（沙湾）不锈钢产业园重点发展高性能不锈钢制品加工、新型建材产业和生产性服务业。钒钛钢铁循环经济产业园重点发展钒钛钢铁循环经济产业，推广高强度建筑钢筋，推动高档次钒钛钢铁产品的开发及环境治理开发。</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本项目位于乐山（沙湾）不锈钢产业园内，不属于园区主导产业</w:t>
            </w:r>
            <w:r>
              <w:rPr>
                <w:rFonts w:hint="eastAsia" w:cs="Times New Roman"/>
                <w:color w:val="auto"/>
                <w:lang w:eastAsia="zh-CN"/>
              </w:rPr>
              <w:t>，</w:t>
            </w:r>
            <w:r>
              <w:rPr>
                <w:rFonts w:hint="eastAsia" w:cs="Times New Roman"/>
                <w:color w:val="auto"/>
                <w:lang w:val="en-US" w:eastAsia="zh-CN"/>
              </w:rPr>
              <w:t>为允许类</w:t>
            </w:r>
            <w:r>
              <w:rPr>
                <w:rFonts w:hint="default" w:ascii="Times New Roman" w:hAnsi="Times New Roman" w:cs="Times New Roman"/>
                <w:color w:val="auto"/>
              </w:rPr>
              <w:t>。</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区域突出生态环境问题</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水环境方面，主要流域枯水期水资源矛盾依旧突出，大渡河等良好水体保护责任重大，小流域污染治理形势严峻，水库富营养化问题依旧突出，自然湿地、岸线保护需持续推进，抗生素、环境激素等新环境问题逐步凸显。大渡河受流域梯级电站开发影响，生态下泄流量不足，环境容量有限，维持Ⅱ类水质任务艰巨。</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大气环境方面，细颗粒物与臭氧协同控制压力巨大，挥发性有机物治理能力依旧薄弱，实现全面稳定达标的形势依然严峻。</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沙湾区属于老工业基地，受市场、资源环境约束趋紧和要素成本上升三重挤压，老工业城市亟需转型升级。产业结构矛盾依旧突出、能源结构不合理（以煤炭为主）、工业布局不合理（紧邻城区，以钢铁冶炼为主）等，严重影响大气环境质量持续改善，园外企业所属行业包括铸造、石灰和石膏制造、粘土砖瓦及建筑砌块制造等。</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eastAsia" w:ascii="Times New Roman" w:hAnsi="Times New Roman" w:eastAsia="宋体" w:cs="Times New Roman"/>
                <w:color w:val="auto"/>
                <w:lang w:eastAsia="zh-CN"/>
              </w:rPr>
            </w:pPr>
            <w:r>
              <w:rPr>
                <w:rFonts w:hint="default" w:ascii="Times New Roman" w:hAnsi="Times New Roman" w:cs="Times New Roman"/>
                <w:color w:val="auto"/>
              </w:rPr>
              <w:t>本项目生活污水排放至园区污水处理厂（乐山沙湾经济开发区污水处理厂），执行《四川省岷江、沱江流域水污染物排放标准》（DB51 /2311-2016），本项目生产废水不外排。本项目严格落实减排计划，实施大气污染物双倍替代削减要求，减少对环境空气质量的影响。本项目位于乐山（沙湾）不锈钢产业园内</w:t>
            </w:r>
            <w:r>
              <w:rPr>
                <w:rStyle w:val="35"/>
                <w:rFonts w:hint="eastAsia" w:cs="Times New Roman"/>
                <w:color w:val="auto"/>
                <w:lang w:eastAsia="zh-CN"/>
              </w:rPr>
              <w:t>。根据沙湾区《2024年乐山市沙湾区环境质量报告书》，项目所在区域为达标区。</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总体管控要求</w:t>
            </w:r>
          </w:p>
        </w:tc>
        <w:tc>
          <w:tcPr>
            <w:tcW w:w="37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（1）优化调整产业结构，严格高污染、高能耗项目环境准入要求；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（2）禁止在长江干支流岸线一公里范围内新建、扩建化工园区和化工项目；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（3）加强区域大气污染治理，禁止违规新增钢铁、水泥等行业产能，推动大气深度治理改造；执行大气污染物特别排放限值；</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（4）加强大渡河良好水体保护，严格控制大渡河流域新建、扩建水环境风险突出项目；加强城乡生态环境保护基础设施建设；</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（5）加强非金属矿山生态环境保护，系统推进矿山生态保护修复。</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（6）纸浆造纸行业参考执行其行业资源环境绩效指标准入要求。</w:t>
            </w:r>
          </w:p>
        </w:tc>
        <w:tc>
          <w:tcPr>
            <w:tcW w:w="1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（1）本项目</w:t>
            </w:r>
            <w:bookmarkStart w:id="17" w:name="_Hlk205459464"/>
            <w:r>
              <w:rPr>
                <w:rFonts w:hint="default" w:ascii="Times New Roman" w:hAnsi="Times New Roman" w:cs="Times New Roman"/>
                <w:color w:val="auto"/>
              </w:rPr>
              <w:t>不属于高污染、高能耗项目；</w:t>
            </w:r>
          </w:p>
          <w:bookmarkEnd w:id="17"/>
          <w:p>
            <w:pPr>
              <w:pStyle w:val="36"/>
              <w:adjustRightInd w:val="0"/>
              <w:rPr>
                <w:rFonts w:hint="default" w:ascii="Times New Roman" w:hAnsi="Times New Roman" w:cs="Times New Roman"/>
                <w:color w:val="auto"/>
              </w:rPr>
            </w:pPr>
            <w:r>
              <w:rPr>
                <w:rFonts w:hint="default" w:ascii="Times New Roman" w:hAnsi="Times New Roman" w:cs="Times New Roman"/>
                <w:color w:val="auto"/>
              </w:rPr>
              <w:t>（2）本项目不涉及；</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（3）本项目不涉及；</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（4）本项目不涉及；</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（5）本项目不涉及；</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（6）本项目不涉及。</w:t>
            </w:r>
          </w:p>
        </w:tc>
        <w:tc>
          <w:tcPr>
            <w:tcW w:w="8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③环境管控单元</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本项目与涉及的环境管控单元符合性分析如下：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t>本项目与涉及的环境管控单元符合性分析</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5"/>
        <w:gridCol w:w="1108"/>
        <w:gridCol w:w="699"/>
        <w:gridCol w:w="3324"/>
        <w:gridCol w:w="1287"/>
        <w:gridCol w:w="8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6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环境管控单元编码</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环境管控单元名称</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管控类别</w:t>
            </w:r>
          </w:p>
        </w:tc>
        <w:tc>
          <w:tcPr>
            <w:tcW w:w="3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单元特性管控要求</w:t>
            </w:r>
          </w:p>
        </w:tc>
        <w:tc>
          <w:tcPr>
            <w:tcW w:w="13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ZH511111</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20002</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四川乐山沙湾经济开发区</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空间布局约束</w:t>
            </w:r>
          </w:p>
        </w:tc>
        <w:tc>
          <w:tcPr>
            <w:tcW w:w="3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禁止开发建设活动的要求：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1、禁止引入高污染、高能耗、高风险项目；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2、禁止新引入排放一类重金属废水的项目；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3、其他执行乐山市工业重点管控单元普适性总体准入要求。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限制开发建设活动的要求：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1、严控涉磷类水污染物排放的项目，新建涉磷工业实施总磷排放量减量替代；</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2、严控涉大气污染物排放的重污染项目；</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3、严格限制风险潜势等级Ⅳ级及以上的工业企业入园，严格限制未落实减排计划的新增大量烟（粉）尘排放项目入园，严格限制违规新增钢铁、水泥产能；</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4、其他执行乐山市工业重点管控单元普适性总体准入要求。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允许开发建设活动的要求：/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不符合空间布局要求活动的退出要求：执行乐山市工业重点管控单元普适性总体准入要求。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其他空间布局约束要求：/</w:t>
            </w:r>
          </w:p>
        </w:tc>
        <w:tc>
          <w:tcPr>
            <w:tcW w:w="13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本项目不属于高污染、高能耗、高风险项目。本项目废水不外排。本项目符合乐山市工业重点管控单元普适性总体准入要求。本项目严格落实减排计划，实施大气污染物双倍替代削减要求。</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3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现有源提标升级改造：1、完成现有企业废气深度治理，达到行业特别排放限值要求；加快推动德胜集团“1250立方米高炉产能置换”和“100吨提钒转炉”等技改提升项目建设。实施生产工艺深度脱碳、工业流程再造、电气化改造、二氧化碳回收循环利用等技术示范工程。</w:t>
            </w:r>
            <w:r>
              <w:rPr>
                <w:rFonts w:hint="eastAsia" w:cs="Times New Roman"/>
                <w:color w:val="auto"/>
                <w:lang w:val="en-US" w:eastAsia="zh-CN"/>
              </w:rPr>
              <w:t>2</w:t>
            </w:r>
            <w:r>
              <w:rPr>
                <w:rFonts w:hint="default" w:ascii="Times New Roman" w:hAnsi="Times New Roman" w:cs="Times New Roman"/>
                <w:color w:val="auto"/>
              </w:rPr>
              <w:t>、其他执行乐山市工业重点管控单元普适性总体准入要求。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新增源等量或倍量替代：1、削减园区现有污染源大气污染物排放总量，特别是烟粉尘及VOCs总量，在全区空气质量达标的情况下，实施等量替代。</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2、其他执行乐山市工业重点管控单元普适性总体准入要求。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新增源排放标准限值：/</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污染物排放绩效水平准入要求：1、封堵太平组团已停产、破产企业入河排污口。</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2、碳排放强度建议指标：钢铁行业碳排放强度≤4.03吨CO</w:t>
            </w:r>
            <w:r>
              <w:rPr>
                <w:rFonts w:hint="default" w:ascii="Times New Roman" w:hAnsi="Times New Roman" w:cs="Times New Roman"/>
                <w:color w:val="auto"/>
                <w:vertAlign w:val="subscript"/>
              </w:rPr>
              <w:t>2</w:t>
            </w:r>
            <w:r>
              <w:rPr>
                <w:rFonts w:hint="default" w:ascii="Times New Roman" w:hAnsi="Times New Roman" w:cs="Times New Roman"/>
                <w:color w:val="auto"/>
              </w:rPr>
              <w:t>/万元。</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3、其他执行乐山市工业重点管控单元普适性总体准入要求。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其他污染物排放管控要求：/</w:t>
            </w:r>
          </w:p>
        </w:tc>
        <w:tc>
          <w:tcPr>
            <w:tcW w:w="13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Style w:val="35"/>
                <w:rFonts w:hint="default" w:ascii="Times New Roman" w:hAnsi="Times New Roman" w:cs="Times New Roman"/>
                <w:color w:val="auto"/>
              </w:rPr>
            </w:pPr>
            <w:r>
              <w:rPr>
                <w:rFonts w:hint="default" w:ascii="Times New Roman" w:hAnsi="Times New Roman" w:cs="Times New Roman"/>
                <w:color w:val="auto"/>
              </w:rPr>
              <w:t>现有源提标升级改造</w:t>
            </w:r>
            <w:r>
              <w:rPr>
                <w:rFonts w:hint="eastAsia" w:cs="Times New Roman"/>
                <w:color w:val="auto"/>
                <w:lang w:eastAsia="zh-CN"/>
              </w:rPr>
              <w:t>：</w:t>
            </w:r>
            <w:r>
              <w:rPr>
                <w:rFonts w:hint="eastAsia" w:cs="Times New Roman"/>
                <w:color w:val="auto"/>
                <w:lang w:val="en-US" w:eastAsia="zh-CN"/>
              </w:rPr>
              <w:t>1、本项目为新建项目。2、</w:t>
            </w:r>
            <w:r>
              <w:rPr>
                <w:rFonts w:hint="default" w:ascii="Times New Roman" w:hAnsi="Times New Roman" w:cs="Times New Roman"/>
                <w:color w:val="auto"/>
              </w:rPr>
              <w:t>本项目符合乐山市工业重点管控单元普适性总体准入要求。</w:t>
            </w:r>
          </w:p>
          <w:p>
            <w:pPr>
              <w:pStyle w:val="36"/>
              <w:adjustRightInd w:val="0"/>
              <w:rPr>
                <w:rStyle w:val="35"/>
                <w:rFonts w:hint="eastAsia" w:cs="Times New Roman"/>
                <w:color w:val="auto"/>
                <w:lang w:val="en-US" w:eastAsia="zh-CN"/>
              </w:rPr>
            </w:pPr>
            <w:r>
              <w:rPr>
                <w:rStyle w:val="35"/>
                <w:rFonts w:hint="default" w:ascii="Times New Roman" w:hAnsi="Times New Roman" w:cs="Times New Roman"/>
                <w:color w:val="auto"/>
              </w:rPr>
              <w:t>新增源等量或倍量替代：1、本项目严格落实减排计划，实施大气污染物双倍替代削减要求</w:t>
            </w:r>
            <w:r>
              <w:rPr>
                <w:rStyle w:val="35"/>
                <w:rFonts w:hint="eastAsia" w:cs="Times New Roman"/>
                <w:color w:val="auto"/>
                <w:lang w:eastAsia="zh-CN"/>
              </w:rPr>
              <w:t>。</w:t>
            </w:r>
            <w:r>
              <w:rPr>
                <w:rStyle w:val="35"/>
                <w:rFonts w:hint="eastAsia" w:cs="Times New Roman"/>
                <w:color w:val="auto"/>
                <w:lang w:val="en-US" w:eastAsia="zh-CN"/>
              </w:rPr>
              <w:t>2、本项目符合乐山市工业重点管控单元普适性总体准入要求。</w:t>
            </w:r>
          </w:p>
          <w:p>
            <w:pPr>
              <w:pStyle w:val="36"/>
              <w:adjustRightInd w:val="0"/>
              <w:rPr>
                <w:rStyle w:val="35"/>
                <w:rFonts w:hint="default" w:cs="Times New Roman"/>
                <w:color w:val="auto"/>
                <w:lang w:val="en-US" w:eastAsia="zh-CN"/>
              </w:rPr>
            </w:pPr>
            <w:r>
              <w:rPr>
                <w:rStyle w:val="35"/>
                <w:rFonts w:hint="default" w:cs="Times New Roman"/>
                <w:color w:val="auto"/>
                <w:lang w:val="en-US" w:eastAsia="zh-CN"/>
              </w:rPr>
              <w:t>污染物排放绩效水平准入要求</w:t>
            </w:r>
            <w:r>
              <w:rPr>
                <w:rStyle w:val="35"/>
                <w:rFonts w:hint="eastAsia" w:cs="Times New Roman"/>
                <w:color w:val="auto"/>
                <w:lang w:val="en-US" w:eastAsia="zh-CN"/>
              </w:rPr>
              <w:t>：1、本项目不涉及。2、本项目不属于钢铁行业。3、本项目符合乐山市工业重点管控单元普适性总体准入要求。</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环境风险防控</w:t>
            </w:r>
          </w:p>
        </w:tc>
        <w:tc>
          <w:tcPr>
            <w:tcW w:w="3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严格管控类农用地管控要求：/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安全利用类农用地管控要求：/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污染地块管控要求：/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园区环境风险防控要求：1、危险化学品仓库、生产车间尽量远离地表水沿岸布设；</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2、其他执行乐山市工业重点管控单元普适性总体准入要求。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企业环境风险防控要求：执行乐山市工业重点管控单元普适性总体准入要求。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其他环境风险防控要求：执行乐山市工业重点管控单元普适性总体准入要求。</w:t>
            </w:r>
          </w:p>
        </w:tc>
        <w:tc>
          <w:tcPr>
            <w:tcW w:w="13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本项目生产车间在远离地表水沿岸布设。本项目符合乐山市工业重点管控单元普适性总体准入要求。</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资源开发效率要求</w:t>
            </w:r>
          </w:p>
        </w:tc>
        <w:tc>
          <w:tcPr>
            <w:tcW w:w="3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水资源利用效率要求：执行乐山市工业重点管控单元普适性总体准入要求。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地下水开采要求：/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能源利用效率要求：1、严格控制新（改、扩）建耗煤项目，新增耗煤项目实行现有煤炭消耗减量倍量替代；</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2、禁燃区内禁止审批（核准、备案）、新建、扩建燃用高污染燃料的锅炉、炉窑等各类燃用高污染燃料的设施;</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3、炼钢、炼铁重点产业达到能效基准水平；</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4、其他执行乐山市工业重点管控单元普适性总体准入要求。</w:t>
            </w:r>
          </w:p>
          <w:p>
            <w:pPr>
              <w:pStyle w:val="36"/>
              <w:adjustRightInd w:val="0"/>
              <w:jc w:val="left"/>
              <w:rPr>
                <w:rFonts w:hint="default" w:ascii="Times New Roman" w:hAnsi="Times New Roman" w:cs="Times New Roman"/>
                <w:color w:val="auto"/>
              </w:rPr>
            </w:pPr>
            <w:r>
              <w:rPr>
                <w:rFonts w:hint="default" w:ascii="Times New Roman" w:hAnsi="Times New Roman" w:cs="Times New Roman"/>
                <w:color w:val="auto"/>
              </w:rPr>
              <w:t>其他资源利用效率要求：/</w:t>
            </w:r>
          </w:p>
        </w:tc>
        <w:tc>
          <w:tcPr>
            <w:tcW w:w="13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1、本项目不使用煤；</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2、本项目选址不属于禁燃区；</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3、本项目不属于炼钢、炼铁企业；</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4、本项目复核其他执行乐山市工业重点管控单元普适性总体准入要求</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adjustRightInd w:val="0"/>
              <w:rPr>
                <w:rFonts w:hint="default" w:ascii="Times New Roman" w:hAnsi="Times New Roman" w:cs="Times New Roman"/>
                <w:color w:val="auto"/>
              </w:rPr>
            </w:pP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通过分析，本项目符合四川省“生态环境分区管控”要求。</w:t>
      </w:r>
    </w:p>
    <w:p>
      <w:pPr>
        <w:pStyle w:val="4"/>
        <w:rPr>
          <w:rFonts w:hint="default" w:ascii="Times New Roman" w:hAnsi="Times New Roman" w:cs="Times New Roman"/>
          <w:color w:val="auto"/>
        </w:rPr>
      </w:pPr>
      <w:bookmarkStart w:id="18" w:name="_Toc9393"/>
      <w:bookmarkStart w:id="19" w:name="_Toc10504"/>
      <w:bookmarkStart w:id="20" w:name="_Toc11944"/>
      <w:bookmarkStart w:id="21" w:name="_Toc22439"/>
      <w:bookmarkStart w:id="22" w:name="_Toc2013"/>
      <w:bookmarkStart w:id="23" w:name="_Toc29199"/>
      <w:r>
        <w:rPr>
          <w:rFonts w:hint="default" w:ascii="Times New Roman" w:hAnsi="Times New Roman" w:cs="Times New Roman"/>
          <w:color w:val="auto"/>
        </w:rPr>
        <w:t>选址符合性分析</w:t>
      </w:r>
      <w:bookmarkEnd w:id="18"/>
    </w:p>
    <w:p>
      <w:pPr>
        <w:pStyle w:val="5"/>
        <w:rPr>
          <w:rFonts w:hint="default" w:ascii="Times New Roman" w:hAnsi="Times New Roman" w:cs="Times New Roman"/>
          <w:color w:val="auto"/>
        </w:rPr>
      </w:pPr>
      <w:r>
        <w:rPr>
          <w:rFonts w:hint="default" w:ascii="Times New Roman" w:hAnsi="Times New Roman" w:cs="Times New Roman"/>
          <w:color w:val="auto"/>
        </w:rPr>
        <w:t>项目用地规划符合性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本项目选址位于乐山市乐山（沙湾）不锈钢产业园区，项目所在地块已取得《不动产登记证明》（川（2025）沙湾区不动产证明第0000408号）。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本项目为锂辉石选矿项目，不属于园区负面清单禁止准入的项目类型，属于与园区主导产业相容的、不形成交叉影响的产业，为园区允许类。</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综上，本项目用地符合区域规划，选址可行。</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与周边环境相容性分析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位于乐山（沙湾）不锈钢产业园区内，距离最近场镇（嘉农镇）最近距离0.5km，距离沙湾区县城4km。本项目区域的地表水主要为大渡河，属于长江支流，项目距离大渡河直线距离约300m。项目周边主要为不锈钢生产企业，无食品、医药等企业，项目划定的200m卫生防护距离内无居民、学校等环境敏感目标。本项目不涉及自然保护区、风景名胜区等敏感区，不涉及生态保护红线，不涉及地下水集中式饮用水源保护区。</w:t>
      </w:r>
    </w:p>
    <w:p>
      <w:pPr>
        <w:adjustRightInd w:val="0"/>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厂界外东南侧1246m有乐山市大渡河安谷电站库区集中式饮用水水源保护区</w:t>
      </w:r>
      <w:r>
        <w:rPr>
          <w:rFonts w:hint="eastAsia" w:cs="Times New Roman"/>
          <w:color w:val="auto"/>
          <w:lang w:eastAsia="zh-CN"/>
        </w:rPr>
        <w:t>（项目场地东南侧约1802m为乐山市大渡河安谷电站库区集中式饮用水水源保护区取水口）</w:t>
      </w:r>
      <w:r>
        <w:rPr>
          <w:rFonts w:hint="default" w:ascii="Times New Roman" w:hAnsi="Times New Roman" w:cs="Times New Roman"/>
          <w:color w:val="auto"/>
        </w:rPr>
        <w:t>。本项目生活污水排放至园区污水处理厂（乐山沙湾经济开发区污水处理厂），执行《四川省岷江、沱江流域水污染物排放标准》（DB51 /2311-2016），本项目生产废水不外排</w:t>
      </w:r>
      <w:r>
        <w:rPr>
          <w:rFonts w:hint="eastAsia" w:cs="Times New Roman"/>
          <w:color w:val="auto"/>
          <w:lang w:eastAsia="zh-CN"/>
        </w:rPr>
        <w:t>，</w:t>
      </w:r>
      <w:r>
        <w:rPr>
          <w:rFonts w:hint="eastAsia" w:cs="Times New Roman"/>
          <w:color w:val="auto"/>
          <w:lang w:val="en-US" w:eastAsia="zh-CN"/>
        </w:rPr>
        <w:t>本次评价要求企业编制突发环境事件应急预案，因此本项目对乐山市大渡河安谷电站库区集中式饮用水水源保护区。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综上所述，本项目的建设与周边环境相容。</w:t>
      </w:r>
    </w:p>
    <w:p>
      <w:pPr>
        <w:pStyle w:val="5"/>
        <w:rPr>
          <w:rFonts w:hint="default" w:ascii="Times New Roman" w:hAnsi="Times New Roman" w:cs="Times New Roman"/>
          <w:color w:val="auto"/>
        </w:rPr>
      </w:pPr>
      <w:r>
        <w:rPr>
          <w:rFonts w:hint="default" w:ascii="Times New Roman" w:hAnsi="Times New Roman" w:cs="Times New Roman"/>
          <w:color w:val="auto"/>
        </w:rPr>
        <w:t>项目选址与区域环境质量要求的符合性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根据本项目外环境关系可知，项目周边主要为工业企业，项目周围无学校、医院、文物保护、风景名胜区等环境敏感目标，不涉及自然保护区、水源保护区等环境敏感点，无重大环境制约因素。</w:t>
      </w:r>
    </w:p>
    <w:p>
      <w:pPr>
        <w:adjustRightInd w:val="0"/>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本项目为锂辉石矿</w:t>
      </w:r>
      <w:r>
        <w:rPr>
          <w:rFonts w:hint="eastAsia" w:cs="Times New Roman"/>
          <w:color w:val="auto"/>
          <w:lang w:eastAsia="zh-CN"/>
        </w:rPr>
        <w:t>采选</w:t>
      </w:r>
      <w:r>
        <w:rPr>
          <w:rFonts w:hint="default" w:ascii="Times New Roman" w:hAnsi="Times New Roman" w:cs="Times New Roman"/>
          <w:color w:val="auto"/>
        </w:rPr>
        <w:t>项目，产生的污染物主要为废气（颗粒物）、废水、噪声及固废。根据现场调查，项目厂界外200m范围内没有声环境保护目标，厂界外东南侧1246m有乐山市大渡河安谷电站库区集中式饮用水水源保护区</w:t>
      </w:r>
      <w:r>
        <w:rPr>
          <w:rFonts w:hint="eastAsia" w:cs="Times New Roman"/>
          <w:color w:val="auto"/>
          <w:lang w:eastAsia="zh-CN"/>
        </w:rPr>
        <w:t>（项目场地东南侧约1802m为乐山市大渡河安谷电站库区集中式饮用水水源保护区取水口）</w:t>
      </w:r>
      <w:r>
        <w:rPr>
          <w:rFonts w:hint="default" w:ascii="Times New Roman" w:hAnsi="Times New Roman" w:cs="Times New Roman"/>
          <w:color w:val="auto"/>
        </w:rPr>
        <w:t>。本项目厂界外的环境空气保护目标位于项目所在地主导风向，且本项目主要大气污染物在严格落实本报告提出的环保措施后能够实现达标排放</w:t>
      </w:r>
      <w:r>
        <w:rPr>
          <w:rFonts w:hint="default" w:ascii="Times New Roman" w:hAnsi="Times New Roman" w:cs="Times New Roman"/>
          <w:color w:val="auto"/>
          <w:sz w:val="24"/>
          <w:szCs w:val="24"/>
        </w:rPr>
        <w:t>。</w:t>
      </w:r>
      <w:r>
        <w:rPr>
          <w:rStyle w:val="35"/>
          <w:rFonts w:hint="default" w:ascii="Times New Roman" w:hAnsi="Times New Roman" w:cs="Times New Roman"/>
          <w:color w:val="auto"/>
          <w:sz w:val="24"/>
          <w:szCs w:val="24"/>
        </w:rPr>
        <w:t>本项目严格落实减排计划，实施大气污染物双倍替代削减要求</w:t>
      </w:r>
      <w:r>
        <w:rPr>
          <w:rStyle w:val="35"/>
          <w:rFonts w:hint="eastAsia" w:cs="Times New Roman"/>
          <w:color w:val="auto"/>
          <w:sz w:val="24"/>
          <w:szCs w:val="24"/>
          <w:lang w:eastAsia="zh-CN"/>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原料和产品均暂存于密闭库房内，配套设置除尘措施。项目破碎、筛分等产尘工序均在封闭车间内进行，破碎筛分粉尘经袋式除尘器处理后，通过15m高排气筒（DA001）达标排放，同时在原矿仓库、尾矿仓库等区域安装自动喷雾等喷雾降尘设施。本项目运输车辆全部采取遮盖措施，车辆出厂前均进行冲洗。根据大气环境影响预测结果，项目建成后粉尘</w:t>
      </w:r>
      <w:r>
        <w:rPr>
          <w:rFonts w:hint="eastAsia" w:cs="Times New Roman"/>
          <w:color w:val="auto"/>
          <w:lang w:val="en-US" w:eastAsia="zh-CN"/>
        </w:rPr>
        <w:t>影响</w:t>
      </w:r>
      <w:r>
        <w:rPr>
          <w:rFonts w:hint="default" w:ascii="Times New Roman" w:hAnsi="Times New Roman" w:cs="Times New Roman"/>
          <w:color w:val="auto"/>
        </w:rPr>
        <w:t>较低。此外，本项目实施颗粒物总量2倍替代，因此项目建成后对周边大气环境影响较小。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本项目选矿废水经絮凝沉淀处理后回用于选矿，不外排；初期雨水经初期雨水池沉淀处理后回用于喷雾降尘，不外排；车辆冲洗废水经沉淀池处理后回用于车辆冲洗，不外排；生活污水经预处理池（50m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）处理达标后，通过污水管网排入乐山沙湾经济开发区污水处理厂进一步处理。因此，项目建设对周边地表水环境影响较小。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结合区域规划环评要求，建设单位应严格落实本次评价提出的各项污染物防治措施，确保项目建设不会对周边敏感目标产生不利影响。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综上所述，本项目在采取可行性污染防治措施后，废气、废水、噪声能够实现达标排放，固体废物能够妥善处置，对周边环境无明显影响。因此，本项目建设与环境相容。</w:t>
      </w:r>
    </w:p>
    <w:p>
      <w:pPr>
        <w:pStyle w:val="3"/>
        <w:adjustRightInd w:val="0"/>
        <w:rPr>
          <w:rFonts w:hint="default" w:ascii="Times New Roman" w:hAnsi="Times New Roman" w:cs="Times New Roman"/>
          <w:color w:val="auto"/>
        </w:rPr>
      </w:pPr>
      <w:bookmarkStart w:id="24" w:name="_Toc26138"/>
      <w:r>
        <w:rPr>
          <w:rFonts w:hint="default" w:ascii="Times New Roman" w:hAnsi="Times New Roman" w:cs="Times New Roman"/>
          <w:color w:val="auto"/>
        </w:rPr>
        <w:t>环境影响识别和评价因子筛选</w:t>
      </w:r>
      <w:bookmarkEnd w:id="19"/>
      <w:bookmarkEnd w:id="20"/>
      <w:bookmarkEnd w:id="21"/>
      <w:bookmarkEnd w:id="22"/>
      <w:bookmarkEnd w:id="23"/>
      <w:bookmarkEnd w:id="24"/>
    </w:p>
    <w:p>
      <w:pPr>
        <w:pStyle w:val="4"/>
        <w:adjustRightInd w:val="0"/>
        <w:rPr>
          <w:rFonts w:hint="default" w:ascii="Times New Roman" w:hAnsi="Times New Roman" w:cs="Times New Roman"/>
          <w:color w:val="auto"/>
        </w:rPr>
      </w:pPr>
      <w:bookmarkStart w:id="25" w:name="_Toc20518"/>
      <w:bookmarkStart w:id="26" w:name="_Toc4833"/>
      <w:bookmarkStart w:id="27" w:name="_Toc32183"/>
      <w:r>
        <w:rPr>
          <w:rFonts w:hint="default" w:ascii="Times New Roman" w:hAnsi="Times New Roman" w:cs="Times New Roman"/>
          <w:color w:val="auto"/>
        </w:rPr>
        <w:t>环境影响因素识别</w:t>
      </w:r>
      <w:bookmarkEnd w:id="25"/>
      <w:bookmarkEnd w:id="26"/>
      <w:bookmarkEnd w:id="27"/>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在了解和分析建设项目所在区域发展规划、环境保护规划、环境功能区划、项目污染源及环境现状的基础上，分析和列出本项目的直接和间接行为，以及可能受上述行为影响的环境要素及相关参数，详见下表。</w:t>
      </w:r>
    </w:p>
    <w:p>
      <w:pPr>
        <w:pStyle w:val="12"/>
        <w:adjustRightInd w:val="0"/>
        <w:rPr>
          <w:rFonts w:hint="default" w:ascii="Times New Roman" w:hAnsi="Times New Roman" w:cs="Times New Roman"/>
          <w:color w:val="auto"/>
          <w:kern w:val="21"/>
          <w:sz w:val="24"/>
          <w:szCs w:val="22"/>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环境影响因素识别表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192"/>
        <w:gridCol w:w="1095"/>
        <w:gridCol w:w="1247"/>
        <w:gridCol w:w="1038"/>
        <w:gridCol w:w="832"/>
        <w:gridCol w:w="1038"/>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60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评价时段</w:t>
            </w:r>
          </w:p>
        </w:tc>
        <w:tc>
          <w:tcPr>
            <w:tcW w:w="69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影响因素</w:t>
            </w:r>
          </w:p>
        </w:tc>
        <w:tc>
          <w:tcPr>
            <w:tcW w:w="64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地表水环境</w:t>
            </w:r>
          </w:p>
        </w:tc>
        <w:tc>
          <w:tcPr>
            <w:tcW w:w="731"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地下水环境</w:t>
            </w:r>
          </w:p>
        </w:tc>
        <w:tc>
          <w:tcPr>
            <w:tcW w:w="60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大气环境</w:t>
            </w:r>
          </w:p>
        </w:tc>
        <w:tc>
          <w:tcPr>
            <w:tcW w:w="488"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声环境</w:t>
            </w:r>
          </w:p>
        </w:tc>
        <w:tc>
          <w:tcPr>
            <w:tcW w:w="60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土壤环境</w:t>
            </w:r>
          </w:p>
        </w:tc>
        <w:tc>
          <w:tcPr>
            <w:tcW w:w="60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施工期</w:t>
            </w: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施工废水</w:t>
            </w:r>
          </w:p>
        </w:tc>
        <w:tc>
          <w:tcPr>
            <w:tcW w:w="64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7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609" w:type="pct"/>
            <w:vAlign w:val="center"/>
          </w:tcPr>
          <w:p>
            <w:pPr>
              <w:pStyle w:val="36"/>
              <w:adjustRightInd w:val="0"/>
              <w:rPr>
                <w:rFonts w:hint="default" w:ascii="Times New Roman" w:hAnsi="Times New Roman" w:cs="Times New Roman"/>
                <w:color w:val="auto"/>
              </w:rPr>
            </w:pPr>
          </w:p>
        </w:tc>
        <w:tc>
          <w:tcPr>
            <w:tcW w:w="488"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pPr>
              <w:pStyle w:val="36"/>
              <w:adjustRightInd w:val="0"/>
              <w:rPr>
                <w:rFonts w:hint="default" w:ascii="Times New Roman" w:hAnsi="Times New Roman" w:cs="Times New Roman"/>
                <w:color w:val="auto"/>
              </w:rPr>
            </w:pP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施工扬尘</w:t>
            </w:r>
          </w:p>
        </w:tc>
        <w:tc>
          <w:tcPr>
            <w:tcW w:w="642" w:type="pct"/>
            <w:vAlign w:val="center"/>
          </w:tcPr>
          <w:p>
            <w:pPr>
              <w:pStyle w:val="36"/>
              <w:adjustRightInd w:val="0"/>
              <w:rPr>
                <w:rFonts w:hint="default" w:ascii="Times New Roman" w:hAnsi="Times New Roman" w:cs="Times New Roman"/>
                <w:color w:val="auto"/>
              </w:rPr>
            </w:pPr>
          </w:p>
        </w:tc>
        <w:tc>
          <w:tcPr>
            <w:tcW w:w="731"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488"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pPr>
              <w:pStyle w:val="36"/>
              <w:adjustRightInd w:val="0"/>
              <w:rPr>
                <w:rFonts w:hint="default" w:ascii="Times New Roman" w:hAnsi="Times New Roman" w:cs="Times New Roman"/>
                <w:color w:val="auto"/>
              </w:rPr>
            </w:pP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施工噪声</w:t>
            </w:r>
          </w:p>
        </w:tc>
        <w:tc>
          <w:tcPr>
            <w:tcW w:w="642" w:type="pct"/>
            <w:vAlign w:val="center"/>
          </w:tcPr>
          <w:p>
            <w:pPr>
              <w:pStyle w:val="36"/>
              <w:adjustRightInd w:val="0"/>
              <w:rPr>
                <w:rFonts w:hint="default" w:ascii="Times New Roman" w:hAnsi="Times New Roman" w:cs="Times New Roman"/>
                <w:color w:val="auto"/>
              </w:rPr>
            </w:pPr>
          </w:p>
        </w:tc>
        <w:tc>
          <w:tcPr>
            <w:tcW w:w="731"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c>
          <w:tcPr>
            <w:tcW w:w="48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609"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pPr>
              <w:pStyle w:val="36"/>
              <w:adjustRightInd w:val="0"/>
              <w:rPr>
                <w:rFonts w:hint="default" w:ascii="Times New Roman" w:hAnsi="Times New Roman" w:cs="Times New Roman"/>
                <w:color w:val="auto"/>
              </w:rPr>
            </w:pP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施工废渣</w:t>
            </w:r>
          </w:p>
        </w:tc>
        <w:tc>
          <w:tcPr>
            <w:tcW w:w="642" w:type="pct"/>
            <w:vAlign w:val="center"/>
          </w:tcPr>
          <w:p>
            <w:pPr>
              <w:pStyle w:val="36"/>
              <w:adjustRightInd w:val="0"/>
              <w:rPr>
                <w:rFonts w:hint="default" w:ascii="Times New Roman" w:hAnsi="Times New Roman" w:cs="Times New Roman"/>
                <w:color w:val="auto"/>
              </w:rPr>
            </w:pPr>
          </w:p>
        </w:tc>
        <w:tc>
          <w:tcPr>
            <w:tcW w:w="731"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488"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609"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pPr>
              <w:pStyle w:val="36"/>
              <w:adjustRightInd w:val="0"/>
              <w:rPr>
                <w:rFonts w:hint="default" w:ascii="Times New Roman" w:hAnsi="Times New Roman" w:cs="Times New Roman"/>
                <w:color w:val="auto"/>
              </w:rPr>
            </w:pP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生活垃圾</w:t>
            </w:r>
          </w:p>
        </w:tc>
        <w:tc>
          <w:tcPr>
            <w:tcW w:w="642" w:type="pct"/>
            <w:vAlign w:val="center"/>
          </w:tcPr>
          <w:p>
            <w:pPr>
              <w:pStyle w:val="36"/>
              <w:adjustRightInd w:val="0"/>
              <w:rPr>
                <w:rFonts w:hint="default" w:ascii="Times New Roman" w:hAnsi="Times New Roman" w:cs="Times New Roman"/>
                <w:color w:val="auto"/>
              </w:rPr>
            </w:pPr>
          </w:p>
        </w:tc>
        <w:tc>
          <w:tcPr>
            <w:tcW w:w="731"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c>
          <w:tcPr>
            <w:tcW w:w="488"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609"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运营期</w:t>
            </w: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废水排放</w:t>
            </w:r>
          </w:p>
        </w:tc>
        <w:tc>
          <w:tcPr>
            <w:tcW w:w="64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7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609" w:type="pct"/>
            <w:vAlign w:val="center"/>
          </w:tcPr>
          <w:p>
            <w:pPr>
              <w:pStyle w:val="36"/>
              <w:adjustRightInd w:val="0"/>
              <w:rPr>
                <w:rFonts w:hint="default" w:ascii="Times New Roman" w:hAnsi="Times New Roman" w:cs="Times New Roman"/>
                <w:color w:val="auto"/>
              </w:rPr>
            </w:pPr>
          </w:p>
        </w:tc>
        <w:tc>
          <w:tcPr>
            <w:tcW w:w="488"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pPr>
              <w:pStyle w:val="36"/>
              <w:adjustRightInd w:val="0"/>
              <w:rPr>
                <w:rFonts w:hint="default" w:ascii="Times New Roman" w:hAnsi="Times New Roman" w:cs="Times New Roman"/>
                <w:color w:val="auto"/>
              </w:rPr>
            </w:pP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废气排放</w:t>
            </w:r>
          </w:p>
        </w:tc>
        <w:tc>
          <w:tcPr>
            <w:tcW w:w="642" w:type="pct"/>
            <w:vAlign w:val="center"/>
          </w:tcPr>
          <w:p>
            <w:pPr>
              <w:pStyle w:val="36"/>
              <w:adjustRightInd w:val="0"/>
              <w:rPr>
                <w:rFonts w:hint="default" w:ascii="Times New Roman" w:hAnsi="Times New Roman" w:cs="Times New Roman"/>
                <w:color w:val="auto"/>
              </w:rPr>
            </w:pPr>
          </w:p>
        </w:tc>
        <w:tc>
          <w:tcPr>
            <w:tcW w:w="731"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488"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pPr>
              <w:pStyle w:val="36"/>
              <w:adjustRightInd w:val="0"/>
              <w:rPr>
                <w:rFonts w:hint="default" w:ascii="Times New Roman" w:hAnsi="Times New Roman" w:cs="Times New Roman"/>
                <w:color w:val="auto"/>
              </w:rPr>
            </w:pP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噪声排放</w:t>
            </w:r>
          </w:p>
        </w:tc>
        <w:tc>
          <w:tcPr>
            <w:tcW w:w="642" w:type="pct"/>
            <w:vAlign w:val="center"/>
          </w:tcPr>
          <w:p>
            <w:pPr>
              <w:pStyle w:val="36"/>
              <w:adjustRightInd w:val="0"/>
              <w:rPr>
                <w:rFonts w:hint="default" w:ascii="Times New Roman" w:hAnsi="Times New Roman" w:cs="Times New Roman"/>
                <w:color w:val="auto"/>
              </w:rPr>
            </w:pPr>
          </w:p>
        </w:tc>
        <w:tc>
          <w:tcPr>
            <w:tcW w:w="731"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c>
          <w:tcPr>
            <w:tcW w:w="48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609"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pPr>
              <w:pStyle w:val="36"/>
              <w:adjustRightInd w:val="0"/>
              <w:rPr>
                <w:rFonts w:hint="default" w:ascii="Times New Roman" w:hAnsi="Times New Roman" w:cs="Times New Roman"/>
                <w:color w:val="auto"/>
              </w:rPr>
            </w:pP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固体废物</w:t>
            </w:r>
          </w:p>
        </w:tc>
        <w:tc>
          <w:tcPr>
            <w:tcW w:w="642" w:type="pct"/>
            <w:vAlign w:val="center"/>
          </w:tcPr>
          <w:p>
            <w:pPr>
              <w:pStyle w:val="36"/>
              <w:adjustRightInd w:val="0"/>
              <w:rPr>
                <w:rFonts w:hint="default" w:ascii="Times New Roman" w:hAnsi="Times New Roman" w:cs="Times New Roman"/>
                <w:color w:val="auto"/>
              </w:rPr>
            </w:pPr>
          </w:p>
        </w:tc>
        <w:tc>
          <w:tcPr>
            <w:tcW w:w="7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609" w:type="pct"/>
            <w:vAlign w:val="center"/>
          </w:tcPr>
          <w:p>
            <w:pPr>
              <w:pStyle w:val="36"/>
              <w:adjustRightInd w:val="0"/>
              <w:rPr>
                <w:rFonts w:hint="default" w:ascii="Times New Roman" w:hAnsi="Times New Roman" w:cs="Times New Roman"/>
                <w:color w:val="auto"/>
              </w:rPr>
            </w:pPr>
          </w:p>
        </w:tc>
        <w:tc>
          <w:tcPr>
            <w:tcW w:w="488"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609" w:type="pct"/>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pPr>
              <w:pStyle w:val="36"/>
              <w:adjustRightInd w:val="0"/>
              <w:rPr>
                <w:rFonts w:hint="default" w:ascii="Times New Roman" w:hAnsi="Times New Roman" w:cs="Times New Roman"/>
                <w:color w:val="auto"/>
              </w:rPr>
            </w:pPr>
          </w:p>
        </w:tc>
        <w:tc>
          <w:tcPr>
            <w:tcW w:w="69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事故风险</w:t>
            </w:r>
          </w:p>
        </w:tc>
        <w:tc>
          <w:tcPr>
            <w:tcW w:w="64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-1D</w:t>
            </w:r>
          </w:p>
        </w:tc>
        <w:tc>
          <w:tcPr>
            <w:tcW w:w="7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-2D</w:t>
            </w:r>
          </w:p>
        </w:tc>
        <w:tc>
          <w:tcPr>
            <w:tcW w:w="609" w:type="pct"/>
            <w:vAlign w:val="center"/>
          </w:tcPr>
          <w:p>
            <w:pPr>
              <w:pStyle w:val="36"/>
              <w:adjustRightInd w:val="0"/>
              <w:rPr>
                <w:rFonts w:hint="default" w:ascii="Times New Roman" w:hAnsi="Times New Roman" w:cs="Times New Roman"/>
                <w:color w:val="auto"/>
              </w:rPr>
            </w:pPr>
          </w:p>
        </w:tc>
        <w:tc>
          <w:tcPr>
            <w:tcW w:w="488"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c>
          <w:tcPr>
            <w:tcW w:w="609" w:type="pct"/>
            <w:vAlign w:val="center"/>
          </w:tcPr>
          <w:p>
            <w:pPr>
              <w:pStyle w:val="36"/>
              <w:adjustRightInd w:val="0"/>
              <w:rPr>
                <w:rFonts w:hint="default" w:ascii="Times New Roman" w:hAnsi="Times New Roman" w:cs="Times New Roman"/>
                <w:color w:val="auto"/>
              </w:rPr>
            </w:pPr>
          </w:p>
        </w:tc>
      </w:tr>
    </w:tbl>
    <w:p>
      <w:pPr>
        <w:overflowPunct w:val="0"/>
        <w:adjustRightInd w:val="0"/>
        <w:spacing w:before="65" w:beforeLines="20" w:after="65" w:afterLines="20" w:line="240" w:lineRule="auto"/>
        <w:ind w:firstLine="422"/>
        <w:rPr>
          <w:rFonts w:hint="default" w:ascii="Times New Roman" w:hAnsi="Times New Roman" w:cs="Times New Roman"/>
          <w:b/>
          <w:color w:val="auto"/>
          <w:kern w:val="21"/>
          <w:szCs w:val="22"/>
        </w:rPr>
      </w:pPr>
      <w:r>
        <w:rPr>
          <w:rFonts w:hint="default" w:ascii="Times New Roman" w:hAnsi="Times New Roman" w:cs="Times New Roman"/>
          <w:b/>
          <w:bCs/>
          <w:color w:val="auto"/>
          <w:kern w:val="21"/>
          <w:sz w:val="21"/>
        </w:rPr>
        <w:t>注：</w:t>
      </w:r>
      <w:r>
        <w:rPr>
          <w:rFonts w:hint="default" w:ascii="Times New Roman" w:hAnsi="Times New Roman" w:cs="Times New Roman"/>
          <w:color w:val="auto"/>
          <w:kern w:val="21"/>
          <w:sz w:val="21"/>
        </w:rPr>
        <w:t>-3——重大影响，-2——中等影响；-1——轻微影响；“+”——表示有利影响；“-”——表示不利影响；“D”表示短期影响，空格为无影响。</w:t>
      </w:r>
    </w:p>
    <w:p>
      <w:pPr>
        <w:pStyle w:val="4"/>
        <w:adjustRightInd w:val="0"/>
        <w:rPr>
          <w:rFonts w:hint="default" w:ascii="Times New Roman" w:hAnsi="Times New Roman" w:cs="Times New Roman"/>
          <w:color w:val="auto"/>
        </w:rPr>
      </w:pPr>
      <w:bookmarkStart w:id="28" w:name="_Toc15465"/>
      <w:bookmarkStart w:id="29" w:name="_Toc9973"/>
      <w:bookmarkStart w:id="30" w:name="_Toc22777"/>
      <w:bookmarkStart w:id="31" w:name="_Toc17363"/>
      <w:bookmarkStart w:id="32" w:name="_Toc9789"/>
      <w:bookmarkStart w:id="33" w:name="_Toc6599"/>
      <w:r>
        <w:rPr>
          <w:rFonts w:hint="default" w:ascii="Times New Roman" w:hAnsi="Times New Roman" w:cs="Times New Roman"/>
          <w:color w:val="auto"/>
        </w:rPr>
        <w:t>评价因子筛选</w:t>
      </w:r>
      <w:bookmarkEnd w:id="28"/>
      <w:bookmarkEnd w:id="29"/>
      <w:bookmarkEnd w:id="30"/>
      <w:bookmarkEnd w:id="31"/>
      <w:bookmarkEnd w:id="32"/>
      <w:bookmarkEnd w:id="33"/>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根据初步工程分析，本项目环境影响评价因子见下表。</w:t>
      </w:r>
    </w:p>
    <w:p>
      <w:pPr>
        <w:pStyle w:val="12"/>
        <w:adjustRightInd w:val="0"/>
        <w:rPr>
          <w:rFonts w:hint="default" w:ascii="Times New Roman" w:hAnsi="Times New Roman" w:cs="Times New Roman"/>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评价因子一览表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115"/>
        <w:gridCol w:w="4100"/>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1"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654"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2405"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现状评价因子</w:t>
            </w:r>
          </w:p>
        </w:tc>
        <w:tc>
          <w:tcPr>
            <w:tcW w:w="152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影响预测因子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65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环境空气</w:t>
            </w:r>
          </w:p>
        </w:tc>
        <w:tc>
          <w:tcPr>
            <w:tcW w:w="240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基本因子：SO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、CO、O</w:t>
            </w:r>
            <w:r>
              <w:rPr>
                <w:rFonts w:hint="default" w:ascii="Times New Roman" w:hAnsi="Times New Roman" w:cs="Times New Roman"/>
                <w:color w:val="auto"/>
                <w:vertAlign w:val="subscript"/>
              </w:rPr>
              <w:t>3</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w:t>
            </w:r>
          </w:p>
          <w:p>
            <w:pPr>
              <w:pStyle w:val="36"/>
              <w:adjustRightInd w:val="0"/>
              <w:rPr>
                <w:rFonts w:hint="default" w:ascii="Times New Roman" w:hAnsi="Times New Roman" w:cs="Times New Roman"/>
                <w:color w:val="auto"/>
              </w:rPr>
            </w:pPr>
            <w:r>
              <w:rPr>
                <w:rFonts w:hint="default" w:ascii="Times New Roman" w:hAnsi="Times New Roman" w:cs="Times New Roman"/>
                <w:color w:val="auto"/>
              </w:rPr>
              <w:t>特征因子：TSP</w:t>
            </w:r>
          </w:p>
        </w:tc>
        <w:tc>
          <w:tcPr>
            <w:tcW w:w="1529" w:type="pct"/>
            <w:vAlign w:val="center"/>
          </w:tcPr>
          <w:p>
            <w:pPr>
              <w:pStyle w:val="36"/>
              <w:adjustRightInd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TSP、PM</w:t>
            </w:r>
            <w:r>
              <w:rPr>
                <w:rFonts w:hint="default" w:ascii="Times New Roman" w:hAnsi="Times New Roman" w:cs="Times New Roman"/>
                <w:color w:val="auto"/>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1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w:t>
            </w:r>
          </w:p>
        </w:tc>
        <w:tc>
          <w:tcPr>
            <w:tcW w:w="65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地表水</w:t>
            </w:r>
          </w:p>
        </w:tc>
        <w:tc>
          <w:tcPr>
            <w:tcW w:w="2405" w:type="pct"/>
            <w:vAlign w:val="center"/>
          </w:tcPr>
          <w:p>
            <w:pPr>
              <w:pStyle w:val="36"/>
              <w:adjustRightInd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pH值、化学需氧量、五日生化需氧量、氨氮、总磷</w:t>
            </w:r>
            <w:r>
              <w:rPr>
                <w:rFonts w:hint="eastAsia" w:cs="Times New Roman"/>
                <w:color w:val="auto"/>
                <w:lang w:eastAsia="zh-CN"/>
              </w:rPr>
              <w:t>、</w:t>
            </w:r>
            <w:r>
              <w:rPr>
                <w:rFonts w:hint="eastAsia" w:cs="Times New Roman"/>
                <w:color w:val="auto"/>
                <w:lang w:val="en-US" w:eastAsia="zh-CN"/>
              </w:rPr>
              <w:t>SS、动植物油</w:t>
            </w:r>
          </w:p>
        </w:tc>
        <w:tc>
          <w:tcPr>
            <w:tcW w:w="152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1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w:t>
            </w:r>
          </w:p>
        </w:tc>
        <w:tc>
          <w:tcPr>
            <w:tcW w:w="65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地下水</w:t>
            </w:r>
          </w:p>
        </w:tc>
        <w:tc>
          <w:tcPr>
            <w:tcW w:w="240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pH、K</w:t>
            </w:r>
            <w:r>
              <w:rPr>
                <w:rFonts w:hint="default" w:ascii="Times New Roman" w:hAnsi="Times New Roman" w:cs="Times New Roman"/>
                <w:color w:val="auto"/>
                <w:vertAlign w:val="superscript"/>
              </w:rPr>
              <w:t>+</w:t>
            </w:r>
            <w:r>
              <w:rPr>
                <w:rFonts w:hint="default" w:ascii="Times New Roman" w:hAnsi="Times New Roman" w:cs="Times New Roman"/>
                <w:color w:val="auto"/>
              </w:rPr>
              <w:t>、Na</w:t>
            </w:r>
            <w:r>
              <w:rPr>
                <w:rFonts w:hint="default" w:ascii="Times New Roman" w:hAnsi="Times New Roman" w:cs="Times New Roman"/>
                <w:color w:val="auto"/>
                <w:vertAlign w:val="superscript"/>
              </w:rPr>
              <w:t>+</w:t>
            </w:r>
            <w:r>
              <w:rPr>
                <w:rFonts w:hint="default" w:ascii="Times New Roman" w:hAnsi="Times New Roman" w:cs="Times New Roman"/>
                <w:color w:val="auto"/>
              </w:rPr>
              <w:t>、Ca</w:t>
            </w:r>
            <w:r>
              <w:rPr>
                <w:rFonts w:hint="default" w:ascii="Times New Roman" w:hAnsi="Times New Roman" w:cs="Times New Roman"/>
                <w:color w:val="auto"/>
                <w:vertAlign w:val="superscript"/>
              </w:rPr>
              <w:t>2+</w:t>
            </w:r>
            <w:r>
              <w:rPr>
                <w:rFonts w:hint="default" w:ascii="Times New Roman" w:hAnsi="Times New Roman" w:cs="Times New Roman"/>
                <w:color w:val="auto"/>
              </w:rPr>
              <w:t>、Mg</w:t>
            </w:r>
            <w:r>
              <w:rPr>
                <w:rFonts w:hint="default" w:ascii="Times New Roman" w:hAnsi="Times New Roman" w:cs="Times New Roman"/>
                <w:color w:val="auto"/>
                <w:vertAlign w:val="superscript"/>
              </w:rPr>
              <w:t>2+</w:t>
            </w:r>
            <w:r>
              <w:rPr>
                <w:rFonts w:hint="default" w:ascii="Times New Roman" w:hAnsi="Times New Roman" w:cs="Times New Roman"/>
                <w:color w:val="auto"/>
              </w:rPr>
              <w:t>、CO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2-</w:t>
            </w:r>
            <w:r>
              <w:rPr>
                <w:rFonts w:hint="default" w:ascii="Times New Roman" w:hAnsi="Times New Roman" w:cs="Times New Roman"/>
                <w:color w:val="auto"/>
              </w:rPr>
              <w:t>、Cl</w:t>
            </w:r>
            <w:r>
              <w:rPr>
                <w:rFonts w:hint="default" w:ascii="Times New Roman" w:hAnsi="Times New Roman" w:cs="Times New Roman"/>
                <w:color w:val="auto"/>
                <w:vertAlign w:val="superscript"/>
              </w:rPr>
              <w:t>-</w:t>
            </w:r>
            <w:r>
              <w:rPr>
                <w:rFonts w:hint="default" w:ascii="Times New Roman" w:hAnsi="Times New Roman" w:cs="Times New Roman"/>
                <w:color w:val="auto"/>
              </w:rPr>
              <w:t>、SO</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2-</w:t>
            </w:r>
            <w:r>
              <w:rPr>
                <w:rFonts w:hint="default" w:ascii="Times New Roman" w:hAnsi="Times New Roman" w:cs="Times New Roman"/>
                <w:color w:val="auto"/>
              </w:rPr>
              <w:t>、HCO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w:t>
            </w:r>
            <w:r>
              <w:rPr>
                <w:rFonts w:hint="default" w:ascii="Times New Roman" w:hAnsi="Times New Roman" w:cs="Times New Roman"/>
                <w:color w:val="auto"/>
              </w:rPr>
              <w:t>、氨氮、硝酸盐、亚硝酸盐、总硬度、溶解性总固体、耗氧量、铅、汞、镉、铬、砷、锂</w:t>
            </w:r>
          </w:p>
        </w:tc>
        <w:tc>
          <w:tcPr>
            <w:tcW w:w="152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65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声环境</w:t>
            </w:r>
          </w:p>
        </w:tc>
        <w:tc>
          <w:tcPr>
            <w:tcW w:w="240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152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65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固体废物</w:t>
            </w:r>
          </w:p>
        </w:tc>
        <w:tc>
          <w:tcPr>
            <w:tcW w:w="240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一般固废、危险废物</w:t>
            </w:r>
          </w:p>
        </w:tc>
        <w:tc>
          <w:tcPr>
            <w:tcW w:w="152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w:t>
            </w:r>
          </w:p>
        </w:tc>
        <w:tc>
          <w:tcPr>
            <w:tcW w:w="65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环境风险</w:t>
            </w:r>
          </w:p>
        </w:tc>
        <w:tc>
          <w:tcPr>
            <w:tcW w:w="240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机油、废水</w:t>
            </w:r>
          </w:p>
        </w:tc>
        <w:tc>
          <w:tcPr>
            <w:tcW w:w="152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机油、废水泄漏</w:t>
            </w:r>
          </w:p>
        </w:tc>
      </w:tr>
    </w:tbl>
    <w:p>
      <w:pPr>
        <w:pStyle w:val="3"/>
        <w:adjustRightInd w:val="0"/>
        <w:rPr>
          <w:rFonts w:hint="default" w:ascii="Times New Roman" w:hAnsi="Times New Roman" w:cs="Times New Roman"/>
          <w:color w:val="auto"/>
        </w:rPr>
      </w:pPr>
      <w:bookmarkStart w:id="34" w:name="_Toc795"/>
      <w:bookmarkStart w:id="35" w:name="_Toc26515"/>
      <w:bookmarkStart w:id="36" w:name="_Toc8711"/>
      <w:r>
        <w:rPr>
          <w:rFonts w:hint="default" w:ascii="Times New Roman" w:hAnsi="Times New Roman" w:cs="Times New Roman"/>
          <w:color w:val="auto"/>
        </w:rPr>
        <w:t>评价标准</w:t>
      </w:r>
      <w:bookmarkEnd w:id="34"/>
      <w:bookmarkEnd w:id="35"/>
      <w:bookmarkEnd w:id="36"/>
    </w:p>
    <w:p>
      <w:pPr>
        <w:pStyle w:val="4"/>
        <w:adjustRightInd w:val="0"/>
        <w:rPr>
          <w:rFonts w:hint="default" w:ascii="Times New Roman" w:hAnsi="Times New Roman" w:cs="Times New Roman"/>
          <w:color w:val="auto"/>
        </w:rPr>
      </w:pPr>
      <w:bookmarkStart w:id="37" w:name="_Toc20985"/>
      <w:bookmarkStart w:id="38" w:name="_Toc11311"/>
      <w:bookmarkStart w:id="39" w:name="_Toc775"/>
      <w:bookmarkStart w:id="40" w:name="_Toc24301"/>
      <w:bookmarkStart w:id="41" w:name="_Toc18404"/>
      <w:bookmarkStart w:id="42" w:name="_Toc10853"/>
      <w:r>
        <w:rPr>
          <w:rFonts w:hint="default" w:ascii="Times New Roman" w:hAnsi="Times New Roman" w:cs="Times New Roman"/>
          <w:color w:val="auto"/>
        </w:rPr>
        <w:t>环境功能区划</w:t>
      </w:r>
      <w:bookmarkEnd w:id="37"/>
      <w:bookmarkEnd w:id="38"/>
      <w:bookmarkEnd w:id="39"/>
      <w:bookmarkEnd w:id="40"/>
      <w:bookmarkEnd w:id="41"/>
      <w:bookmarkEnd w:id="42"/>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根据四川省地方有关环境功能区划要求，拟建项目的环境功能区划见下表。</w:t>
      </w:r>
    </w:p>
    <w:p>
      <w:pPr>
        <w:pStyle w:val="12"/>
        <w:overflowPunct w:val="0"/>
        <w:adjustRightInd w:val="0"/>
        <w:spacing w:before="65" w:beforeLines="20" w:after="65" w:afterLines="20"/>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项目所在区域环境功能区划一览表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1074"/>
        <w:gridCol w:w="1386"/>
        <w:gridCol w:w="5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630"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环境要素</w:t>
            </w:r>
          </w:p>
        </w:tc>
        <w:tc>
          <w:tcPr>
            <w:tcW w:w="813"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功能区</w:t>
            </w:r>
          </w:p>
        </w:tc>
        <w:tc>
          <w:tcPr>
            <w:tcW w:w="3198"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63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空气环境</w:t>
            </w:r>
          </w:p>
        </w:tc>
        <w:tc>
          <w:tcPr>
            <w:tcW w:w="81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二类区</w:t>
            </w:r>
          </w:p>
        </w:tc>
        <w:tc>
          <w:tcPr>
            <w:tcW w:w="319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w:t>
            </w:r>
          </w:p>
        </w:tc>
        <w:tc>
          <w:tcPr>
            <w:tcW w:w="63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水环境</w:t>
            </w:r>
          </w:p>
        </w:tc>
        <w:tc>
          <w:tcPr>
            <w:tcW w:w="81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Ⅲ类</w:t>
            </w:r>
          </w:p>
        </w:tc>
        <w:tc>
          <w:tcPr>
            <w:tcW w:w="319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57"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w:t>
            </w:r>
          </w:p>
        </w:tc>
        <w:tc>
          <w:tcPr>
            <w:tcW w:w="630"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声环境</w:t>
            </w:r>
          </w:p>
        </w:tc>
        <w:tc>
          <w:tcPr>
            <w:tcW w:w="81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3类区</w:t>
            </w:r>
          </w:p>
        </w:tc>
        <w:tc>
          <w:tcPr>
            <w:tcW w:w="319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《声环境质量标准》（GB3096-2008）中3类区标准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57" w:type="pct"/>
            <w:vMerge w:val="continue"/>
            <w:vAlign w:val="center"/>
          </w:tcPr>
          <w:p>
            <w:pPr>
              <w:pStyle w:val="36"/>
              <w:adjustRightInd w:val="0"/>
              <w:rPr>
                <w:rFonts w:hint="default" w:ascii="Times New Roman" w:hAnsi="Times New Roman" w:cs="Times New Roman"/>
                <w:color w:val="auto"/>
              </w:rPr>
            </w:pPr>
          </w:p>
        </w:tc>
        <w:tc>
          <w:tcPr>
            <w:tcW w:w="630" w:type="pct"/>
            <w:vMerge w:val="continue"/>
            <w:vAlign w:val="center"/>
          </w:tcPr>
          <w:p>
            <w:pPr>
              <w:pStyle w:val="36"/>
              <w:adjustRightInd w:val="0"/>
              <w:rPr>
                <w:rFonts w:hint="default" w:ascii="Times New Roman" w:hAnsi="Times New Roman" w:cs="Times New Roman"/>
                <w:color w:val="auto"/>
              </w:rPr>
            </w:pPr>
          </w:p>
        </w:tc>
        <w:tc>
          <w:tcPr>
            <w:tcW w:w="81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4a类区</w:t>
            </w:r>
          </w:p>
        </w:tc>
        <w:tc>
          <w:tcPr>
            <w:tcW w:w="319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《声环境质量标准》（GB3096-2008）中4a类区标准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35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63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土壤</w:t>
            </w:r>
          </w:p>
        </w:tc>
        <w:tc>
          <w:tcPr>
            <w:tcW w:w="81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项目所在地</w:t>
            </w:r>
          </w:p>
        </w:tc>
        <w:tc>
          <w:tcPr>
            <w:tcW w:w="319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《土壤环境质量 建设用地土壤污染风险管控标准（试行）》（GB 36600-2018）第二类用地风险筛选值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63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地下水</w:t>
            </w:r>
          </w:p>
        </w:tc>
        <w:tc>
          <w:tcPr>
            <w:tcW w:w="81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Ⅳ类</w:t>
            </w:r>
          </w:p>
        </w:tc>
        <w:tc>
          <w:tcPr>
            <w:tcW w:w="319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《地下水质量标准》（GB/T14848-2017）Ⅳ类</w:t>
            </w:r>
          </w:p>
        </w:tc>
      </w:tr>
    </w:tbl>
    <w:p>
      <w:pPr>
        <w:pStyle w:val="4"/>
        <w:adjustRightInd w:val="0"/>
        <w:rPr>
          <w:rFonts w:hint="default" w:ascii="Times New Roman" w:hAnsi="Times New Roman" w:cs="Times New Roman"/>
          <w:color w:val="auto"/>
        </w:rPr>
      </w:pPr>
      <w:bookmarkStart w:id="43" w:name="_Toc8149"/>
      <w:bookmarkStart w:id="44" w:name="_Toc22818"/>
      <w:bookmarkStart w:id="45" w:name="_Toc12962"/>
      <w:r>
        <w:rPr>
          <w:rFonts w:hint="default" w:ascii="Times New Roman" w:hAnsi="Times New Roman" w:cs="Times New Roman"/>
          <w:color w:val="auto"/>
        </w:rPr>
        <w:t>环境质量标准</w:t>
      </w:r>
      <w:bookmarkEnd w:id="43"/>
      <w:bookmarkEnd w:id="44"/>
      <w:bookmarkEnd w:id="45"/>
    </w:p>
    <w:p>
      <w:pPr>
        <w:pStyle w:val="5"/>
        <w:adjustRightInd w:val="0"/>
        <w:rPr>
          <w:rFonts w:hint="default" w:ascii="Times New Roman" w:hAnsi="Times New Roman" w:cs="Times New Roman"/>
          <w:color w:val="auto"/>
        </w:rPr>
      </w:pPr>
      <w:r>
        <w:rPr>
          <w:rFonts w:hint="default" w:ascii="Times New Roman" w:hAnsi="Times New Roman" w:cs="Times New Roman"/>
          <w:color w:val="auto"/>
        </w:rPr>
        <w:t>地表水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地表水环境质量标准执行《地表水环境质量标准》（GB3838-2002）中的Ⅲ类标准，具体如下表所示。</w:t>
      </w:r>
    </w:p>
    <w:p>
      <w:pPr>
        <w:pStyle w:val="12"/>
        <w:keepNext w:val="0"/>
        <w:overflowPunct w:val="0"/>
        <w:adjustRightInd w:val="0"/>
        <w:spacing w:before="65" w:beforeLines="20" w:after="65" w:afterLines="20"/>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地表水环境质量标准 单位：除pH无量纲，其余mg/L</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407"/>
        <w:gridCol w:w="2519"/>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blHeader/>
          <w:jc w:val="center"/>
        </w:trPr>
        <w:tc>
          <w:tcPr>
            <w:tcW w:w="41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41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1477"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标准值</w:t>
            </w:r>
          </w:p>
        </w:tc>
        <w:tc>
          <w:tcPr>
            <w:tcW w:w="1697"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pH</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6~9</w:t>
            </w:r>
          </w:p>
        </w:tc>
        <w:tc>
          <w:tcPr>
            <w:tcW w:w="1697"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高锰酸盐指数</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DO</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COD</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TP</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≤0.2</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8</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TN</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9</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铜</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锌</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11</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氟化物</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硒</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≤0.01</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13</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砷</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≤0.05</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14</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汞</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≤0.0001</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镉</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≤0.005</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16</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六价铬</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≤0.05</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17</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铅</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≤0.05</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18</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氰化物</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≤0.2</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19</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挥发酚</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≤0.005</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石油类</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≤0.05</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21</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阴离子表面活性剂</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≤0.2</w:t>
            </w:r>
          </w:p>
        </w:tc>
        <w:tc>
          <w:tcPr>
            <w:tcW w:w="169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22</w:t>
            </w:r>
          </w:p>
        </w:tc>
        <w:tc>
          <w:tcPr>
            <w:tcW w:w="141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硫化物</w:t>
            </w:r>
          </w:p>
        </w:tc>
        <w:tc>
          <w:tcPr>
            <w:tcW w:w="147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≤0.2</w:t>
            </w:r>
          </w:p>
        </w:tc>
        <w:tc>
          <w:tcPr>
            <w:tcW w:w="1697" w:type="pct"/>
            <w:vMerge w:val="continue"/>
            <w:vAlign w:val="center"/>
          </w:tcPr>
          <w:p>
            <w:pPr>
              <w:pStyle w:val="36"/>
              <w:adjustRightInd w:val="0"/>
              <w:rPr>
                <w:rFonts w:hint="default" w:ascii="Times New Roman" w:hAnsi="Times New Roman" w:cs="Times New Roman"/>
                <w:color w:val="auto"/>
              </w:rPr>
            </w:pP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环境空气</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、CO、O</w:t>
      </w:r>
      <w:r>
        <w:rPr>
          <w:rFonts w:hint="default" w:ascii="Times New Roman" w:hAnsi="Times New Roman" w:cs="Times New Roman"/>
          <w:color w:val="auto"/>
          <w:vertAlign w:val="subscript"/>
        </w:rPr>
        <w:t>3</w:t>
      </w:r>
      <w:r>
        <w:rPr>
          <w:rFonts w:hint="default" w:ascii="Times New Roman" w:hAnsi="Times New Roman" w:cs="Times New Roman"/>
          <w:color w:val="auto"/>
        </w:rPr>
        <w:t>、TSP执行《环境空气质量标准》（GB 3095-2012）二级标准及修改单，具体如下表所示。</w:t>
      </w:r>
    </w:p>
    <w:p>
      <w:pPr>
        <w:pStyle w:val="12"/>
        <w:keepNext w:val="0"/>
        <w:overflowPunct w:val="0"/>
        <w:adjustRightInd w:val="0"/>
        <w:spacing w:before="65" w:beforeLines="20" w:after="65" w:afterLines="20"/>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环境空气质量标准 单位：CO为mg/m</w:t>
      </w:r>
      <w:r>
        <w:rPr>
          <w:rFonts w:hint="default" w:ascii="Times New Roman" w:hAnsi="Times New Roman" w:cs="Times New Roman"/>
          <w:bCs/>
          <w:color w:val="auto"/>
          <w:kern w:val="21"/>
          <w:szCs w:val="21"/>
          <w:vertAlign w:val="superscript"/>
        </w:rPr>
        <w:t>3</w:t>
      </w:r>
      <w:r>
        <w:rPr>
          <w:rFonts w:hint="default" w:ascii="Times New Roman" w:hAnsi="Times New Roman" w:cs="Times New Roman"/>
          <w:bCs/>
          <w:color w:val="auto"/>
          <w:kern w:val="21"/>
          <w:szCs w:val="21"/>
        </w:rPr>
        <w:t>，其余μg/m</w:t>
      </w:r>
      <w:r>
        <w:rPr>
          <w:rFonts w:hint="default" w:ascii="Times New Roman" w:hAnsi="Times New Roman" w:cs="Times New Roman"/>
          <w:bCs/>
          <w:color w:val="auto"/>
          <w:kern w:val="21"/>
          <w:szCs w:val="21"/>
          <w:vertAlign w:val="superscript"/>
        </w:rPr>
        <w:t>3</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332"/>
        <w:gridCol w:w="1916"/>
        <w:gridCol w:w="1490"/>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781"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污染因子</w:t>
            </w:r>
          </w:p>
        </w:tc>
        <w:tc>
          <w:tcPr>
            <w:tcW w:w="1998"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标准值</w:t>
            </w:r>
          </w:p>
        </w:tc>
        <w:tc>
          <w:tcPr>
            <w:tcW w:w="1793"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78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年平均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60</w:t>
            </w:r>
          </w:p>
        </w:tc>
        <w:tc>
          <w:tcPr>
            <w:tcW w:w="1793"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36"/>
              <w:adjustRightInd w:val="0"/>
              <w:rPr>
                <w:rFonts w:hint="default" w:ascii="Times New Roman" w:hAnsi="Times New Roman" w:cs="Times New Roman"/>
                <w:color w:val="auto"/>
              </w:rPr>
            </w:pPr>
          </w:p>
        </w:tc>
        <w:tc>
          <w:tcPr>
            <w:tcW w:w="781" w:type="pct"/>
            <w:vMerge w:val="continue"/>
            <w:vAlign w:val="center"/>
          </w:tcPr>
          <w:p>
            <w:pPr>
              <w:pStyle w:val="36"/>
              <w:adjustRightInd w:val="0"/>
              <w:rPr>
                <w:rFonts w:hint="default" w:ascii="Times New Roman" w:hAnsi="Times New Roman" w:cs="Times New Roman"/>
                <w:color w:val="auto"/>
              </w:rPr>
            </w:pP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24小时平均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36"/>
              <w:adjustRightInd w:val="0"/>
              <w:rPr>
                <w:rFonts w:hint="default" w:ascii="Times New Roman" w:hAnsi="Times New Roman" w:cs="Times New Roman"/>
                <w:color w:val="auto"/>
              </w:rPr>
            </w:pPr>
          </w:p>
        </w:tc>
        <w:tc>
          <w:tcPr>
            <w:tcW w:w="781" w:type="pct"/>
            <w:vMerge w:val="continue"/>
            <w:vAlign w:val="center"/>
          </w:tcPr>
          <w:p>
            <w:pPr>
              <w:pStyle w:val="36"/>
              <w:adjustRightInd w:val="0"/>
              <w:rPr>
                <w:rFonts w:hint="default" w:ascii="Times New Roman" w:hAnsi="Times New Roman" w:cs="Times New Roman"/>
                <w:color w:val="auto"/>
              </w:rPr>
            </w:pP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500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w:t>
            </w:r>
          </w:p>
        </w:tc>
        <w:tc>
          <w:tcPr>
            <w:tcW w:w="78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2</w:t>
            </w: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年平均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36"/>
              <w:adjustRightInd w:val="0"/>
              <w:rPr>
                <w:rFonts w:hint="default" w:ascii="Times New Roman" w:hAnsi="Times New Roman" w:cs="Times New Roman"/>
                <w:color w:val="auto"/>
              </w:rPr>
            </w:pPr>
          </w:p>
        </w:tc>
        <w:tc>
          <w:tcPr>
            <w:tcW w:w="781" w:type="pct"/>
            <w:vMerge w:val="continue"/>
            <w:vAlign w:val="center"/>
          </w:tcPr>
          <w:p>
            <w:pPr>
              <w:pStyle w:val="36"/>
              <w:adjustRightInd w:val="0"/>
              <w:rPr>
                <w:rFonts w:hint="default" w:ascii="Times New Roman" w:hAnsi="Times New Roman" w:cs="Times New Roman"/>
                <w:color w:val="auto"/>
              </w:rPr>
            </w:pP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24小时平均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80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pPr>
              <w:pStyle w:val="36"/>
              <w:adjustRightInd w:val="0"/>
              <w:rPr>
                <w:rFonts w:hint="default" w:ascii="Times New Roman" w:hAnsi="Times New Roman" w:cs="Times New Roman"/>
                <w:color w:val="auto"/>
              </w:rPr>
            </w:pPr>
          </w:p>
        </w:tc>
        <w:tc>
          <w:tcPr>
            <w:tcW w:w="781" w:type="pct"/>
            <w:vMerge w:val="continue"/>
            <w:vAlign w:val="center"/>
          </w:tcPr>
          <w:p>
            <w:pPr>
              <w:pStyle w:val="36"/>
              <w:adjustRightInd w:val="0"/>
              <w:rPr>
                <w:rFonts w:hint="default" w:ascii="Times New Roman" w:hAnsi="Times New Roman" w:cs="Times New Roman"/>
                <w:color w:val="auto"/>
              </w:rPr>
            </w:pP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w:t>
            </w:r>
          </w:p>
        </w:tc>
        <w:tc>
          <w:tcPr>
            <w:tcW w:w="78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10</w:t>
            </w: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年平均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36"/>
              <w:adjustRightInd w:val="0"/>
              <w:rPr>
                <w:rFonts w:hint="default" w:ascii="Times New Roman" w:hAnsi="Times New Roman" w:cs="Times New Roman"/>
                <w:color w:val="auto"/>
              </w:rPr>
            </w:pPr>
          </w:p>
        </w:tc>
        <w:tc>
          <w:tcPr>
            <w:tcW w:w="781" w:type="pct"/>
            <w:vMerge w:val="continue"/>
            <w:vAlign w:val="center"/>
          </w:tcPr>
          <w:p>
            <w:pPr>
              <w:pStyle w:val="36"/>
              <w:adjustRightInd w:val="0"/>
              <w:rPr>
                <w:rFonts w:hint="default" w:ascii="Times New Roman" w:hAnsi="Times New Roman" w:cs="Times New Roman"/>
                <w:color w:val="auto"/>
              </w:rPr>
            </w:pP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24小时平均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78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2.5</w:t>
            </w: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年平均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35</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36"/>
              <w:adjustRightInd w:val="0"/>
              <w:rPr>
                <w:rFonts w:hint="default" w:ascii="Times New Roman" w:hAnsi="Times New Roman" w:cs="Times New Roman"/>
                <w:color w:val="auto"/>
              </w:rPr>
            </w:pPr>
          </w:p>
        </w:tc>
        <w:tc>
          <w:tcPr>
            <w:tcW w:w="781" w:type="pct"/>
            <w:vMerge w:val="continue"/>
            <w:vAlign w:val="center"/>
          </w:tcPr>
          <w:p>
            <w:pPr>
              <w:pStyle w:val="36"/>
              <w:adjustRightInd w:val="0"/>
              <w:rPr>
                <w:rFonts w:hint="default" w:ascii="Times New Roman" w:hAnsi="Times New Roman" w:cs="Times New Roman"/>
                <w:color w:val="auto"/>
              </w:rPr>
            </w:pP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24小时平均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75</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78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CO</w:t>
            </w: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36"/>
              <w:adjustRightInd w:val="0"/>
              <w:rPr>
                <w:rFonts w:hint="default" w:ascii="Times New Roman" w:hAnsi="Times New Roman" w:cs="Times New Roman"/>
                <w:color w:val="auto"/>
              </w:rPr>
            </w:pPr>
          </w:p>
        </w:tc>
        <w:tc>
          <w:tcPr>
            <w:tcW w:w="781" w:type="pct"/>
            <w:vMerge w:val="continue"/>
            <w:vAlign w:val="center"/>
          </w:tcPr>
          <w:p>
            <w:pPr>
              <w:pStyle w:val="36"/>
              <w:adjustRightInd w:val="0"/>
              <w:rPr>
                <w:rFonts w:hint="default" w:ascii="Times New Roman" w:hAnsi="Times New Roman" w:cs="Times New Roman"/>
                <w:color w:val="auto"/>
              </w:rPr>
            </w:pP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24小时平均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w:t>
            </w:r>
          </w:p>
        </w:tc>
        <w:tc>
          <w:tcPr>
            <w:tcW w:w="78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O</w:t>
            </w:r>
            <w:r>
              <w:rPr>
                <w:rFonts w:hint="default" w:ascii="Times New Roman" w:hAnsi="Times New Roman" w:cs="Times New Roman"/>
                <w:color w:val="auto"/>
                <w:vertAlign w:val="subscript"/>
              </w:rPr>
              <w:t>3</w:t>
            </w: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日最大8小时平均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160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36"/>
              <w:adjustRightInd w:val="0"/>
              <w:rPr>
                <w:rFonts w:hint="default" w:ascii="Times New Roman" w:hAnsi="Times New Roman" w:cs="Times New Roman"/>
                <w:color w:val="auto"/>
              </w:rPr>
            </w:pPr>
          </w:p>
        </w:tc>
        <w:tc>
          <w:tcPr>
            <w:tcW w:w="781" w:type="pct"/>
            <w:vMerge w:val="continue"/>
            <w:vAlign w:val="center"/>
          </w:tcPr>
          <w:p>
            <w:pPr>
              <w:pStyle w:val="36"/>
              <w:adjustRightInd w:val="0"/>
              <w:rPr>
                <w:rFonts w:hint="default" w:ascii="Times New Roman" w:hAnsi="Times New Roman" w:cs="Times New Roman"/>
                <w:color w:val="auto"/>
              </w:rPr>
            </w:pP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w:t>
            </w:r>
          </w:p>
        </w:tc>
        <w:tc>
          <w:tcPr>
            <w:tcW w:w="78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TSP</w:t>
            </w: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年平均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200</w:t>
            </w:r>
          </w:p>
        </w:tc>
        <w:tc>
          <w:tcPr>
            <w:tcW w:w="179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pPr>
              <w:pStyle w:val="36"/>
              <w:adjustRightInd w:val="0"/>
              <w:rPr>
                <w:rFonts w:hint="default" w:ascii="Times New Roman" w:hAnsi="Times New Roman" w:cs="Times New Roman"/>
                <w:color w:val="auto"/>
              </w:rPr>
            </w:pPr>
          </w:p>
        </w:tc>
        <w:tc>
          <w:tcPr>
            <w:tcW w:w="781" w:type="pct"/>
            <w:vMerge w:val="continue"/>
            <w:vAlign w:val="center"/>
          </w:tcPr>
          <w:p>
            <w:pPr>
              <w:pStyle w:val="36"/>
              <w:adjustRightInd w:val="0"/>
              <w:rPr>
                <w:rFonts w:hint="default" w:ascii="Times New Roman" w:hAnsi="Times New Roman" w:cs="Times New Roman"/>
                <w:color w:val="auto"/>
              </w:rPr>
            </w:pPr>
          </w:p>
        </w:tc>
        <w:tc>
          <w:tcPr>
            <w:tcW w:w="11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24小时平均</w:t>
            </w:r>
          </w:p>
        </w:tc>
        <w:tc>
          <w:tcPr>
            <w:tcW w:w="87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300</w:t>
            </w:r>
          </w:p>
        </w:tc>
        <w:tc>
          <w:tcPr>
            <w:tcW w:w="1793" w:type="pct"/>
            <w:vMerge w:val="continue"/>
            <w:vAlign w:val="center"/>
          </w:tcPr>
          <w:p>
            <w:pPr>
              <w:pStyle w:val="36"/>
              <w:adjustRightInd w:val="0"/>
              <w:rPr>
                <w:rFonts w:hint="default" w:ascii="Times New Roman" w:hAnsi="Times New Roman" w:cs="Times New Roman"/>
                <w:color w:val="auto"/>
              </w:rPr>
            </w:pP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声环境</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厂界声环境质量标准执行《声环境质量标准》（GB3096-2008）中的3类、4a类标准，敏感点声环境质量执行《声环境质量标准》（GB3096-2008）中的2类标准，具体如下表所示。</w:t>
      </w:r>
    </w:p>
    <w:p>
      <w:pPr>
        <w:pStyle w:val="12"/>
        <w:keepNext w:val="0"/>
        <w:overflowPunct w:val="0"/>
        <w:adjustRightInd w:val="0"/>
        <w:spacing w:before="65" w:beforeLines="20" w:after="65" w:afterLines="20"/>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声环境质量标准 单位：dB（A）</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30"/>
        <w:gridCol w:w="212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49"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1250"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执行标准类别</w:t>
            </w:r>
          </w:p>
        </w:tc>
        <w:tc>
          <w:tcPr>
            <w:tcW w:w="2500"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49" w:type="pct"/>
            <w:vMerge w:val="continue"/>
            <w:vAlign w:val="center"/>
          </w:tcPr>
          <w:p>
            <w:pPr>
              <w:pStyle w:val="36"/>
              <w:adjustRightInd w:val="0"/>
              <w:rPr>
                <w:rFonts w:hint="default" w:ascii="Times New Roman" w:hAnsi="Times New Roman" w:cs="Times New Roman"/>
                <w:color w:val="auto"/>
              </w:rPr>
            </w:pPr>
          </w:p>
        </w:tc>
        <w:tc>
          <w:tcPr>
            <w:tcW w:w="1250" w:type="pct"/>
            <w:vMerge w:val="continue"/>
            <w:vAlign w:val="center"/>
          </w:tcPr>
          <w:p>
            <w:pPr>
              <w:pStyle w:val="36"/>
              <w:adjustRightInd w:val="0"/>
              <w:rPr>
                <w:rFonts w:hint="default" w:ascii="Times New Roman" w:hAnsi="Times New Roman" w:cs="Times New Roman"/>
                <w:color w:val="auto"/>
              </w:rPr>
            </w:pPr>
          </w:p>
        </w:tc>
        <w:tc>
          <w:tcPr>
            <w:tcW w:w="124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1251"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LAeq</w:t>
            </w:r>
          </w:p>
        </w:tc>
        <w:tc>
          <w:tcPr>
            <w:tcW w:w="12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2类</w:t>
            </w:r>
          </w:p>
        </w:tc>
        <w:tc>
          <w:tcPr>
            <w:tcW w:w="12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60</w:t>
            </w:r>
          </w:p>
        </w:tc>
        <w:tc>
          <w:tcPr>
            <w:tcW w:w="125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pct"/>
            <w:vMerge w:val="continue"/>
            <w:vAlign w:val="center"/>
          </w:tcPr>
          <w:p>
            <w:pPr>
              <w:pStyle w:val="36"/>
              <w:adjustRightInd w:val="0"/>
              <w:rPr>
                <w:rFonts w:hint="default" w:ascii="Times New Roman" w:hAnsi="Times New Roman" w:cs="Times New Roman"/>
                <w:color w:val="auto"/>
              </w:rPr>
            </w:pPr>
          </w:p>
        </w:tc>
        <w:tc>
          <w:tcPr>
            <w:tcW w:w="12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3类</w:t>
            </w:r>
          </w:p>
        </w:tc>
        <w:tc>
          <w:tcPr>
            <w:tcW w:w="12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65</w:t>
            </w:r>
          </w:p>
        </w:tc>
        <w:tc>
          <w:tcPr>
            <w:tcW w:w="125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pct"/>
            <w:vMerge w:val="continue"/>
            <w:vAlign w:val="center"/>
          </w:tcPr>
          <w:p>
            <w:pPr>
              <w:pStyle w:val="36"/>
              <w:adjustRightInd w:val="0"/>
              <w:rPr>
                <w:rFonts w:hint="default" w:ascii="Times New Roman" w:hAnsi="Times New Roman" w:cs="Times New Roman"/>
                <w:color w:val="auto"/>
              </w:rPr>
            </w:pPr>
          </w:p>
        </w:tc>
        <w:tc>
          <w:tcPr>
            <w:tcW w:w="12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4a类</w:t>
            </w:r>
          </w:p>
        </w:tc>
        <w:tc>
          <w:tcPr>
            <w:tcW w:w="12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70</w:t>
            </w:r>
          </w:p>
        </w:tc>
        <w:tc>
          <w:tcPr>
            <w:tcW w:w="125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55</w:t>
            </w: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地下水环境</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地下水环境质量执行《地下水质量标准》（GB/T 14848-2017）中的Ⅲ类标准，具体如下表所示。</w:t>
      </w:r>
    </w:p>
    <w:p>
      <w:pPr>
        <w:pStyle w:val="12"/>
        <w:keepNext w:val="0"/>
        <w:overflowPunct w:val="0"/>
        <w:adjustRightInd w:val="0"/>
        <w:spacing w:before="65" w:beforeLines="20" w:after="65" w:afterLines="20"/>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地下水质量标准限值 单位：mg/L</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834"/>
        <w:gridCol w:w="1417"/>
        <w:gridCol w:w="3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blHeader/>
          <w:jc w:val="center"/>
        </w:trPr>
        <w:tc>
          <w:tcPr>
            <w:tcW w:w="480"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66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831"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标准值</w:t>
            </w:r>
          </w:p>
        </w:tc>
        <w:tc>
          <w:tcPr>
            <w:tcW w:w="2025"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pH（无量纲）</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6.5~8.5</w:t>
            </w:r>
          </w:p>
        </w:tc>
        <w:tc>
          <w:tcPr>
            <w:tcW w:w="2025"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氨氮</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0.5</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高锰酸盐指数（耗氧量）</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总硬度</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450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氯化物</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250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硫酸盐</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250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碱度（CO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8</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碱度（HCO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w:t>
            </w:r>
            <w:r>
              <w:rPr>
                <w:rFonts w:hint="default" w:ascii="Times New Roman" w:hAnsi="Times New Roman" w:cs="Times New Roman"/>
                <w:color w:val="auto"/>
              </w:rPr>
              <w:t>）</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9</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挥发酚</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0.002</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钾</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11</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钠</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钙</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13</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镁</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14</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铁</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0.3</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锰</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0.10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16</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铜</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17</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锌</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18</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铝</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0.20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19</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硫化物</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0.02</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总大肠菌群（MPN/100mL）</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21</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亚硝酸盐</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22</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硝酸盐</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23</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氰化物</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0.05</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24</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氟化物</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25</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碘化物</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0.08</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26</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汞</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0.001</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27</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砷</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0.01</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28</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硒</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0.01</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29</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镉</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0.005</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30</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六价铬</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0.05</w:t>
            </w:r>
          </w:p>
        </w:tc>
        <w:tc>
          <w:tcPr>
            <w:tcW w:w="2025"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31</w:t>
            </w:r>
          </w:p>
        </w:tc>
        <w:tc>
          <w:tcPr>
            <w:tcW w:w="166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铅</w:t>
            </w:r>
          </w:p>
        </w:tc>
        <w:tc>
          <w:tcPr>
            <w:tcW w:w="831"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0.01</w:t>
            </w:r>
          </w:p>
        </w:tc>
        <w:tc>
          <w:tcPr>
            <w:tcW w:w="2025" w:type="pct"/>
            <w:vMerge w:val="continue"/>
            <w:vAlign w:val="center"/>
          </w:tcPr>
          <w:p>
            <w:pPr>
              <w:pStyle w:val="36"/>
              <w:adjustRightInd w:val="0"/>
              <w:rPr>
                <w:rFonts w:hint="default" w:ascii="Times New Roman" w:hAnsi="Times New Roman" w:cs="Times New Roman"/>
                <w:color w:val="auto"/>
              </w:rPr>
            </w:pP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土壤环境</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土壤环境质量执行《土壤环境质量 建设用地土壤污染风险管控标准（试行）》（GB36600-2018）第二类用地筛选值，具体标准值详见下表。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cs="Times New Roman"/>
          <w:color w:val="auto"/>
        </w:rPr>
        <w:t>土壤环境质量标准 单位：mg/kg</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617"/>
        <w:gridCol w:w="1790"/>
        <w:gridCol w:w="644"/>
        <w:gridCol w:w="1998"/>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94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污染物项目</w:t>
            </w:r>
          </w:p>
        </w:tc>
        <w:tc>
          <w:tcPr>
            <w:tcW w:w="1050"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第二类用地筛选值</w:t>
            </w:r>
          </w:p>
        </w:tc>
        <w:tc>
          <w:tcPr>
            <w:tcW w:w="378"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17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污染物项目</w:t>
            </w:r>
          </w:p>
        </w:tc>
        <w:tc>
          <w:tcPr>
            <w:tcW w:w="109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第二类用地筛选值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60</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24</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1,2,3-三氯丙烷</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镉</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65</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25</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氯乙烯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铬（六价）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5.7</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26</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铜</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18000</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27</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氯苯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铅</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800</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28</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1,2-二氯苯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汞</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38</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29</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1,4-二氯苯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镍</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900</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30</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乙苯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8</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四氯化碳</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2.8</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31</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苯乙烯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9</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氯仿</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0.9</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32</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甲苯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氯甲烷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37</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33</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间二甲苯+对二甲苯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11</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1,1-二氯乙烷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9</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34</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邻二甲苯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1,2-二氯乙烷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35</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硝基苯</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13</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1,1-二氯乙烯</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66</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36</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苯胺</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14</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顺-1,2-二氯乙烯</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596</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37</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2-氯酚</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反-1,2-二氯乙烯</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54</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38</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苯并[a]蒽</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16</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二氯甲烷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616</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39</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苯并[a]芘</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17</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1,2-二氯甲烷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40</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苯并[b]荧蒽</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18</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1,1,1,2-四氯乙烷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41</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苯并[k]荧蒽</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19</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1,1,2,2-四氯乙烷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6.8</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42</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䓛</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四氯乙烯</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53</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43</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二苯并[a,h]蒽</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21</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1,1,1-三氯乙烷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840</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44</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茚并[1,2,3-cd]芘</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22</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1,1,2-三氯乙烷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2.8</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45</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萘</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23</w:t>
            </w:r>
          </w:p>
        </w:tc>
        <w:tc>
          <w:tcPr>
            <w:tcW w:w="949"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三氯乙烷</w:t>
            </w:r>
          </w:p>
        </w:tc>
        <w:tc>
          <w:tcPr>
            <w:tcW w:w="1050"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2.8</w:t>
            </w:r>
          </w:p>
        </w:tc>
        <w:tc>
          <w:tcPr>
            <w:tcW w:w="37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46</w:t>
            </w:r>
          </w:p>
        </w:tc>
        <w:tc>
          <w:tcPr>
            <w:tcW w:w="11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石油烃（C</w:t>
            </w:r>
            <w:r>
              <w:rPr>
                <w:rFonts w:hint="default" w:ascii="Times New Roman" w:hAnsi="Times New Roman" w:cs="Times New Roman"/>
                <w:color w:val="auto"/>
                <w:vertAlign w:val="subscript"/>
              </w:rPr>
              <w:t>10</w:t>
            </w:r>
            <w:r>
              <w:rPr>
                <w:rFonts w:hint="default" w:ascii="Times New Roman" w:hAnsi="Times New Roman" w:cs="Times New Roman"/>
                <w:color w:val="auto"/>
              </w:rPr>
              <w:t>-C</w:t>
            </w:r>
            <w:r>
              <w:rPr>
                <w:rFonts w:hint="default" w:ascii="Times New Roman" w:hAnsi="Times New Roman" w:cs="Times New Roman"/>
                <w:color w:val="auto"/>
                <w:vertAlign w:val="subscript"/>
              </w:rPr>
              <w:t>40</w:t>
            </w:r>
            <w:r>
              <w:rPr>
                <w:rFonts w:hint="default" w:ascii="Times New Roman" w:hAnsi="Times New Roman" w:cs="Times New Roman"/>
                <w:color w:val="auto"/>
              </w:rPr>
              <w:t>）</w:t>
            </w:r>
          </w:p>
        </w:tc>
        <w:tc>
          <w:tcPr>
            <w:tcW w:w="109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4500</w:t>
            </w:r>
          </w:p>
        </w:tc>
      </w:tr>
    </w:tbl>
    <w:p>
      <w:pPr>
        <w:pStyle w:val="4"/>
        <w:adjustRightInd w:val="0"/>
        <w:rPr>
          <w:rFonts w:hint="default" w:ascii="Times New Roman" w:hAnsi="Times New Roman" w:cs="Times New Roman"/>
          <w:color w:val="auto"/>
        </w:rPr>
      </w:pPr>
      <w:bookmarkStart w:id="46" w:name="_Toc30217"/>
      <w:bookmarkStart w:id="47" w:name="_Toc17529"/>
      <w:bookmarkStart w:id="48" w:name="_Toc4622"/>
      <w:r>
        <w:rPr>
          <w:rFonts w:hint="default" w:ascii="Times New Roman" w:hAnsi="Times New Roman" w:cs="Times New Roman"/>
          <w:color w:val="auto"/>
        </w:rPr>
        <w:t>污染物排放标准</w:t>
      </w:r>
      <w:bookmarkEnd w:id="46"/>
      <w:bookmarkEnd w:id="47"/>
      <w:bookmarkEnd w:id="48"/>
    </w:p>
    <w:p>
      <w:pPr>
        <w:pStyle w:val="5"/>
        <w:adjustRightInd w:val="0"/>
        <w:rPr>
          <w:rFonts w:hint="default" w:ascii="Times New Roman" w:hAnsi="Times New Roman" w:cs="Times New Roman"/>
          <w:color w:val="auto"/>
        </w:rPr>
      </w:pPr>
      <w:r>
        <w:rPr>
          <w:rFonts w:hint="default" w:ascii="Times New Roman" w:hAnsi="Times New Roman" w:cs="Times New Roman"/>
          <w:color w:val="auto"/>
        </w:rPr>
        <w:t>废水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本项目生产废水经废水处理设施处理后回用于选矿，不外排；初期雨水经初期雨水池沉淀处理后回用于喷雾降尘，不外排；生活污水经预处理池（50m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乐山沙湾经济开发区污水处理厂设计进水水质”后经园区污水管网排入乐山沙湾经济开发区污水处理厂进一步处理达《四川省岷江、沱江流域水污染物排放标准》（DB51/2311-2016）中“工业园区集中式污水处理厂”标准后外排大渡河。</w:t>
      </w:r>
    </w:p>
    <w:p>
      <w:pPr>
        <w:pStyle w:val="12"/>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cs="Times New Roman"/>
          <w:color w:val="auto"/>
        </w:rPr>
        <w:t>本项目废水排放标准限值 单位：除pH无量纲，其余mg/L</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937"/>
        <w:gridCol w:w="1707"/>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3"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137"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污染因子</w:t>
            </w:r>
          </w:p>
        </w:tc>
        <w:tc>
          <w:tcPr>
            <w:tcW w:w="100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标准值</w:t>
            </w:r>
          </w:p>
        </w:tc>
        <w:tc>
          <w:tcPr>
            <w:tcW w:w="2217"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113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pH</w:t>
            </w:r>
          </w:p>
        </w:tc>
        <w:tc>
          <w:tcPr>
            <w:tcW w:w="100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6~9</w:t>
            </w:r>
          </w:p>
        </w:tc>
        <w:tc>
          <w:tcPr>
            <w:tcW w:w="2217"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乐山沙湾经济开发区污水处理厂设计进水水质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w:t>
            </w:r>
          </w:p>
        </w:tc>
        <w:tc>
          <w:tcPr>
            <w:tcW w:w="113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COD</w:t>
            </w:r>
          </w:p>
        </w:tc>
        <w:tc>
          <w:tcPr>
            <w:tcW w:w="100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350</w:t>
            </w:r>
          </w:p>
        </w:tc>
        <w:tc>
          <w:tcPr>
            <w:tcW w:w="221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w:t>
            </w:r>
          </w:p>
        </w:tc>
        <w:tc>
          <w:tcPr>
            <w:tcW w:w="113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100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160</w:t>
            </w:r>
          </w:p>
        </w:tc>
        <w:tc>
          <w:tcPr>
            <w:tcW w:w="221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w:t>
            </w:r>
          </w:p>
        </w:tc>
        <w:tc>
          <w:tcPr>
            <w:tcW w:w="113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SS</w:t>
            </w:r>
          </w:p>
        </w:tc>
        <w:tc>
          <w:tcPr>
            <w:tcW w:w="100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200</w:t>
            </w:r>
          </w:p>
        </w:tc>
        <w:tc>
          <w:tcPr>
            <w:tcW w:w="221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w:t>
            </w:r>
          </w:p>
        </w:tc>
        <w:tc>
          <w:tcPr>
            <w:tcW w:w="113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氨氮</w:t>
            </w:r>
          </w:p>
        </w:tc>
        <w:tc>
          <w:tcPr>
            <w:tcW w:w="100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30</w:t>
            </w:r>
          </w:p>
        </w:tc>
        <w:tc>
          <w:tcPr>
            <w:tcW w:w="2217"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w:t>
            </w:r>
          </w:p>
        </w:tc>
        <w:tc>
          <w:tcPr>
            <w:tcW w:w="113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TP</w:t>
            </w:r>
          </w:p>
        </w:tc>
        <w:tc>
          <w:tcPr>
            <w:tcW w:w="100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8</w:t>
            </w:r>
          </w:p>
        </w:tc>
        <w:tc>
          <w:tcPr>
            <w:tcW w:w="2217" w:type="pct"/>
            <w:vMerge w:val="continue"/>
            <w:vAlign w:val="center"/>
          </w:tcPr>
          <w:p>
            <w:pPr>
              <w:pStyle w:val="36"/>
              <w:adjustRightInd w:val="0"/>
              <w:rPr>
                <w:rFonts w:hint="default" w:ascii="Times New Roman" w:hAnsi="Times New Roman" w:cs="Times New Roman"/>
                <w:color w:val="auto"/>
              </w:rPr>
            </w:pP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废气</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施工期</w:t>
      </w:r>
      <w:r>
        <w:rPr>
          <w:rFonts w:hint="default" w:ascii="Times New Roman" w:hAnsi="Times New Roman" w:cs="Times New Roman"/>
          <w:color w:val="auto"/>
        </w:rPr>
        <w:t>：扬尘执行《四川省施工场地扬尘排放标准》（DB 51/2682-2020）表1中有关限值标准。</w:t>
      </w:r>
    </w:p>
    <w:p>
      <w:pPr>
        <w:pStyle w:val="12"/>
        <w:overflowPunct w:val="0"/>
        <w:adjustRightInd w:val="0"/>
        <w:spacing w:before="65" w:beforeLines="20" w:after="65" w:afterLines="20"/>
        <w:rPr>
          <w:rFonts w:hint="default" w:ascii="Times New Roman" w:hAnsi="Times New Roman" w:cs="Times New Roman"/>
          <w:bCs/>
          <w:color w:val="auto"/>
          <w:kern w:val="21"/>
          <w:szCs w:val="21"/>
          <w:lang w:val="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lang w:val="zh-CN"/>
        </w:rPr>
        <w:t>四川省施工场地扬尘排放限值</w:t>
      </w:r>
      <w:r>
        <w:rPr>
          <w:rFonts w:hint="default" w:ascii="Times New Roman" w:hAnsi="Times New Roman" w:cs="Times New Roman"/>
          <w:bCs/>
          <w:color w:val="auto"/>
          <w:kern w:val="21"/>
          <w:szCs w:val="21"/>
        </w:rPr>
        <w:t xml:space="preserve"> </w:t>
      </w:r>
      <w:r>
        <w:rPr>
          <w:rFonts w:hint="default" w:ascii="Times New Roman" w:hAnsi="Times New Roman" w:cs="Times New Roman"/>
          <w:bCs/>
          <w:color w:val="auto"/>
          <w:kern w:val="21"/>
          <w:szCs w:val="21"/>
          <w:lang w:val="zh-CN"/>
        </w:rPr>
        <w:t>单位：μg/m</w:t>
      </w:r>
      <w:r>
        <w:rPr>
          <w:rFonts w:hint="default" w:ascii="Times New Roman" w:hAnsi="Times New Roman" w:cs="Times New Roman"/>
          <w:bCs/>
          <w:color w:val="auto"/>
          <w:kern w:val="21"/>
          <w:szCs w:val="21"/>
          <w:vertAlign w:val="superscript"/>
        </w:rPr>
        <w:t>3</w:t>
      </w:r>
    </w:p>
    <w:tbl>
      <w:tblPr>
        <w:tblStyle w:val="7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1657"/>
        <w:gridCol w:w="3161"/>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22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97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区域</w:t>
            </w:r>
          </w:p>
        </w:tc>
        <w:tc>
          <w:tcPr>
            <w:tcW w:w="1854"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施工阶段</w:t>
            </w:r>
          </w:p>
        </w:tc>
        <w:tc>
          <w:tcPr>
            <w:tcW w:w="94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最高排放限值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226"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总悬浮颗粒物（TSP）</w:t>
            </w:r>
          </w:p>
        </w:tc>
        <w:tc>
          <w:tcPr>
            <w:tcW w:w="972"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乐山市</w:t>
            </w:r>
          </w:p>
        </w:tc>
        <w:tc>
          <w:tcPr>
            <w:tcW w:w="185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拆除工程/土方开挖/土方回填阶段</w:t>
            </w:r>
          </w:p>
        </w:tc>
        <w:tc>
          <w:tcPr>
            <w:tcW w:w="94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6" w:type="pct"/>
            <w:vMerge w:val="continue"/>
            <w:vAlign w:val="center"/>
          </w:tcPr>
          <w:p>
            <w:pPr>
              <w:pStyle w:val="36"/>
              <w:adjustRightInd w:val="0"/>
              <w:rPr>
                <w:rFonts w:hint="default" w:ascii="Times New Roman" w:hAnsi="Times New Roman" w:cs="Times New Roman"/>
                <w:color w:val="auto"/>
              </w:rPr>
            </w:pPr>
          </w:p>
        </w:tc>
        <w:tc>
          <w:tcPr>
            <w:tcW w:w="972" w:type="pct"/>
            <w:vMerge w:val="continue"/>
            <w:vAlign w:val="center"/>
          </w:tcPr>
          <w:p>
            <w:pPr>
              <w:pStyle w:val="36"/>
              <w:adjustRightInd w:val="0"/>
              <w:rPr>
                <w:rFonts w:hint="default" w:ascii="Times New Roman" w:hAnsi="Times New Roman" w:cs="Times New Roman"/>
                <w:color w:val="auto"/>
              </w:rPr>
            </w:pPr>
          </w:p>
        </w:tc>
        <w:tc>
          <w:tcPr>
            <w:tcW w:w="185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其他工程阶段</w:t>
            </w:r>
          </w:p>
        </w:tc>
        <w:tc>
          <w:tcPr>
            <w:tcW w:w="94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250</w:t>
            </w:r>
          </w:p>
        </w:tc>
      </w:tr>
    </w:tbl>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运营期</w:t>
      </w:r>
      <w:r>
        <w:rPr>
          <w:rFonts w:hint="default" w:ascii="Times New Roman" w:hAnsi="Times New Roman" w:cs="Times New Roman"/>
          <w:color w:val="auto"/>
        </w:rPr>
        <w:t>：本项目颗粒物有组织排放执行《大气污染物综合排放标准》（GB16297-1996）二级标准要求。本项目颗粒物有组织排放浓度参照执行《乐山市打赢蓝天保卫战实施方案》要求和《四川省重污染天气金属表面处理及热处理加工等10个行业应急减排措施制定技术指南》中“二、矿石采选与石材加工”的B级要求（排放浓度＜10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2"/>
        <w:overflowPunct w:val="0"/>
        <w:adjustRightInd w:val="0"/>
        <w:spacing w:before="65" w:beforeLines="20" w:after="65" w:afterLines="20"/>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本项目运营期大气污染物有组织排放标准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800"/>
        <w:gridCol w:w="1458"/>
        <w:gridCol w:w="1505"/>
        <w:gridCol w:w="1143"/>
        <w:gridCol w:w="3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blHeader/>
          <w:jc w:val="center"/>
        </w:trPr>
        <w:tc>
          <w:tcPr>
            <w:tcW w:w="21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46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855"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最高允许排放浓度（mg/m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p>
        </w:tc>
        <w:tc>
          <w:tcPr>
            <w:tcW w:w="883"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最高允许排放速率（kg/h）</w:t>
            </w:r>
          </w:p>
        </w:tc>
        <w:tc>
          <w:tcPr>
            <w:tcW w:w="671"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监测位置</w:t>
            </w:r>
          </w:p>
        </w:tc>
        <w:tc>
          <w:tcPr>
            <w:tcW w:w="1904"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46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颗粒物</w:t>
            </w:r>
          </w:p>
        </w:tc>
        <w:tc>
          <w:tcPr>
            <w:tcW w:w="85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88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3.5</w:t>
            </w:r>
          </w:p>
        </w:tc>
        <w:tc>
          <w:tcPr>
            <w:tcW w:w="671"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DA001（H=15m）</w:t>
            </w:r>
          </w:p>
        </w:tc>
        <w:tc>
          <w:tcPr>
            <w:tcW w:w="190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《大气污染物综合排放标准》（GB 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16" w:type="pct"/>
            <w:vMerge w:val="continue"/>
            <w:vAlign w:val="center"/>
          </w:tcPr>
          <w:p>
            <w:pPr>
              <w:pStyle w:val="36"/>
              <w:adjustRightInd w:val="0"/>
              <w:rPr>
                <w:rFonts w:hint="default" w:ascii="Times New Roman" w:hAnsi="Times New Roman" w:cs="Times New Roman"/>
                <w:color w:val="auto"/>
              </w:rPr>
            </w:pPr>
          </w:p>
        </w:tc>
        <w:tc>
          <w:tcPr>
            <w:tcW w:w="469" w:type="pct"/>
            <w:vMerge w:val="continue"/>
            <w:vAlign w:val="center"/>
          </w:tcPr>
          <w:p>
            <w:pPr>
              <w:pStyle w:val="36"/>
              <w:adjustRightInd w:val="0"/>
              <w:rPr>
                <w:rFonts w:hint="default" w:ascii="Times New Roman" w:hAnsi="Times New Roman" w:cs="Times New Roman"/>
                <w:color w:val="auto"/>
              </w:rPr>
            </w:pPr>
          </w:p>
        </w:tc>
        <w:tc>
          <w:tcPr>
            <w:tcW w:w="85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88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c>
          <w:tcPr>
            <w:tcW w:w="671" w:type="pct"/>
            <w:vMerge w:val="continue"/>
            <w:vAlign w:val="center"/>
          </w:tcPr>
          <w:p>
            <w:pPr>
              <w:pStyle w:val="36"/>
              <w:adjustRightInd w:val="0"/>
              <w:rPr>
                <w:rFonts w:hint="default" w:ascii="Times New Roman" w:hAnsi="Times New Roman" w:cs="Times New Roman"/>
                <w:color w:val="auto"/>
              </w:rPr>
            </w:pPr>
          </w:p>
        </w:tc>
        <w:tc>
          <w:tcPr>
            <w:tcW w:w="190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《四川省重污染天气金属表面处理及热处理加工等10个行业应急减排措施制定技术指南》</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本项目颗粒物无组织排放执行《大气污染物综合排放标准》（GB 16297-1996）无组织排放监控浓度限值。</w:t>
      </w:r>
    </w:p>
    <w:p>
      <w:pPr>
        <w:pStyle w:val="12"/>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rPr>
        <w:t>本项目大气污染物无组织排放标准 单位：mg/m3</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581"/>
        <w:gridCol w:w="996"/>
        <w:gridCol w:w="1337"/>
        <w:gridCol w:w="3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blHeader/>
          <w:jc w:val="center"/>
        </w:trPr>
        <w:tc>
          <w:tcPr>
            <w:tcW w:w="447"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927"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585"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浓度</w:t>
            </w:r>
          </w:p>
        </w:tc>
        <w:tc>
          <w:tcPr>
            <w:tcW w:w="785"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监测位置</w:t>
            </w:r>
          </w:p>
        </w:tc>
        <w:tc>
          <w:tcPr>
            <w:tcW w:w="2254"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92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颗粒物</w:t>
            </w:r>
          </w:p>
        </w:tc>
        <w:tc>
          <w:tcPr>
            <w:tcW w:w="58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1.0</w:t>
            </w:r>
          </w:p>
        </w:tc>
        <w:tc>
          <w:tcPr>
            <w:tcW w:w="785"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周界外最高浓度点</w:t>
            </w:r>
          </w:p>
        </w:tc>
        <w:tc>
          <w:tcPr>
            <w:tcW w:w="225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《大气污染物综合排放标准》（GB 16297-1996）表2</w:t>
            </w: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噪声</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施工期</w:t>
      </w:r>
      <w:r>
        <w:rPr>
          <w:rFonts w:hint="default" w:ascii="Times New Roman" w:hAnsi="Times New Roman" w:cs="Times New Roman"/>
          <w:color w:val="auto"/>
        </w:rPr>
        <w:t>：执行《建筑施工场界环境噪声排放标准》（GB 12523-2011），见下表。</w:t>
      </w:r>
    </w:p>
    <w:p>
      <w:pPr>
        <w:pStyle w:val="12"/>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cs="Times New Roman"/>
          <w:color w:val="auto"/>
        </w:rPr>
        <w:t>建筑施工场界环境噪声排放标准 单位：dB（A）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880"/>
        <w:gridCol w:w="1884"/>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位置</w:t>
            </w:r>
          </w:p>
        </w:tc>
        <w:tc>
          <w:tcPr>
            <w:tcW w:w="2207"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噪声级：dB（A）</w:t>
            </w:r>
          </w:p>
        </w:tc>
        <w:tc>
          <w:tcPr>
            <w:tcW w:w="196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厂界</w:t>
            </w:r>
          </w:p>
        </w:tc>
        <w:tc>
          <w:tcPr>
            <w:tcW w:w="110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昼间</w:t>
            </w:r>
          </w:p>
        </w:tc>
        <w:tc>
          <w:tcPr>
            <w:tcW w:w="110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夜间</w:t>
            </w:r>
          </w:p>
        </w:tc>
        <w:tc>
          <w:tcPr>
            <w:tcW w:w="196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vMerge w:val="continue"/>
            <w:vAlign w:val="center"/>
          </w:tcPr>
          <w:p>
            <w:pPr>
              <w:pStyle w:val="36"/>
              <w:adjustRightInd w:val="0"/>
              <w:rPr>
                <w:rFonts w:hint="default" w:ascii="Times New Roman" w:hAnsi="Times New Roman" w:cs="Times New Roman"/>
                <w:color w:val="auto"/>
              </w:rPr>
            </w:pPr>
          </w:p>
        </w:tc>
        <w:tc>
          <w:tcPr>
            <w:tcW w:w="110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70</w:t>
            </w:r>
          </w:p>
        </w:tc>
        <w:tc>
          <w:tcPr>
            <w:tcW w:w="110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55</w:t>
            </w:r>
          </w:p>
        </w:tc>
        <w:tc>
          <w:tcPr>
            <w:tcW w:w="1969"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0" w:type="pct"/>
            <w:gridSpan w:val="3"/>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夜间最大声级超过限值的幅度不得高于15dB（A）</w:t>
            </w:r>
          </w:p>
        </w:tc>
        <w:tc>
          <w:tcPr>
            <w:tcW w:w="1969" w:type="pct"/>
            <w:vMerge w:val="continue"/>
            <w:vAlign w:val="center"/>
          </w:tcPr>
          <w:p>
            <w:pPr>
              <w:pStyle w:val="36"/>
              <w:adjustRightInd w:val="0"/>
              <w:rPr>
                <w:rFonts w:hint="default" w:ascii="Times New Roman" w:hAnsi="Times New Roman" w:cs="Times New Roman"/>
                <w:color w:val="auto"/>
              </w:rPr>
            </w:pPr>
          </w:p>
        </w:tc>
      </w:tr>
    </w:tbl>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运营期</w:t>
      </w:r>
      <w:r>
        <w:rPr>
          <w:rFonts w:hint="default" w:ascii="Times New Roman" w:hAnsi="Times New Roman" w:cs="Times New Roman"/>
          <w:color w:val="auto"/>
        </w:rPr>
        <w:t>：执行《工业企业厂界环境噪声排放标准》（GB12348-2008）3类、4a类标准，见下表。</w:t>
      </w:r>
    </w:p>
    <w:p>
      <w:pPr>
        <w:pStyle w:val="12"/>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37</w:t>
      </w:r>
      <w:r>
        <w:rPr>
          <w:rFonts w:hint="default" w:ascii="Times New Roman" w:hAnsi="Times New Roman" w:cs="Times New Roman"/>
          <w:color w:val="auto"/>
        </w:rPr>
        <w:fldChar w:fldCharType="end"/>
      </w:r>
      <w:r>
        <w:rPr>
          <w:rFonts w:hint="default" w:ascii="Times New Roman" w:hAnsi="Times New Roman" w:cs="Times New Roman"/>
          <w:color w:val="auto"/>
        </w:rPr>
        <w:t>工业企业厂界环境噪声排放标准 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0"/>
        <w:gridCol w:w="1664"/>
        <w:gridCol w:w="1666"/>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72"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厂界外声环境功能区类别</w:t>
            </w:r>
          </w:p>
        </w:tc>
        <w:tc>
          <w:tcPr>
            <w:tcW w:w="1953"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时段</w:t>
            </w:r>
          </w:p>
        </w:tc>
        <w:tc>
          <w:tcPr>
            <w:tcW w:w="1573"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1472" w:type="pct"/>
            <w:vMerge w:val="continue"/>
            <w:vAlign w:val="center"/>
          </w:tcPr>
          <w:p>
            <w:pPr>
              <w:pStyle w:val="36"/>
              <w:adjustRightInd w:val="0"/>
              <w:rPr>
                <w:rFonts w:hint="default" w:ascii="Times New Roman" w:hAnsi="Times New Roman" w:cs="Times New Roman"/>
                <w:color w:val="auto"/>
              </w:rPr>
            </w:pPr>
          </w:p>
        </w:tc>
        <w:tc>
          <w:tcPr>
            <w:tcW w:w="97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97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夜间</w:t>
            </w:r>
          </w:p>
        </w:tc>
        <w:tc>
          <w:tcPr>
            <w:tcW w:w="1573"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3类</w:t>
            </w:r>
          </w:p>
        </w:tc>
        <w:tc>
          <w:tcPr>
            <w:tcW w:w="97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65</w:t>
            </w:r>
          </w:p>
        </w:tc>
        <w:tc>
          <w:tcPr>
            <w:tcW w:w="97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55</w:t>
            </w:r>
          </w:p>
        </w:tc>
        <w:tc>
          <w:tcPr>
            <w:tcW w:w="1573"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4a类</w:t>
            </w:r>
          </w:p>
        </w:tc>
        <w:tc>
          <w:tcPr>
            <w:tcW w:w="97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70</w:t>
            </w:r>
          </w:p>
        </w:tc>
        <w:tc>
          <w:tcPr>
            <w:tcW w:w="97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55</w:t>
            </w:r>
          </w:p>
        </w:tc>
        <w:tc>
          <w:tcPr>
            <w:tcW w:w="1573" w:type="pct"/>
            <w:vMerge w:val="continue"/>
            <w:vAlign w:val="center"/>
          </w:tcPr>
          <w:p>
            <w:pPr>
              <w:pStyle w:val="36"/>
              <w:adjustRightInd w:val="0"/>
              <w:rPr>
                <w:rFonts w:hint="default" w:ascii="Times New Roman" w:hAnsi="Times New Roman" w:cs="Times New Roman"/>
                <w:color w:val="auto"/>
              </w:rPr>
            </w:pP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固体废物</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一般固体废物暂存执行“防渗漏、防雨淋、防扬尘”的相关环境保护要求；危险废物在厂内临时贮存执行《危险废物贮存污染控制标准》（GB18597-2023）相关规定。</w:t>
      </w:r>
    </w:p>
    <w:p>
      <w:pPr>
        <w:pStyle w:val="3"/>
        <w:adjustRightInd w:val="0"/>
        <w:rPr>
          <w:rFonts w:hint="default" w:ascii="Times New Roman" w:hAnsi="Times New Roman" w:cs="Times New Roman"/>
          <w:color w:val="auto"/>
        </w:rPr>
      </w:pPr>
      <w:bookmarkStart w:id="49" w:name="_Toc28304"/>
      <w:bookmarkStart w:id="50" w:name="_Toc16194"/>
      <w:bookmarkStart w:id="51" w:name="_Toc29715"/>
      <w:r>
        <w:rPr>
          <w:rFonts w:hint="default" w:ascii="Times New Roman" w:hAnsi="Times New Roman" w:cs="Times New Roman"/>
          <w:color w:val="auto"/>
        </w:rPr>
        <w:t>评价等级</w:t>
      </w:r>
      <w:bookmarkEnd w:id="49"/>
      <w:bookmarkEnd w:id="50"/>
      <w:r>
        <w:rPr>
          <w:rFonts w:hint="default" w:ascii="Times New Roman" w:hAnsi="Times New Roman" w:cs="Times New Roman"/>
          <w:color w:val="auto"/>
        </w:rPr>
        <w:t>和评价范围</w:t>
      </w:r>
      <w:bookmarkEnd w:id="5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设项目环境影响评价级别划分是根据建设项目可能对环境造成的影响程度和范围，以及项目所在地区的环境敏感程度所确定，本次评价根据《环境影响评价技术导则》相关要求，对拟建项目评价工作等级进行划分。</w:t>
      </w:r>
    </w:p>
    <w:p>
      <w:pPr>
        <w:pStyle w:val="4"/>
        <w:adjustRightInd w:val="0"/>
        <w:rPr>
          <w:rFonts w:hint="default" w:ascii="Times New Roman" w:hAnsi="Times New Roman" w:cs="Times New Roman"/>
          <w:color w:val="auto"/>
        </w:rPr>
      </w:pPr>
      <w:bookmarkStart w:id="52" w:name="_Toc365381213"/>
      <w:bookmarkStart w:id="53" w:name="_Toc9188"/>
      <w:bookmarkStart w:id="54" w:name="_Toc7816"/>
      <w:bookmarkStart w:id="55" w:name="_Toc21272"/>
      <w:r>
        <w:rPr>
          <w:rFonts w:hint="default" w:ascii="Times New Roman" w:hAnsi="Times New Roman" w:cs="Times New Roman"/>
          <w:color w:val="auto"/>
        </w:rPr>
        <w:t>地表水环境评价</w:t>
      </w:r>
      <w:bookmarkEnd w:id="52"/>
      <w:bookmarkEnd w:id="53"/>
      <w:bookmarkEnd w:id="54"/>
      <w:bookmarkEnd w:id="55"/>
    </w:p>
    <w:p>
      <w:pPr>
        <w:pStyle w:val="5"/>
        <w:adjustRightInd w:val="0"/>
        <w:rPr>
          <w:rFonts w:hint="default" w:ascii="Times New Roman" w:hAnsi="Times New Roman" w:cs="Times New Roman"/>
          <w:color w:val="auto"/>
        </w:rPr>
      </w:pPr>
      <w:r>
        <w:rPr>
          <w:rFonts w:hint="default" w:ascii="Times New Roman" w:hAnsi="Times New Roman" w:cs="Times New Roman"/>
          <w:color w:val="auto"/>
        </w:rPr>
        <w:t>评价等级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地表水环境》（HJ 2.3-2018），水污染影响型建设项目根据排放方式和废水排放量划分评价等级，水污染影响型建设项目评价等级判定见下表。</w:t>
      </w:r>
    </w:p>
    <w:p>
      <w:pPr>
        <w:pStyle w:val="12"/>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38</w:t>
      </w:r>
      <w:r>
        <w:rPr>
          <w:rFonts w:hint="default" w:ascii="Times New Roman" w:hAnsi="Times New Roman" w:cs="Times New Roman"/>
          <w:color w:val="auto"/>
        </w:rPr>
        <w:fldChar w:fldCharType="end"/>
      </w:r>
      <w:r>
        <w:rPr>
          <w:rFonts w:hint="default" w:ascii="Times New Roman" w:hAnsi="Times New Roman" w:cs="Times New Roman"/>
          <w:color w:val="auto"/>
        </w:rPr>
        <w:t>水污染影响型建设项目评价等级判定</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1664"/>
        <w:gridCol w:w="5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blHeader/>
          <w:jc w:val="center"/>
        </w:trPr>
        <w:tc>
          <w:tcPr>
            <w:tcW w:w="1715" w:type="dxa"/>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评价等级</w:t>
            </w:r>
          </w:p>
        </w:tc>
        <w:tc>
          <w:tcPr>
            <w:tcW w:w="7231" w:type="dxa"/>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15" w:type="dxa"/>
            <w:vMerge w:val="continue"/>
            <w:vAlign w:val="center"/>
          </w:tcPr>
          <w:p>
            <w:pPr>
              <w:pStyle w:val="36"/>
              <w:adjustRightInd w:val="0"/>
              <w:rPr>
                <w:rFonts w:hint="default" w:ascii="Times New Roman" w:hAnsi="Times New Roman" w:cs="Times New Roman"/>
                <w:b/>
                <w:bCs/>
                <w:color w:val="auto"/>
              </w:rPr>
            </w:pPr>
          </w:p>
        </w:tc>
        <w:tc>
          <w:tcPr>
            <w:tcW w:w="1746" w:type="dxa"/>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排放方式</w:t>
            </w:r>
          </w:p>
        </w:tc>
        <w:tc>
          <w:tcPr>
            <w:tcW w:w="5485" w:type="dxa"/>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废水排放量Q（m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/d）；水污染当量数W（无量纲）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一级</w:t>
            </w:r>
          </w:p>
        </w:tc>
        <w:tc>
          <w:tcPr>
            <w:tcW w:w="1746"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直接排放</w:t>
            </w:r>
          </w:p>
        </w:tc>
        <w:tc>
          <w:tcPr>
            <w:tcW w:w="5485"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二级</w:t>
            </w:r>
          </w:p>
        </w:tc>
        <w:tc>
          <w:tcPr>
            <w:tcW w:w="1746"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直接排放</w:t>
            </w:r>
          </w:p>
        </w:tc>
        <w:tc>
          <w:tcPr>
            <w:tcW w:w="5485"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三级A</w:t>
            </w:r>
          </w:p>
        </w:tc>
        <w:tc>
          <w:tcPr>
            <w:tcW w:w="1746"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直接排放</w:t>
            </w:r>
          </w:p>
        </w:tc>
        <w:tc>
          <w:tcPr>
            <w:tcW w:w="5485"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三级B</w:t>
            </w:r>
          </w:p>
        </w:tc>
        <w:tc>
          <w:tcPr>
            <w:tcW w:w="1746"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间接排放</w:t>
            </w:r>
          </w:p>
        </w:tc>
        <w:tc>
          <w:tcPr>
            <w:tcW w:w="5485"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gridSpan w:val="3"/>
            <w:vAlign w:val="center"/>
          </w:tcPr>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注3：场区存在堆积物（露天堆放的原料、燃料、废渣等以及垃圾堆放场）、降尘污染的，应将初期雨污水纳入废水排放量，相应的主要污染物纳入水污染当量计算。</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注4：建设项目直接排放第一类污染物的，其评价等级为一级；建设项目直接排放的污染物为受纳水体超标因子的，评价等级不低于二级。</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注5：直接排放受纳水体影响范围涉及饮用水水源保护区、饮用水取水口、重点保护与珍稀水生生物的栖息地、重要水生生物的自然产卵场等保护目标时，评价等级不低于二级。</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注6：建设项目向河流、湖库排放温排水引起受纳水体水温变化超过水环境质量标准要求，且评价范围有水温敏感目标时，评价等级为一级。</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注7：建设项目利用海水作为调节温度介质，排水量≥500万m</w:t>
            </w:r>
            <w:r>
              <w:rPr>
                <w:rFonts w:hint="default" w:ascii="Times New Roman" w:hAnsi="Times New Roman" w:cs="Times New Roman"/>
                <w:color w:val="auto"/>
                <w:vertAlign w:val="superscript"/>
              </w:rPr>
              <w:t>3</w:t>
            </w:r>
            <w:r>
              <w:rPr>
                <w:rFonts w:hint="default" w:ascii="Times New Roman" w:hAnsi="Times New Roman" w:cs="Times New Roman"/>
                <w:color w:val="auto"/>
              </w:rPr>
              <w:t>/d，评价等级为一级；排水量＜500万m</w:t>
            </w:r>
            <w:r>
              <w:rPr>
                <w:rFonts w:hint="default" w:ascii="Times New Roman" w:hAnsi="Times New Roman" w:cs="Times New Roman"/>
                <w:color w:val="auto"/>
                <w:vertAlign w:val="superscript"/>
              </w:rPr>
              <w:t>3</w:t>
            </w:r>
            <w:r>
              <w:rPr>
                <w:rFonts w:hint="default" w:ascii="Times New Roman" w:hAnsi="Times New Roman" w:cs="Times New Roman"/>
                <w:color w:val="auto"/>
              </w:rPr>
              <w:t>/d，评价等级为二级。</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注8：仅涉及清净下水排放的，如其排放水质满足受纳水体水环境质量标准要求的，评价等级为三级A</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注9：依托现有排放口，且对外环境未新增排放污染物的直接排放建设项目，评价等级参照间接排放，定为三级B。</w:t>
            </w:r>
          </w:p>
          <w:p>
            <w:pPr>
              <w:pStyle w:val="36"/>
              <w:adjustRightInd w:val="0"/>
              <w:jc w:val="both"/>
              <w:rPr>
                <w:rFonts w:hint="default" w:ascii="Times New Roman" w:hAnsi="Times New Roman" w:cs="Times New Roman"/>
                <w:color w:val="auto"/>
              </w:rPr>
            </w:pPr>
            <w:r>
              <w:rPr>
                <w:rFonts w:hint="default" w:ascii="Times New Roman" w:hAnsi="Times New Roman" w:cs="Times New Roman"/>
                <w:color w:val="auto"/>
              </w:rPr>
              <w:t>注10：建设项目生产工艺中有废水产生，但作为回水利用，不排放到外环境的，按三级B评价</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本项目废水包括生活污水及生产废水，其中生产废水主要为选矿废水、车辆冲洗废水，经本项目设置的一套生产废水处理设施（处理工艺为絮凝+沉淀，设计处理能力为</w:t>
      </w:r>
      <w:r>
        <w:rPr>
          <w:rFonts w:hint="eastAsia" w:cs="Times New Roman"/>
          <w:color w:val="auto"/>
          <w:lang w:val="en-US" w:eastAsia="zh-CN"/>
        </w:rPr>
        <w:t>280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/h）处理后回用于选矿，不外排；车辆冲洗废水经沉淀池处理后回用于洗车，不外排；初期雨水经初期雨水池沉淀处理后回用于喷雾降尘，不外排。</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）处理达乐山沙湾经济开发区污水处理厂设计进水水质后依托园区污水管网排入乐山沙湾经济开发区污水处理厂进一步处理。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根据现场调查，本项目受纳水体影响范围不涉及饮用水水源保护区、饮用水取水口、重点保护与珍稀水生生物的栖息地、重要水生生物的自然产卵场等保护目标；本项目不排放温排水。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综上，根据《环境影响评价技术导则 地表水环境》（HJ2.3-2018）中评价等级确定要求，确定本项目地表水评价等级为</w:t>
      </w:r>
      <w:r>
        <w:rPr>
          <w:rFonts w:hint="default" w:ascii="Times New Roman" w:hAnsi="Times New Roman" w:cs="Times New Roman"/>
          <w:b/>
          <w:bCs/>
          <w:color w:val="auto"/>
        </w:rPr>
        <w:t>三级B</w:t>
      </w:r>
      <w:r>
        <w:rPr>
          <w:rFonts w:hint="default" w:ascii="Times New Roman" w:hAnsi="Times New Roman" w:cs="Times New Roman"/>
          <w:color w:val="auto"/>
        </w:rPr>
        <w:t>。</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评价范围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地表水环境》（HJ 2.3-2018）“建设项目生产工艺中有废水产生，但作为回水利用，不排放到外环境的，按三级B评价”。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因此，本次评价重点评价生产废水零排放的可靠性、合理性以及废水资源化利用的可行性及合理性进行分析。</w:t>
      </w:r>
    </w:p>
    <w:p>
      <w:pPr>
        <w:pStyle w:val="4"/>
        <w:adjustRightInd w:val="0"/>
        <w:rPr>
          <w:rFonts w:hint="default" w:ascii="Times New Roman" w:hAnsi="Times New Roman" w:cs="Times New Roman"/>
          <w:color w:val="auto"/>
        </w:rPr>
      </w:pPr>
      <w:bookmarkStart w:id="56" w:name="_Toc365381214"/>
      <w:bookmarkStart w:id="57" w:name="_Toc21753"/>
      <w:bookmarkStart w:id="58" w:name="_Toc16718"/>
      <w:bookmarkStart w:id="59" w:name="_Toc13459"/>
      <w:r>
        <w:rPr>
          <w:rFonts w:hint="default" w:ascii="Times New Roman" w:hAnsi="Times New Roman" w:cs="Times New Roman"/>
          <w:color w:val="auto"/>
        </w:rPr>
        <w:t>地下水环境评价工作等级</w:t>
      </w:r>
      <w:bookmarkEnd w:id="56"/>
      <w:bookmarkEnd w:id="57"/>
      <w:bookmarkEnd w:id="58"/>
      <w:bookmarkEnd w:id="59"/>
    </w:p>
    <w:p>
      <w:pPr>
        <w:pStyle w:val="5"/>
        <w:adjustRightInd w:val="0"/>
        <w:rPr>
          <w:rFonts w:hint="default" w:ascii="Times New Roman" w:hAnsi="Times New Roman" w:cs="Times New Roman"/>
          <w:color w:val="auto"/>
        </w:rPr>
      </w:pPr>
      <w:r>
        <w:rPr>
          <w:rFonts w:hint="default" w:ascii="Times New Roman" w:hAnsi="Times New Roman" w:cs="Times New Roman"/>
          <w:color w:val="auto"/>
        </w:rPr>
        <w:t>评价等级</w:t>
      </w:r>
    </w:p>
    <w:p>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根据《环境影响评价技术导则地下水环境》（HJ610-2016）中项目类别和地下水环境敏感程度确定评价工作等级</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一、项目类别</w:t>
      </w:r>
    </w:p>
    <w:p>
      <w:pPr>
        <w:ind w:firstLine="480"/>
        <w:rPr>
          <w:rFonts w:hint="default" w:ascii="Times New Roman" w:hAnsi="Times New Roman" w:cs="Times New Roman"/>
          <w:color w:val="auto"/>
        </w:rPr>
      </w:pPr>
      <w:r>
        <w:rPr>
          <w:rFonts w:hint="default" w:ascii="Times New Roman" w:hAnsi="Times New Roman" w:cs="Times New Roman"/>
          <w:color w:val="auto"/>
        </w:rPr>
        <w:t>根据建设项目对地下水环境影响程度，结合《建设项目环境影响评价分类管理名录》，将建设项目分为四类，其中I类、Ⅱ类及Ⅲ类建设项目的地下水环境影响评价应执行本标准，Ⅳ类建设项目不开展地下水环境影响评价，分类详见《环境影响评价技术导则—地下水环境》（HJ610-2016）附录A（以下简称附录A）。</w:t>
      </w:r>
    </w:p>
    <w:p>
      <w:pPr>
        <w:ind w:firstLine="480"/>
        <w:rPr>
          <w:rFonts w:hint="default" w:ascii="Times New Roman" w:hAnsi="Times New Roman" w:cs="Times New Roman"/>
          <w:color w:val="auto"/>
        </w:rPr>
      </w:pPr>
      <w:r>
        <w:rPr>
          <w:rFonts w:hint="default" w:ascii="Times New Roman" w:hAnsi="Times New Roman" w:cs="Times New Roman"/>
          <w:color w:val="auto"/>
        </w:rPr>
        <w:t>本项目所属地下水环境影响类别见下表。</w:t>
      </w:r>
    </w:p>
    <w:p>
      <w:pPr>
        <w:pStyle w:val="12"/>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39</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附录A（规范附录）地下水环境影响评价行业分类表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9"/>
        <w:gridCol w:w="934"/>
        <w:gridCol w:w="934"/>
        <w:gridCol w:w="206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484" w:type="pct"/>
            <w:vMerge w:val="restart"/>
            <w:tcBorders>
              <w:tl2br w:val="single" w:color="auto" w:sz="4" w:space="0"/>
            </w:tcBorders>
            <w:vAlign w:val="center"/>
          </w:tcPr>
          <w:p>
            <w:pPr>
              <w:overflowPunct w:val="0"/>
              <w:spacing w:before="65" w:beforeLines="20" w:after="65" w:afterLines="20" w:line="240" w:lineRule="auto"/>
              <w:ind w:firstLine="0" w:firstLineChars="0"/>
              <w:jc w:val="right"/>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 xml:space="preserve">       环评类别</w:t>
            </w:r>
          </w:p>
          <w:p>
            <w:pPr>
              <w:overflowPunct w:val="0"/>
              <w:spacing w:before="65" w:beforeLines="20" w:after="65" w:afterLines="20" w:line="240" w:lineRule="auto"/>
              <w:ind w:firstLine="0" w:firstLineChars="0"/>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行业类别</w:t>
            </w:r>
          </w:p>
        </w:tc>
        <w:tc>
          <w:tcPr>
            <w:tcW w:w="548" w:type="pct"/>
            <w:vMerge w:val="restart"/>
            <w:vAlign w:val="center"/>
          </w:tcPr>
          <w:p>
            <w:pPr>
              <w:overflowPunct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报告书</w:t>
            </w:r>
          </w:p>
        </w:tc>
        <w:tc>
          <w:tcPr>
            <w:tcW w:w="548" w:type="pct"/>
            <w:vMerge w:val="restart"/>
            <w:vAlign w:val="center"/>
          </w:tcPr>
          <w:p>
            <w:pPr>
              <w:overflowPunct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报告表</w:t>
            </w:r>
          </w:p>
        </w:tc>
        <w:tc>
          <w:tcPr>
            <w:tcW w:w="2418" w:type="pct"/>
            <w:gridSpan w:val="2"/>
            <w:vAlign w:val="center"/>
          </w:tcPr>
          <w:p>
            <w:pPr>
              <w:overflowPunct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地下水环境影响评价项目类别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4" w:type="pct"/>
            <w:vMerge w:val="continue"/>
            <w:vAlign w:val="center"/>
          </w:tcPr>
          <w:p>
            <w:pPr>
              <w:overflowPunct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p>
        </w:tc>
        <w:tc>
          <w:tcPr>
            <w:tcW w:w="548" w:type="pct"/>
            <w:vMerge w:val="continue"/>
            <w:vAlign w:val="center"/>
          </w:tcPr>
          <w:p>
            <w:pPr>
              <w:overflowPunct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p>
        </w:tc>
        <w:tc>
          <w:tcPr>
            <w:tcW w:w="548" w:type="pct"/>
            <w:vMerge w:val="continue"/>
            <w:vAlign w:val="center"/>
          </w:tcPr>
          <w:p>
            <w:pPr>
              <w:overflowPunct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p>
        </w:tc>
        <w:tc>
          <w:tcPr>
            <w:tcW w:w="1209" w:type="pct"/>
            <w:vAlign w:val="center"/>
          </w:tcPr>
          <w:p>
            <w:pPr>
              <w:overflowPunct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报告书</w:t>
            </w:r>
          </w:p>
        </w:tc>
        <w:tc>
          <w:tcPr>
            <w:tcW w:w="1209" w:type="pct"/>
            <w:vAlign w:val="center"/>
          </w:tcPr>
          <w:p>
            <w:pPr>
              <w:overflowPunct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pct"/>
            <w:vAlign w:val="center"/>
          </w:tcPr>
          <w:p>
            <w:pPr>
              <w:numPr>
                <w:ilvl w:val="0"/>
                <w:numId w:val="8"/>
              </w:numPr>
              <w:overflowPunct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有色金属</w:t>
            </w:r>
          </w:p>
          <w:p>
            <w:pPr>
              <w:overflowPunct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47、采选（含单独尾矿库）</w:t>
            </w:r>
          </w:p>
        </w:tc>
        <w:tc>
          <w:tcPr>
            <w:tcW w:w="548" w:type="pct"/>
            <w:vAlign w:val="center"/>
          </w:tcPr>
          <w:p>
            <w:pPr>
              <w:overflowPunct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全部</w:t>
            </w:r>
          </w:p>
        </w:tc>
        <w:tc>
          <w:tcPr>
            <w:tcW w:w="548" w:type="pct"/>
            <w:vAlign w:val="center"/>
          </w:tcPr>
          <w:p>
            <w:pPr>
              <w:overflowPunct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w:t>
            </w:r>
          </w:p>
        </w:tc>
        <w:tc>
          <w:tcPr>
            <w:tcW w:w="1209" w:type="pct"/>
            <w:vAlign w:val="center"/>
          </w:tcPr>
          <w:p>
            <w:pPr>
              <w:overflowPunct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排土场、尾矿库</w:t>
            </w:r>
            <w:r>
              <w:rPr>
                <w:rFonts w:hint="default" w:ascii="Times New Roman" w:hAnsi="Times New Roman" w:cs="Times New Roman"/>
                <w:color w:val="auto"/>
                <w:kern w:val="21"/>
                <w:sz w:val="21"/>
              </w:rPr>
              <w:t>I类，</w:t>
            </w:r>
            <w:r>
              <w:rPr>
                <w:rFonts w:hint="default" w:ascii="Times New Roman" w:hAnsi="Times New Roman" w:cs="Times New Roman"/>
                <w:b/>
                <w:bCs/>
                <w:color w:val="auto"/>
                <w:kern w:val="21"/>
                <w:sz w:val="21"/>
              </w:rPr>
              <w:t>选矿厂Ⅱ类</w:t>
            </w:r>
            <w:r>
              <w:rPr>
                <w:rFonts w:hint="default" w:ascii="Times New Roman" w:hAnsi="Times New Roman" w:cs="Times New Roman"/>
                <w:color w:val="auto"/>
                <w:kern w:val="21"/>
                <w:sz w:val="21"/>
              </w:rPr>
              <w:t>，其余Ⅳ类</w:t>
            </w:r>
          </w:p>
        </w:tc>
        <w:tc>
          <w:tcPr>
            <w:tcW w:w="1209" w:type="pct"/>
            <w:vAlign w:val="center"/>
          </w:tcPr>
          <w:p>
            <w:pPr>
              <w:overflowPunct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由上表可知，本项目为Ⅱ类项目。</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二、地下水环境敏感程度</w:t>
      </w:r>
    </w:p>
    <w:p>
      <w:pPr>
        <w:ind w:firstLine="480"/>
        <w:rPr>
          <w:rFonts w:hint="default" w:ascii="Times New Roman" w:hAnsi="Times New Roman" w:cs="Times New Roman"/>
          <w:color w:val="auto"/>
        </w:rPr>
      </w:pPr>
      <w:r>
        <w:rPr>
          <w:rFonts w:hint="default" w:ascii="Times New Roman" w:hAnsi="Times New Roman" w:cs="Times New Roman"/>
          <w:color w:val="auto"/>
        </w:rPr>
        <w:t>建设项目地下水环境影响评价等级划分应根据建设项目行业分类和地下水环境敏感程度进行判定。</w:t>
      </w:r>
    </w:p>
    <w:p>
      <w:pPr>
        <w:pStyle w:val="12"/>
        <w:rPr>
          <w:rFonts w:hint="default" w:ascii="Times New Roman" w:hAnsi="Times New Roman" w:cs="Times New Roman"/>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40</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地下水环境敏感程度分级表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4438"/>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2" w:type="pct"/>
            <w:vAlign w:val="center"/>
          </w:tcPr>
          <w:p>
            <w:pPr>
              <w:spacing w:before="65" w:beforeLines="20" w:after="65" w:afterLines="20" w:line="240" w:lineRule="auto"/>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分级</w:t>
            </w:r>
          </w:p>
        </w:tc>
        <w:tc>
          <w:tcPr>
            <w:tcW w:w="2604" w:type="pct"/>
            <w:vAlign w:val="center"/>
          </w:tcPr>
          <w:p>
            <w:pPr>
              <w:spacing w:before="65" w:beforeLines="20" w:after="65" w:afterLines="20" w:line="240" w:lineRule="auto"/>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项目场地的地下水环境敏感特征</w:t>
            </w:r>
          </w:p>
        </w:tc>
        <w:tc>
          <w:tcPr>
            <w:tcW w:w="1672" w:type="pct"/>
            <w:vAlign w:val="center"/>
          </w:tcPr>
          <w:p>
            <w:pPr>
              <w:spacing w:before="65" w:beforeLines="20" w:after="65" w:afterLines="20" w:line="240" w:lineRule="auto"/>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pct"/>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敏感</w:t>
            </w:r>
          </w:p>
        </w:tc>
        <w:tc>
          <w:tcPr>
            <w:tcW w:w="2604" w:type="pct"/>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b/>
                <w:bCs/>
                <w:color w:val="auto"/>
                <w:sz w:val="21"/>
              </w:rPr>
              <w:t>集中式饮用水源地</w:t>
            </w:r>
            <w:r>
              <w:rPr>
                <w:rFonts w:hint="default" w:ascii="Times New Roman" w:hAnsi="Times New Roman" w:cs="Times New Roman"/>
                <w:color w:val="auto"/>
                <w:sz w:val="21"/>
              </w:rPr>
              <w:t>（包括已建成的在用、备用、应急水源地，在建和规划的水源地）准保护区；除集中式饮用水源地以外的国家或地方政府设定的与地下水环境相关的其他保护区，如热水、矿泉水、温泉等特殊地下水资源保护区。</w:t>
            </w:r>
          </w:p>
        </w:tc>
        <w:tc>
          <w:tcPr>
            <w:tcW w:w="1672" w:type="pct"/>
            <w:vMerge w:val="restart"/>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项目场地东南侧约1802m为乐山市大渡河安谷电站库区集中式饮用水水源保护区取水口。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较敏感</w:t>
            </w:r>
          </w:p>
        </w:tc>
        <w:tc>
          <w:tcPr>
            <w:tcW w:w="2604" w:type="pct"/>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集中式饮用水源地（包括已建成的在用、备用、应急水源地，在建和规划的水源地）准保护区以外的补给径流区；特殊地下水资源（如矿泉水、温泉等）保护区以外的分布区以及分散居民饮用水源等其他未列入上述敏感分级的环境敏感区。</w:t>
            </w:r>
          </w:p>
        </w:tc>
        <w:tc>
          <w:tcPr>
            <w:tcW w:w="1672" w:type="pct"/>
            <w:vMerge w:val="continue"/>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不敏感</w:t>
            </w:r>
          </w:p>
        </w:tc>
        <w:tc>
          <w:tcPr>
            <w:tcW w:w="2604" w:type="pct"/>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上述地区之外的其他地区</w:t>
            </w:r>
          </w:p>
        </w:tc>
        <w:tc>
          <w:tcPr>
            <w:tcW w:w="1672" w:type="pct"/>
            <w:vMerge w:val="continue"/>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vAlign w:val="center"/>
          </w:tcPr>
          <w:p>
            <w:pPr>
              <w:spacing w:before="65" w:beforeLines="20" w:after="65" w:afterLines="20" w:line="24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注：“环境敏感区”指《建设项目环境影响评价分类管理名录》中所界定的涉及地下水的环境敏感区。</w:t>
            </w:r>
          </w:p>
        </w:tc>
      </w:tr>
    </w:tbl>
    <w:p>
      <w:pPr>
        <w:ind w:firstLine="480"/>
        <w:rPr>
          <w:rFonts w:hint="default" w:ascii="Times New Roman" w:hAnsi="Times New Roman" w:cs="Times New Roman"/>
          <w:color w:val="auto"/>
        </w:rPr>
      </w:pPr>
      <w:r>
        <w:rPr>
          <w:rFonts w:hint="default" w:ascii="Times New Roman" w:hAnsi="Times New Roman" w:cs="Times New Roman"/>
          <w:color w:val="auto"/>
        </w:rPr>
        <w:t>项目场地东南侧约1802m为乐山市大渡河安谷电站库区集中式饮用水水源保护区取水口。</w:t>
      </w:r>
    </w:p>
    <w:p>
      <w:pPr>
        <w:ind w:firstLine="480"/>
        <w:rPr>
          <w:rFonts w:hint="default" w:ascii="Times New Roman" w:hAnsi="Times New Roman" w:cs="Times New Roman"/>
          <w:color w:val="auto"/>
        </w:rPr>
      </w:pPr>
      <w:r>
        <w:rPr>
          <w:rFonts w:hint="default" w:ascii="Times New Roman" w:hAnsi="Times New Roman" w:cs="Times New Roman"/>
          <w:color w:val="auto"/>
        </w:rPr>
        <w:t>项目所在地主要为平原地区，结合地形地貌特征、水文地质条件，本项目采用公式法确定地下水评价范围，公式计算法所采用导则推荐公式：</w:t>
      </w:r>
    </w:p>
    <w:p>
      <w:pPr>
        <w:adjustRightInd w:val="0"/>
        <w:snapToGrid/>
        <w:ind w:firstLine="0" w:firstLineChars="0"/>
        <w:jc w:val="center"/>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object>
          <v:shape id="_x0000_i1025" o:spt="75" type="#_x0000_t75" style="height:17.25pt;width:99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p>
    <w:p>
      <w:pPr>
        <w:overflowPunct w:val="0"/>
        <w:snapToGrid/>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式中：</w:t>
      </w:r>
    </w:p>
    <w:p>
      <w:pPr>
        <w:overflowPunct w:val="0"/>
        <w:snapToGrid/>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L——</w:t>
      </w:r>
      <w:r>
        <w:rPr>
          <w:rFonts w:hint="default" w:ascii="Times New Roman" w:hAnsi="Times New Roman" w:cs="Times New Roman"/>
          <w:color w:val="auto"/>
          <w:kern w:val="21"/>
          <w:szCs w:val="24"/>
        </w:rPr>
        <w:t>下游迁移距离，m；</w:t>
      </w:r>
    </w:p>
    <w:p>
      <w:pPr>
        <w:overflowPunct w:val="0"/>
        <w:snapToGrid/>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α——</w:t>
      </w:r>
      <w:r>
        <w:rPr>
          <w:rFonts w:hint="default" w:ascii="Times New Roman" w:hAnsi="Times New Roman" w:cs="Times New Roman"/>
          <w:color w:val="auto"/>
          <w:kern w:val="21"/>
          <w:szCs w:val="24"/>
        </w:rPr>
        <w:t>变化系数，α≥1，一般取2；</w:t>
      </w:r>
    </w:p>
    <w:p>
      <w:pPr>
        <w:overflowPunct w:val="0"/>
        <w:snapToGrid/>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K——</w:t>
      </w:r>
      <w:r>
        <w:rPr>
          <w:rFonts w:hint="default" w:ascii="Times New Roman" w:hAnsi="Times New Roman" w:cs="Times New Roman"/>
          <w:color w:val="auto"/>
          <w:kern w:val="21"/>
          <w:szCs w:val="24"/>
        </w:rPr>
        <w:t>渗透系数，m/d，根据区域水文地质资料项目区域地层岩性，取卵石层的渗透系数K为35m/d；</w:t>
      </w:r>
    </w:p>
    <w:p>
      <w:pPr>
        <w:overflowPunct w:val="0"/>
        <w:snapToGrid/>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I——</w:t>
      </w:r>
      <w:r>
        <w:rPr>
          <w:rFonts w:hint="default" w:ascii="Times New Roman" w:hAnsi="Times New Roman" w:cs="Times New Roman"/>
          <w:color w:val="auto"/>
          <w:kern w:val="21"/>
          <w:szCs w:val="24"/>
        </w:rPr>
        <w:t>水力坡度，无量纲，本项目取0.005；</w:t>
      </w:r>
    </w:p>
    <w:p>
      <w:pPr>
        <w:overflowPunct w:val="0"/>
        <w:snapToGrid/>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T——</w:t>
      </w:r>
      <w:r>
        <w:rPr>
          <w:rFonts w:hint="default" w:ascii="Times New Roman" w:hAnsi="Times New Roman" w:cs="Times New Roman"/>
          <w:color w:val="auto"/>
          <w:kern w:val="21"/>
          <w:szCs w:val="24"/>
        </w:rPr>
        <w:t>质点迁移天数，取值不小于5000d，本项目取7300d；</w:t>
      </w:r>
    </w:p>
    <w:p>
      <w:pPr>
        <w:overflowPunct w:val="0"/>
        <w:snapToGrid/>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n</w:t>
      </w:r>
      <w:r>
        <w:rPr>
          <w:rFonts w:hint="default" w:ascii="Times New Roman" w:hAnsi="Times New Roman" w:cs="Times New Roman"/>
          <w:i/>
          <w:iCs/>
          <w:color w:val="auto"/>
          <w:kern w:val="21"/>
          <w:szCs w:val="24"/>
          <w:vertAlign w:val="subscript"/>
        </w:rPr>
        <w:t>e</w:t>
      </w:r>
      <w:r>
        <w:rPr>
          <w:rFonts w:hint="default" w:ascii="Times New Roman" w:hAnsi="Times New Roman" w:cs="Times New Roman"/>
          <w:i/>
          <w:iCs/>
          <w:color w:val="auto"/>
          <w:kern w:val="21"/>
          <w:szCs w:val="24"/>
        </w:rPr>
        <w:t>——</w:t>
      </w:r>
      <w:r>
        <w:rPr>
          <w:rFonts w:hint="default" w:ascii="Times New Roman" w:hAnsi="Times New Roman" w:cs="Times New Roman"/>
          <w:color w:val="auto"/>
          <w:kern w:val="21"/>
          <w:szCs w:val="24"/>
        </w:rPr>
        <w:t>有效孔隙度，无量纲，根据水文地质参数经验值，本项目取0.25。</w:t>
      </w:r>
    </w:p>
    <w:p>
      <w:pPr>
        <w:ind w:firstLine="480"/>
        <w:rPr>
          <w:rFonts w:hint="default" w:ascii="Times New Roman" w:hAnsi="Times New Roman" w:cs="Times New Roman"/>
          <w:color w:val="auto"/>
        </w:rPr>
      </w:pPr>
      <w:r>
        <w:rPr>
          <w:rFonts w:hint="default" w:ascii="Times New Roman" w:hAnsi="Times New Roman" w:cs="Times New Roman"/>
          <w:color w:val="auto"/>
          <w:kern w:val="21"/>
          <w:szCs w:val="24"/>
        </w:rPr>
        <w:t>计算得L为10220m。10220＞1802m，因此的影响范围包含乐山市大渡河安谷电站库区集中式饮用水水源保护区。</w:t>
      </w:r>
    </w:p>
    <w:p>
      <w:pPr>
        <w:ind w:firstLine="480"/>
        <w:rPr>
          <w:rFonts w:hint="default" w:ascii="Times New Roman" w:hAnsi="Times New Roman" w:cs="Times New Roman"/>
          <w:color w:val="auto"/>
        </w:rPr>
      </w:pPr>
      <w:r>
        <w:rPr>
          <w:rFonts w:hint="default" w:ascii="Times New Roman" w:hAnsi="Times New Roman" w:cs="Times New Roman"/>
          <w:color w:val="auto"/>
        </w:rPr>
        <w:t>综上所述，项目地下水环境敏感性为“</w:t>
      </w:r>
      <w:r>
        <w:rPr>
          <w:rFonts w:hint="default" w:ascii="Times New Roman" w:hAnsi="Times New Roman" w:cs="Times New Roman"/>
          <w:b/>
          <w:bCs/>
          <w:color w:val="auto"/>
        </w:rPr>
        <w:t>敏感</w:t>
      </w:r>
      <w:r>
        <w:rPr>
          <w:rFonts w:hint="default" w:ascii="Times New Roman" w:hAnsi="Times New Roman" w:cs="Times New Roman"/>
          <w:color w:val="auto"/>
        </w:rPr>
        <w:t>”。</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三、评价等级</w:t>
      </w:r>
    </w:p>
    <w:p>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地下水环境》（HJ610-2016），建设项目地下水环境影响评价工作等级划分见下表。</w:t>
      </w:r>
    </w:p>
    <w:p>
      <w:pPr>
        <w:pStyle w:val="12"/>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41</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建设项目评价工作等级分级表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2065"/>
        <w:gridCol w:w="2063"/>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67" w:type="pct"/>
            <w:tcBorders>
              <w:tl2br w:val="single" w:color="auto" w:sz="4"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 xml:space="preserve">            项目类别</w:t>
            </w:r>
          </w:p>
          <w:p>
            <w:pPr>
              <w:overflowPunct w:val="0"/>
              <w:adjustRightInd w:val="0"/>
              <w:spacing w:before="65" w:beforeLines="20" w:after="65" w:afterLines="20" w:line="240" w:lineRule="auto"/>
              <w:ind w:firstLine="0" w:firstLineChars="0"/>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环境敏感程度</w:t>
            </w:r>
          </w:p>
        </w:tc>
        <w:tc>
          <w:tcPr>
            <w:tcW w:w="121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I类项目</w:t>
            </w:r>
          </w:p>
        </w:tc>
        <w:tc>
          <w:tcPr>
            <w:tcW w:w="121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Ⅱ类项目</w:t>
            </w:r>
          </w:p>
        </w:tc>
        <w:tc>
          <w:tcPr>
            <w:tcW w:w="121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敏感</w:t>
            </w:r>
          </w:p>
        </w:tc>
        <w:tc>
          <w:tcPr>
            <w:tcW w:w="121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一</w:t>
            </w:r>
          </w:p>
        </w:tc>
        <w:tc>
          <w:tcPr>
            <w:tcW w:w="121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
                <w:color w:val="auto"/>
                <w:kern w:val="21"/>
                <w:sz w:val="21"/>
              </w:rPr>
              <w:t>一</w:t>
            </w:r>
          </w:p>
        </w:tc>
        <w:tc>
          <w:tcPr>
            <w:tcW w:w="121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较敏感</w:t>
            </w:r>
          </w:p>
        </w:tc>
        <w:tc>
          <w:tcPr>
            <w:tcW w:w="121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一</w:t>
            </w:r>
          </w:p>
        </w:tc>
        <w:tc>
          <w:tcPr>
            <w:tcW w:w="121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二</w:t>
            </w:r>
          </w:p>
        </w:tc>
        <w:tc>
          <w:tcPr>
            <w:tcW w:w="121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不敏感</w:t>
            </w:r>
          </w:p>
        </w:tc>
        <w:tc>
          <w:tcPr>
            <w:tcW w:w="121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
                <w:color w:val="auto"/>
                <w:kern w:val="21"/>
                <w:sz w:val="21"/>
              </w:rPr>
              <w:t>二</w:t>
            </w:r>
          </w:p>
        </w:tc>
        <w:tc>
          <w:tcPr>
            <w:tcW w:w="121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三</w:t>
            </w:r>
          </w:p>
        </w:tc>
        <w:tc>
          <w:tcPr>
            <w:tcW w:w="121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三</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综上所述，本项目地下评价等级为</w:t>
      </w:r>
      <w:r>
        <w:rPr>
          <w:rFonts w:hint="default" w:ascii="Times New Roman" w:hAnsi="Times New Roman" w:cs="Times New Roman"/>
          <w:b/>
          <w:bCs/>
          <w:color w:val="auto"/>
        </w:rPr>
        <w:t>一级评价</w:t>
      </w:r>
      <w:r>
        <w:rPr>
          <w:rFonts w:hint="default" w:ascii="Times New Roman" w:hAnsi="Times New Roman" w:cs="Times New Roman"/>
          <w:color w:val="auto"/>
        </w:rPr>
        <w:t>。</w:t>
      </w:r>
    </w:p>
    <w:p>
      <w:pPr>
        <w:ind w:firstLine="480"/>
        <w:rPr>
          <w:rFonts w:hint="default" w:ascii="Times New Roman" w:hAnsi="Times New Roman" w:cs="Times New Roman"/>
          <w:color w:val="auto"/>
        </w:rPr>
      </w:pPr>
      <w:r>
        <w:rPr>
          <w:rFonts w:hint="default" w:ascii="Times New Roman" w:hAnsi="Times New Roman" w:cs="Times New Roman"/>
          <w:color w:val="auto"/>
        </w:rPr>
        <w:t>项目区与饮用水水源保护区位置如下图所示。</w:t>
      </w:r>
    </w:p>
    <w:p>
      <w:pPr>
        <w:pStyle w:val="54"/>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73675" cy="3728085"/>
            <wp:effectExtent l="0" t="0" r="3175" b="5715"/>
            <wp:docPr id="9" name="图片 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无标题"/>
                    <pic:cNvPicPr>
                      <a:picLocks noChangeAspect="1"/>
                    </pic:cNvPicPr>
                  </pic:nvPicPr>
                  <pic:blipFill>
                    <a:blip r:embed="rId17"/>
                    <a:stretch>
                      <a:fillRect/>
                    </a:stretch>
                  </pic:blipFill>
                  <pic:spPr>
                    <a:xfrm>
                      <a:off x="0" y="0"/>
                      <a:ext cx="5273675" cy="3728085"/>
                    </a:xfrm>
                    <a:prstGeom prst="rect">
                      <a:avLst/>
                    </a:prstGeom>
                  </pic:spPr>
                </pic:pic>
              </a:graphicData>
            </a:graphic>
          </wp:inline>
        </w:drawing>
      </w:r>
    </w:p>
    <w:p>
      <w:pPr>
        <w:pStyle w:val="12"/>
        <w:snapToGrid/>
        <w:rPr>
          <w:rFonts w:hint="default" w:ascii="Times New Roman" w:hAnsi="Times New Roman" w:cs="Times New Roman"/>
          <w:bCs/>
          <w:color w:val="auto"/>
          <w:szCs w:val="24"/>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bCs/>
          <w:color w:val="auto"/>
          <w:szCs w:val="24"/>
        </w:rPr>
        <w:t>项目区与饮用水水源保护区位置示意图</w:t>
      </w:r>
    </w:p>
    <w:p>
      <w:pPr>
        <w:pStyle w:val="5"/>
        <w:adjustRightInd w:val="0"/>
        <w:rPr>
          <w:rFonts w:hint="default" w:ascii="Times New Roman" w:hAnsi="Times New Roman" w:cs="Times New Roman"/>
          <w:color w:val="auto"/>
        </w:rPr>
      </w:pPr>
      <w:bookmarkStart w:id="60" w:name="_Toc365381215"/>
      <w:r>
        <w:rPr>
          <w:rFonts w:hint="default" w:ascii="Times New Roman" w:hAnsi="Times New Roman" w:cs="Times New Roman"/>
          <w:color w:val="auto"/>
        </w:rPr>
        <w:t>评价范围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地下水环境》（HJ610-2016），建设项目地下水环境影响现状调查评价范围可采用公式计算法、查表法和自定义法确定。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项目所在地主要为平原地区，结合地形地貌特征、水文地质条件，本项目采用公式法确定地下水评价范围，公式计算法所采用导则推荐公式：</w:t>
      </w:r>
    </w:p>
    <w:p>
      <w:pPr>
        <w:adjustRightInd w:val="0"/>
        <w:ind w:firstLine="0" w:firstLineChars="0"/>
        <w:jc w:val="center"/>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object>
          <v:shape id="_x0000_i1026" o:spt="75" type="#_x0000_t75" style="height:17.25pt;width:99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8">
            <o:LockedField>false</o:LockedField>
          </o:OLEObject>
        </w:objec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式中：</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L——下游迁移距离，m；</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α——变化系数，α≥1，一般取2；</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K——渗透系数，m/d，根据区域水文地质资料项目区域地层岩性，取第四系上更新统地层（Q3fgl）的渗透系数K为3.5m/d；</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I——水力坡度，无量纲，本项目取0.014m/d；</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T——质点迁移天数，取值不小于5000d，本项目取7300d；</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ne——有效孔隙度，无量纲，根据水文地质参数经验值，本项目取0.25。</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区域水文地质条件定义本项目评价区范围，项目场地上游以延伸L/2即1430.8m为界，场地两侧以延伸L/2即1430.8m为界，场地下游以延伸L即2861.6m为界，最终通过公式法计算出地下水环境评价区范围为13.49km2，具体情况见下图。</w:t>
      </w:r>
    </w:p>
    <w:p>
      <w:pPr>
        <w:overflowPunct w:val="0"/>
        <w:adjustRightInd w:val="0"/>
        <w:ind w:firstLine="480"/>
        <w:rPr>
          <w:rFonts w:hint="default" w:ascii="Times New Roman" w:hAnsi="Times New Roman" w:cs="Times New Roman"/>
          <w:color w:val="auto"/>
          <w:kern w:val="21"/>
          <w:szCs w:val="24"/>
        </w:rPr>
      </w:pPr>
    </w:p>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p>
      <w:pPr>
        <w:pStyle w:val="12"/>
        <w:keepNext w:val="0"/>
        <w:overflowPunct w:val="0"/>
        <w:adjustRightInd w:val="0"/>
        <w:spacing w:before="65" w:beforeLines="20" w:after="65" w:afterLines="20"/>
        <w:rPr>
          <w:rFonts w:hint="default" w:ascii="Times New Roman" w:hAnsi="Times New Roman" w:cs="Times New Roman"/>
          <w:color w:val="auto"/>
          <w:kern w:val="21"/>
          <w:szCs w:val="21"/>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本项目地下水评价范围图</w:t>
      </w:r>
    </w:p>
    <w:p>
      <w:pPr>
        <w:pStyle w:val="4"/>
        <w:adjustRightInd w:val="0"/>
        <w:rPr>
          <w:rFonts w:hint="default" w:ascii="Times New Roman" w:hAnsi="Times New Roman" w:cs="Times New Roman"/>
          <w:color w:val="auto"/>
        </w:rPr>
      </w:pPr>
      <w:bookmarkStart w:id="61" w:name="_Toc26830"/>
      <w:bookmarkStart w:id="62" w:name="_Toc26700"/>
      <w:bookmarkStart w:id="63" w:name="_Toc10233"/>
      <w:r>
        <w:rPr>
          <w:rFonts w:hint="default" w:ascii="Times New Roman" w:hAnsi="Times New Roman" w:cs="Times New Roman"/>
          <w:color w:val="auto"/>
        </w:rPr>
        <w:t>大气环境评价</w:t>
      </w:r>
      <w:bookmarkEnd w:id="60"/>
      <w:bookmarkEnd w:id="61"/>
      <w:bookmarkEnd w:id="62"/>
      <w:bookmarkEnd w:id="63"/>
    </w:p>
    <w:p>
      <w:pPr>
        <w:pStyle w:val="5"/>
        <w:adjustRightInd w:val="0"/>
        <w:rPr>
          <w:rFonts w:hint="default" w:ascii="Times New Roman" w:hAnsi="Times New Roman" w:cs="Times New Roman"/>
          <w:color w:val="auto"/>
        </w:rPr>
      </w:pPr>
      <w:r>
        <w:rPr>
          <w:rFonts w:hint="default" w:ascii="Times New Roman" w:hAnsi="Times New Roman" w:cs="Times New Roman"/>
          <w:color w:val="auto"/>
        </w:rPr>
        <w:t>评价等级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2.2-2018），选择本项目污染源正常排放的主要污染物及排放参数，采用附录A推荐模型中AERSCREEN估算模型分别计算项目污染源的最大环境影响，然后按评价工作分级判据进行分级。</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一、评价方法</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工程分析所得的本项目污染物排放源强，分别计算项目排放主要污染物的最大地面空气质量浓度占标率Pi（第i个污染物，简称“最大浓度占标率”），及第i个污染物的地面空气质量浓度达到标准值的10%时所对应的最远距离D10%。其中Pi定义见以下公式：</w:t>
      </w:r>
    </w:p>
    <w:p>
      <w:pPr>
        <w:overflowPunct w:val="0"/>
        <w:adjustRightInd w:val="0"/>
        <w:ind w:firstLine="480"/>
        <w:jc w:val="center"/>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object>
          <v:shape id="_x0000_i1027" o:spt="75" type="#_x0000_t75" style="height:14.25pt;width:99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式中：</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Pi——第i种污染物的最大地面空气质量浓度占标率，%；</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Ci——采用估算模式计算出的第i个污染物的最大1h地面空气质量浓度，μg/m3；</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Coi——第i个污染物的环境空气质量标准，μg/m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评价等级按下表分级判据进行划分。最大地面空气质量浓度占标率Pi按公式计算，如污染物数i大于1，取P值中最大者Pmax。</w:t>
      </w:r>
    </w:p>
    <w:p>
      <w:pPr>
        <w:pStyle w:val="12"/>
        <w:overflowPunct w:val="0"/>
        <w:adjustRightInd w:val="0"/>
        <w:spacing w:before="65" w:beforeLines="20" w:after="65" w:afterLines="20"/>
        <w:rPr>
          <w:rFonts w:hint="default" w:ascii="Times New Roman" w:hAnsi="Times New Roman" w:cs="Times New Roman"/>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42</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大气环境影响评价工作等级判定表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0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评价工作等级</w:t>
            </w:r>
          </w:p>
        </w:tc>
        <w:tc>
          <w:tcPr>
            <w:tcW w:w="250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一级评价</w:t>
            </w:r>
          </w:p>
        </w:tc>
        <w:tc>
          <w:tcPr>
            <w:tcW w:w="250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i/>
                <w:iCs/>
                <w:color w:val="auto"/>
                <w:kern w:val="21"/>
                <w:sz w:val="21"/>
              </w:rPr>
              <w:t>P</w:t>
            </w:r>
            <w:r>
              <w:rPr>
                <w:rFonts w:hint="default" w:ascii="Times New Roman" w:hAnsi="Times New Roman" w:cs="Times New Roman"/>
                <w:bCs/>
                <w:color w:val="auto"/>
                <w:kern w:val="21"/>
                <w:sz w:val="21"/>
                <w:vertAlign w:val="subscript"/>
              </w:rPr>
              <w:t>max</w:t>
            </w:r>
            <w:r>
              <w:rPr>
                <w:rFonts w:hint="default" w:ascii="Times New Roman" w:hAnsi="Times New Roman" w:cs="Times New Roman"/>
                <w:bCs/>
                <w:color w:val="auto"/>
                <w:kern w:val="21"/>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二级评价</w:t>
            </w:r>
          </w:p>
        </w:tc>
        <w:tc>
          <w:tcPr>
            <w:tcW w:w="250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1%≤</w:t>
            </w:r>
            <w:r>
              <w:rPr>
                <w:rFonts w:hint="default" w:ascii="Times New Roman" w:hAnsi="Times New Roman" w:cs="Times New Roman"/>
                <w:bCs/>
                <w:i/>
                <w:iCs/>
                <w:color w:val="auto"/>
                <w:kern w:val="21"/>
                <w:sz w:val="21"/>
              </w:rPr>
              <w:t>P</w:t>
            </w:r>
            <w:r>
              <w:rPr>
                <w:rFonts w:hint="default" w:ascii="Times New Roman" w:hAnsi="Times New Roman" w:cs="Times New Roman"/>
                <w:bCs/>
                <w:color w:val="auto"/>
                <w:kern w:val="21"/>
                <w:sz w:val="21"/>
                <w:vertAlign w:val="subscript"/>
              </w:rPr>
              <w:t>max</w:t>
            </w:r>
            <w:r>
              <w:rPr>
                <w:rFonts w:hint="default" w:ascii="Times New Roman" w:hAnsi="Times New Roman" w:cs="Times New Roman"/>
                <w:bCs/>
                <w:color w:val="auto"/>
                <w:kern w:val="21"/>
                <w:sz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三级评价</w:t>
            </w:r>
          </w:p>
        </w:tc>
        <w:tc>
          <w:tcPr>
            <w:tcW w:w="2500"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i/>
                <w:iCs/>
                <w:color w:val="auto"/>
                <w:kern w:val="21"/>
                <w:sz w:val="21"/>
              </w:rPr>
              <w:t>P</w:t>
            </w:r>
            <w:r>
              <w:rPr>
                <w:rFonts w:hint="default" w:ascii="Times New Roman" w:hAnsi="Times New Roman" w:cs="Times New Roman"/>
                <w:bCs/>
                <w:color w:val="auto"/>
                <w:kern w:val="21"/>
                <w:sz w:val="21"/>
                <w:vertAlign w:val="subscript"/>
              </w:rPr>
              <w:t>max</w:t>
            </w:r>
            <w:r>
              <w:rPr>
                <w:rFonts w:hint="default" w:ascii="Times New Roman" w:hAnsi="Times New Roman" w:cs="Times New Roman"/>
                <w:bCs/>
                <w:color w:val="auto"/>
                <w:kern w:val="21"/>
                <w:sz w:val="21"/>
              </w:rPr>
              <w:t>&lt;1%</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二、污染源参数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大气环境》（HJ2.2-2018），当项目周边3km半径范围内一半以上面积属于城市建成区或者规划区时，选择城市，城市人口数按项目所属城市实际人口或者规划的人口数输入。根据现场调查，本项目周边3km半径范围内一半以上面积属于城市建成区或规划区，因此项目估算模型选择城市。</w:t>
      </w:r>
    </w:p>
    <w:p>
      <w:pPr>
        <w:pStyle w:val="12"/>
        <w:keepNext w:val="0"/>
        <w:overflowPunct w:val="0"/>
        <w:adjustRightInd w:val="0"/>
        <w:spacing w:before="65" w:beforeLines="20" w:after="65" w:afterLines="20"/>
        <w:rPr>
          <w:rFonts w:hint="default" w:ascii="Times New Roman" w:hAnsi="Times New Roman" w:cs="Times New Roman"/>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43</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w:t>
      </w:r>
      <w:r>
        <w:rPr>
          <w:rFonts w:hint="default" w:ascii="Times New Roman" w:hAnsi="Times New Roman" w:cs="Times New Roman"/>
          <w:bCs/>
          <w:color w:val="auto"/>
          <w:kern w:val="21"/>
          <w:szCs w:val="21"/>
        </w:rPr>
        <w:t>AERSCREEN模式预测参数一览表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43"/>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33" w:type="pct"/>
            <w:gridSpan w:val="2"/>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参数</w:t>
            </w:r>
          </w:p>
        </w:tc>
        <w:tc>
          <w:tcPr>
            <w:tcW w:w="166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城市农村/选项</w:t>
            </w:r>
          </w:p>
        </w:tc>
        <w:tc>
          <w:tcPr>
            <w:tcW w:w="166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城市/农村</w:t>
            </w:r>
          </w:p>
        </w:tc>
        <w:tc>
          <w:tcPr>
            <w:tcW w:w="3019"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continue"/>
            <w:vAlign w:val="center"/>
          </w:tcPr>
          <w:p>
            <w:pPr>
              <w:pStyle w:val="36"/>
              <w:adjustRightInd w:val="0"/>
              <w:rPr>
                <w:rFonts w:hint="default" w:ascii="Times New Roman" w:hAnsi="Times New Roman" w:cs="Times New Roman"/>
                <w:color w:val="auto"/>
              </w:rPr>
            </w:pPr>
          </w:p>
        </w:tc>
        <w:tc>
          <w:tcPr>
            <w:tcW w:w="166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人口数（城市人口数）</w:t>
            </w:r>
          </w:p>
        </w:tc>
        <w:tc>
          <w:tcPr>
            <w:tcW w:w="3019" w:type="dxa"/>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最高环境温度</w:t>
            </w:r>
          </w:p>
        </w:tc>
        <w:tc>
          <w:tcPr>
            <w:tcW w:w="166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最低环境温度</w:t>
            </w:r>
          </w:p>
        </w:tc>
        <w:tc>
          <w:tcPr>
            <w:tcW w:w="166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土地利用类型</w:t>
            </w:r>
          </w:p>
        </w:tc>
        <w:tc>
          <w:tcPr>
            <w:tcW w:w="166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城市用地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区域湿度条件</w:t>
            </w:r>
          </w:p>
        </w:tc>
        <w:tc>
          <w:tcPr>
            <w:tcW w:w="166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是否考虑地形</w:t>
            </w:r>
          </w:p>
        </w:tc>
        <w:tc>
          <w:tcPr>
            <w:tcW w:w="166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考虑地形</w:t>
            </w:r>
          </w:p>
        </w:tc>
        <w:tc>
          <w:tcPr>
            <w:tcW w:w="166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65" w:type="pct"/>
            <w:vMerge w:val="continue"/>
            <w:vAlign w:val="center"/>
          </w:tcPr>
          <w:p>
            <w:pPr>
              <w:pStyle w:val="36"/>
              <w:adjustRightInd w:val="0"/>
              <w:rPr>
                <w:rFonts w:hint="default" w:ascii="Times New Roman" w:hAnsi="Times New Roman" w:cs="Times New Roman"/>
                <w:color w:val="auto"/>
              </w:rPr>
            </w:pPr>
          </w:p>
        </w:tc>
        <w:tc>
          <w:tcPr>
            <w:tcW w:w="166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地形数据分辨率（m）</w:t>
            </w:r>
          </w:p>
        </w:tc>
        <w:tc>
          <w:tcPr>
            <w:tcW w:w="166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是否考虑海岸线熏烟</w:t>
            </w:r>
          </w:p>
        </w:tc>
        <w:tc>
          <w:tcPr>
            <w:tcW w:w="166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考虑海岸线熏烟</w:t>
            </w:r>
          </w:p>
        </w:tc>
        <w:tc>
          <w:tcPr>
            <w:tcW w:w="166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continue"/>
            <w:vAlign w:val="center"/>
          </w:tcPr>
          <w:p>
            <w:pPr>
              <w:pStyle w:val="36"/>
              <w:adjustRightInd w:val="0"/>
              <w:rPr>
                <w:rFonts w:hint="default" w:ascii="Times New Roman" w:hAnsi="Times New Roman" w:cs="Times New Roman"/>
                <w:color w:val="auto"/>
              </w:rPr>
            </w:pPr>
          </w:p>
        </w:tc>
        <w:tc>
          <w:tcPr>
            <w:tcW w:w="166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海岸线距离/km</w:t>
            </w:r>
          </w:p>
        </w:tc>
        <w:tc>
          <w:tcPr>
            <w:tcW w:w="166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continue"/>
            <w:vAlign w:val="center"/>
          </w:tcPr>
          <w:p>
            <w:pPr>
              <w:pStyle w:val="36"/>
              <w:adjustRightInd w:val="0"/>
              <w:rPr>
                <w:rFonts w:hint="default" w:ascii="Times New Roman" w:hAnsi="Times New Roman" w:cs="Times New Roman"/>
                <w:color w:val="auto"/>
              </w:rPr>
            </w:pPr>
          </w:p>
        </w:tc>
        <w:tc>
          <w:tcPr>
            <w:tcW w:w="1667"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海岸线方向/o</w:t>
            </w:r>
          </w:p>
        </w:tc>
        <w:tc>
          <w:tcPr>
            <w:tcW w:w="166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三、估算结果</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根据AERSCREEN计算各污染源离源距离和最大落地浓度见下表。</w:t>
      </w:r>
    </w:p>
    <w:p>
      <w:pPr>
        <w:pStyle w:val="12"/>
        <w:keepNext w:val="0"/>
        <w:overflowPunct w:val="0"/>
        <w:adjustRightInd w:val="0"/>
        <w:spacing w:before="65" w:beforeLines="20" w:after="65" w:afterLines="20"/>
        <w:rPr>
          <w:rFonts w:hint="default" w:ascii="Times New Roman" w:hAnsi="Times New Roman" w:cs="Times New Roman"/>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项目估算最大值一览表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258"/>
        <w:gridCol w:w="704"/>
        <w:gridCol w:w="1176"/>
        <w:gridCol w:w="973"/>
        <w:gridCol w:w="1067"/>
        <w:gridCol w:w="908"/>
        <w:gridCol w:w="703"/>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4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污染源类型</w:t>
            </w:r>
          </w:p>
        </w:tc>
        <w:tc>
          <w:tcPr>
            <w:tcW w:w="73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污染源</w:t>
            </w:r>
          </w:p>
        </w:tc>
        <w:tc>
          <w:tcPr>
            <w:tcW w:w="4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污染因子</w:t>
            </w:r>
          </w:p>
        </w:tc>
        <w:tc>
          <w:tcPr>
            <w:tcW w:w="6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最大落地浓度（</w:t>
            </w:r>
            <w:r>
              <w:rPr>
                <w:rFonts w:hint="default" w:ascii="Times New Roman" w:hAnsi="Times New Roman" w:cs="Times New Roman"/>
                <w:b/>
                <w:color w:val="auto"/>
                <w:kern w:val="21"/>
                <w:sz w:val="21"/>
              </w:rPr>
              <w:t>μ</w:t>
            </w:r>
            <w:r>
              <w:rPr>
                <w:rFonts w:hint="default" w:ascii="Times New Roman" w:hAnsi="Times New Roman" w:cs="Times New Roman"/>
                <w:b/>
                <w:bCs/>
                <w:color w:val="auto"/>
                <w:kern w:val="21"/>
                <w:sz w:val="21"/>
              </w:rPr>
              <w:t>g/m</w:t>
            </w:r>
            <w:r>
              <w:rPr>
                <w:rFonts w:hint="default" w:ascii="Times New Roman" w:hAnsi="Times New Roman" w:cs="Times New Roman"/>
                <w:b/>
                <w:bCs/>
                <w:color w:val="auto"/>
                <w:kern w:val="21"/>
                <w:sz w:val="21"/>
                <w:vertAlign w:val="superscript"/>
              </w:rPr>
              <w:t>3</w:t>
            </w:r>
            <w:r>
              <w:rPr>
                <w:rFonts w:hint="default" w:ascii="Times New Roman" w:hAnsi="Times New Roman" w:cs="Times New Roman"/>
                <w:b/>
                <w:bCs/>
                <w:color w:val="auto"/>
                <w:kern w:val="21"/>
                <w:sz w:val="21"/>
              </w:rPr>
              <w:t>）</w:t>
            </w:r>
          </w:p>
        </w:tc>
        <w:tc>
          <w:tcPr>
            <w:tcW w:w="57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最大浓度落地点（m）</w:t>
            </w:r>
          </w:p>
        </w:tc>
        <w:tc>
          <w:tcPr>
            <w:tcW w:w="625"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评价标准（</w:t>
            </w:r>
            <w:r>
              <w:rPr>
                <w:rFonts w:hint="default" w:ascii="Times New Roman" w:hAnsi="Times New Roman" w:cs="Times New Roman"/>
                <w:b/>
                <w:color w:val="auto"/>
                <w:kern w:val="21"/>
                <w:sz w:val="21"/>
              </w:rPr>
              <w:t>μ</w:t>
            </w:r>
            <w:r>
              <w:rPr>
                <w:rFonts w:hint="default" w:ascii="Times New Roman" w:hAnsi="Times New Roman" w:cs="Times New Roman"/>
                <w:b/>
                <w:bCs/>
                <w:color w:val="auto"/>
                <w:kern w:val="21"/>
                <w:sz w:val="21"/>
              </w:rPr>
              <w:t>g/m</w:t>
            </w:r>
            <w:r>
              <w:rPr>
                <w:rFonts w:hint="default" w:ascii="Times New Roman" w:hAnsi="Times New Roman" w:cs="Times New Roman"/>
                <w:b/>
                <w:bCs/>
                <w:color w:val="auto"/>
                <w:kern w:val="21"/>
                <w:sz w:val="21"/>
                <w:vertAlign w:val="superscript"/>
              </w:rPr>
              <w:t>3</w:t>
            </w:r>
            <w:r>
              <w:rPr>
                <w:rFonts w:hint="default" w:ascii="Times New Roman" w:hAnsi="Times New Roman" w:cs="Times New Roman"/>
                <w:b/>
                <w:bCs/>
                <w:color w:val="auto"/>
                <w:kern w:val="21"/>
                <w:sz w:val="21"/>
              </w:rPr>
              <w:t>）</w:t>
            </w:r>
          </w:p>
        </w:tc>
        <w:tc>
          <w:tcPr>
            <w:tcW w:w="53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占标率（%）</w:t>
            </w:r>
          </w:p>
        </w:tc>
        <w:tc>
          <w:tcPr>
            <w:tcW w:w="41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D</w:t>
            </w:r>
            <w:r>
              <w:rPr>
                <w:rFonts w:hint="default" w:ascii="Times New Roman" w:hAnsi="Times New Roman" w:cs="Times New Roman"/>
                <w:b/>
                <w:bCs/>
                <w:color w:val="auto"/>
                <w:kern w:val="21"/>
                <w:sz w:val="21"/>
                <w:vertAlign w:val="subscript"/>
              </w:rPr>
              <w:t>10%</w:t>
            </w:r>
            <w:r>
              <w:rPr>
                <w:rFonts w:hint="default" w:ascii="Times New Roman" w:hAnsi="Times New Roman" w:cs="Times New Roman"/>
                <w:b/>
                <w:bCs/>
                <w:color w:val="auto"/>
                <w:kern w:val="21"/>
                <w:sz w:val="21"/>
              </w:rPr>
              <w:t>（m）</w:t>
            </w:r>
          </w:p>
        </w:tc>
        <w:tc>
          <w:tcPr>
            <w:tcW w:w="476"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推荐评价等级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有组织</w:t>
            </w:r>
          </w:p>
        </w:tc>
        <w:tc>
          <w:tcPr>
            <w:tcW w:w="73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排气筒（DA001）</w:t>
            </w:r>
          </w:p>
        </w:tc>
        <w:tc>
          <w:tcPr>
            <w:tcW w:w="4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eastAsia="等线" w:cs="Times New Roman"/>
                <w:color w:val="auto"/>
                <w:kern w:val="21"/>
                <w:sz w:val="21"/>
              </w:rPr>
              <w:t>PM</w:t>
            </w:r>
            <w:r>
              <w:rPr>
                <w:rFonts w:hint="default" w:ascii="Times New Roman" w:hAnsi="Times New Roman" w:eastAsia="等线" w:cs="Times New Roman"/>
                <w:color w:val="auto"/>
                <w:kern w:val="21"/>
                <w:sz w:val="21"/>
                <w:vertAlign w:val="subscript"/>
              </w:rPr>
              <w:t>10</w:t>
            </w:r>
          </w:p>
        </w:tc>
        <w:tc>
          <w:tcPr>
            <w:tcW w:w="6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13.94</w:t>
            </w:r>
          </w:p>
        </w:tc>
        <w:tc>
          <w:tcPr>
            <w:tcW w:w="57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50</w:t>
            </w:r>
          </w:p>
        </w:tc>
        <w:tc>
          <w:tcPr>
            <w:tcW w:w="625"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450</w:t>
            </w:r>
          </w:p>
        </w:tc>
        <w:tc>
          <w:tcPr>
            <w:tcW w:w="53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bCs/>
                <w:color w:val="auto"/>
                <w:kern w:val="21"/>
                <w:sz w:val="21"/>
              </w:rPr>
            </w:pPr>
            <w:r>
              <w:rPr>
                <w:rFonts w:hint="default" w:ascii="Times New Roman" w:hAnsi="Times New Roman" w:eastAsia="等线" w:cs="Times New Roman"/>
                <w:bCs/>
                <w:color w:val="auto"/>
                <w:kern w:val="21"/>
                <w:sz w:val="21"/>
              </w:rPr>
              <w:t>3.1</w:t>
            </w:r>
          </w:p>
        </w:tc>
        <w:tc>
          <w:tcPr>
            <w:tcW w:w="41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cs="Times New Roman"/>
                <w:color w:val="auto"/>
                <w:kern w:val="21"/>
                <w:sz w:val="21"/>
              </w:rPr>
              <w:t>0</w:t>
            </w:r>
          </w:p>
        </w:tc>
        <w:tc>
          <w:tcPr>
            <w:tcW w:w="476"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bCs/>
                <w:color w:val="auto"/>
                <w:kern w:val="21"/>
                <w:sz w:val="21"/>
              </w:rPr>
            </w:pPr>
            <w:r>
              <w:rPr>
                <w:rFonts w:hint="default" w:ascii="Times New Roman" w:hAnsi="Times New Roman" w:cs="Times New Roman"/>
                <w:bCs/>
                <w:color w:val="auto"/>
                <w:kern w:val="21"/>
                <w:sz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restar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无组织</w:t>
            </w:r>
          </w:p>
        </w:tc>
        <w:tc>
          <w:tcPr>
            <w:tcW w:w="738" w:type="pct"/>
            <w:vMerge w:val="restar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碎矿车间</w:t>
            </w:r>
          </w:p>
        </w:tc>
        <w:tc>
          <w:tcPr>
            <w:tcW w:w="4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eastAsia="等线" w:cs="Times New Roman"/>
                <w:color w:val="auto"/>
                <w:kern w:val="21"/>
                <w:sz w:val="21"/>
              </w:rPr>
              <w:t>PM</w:t>
            </w:r>
            <w:r>
              <w:rPr>
                <w:rFonts w:hint="default" w:ascii="Times New Roman" w:hAnsi="Times New Roman" w:eastAsia="等线" w:cs="Times New Roman"/>
                <w:color w:val="auto"/>
                <w:kern w:val="21"/>
                <w:sz w:val="21"/>
                <w:vertAlign w:val="subscript"/>
              </w:rPr>
              <w:t>10</w:t>
            </w:r>
          </w:p>
        </w:tc>
        <w:tc>
          <w:tcPr>
            <w:tcW w:w="6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32.53</w:t>
            </w:r>
          </w:p>
        </w:tc>
        <w:tc>
          <w:tcPr>
            <w:tcW w:w="57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50</w:t>
            </w:r>
          </w:p>
        </w:tc>
        <w:tc>
          <w:tcPr>
            <w:tcW w:w="625"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450</w:t>
            </w:r>
          </w:p>
        </w:tc>
        <w:tc>
          <w:tcPr>
            <w:tcW w:w="53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bCs/>
                <w:color w:val="auto"/>
                <w:kern w:val="21"/>
                <w:sz w:val="21"/>
              </w:rPr>
            </w:pPr>
            <w:r>
              <w:rPr>
                <w:rFonts w:hint="default" w:ascii="Times New Roman" w:hAnsi="Times New Roman" w:eastAsia="等线" w:cs="Times New Roman"/>
                <w:bCs/>
                <w:color w:val="auto"/>
                <w:kern w:val="21"/>
                <w:sz w:val="21"/>
              </w:rPr>
              <w:t>7.23</w:t>
            </w:r>
          </w:p>
        </w:tc>
        <w:tc>
          <w:tcPr>
            <w:tcW w:w="41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cs="Times New Roman"/>
                <w:color w:val="auto"/>
                <w:kern w:val="21"/>
                <w:sz w:val="21"/>
              </w:rPr>
              <w:t>0</w:t>
            </w:r>
          </w:p>
        </w:tc>
        <w:tc>
          <w:tcPr>
            <w:tcW w:w="476"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bCs/>
                <w:color w:val="auto"/>
                <w:kern w:val="21"/>
                <w:sz w:val="21"/>
              </w:rPr>
            </w:pPr>
            <w:r>
              <w:rPr>
                <w:rFonts w:hint="default" w:ascii="Times New Roman" w:hAnsi="Times New Roman" w:cs="Times New Roman"/>
                <w:bCs/>
                <w:color w:val="auto"/>
                <w:kern w:val="21"/>
                <w:sz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Merge w:val="continue"/>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738" w:type="pct"/>
            <w:vMerge w:val="continue"/>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4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TSP</w:t>
            </w:r>
          </w:p>
        </w:tc>
        <w:tc>
          <w:tcPr>
            <w:tcW w:w="6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bCs/>
                <w:color w:val="auto"/>
                <w:kern w:val="21"/>
                <w:sz w:val="21"/>
              </w:rPr>
            </w:pPr>
            <w:r>
              <w:rPr>
                <w:rFonts w:hint="default" w:ascii="Times New Roman" w:hAnsi="Times New Roman" w:eastAsia="等线" w:cs="Times New Roman"/>
                <w:bCs/>
                <w:color w:val="auto"/>
                <w:kern w:val="21"/>
                <w:sz w:val="21"/>
              </w:rPr>
              <w:t>65.07</w:t>
            </w:r>
          </w:p>
        </w:tc>
        <w:tc>
          <w:tcPr>
            <w:tcW w:w="57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50</w:t>
            </w:r>
          </w:p>
        </w:tc>
        <w:tc>
          <w:tcPr>
            <w:tcW w:w="625"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900</w:t>
            </w:r>
          </w:p>
        </w:tc>
        <w:tc>
          <w:tcPr>
            <w:tcW w:w="53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bCs/>
                <w:color w:val="auto"/>
                <w:kern w:val="21"/>
                <w:sz w:val="21"/>
              </w:rPr>
            </w:pPr>
            <w:r>
              <w:rPr>
                <w:rFonts w:hint="default" w:ascii="Times New Roman" w:hAnsi="Times New Roman" w:eastAsia="等线" w:cs="Times New Roman"/>
                <w:bCs/>
                <w:color w:val="auto"/>
                <w:kern w:val="21"/>
                <w:sz w:val="21"/>
              </w:rPr>
              <w:t>7.23</w:t>
            </w:r>
          </w:p>
        </w:tc>
        <w:tc>
          <w:tcPr>
            <w:tcW w:w="41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cs="Times New Roman"/>
                <w:color w:val="auto"/>
                <w:kern w:val="21"/>
                <w:sz w:val="21"/>
              </w:rPr>
              <w:t>0</w:t>
            </w:r>
          </w:p>
        </w:tc>
        <w:tc>
          <w:tcPr>
            <w:tcW w:w="476"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bCs/>
                <w:color w:val="auto"/>
                <w:kern w:val="21"/>
                <w:sz w:val="21"/>
              </w:rPr>
            </w:pPr>
            <w:r>
              <w:rPr>
                <w:rFonts w:hint="default" w:ascii="Times New Roman" w:hAnsi="Times New Roman" w:cs="Times New Roman"/>
                <w:bCs/>
                <w:color w:val="auto"/>
                <w:kern w:val="21"/>
                <w:sz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738" w:type="pct"/>
            <w:vMerge w:val="restar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原矿仓库</w:t>
            </w:r>
          </w:p>
        </w:tc>
        <w:tc>
          <w:tcPr>
            <w:tcW w:w="4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PM</w:t>
            </w:r>
            <w:r>
              <w:rPr>
                <w:rFonts w:hint="default" w:ascii="Times New Roman" w:hAnsi="Times New Roman" w:eastAsia="等线" w:cs="Times New Roman"/>
                <w:color w:val="auto"/>
                <w:kern w:val="21"/>
                <w:sz w:val="21"/>
                <w:vertAlign w:val="subscript"/>
              </w:rPr>
              <w:t>10</w:t>
            </w:r>
          </w:p>
        </w:tc>
        <w:tc>
          <w:tcPr>
            <w:tcW w:w="6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0.2853</w:t>
            </w:r>
          </w:p>
        </w:tc>
        <w:tc>
          <w:tcPr>
            <w:tcW w:w="57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100</w:t>
            </w:r>
          </w:p>
        </w:tc>
        <w:tc>
          <w:tcPr>
            <w:tcW w:w="625"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450</w:t>
            </w:r>
          </w:p>
        </w:tc>
        <w:tc>
          <w:tcPr>
            <w:tcW w:w="53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0.06</w:t>
            </w:r>
          </w:p>
        </w:tc>
        <w:tc>
          <w:tcPr>
            <w:tcW w:w="41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w:t>
            </w:r>
          </w:p>
        </w:tc>
        <w:tc>
          <w:tcPr>
            <w:tcW w:w="476"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738" w:type="pct"/>
            <w:vMerge w:val="continue"/>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4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TSP</w:t>
            </w:r>
          </w:p>
        </w:tc>
        <w:tc>
          <w:tcPr>
            <w:tcW w:w="6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0.5707</w:t>
            </w:r>
          </w:p>
        </w:tc>
        <w:tc>
          <w:tcPr>
            <w:tcW w:w="57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100</w:t>
            </w:r>
          </w:p>
        </w:tc>
        <w:tc>
          <w:tcPr>
            <w:tcW w:w="625"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eastAsia="等线" w:cs="Times New Roman"/>
                <w:color w:val="auto"/>
                <w:kern w:val="21"/>
                <w:sz w:val="21"/>
              </w:rPr>
            </w:pPr>
            <w:r>
              <w:rPr>
                <w:rFonts w:hint="default" w:ascii="Times New Roman" w:hAnsi="Times New Roman" w:eastAsia="等线" w:cs="Times New Roman"/>
                <w:color w:val="auto"/>
                <w:kern w:val="21"/>
                <w:sz w:val="21"/>
              </w:rPr>
              <w:t>900</w:t>
            </w:r>
          </w:p>
        </w:tc>
        <w:tc>
          <w:tcPr>
            <w:tcW w:w="53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0.06</w:t>
            </w:r>
          </w:p>
        </w:tc>
        <w:tc>
          <w:tcPr>
            <w:tcW w:w="41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w:t>
            </w:r>
          </w:p>
        </w:tc>
        <w:tc>
          <w:tcPr>
            <w:tcW w:w="476"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Ⅲ</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由上表计算结果可知，本项目建成后最大地面浓度占标率为面源碎矿车间污染物PM</w:t>
      </w:r>
      <w:r>
        <w:rPr>
          <w:rFonts w:hint="default" w:ascii="Times New Roman" w:hAnsi="Times New Roman" w:cs="Times New Roman"/>
          <w:color w:val="auto"/>
          <w:vertAlign w:val="subscript"/>
        </w:rPr>
        <w:t>10</w:t>
      </w:r>
      <w:r>
        <w:rPr>
          <w:rFonts w:hint="default" w:ascii="Times New Roman" w:hAnsi="Times New Roman" w:cs="Times New Roman"/>
          <w:color w:val="auto"/>
        </w:rPr>
        <w:t>，占标率Pmax=7.23%＜10%，根据《环境影响评价技术导则 大气环境》（HJ2.2-2018）中的评价等级判定依据，确定本项目大气环境影响评价等级为二级。</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评价范围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大气环境》（HJ2.2-2018），确定本项目大气环境影响评价范围为以项目所在地为中心，以5km为边长的矩形区域。</w:t>
      </w:r>
    </w:p>
    <w:p>
      <w:pPr>
        <w:pStyle w:val="54"/>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73675" cy="3728085"/>
            <wp:effectExtent l="0" t="0" r="3175" b="5715"/>
            <wp:docPr id="42" name="图片 4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无标题"/>
                    <pic:cNvPicPr>
                      <a:picLocks noChangeAspect="1"/>
                    </pic:cNvPicPr>
                  </pic:nvPicPr>
                  <pic:blipFill>
                    <a:blip r:embed="rId21"/>
                    <a:stretch>
                      <a:fillRect/>
                    </a:stretch>
                  </pic:blipFill>
                  <pic:spPr>
                    <a:xfrm>
                      <a:off x="0" y="0"/>
                      <a:ext cx="5273675" cy="3728085"/>
                    </a:xfrm>
                    <a:prstGeom prst="rect">
                      <a:avLst/>
                    </a:prstGeom>
                  </pic:spPr>
                </pic:pic>
              </a:graphicData>
            </a:graphic>
          </wp:inline>
        </w:drawing>
      </w:r>
    </w:p>
    <w:p>
      <w:pPr>
        <w:pStyle w:val="12"/>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大气评价范围图</w:t>
      </w:r>
    </w:p>
    <w:p>
      <w:pPr>
        <w:pStyle w:val="4"/>
        <w:adjustRightInd w:val="0"/>
        <w:rPr>
          <w:rFonts w:hint="default" w:ascii="Times New Roman" w:hAnsi="Times New Roman" w:cs="Times New Roman"/>
          <w:color w:val="auto"/>
        </w:rPr>
      </w:pPr>
      <w:bookmarkStart w:id="64" w:name="_Toc3920"/>
      <w:bookmarkStart w:id="65" w:name="_Toc29496"/>
      <w:bookmarkStart w:id="66" w:name="_Toc17598"/>
      <w:bookmarkStart w:id="67" w:name="_Toc365381216"/>
      <w:r>
        <w:rPr>
          <w:rFonts w:hint="default" w:ascii="Times New Roman" w:hAnsi="Times New Roman" w:cs="Times New Roman"/>
          <w:color w:val="auto"/>
        </w:rPr>
        <w:t>声环境评价工作等级</w:t>
      </w:r>
      <w:bookmarkEnd w:id="64"/>
      <w:bookmarkEnd w:id="65"/>
      <w:bookmarkEnd w:id="66"/>
      <w:bookmarkEnd w:id="67"/>
    </w:p>
    <w:p>
      <w:pPr>
        <w:pStyle w:val="5"/>
        <w:adjustRightInd w:val="0"/>
        <w:rPr>
          <w:rFonts w:hint="default" w:ascii="Times New Roman" w:hAnsi="Times New Roman" w:cs="Times New Roman"/>
          <w:color w:val="auto"/>
        </w:rPr>
      </w:pPr>
      <w:r>
        <w:rPr>
          <w:rFonts w:hint="default" w:ascii="Times New Roman" w:hAnsi="Times New Roman" w:cs="Times New Roman"/>
          <w:color w:val="auto"/>
        </w:rPr>
        <w:t>评价等级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声环境》（HJ 2.4-2021），依据建设项目所在区域的声环境功能区类别、建设项目建设前后所在区域的声环境质量变化程度及受建设项目影响人口的数量确定项目声环境影响评价工作等级。</w:t>
      </w:r>
    </w:p>
    <w:p>
      <w:pPr>
        <w:pStyle w:val="12"/>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45</w:t>
      </w:r>
      <w:r>
        <w:rPr>
          <w:rFonts w:hint="default" w:ascii="Times New Roman" w:hAnsi="Times New Roman" w:cs="Times New Roman"/>
          <w:color w:val="auto"/>
        </w:rPr>
        <w:fldChar w:fldCharType="end"/>
      </w:r>
      <w:r>
        <w:rPr>
          <w:rFonts w:hint="default" w:ascii="Times New Roman" w:hAnsi="Times New Roman" w:cs="Times New Roman"/>
          <w:color w:val="auto"/>
        </w:rPr>
        <w:t>声环境影响评价等级划分依据</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15"/>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82"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713"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评价工作等级</w:t>
            </w:r>
          </w:p>
        </w:tc>
        <w:tc>
          <w:tcPr>
            <w:tcW w:w="3903"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1</w:t>
            </w:r>
          </w:p>
        </w:tc>
        <w:tc>
          <w:tcPr>
            <w:tcW w:w="71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一级</w:t>
            </w:r>
          </w:p>
        </w:tc>
        <w:tc>
          <w:tcPr>
            <w:tcW w:w="390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评价范围内有适用于GB3096规定的0类声环境功能区域，或建设项目建设前后评价范围内声环境保护目标噪声级增量达5dB（A）以上（不含5dB（A）），或受影响人口数量显著增加时，按一级评价。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2</w:t>
            </w:r>
          </w:p>
        </w:tc>
        <w:tc>
          <w:tcPr>
            <w:tcW w:w="71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二级</w:t>
            </w:r>
          </w:p>
        </w:tc>
        <w:tc>
          <w:tcPr>
            <w:tcW w:w="390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建设项目所处的声环境功能区为GB3096规定的1类、2类地区，或建设项目建设前后评价范围内声环境保护目标噪声级增量达3dB（A）~5dB（A），或受噪声影响人口数量增加较多时，按二级评价。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3</w:t>
            </w:r>
          </w:p>
        </w:tc>
        <w:tc>
          <w:tcPr>
            <w:tcW w:w="71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三级</w:t>
            </w:r>
          </w:p>
        </w:tc>
        <w:tc>
          <w:tcPr>
            <w:tcW w:w="390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建设项目所处的声环境功能区为GB3096规定的3类、4类地区，或建设项目建设前后评价范围内声环境保护目标噪声级增量在3dB（A）以下（不含3dB（A）），且受影响人口数量变化不大时，按三级评价。</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位于3类声环境功能区，项目周边为生产性企业，西侧为凤凰路，建设前后评价范围内声环境保护目标噪声级增量在3dB（A）以下（居民区夜间噪声级增量0.3dB（A））且受影响人口数量变化不大，因此本项目的声环境影响评价工作等级为</w:t>
      </w:r>
      <w:r>
        <w:rPr>
          <w:rFonts w:hint="default" w:ascii="Times New Roman" w:hAnsi="Times New Roman" w:cs="Times New Roman"/>
          <w:b/>
          <w:bCs/>
          <w:color w:val="auto"/>
        </w:rPr>
        <w:t>三级</w:t>
      </w:r>
      <w:r>
        <w:rPr>
          <w:rFonts w:hint="default" w:ascii="Times New Roman" w:hAnsi="Times New Roman" w:cs="Times New Roman"/>
          <w:color w:val="auto"/>
        </w:rPr>
        <w:t>。</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评价范围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声环境》（HJ 2.4-2021），确定本项目声环境影响评价范围为厂界200m。</w:t>
      </w:r>
    </w:p>
    <w:p>
      <w:pPr>
        <w:pStyle w:val="4"/>
        <w:adjustRightInd w:val="0"/>
        <w:rPr>
          <w:rFonts w:hint="default" w:ascii="Times New Roman" w:hAnsi="Times New Roman" w:cs="Times New Roman"/>
          <w:color w:val="auto"/>
        </w:rPr>
      </w:pPr>
      <w:bookmarkStart w:id="68" w:name="_Toc28"/>
      <w:bookmarkStart w:id="69" w:name="_Toc3603"/>
      <w:bookmarkStart w:id="70" w:name="_Toc14644"/>
      <w:r>
        <w:rPr>
          <w:rFonts w:hint="default" w:ascii="Times New Roman" w:hAnsi="Times New Roman" w:cs="Times New Roman"/>
          <w:color w:val="auto"/>
        </w:rPr>
        <w:t>土壤环境评价</w:t>
      </w:r>
      <w:bookmarkEnd w:id="68"/>
      <w:bookmarkEnd w:id="69"/>
      <w:bookmarkEnd w:id="70"/>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土壤环境（试行）》（HJ964-2018），建设项目土壤环境影响评价工作等级的划分应依据建设项目行业分类和土壤环境敏感程度分级进行判定。本项目属于污染影响型项目，根据导则中附录A确定本项目所属土壤环境影响评价项目类别。</w:t>
      </w:r>
    </w:p>
    <w:p>
      <w:pPr>
        <w:pStyle w:val="12"/>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土壤环境影响评价项目类别</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872"/>
        <w:gridCol w:w="1872"/>
        <w:gridCol w:w="1872"/>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3" w:type="pct"/>
            <w:vMerge w:val="restar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行业类别</w:t>
            </w:r>
          </w:p>
        </w:tc>
        <w:tc>
          <w:tcPr>
            <w:tcW w:w="4396" w:type="pct"/>
            <w:gridSpan w:val="4"/>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3" w:type="pct"/>
            <w:vMerge w:val="continue"/>
            <w:vAlign w:val="center"/>
          </w:tcPr>
          <w:p>
            <w:pPr>
              <w:pStyle w:val="36"/>
              <w:adjustRightInd w:val="0"/>
              <w:rPr>
                <w:rFonts w:hint="default" w:ascii="Times New Roman" w:hAnsi="Times New Roman" w:cs="Times New Roman"/>
                <w:b/>
                <w:bCs/>
                <w:color w:val="auto"/>
              </w:rPr>
            </w:pPr>
          </w:p>
        </w:tc>
        <w:tc>
          <w:tcPr>
            <w:tcW w:w="1098"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Ⅰ类</w:t>
            </w:r>
          </w:p>
        </w:tc>
        <w:tc>
          <w:tcPr>
            <w:tcW w:w="1098"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Ⅱ类</w:t>
            </w:r>
          </w:p>
        </w:tc>
        <w:tc>
          <w:tcPr>
            <w:tcW w:w="1098"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Ⅲ类</w:t>
            </w:r>
          </w:p>
        </w:tc>
        <w:tc>
          <w:tcPr>
            <w:tcW w:w="1100"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采矿业</w:t>
            </w:r>
          </w:p>
        </w:tc>
        <w:tc>
          <w:tcPr>
            <w:tcW w:w="109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金属矿、石油、页岩油开采</w:t>
            </w:r>
          </w:p>
        </w:tc>
        <w:tc>
          <w:tcPr>
            <w:tcW w:w="109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化学矿采选；石棉矿采选；煤矿采选、天然气开采、页岩气开采、砂岩气开采、煤层气开采（含净化、液化）</w:t>
            </w:r>
          </w:p>
        </w:tc>
        <w:tc>
          <w:tcPr>
            <w:tcW w:w="1098"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b/>
                <w:bCs/>
                <w:color w:val="auto"/>
              </w:rPr>
              <w:t>其他</w:t>
            </w:r>
          </w:p>
        </w:tc>
        <w:tc>
          <w:tcPr>
            <w:tcW w:w="1100" w:type="pct"/>
            <w:vAlign w:val="center"/>
          </w:tcPr>
          <w:p>
            <w:pPr>
              <w:pStyle w:val="36"/>
              <w:adjustRightInd w:val="0"/>
              <w:rPr>
                <w:rFonts w:hint="default" w:ascii="Times New Roman" w:hAnsi="Times New Roman" w:cs="Times New Roman"/>
                <w:color w:val="auto"/>
              </w:rPr>
            </w:pP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由上表可知，本项目属于“采矿业”中“其他”项目，土壤环境影响评价项目类别为Ⅲ类。</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将建设项目占地规模分为大型（≥50hm</w:t>
      </w:r>
      <w:r>
        <w:rPr>
          <w:rFonts w:hint="default" w:ascii="Times New Roman" w:hAnsi="Times New Roman" w:cs="Times New Roman"/>
          <w:color w:val="auto"/>
          <w:vertAlign w:val="superscript"/>
        </w:rPr>
        <w:t>2</w:t>
      </w:r>
      <w:r>
        <w:rPr>
          <w:rFonts w:hint="default" w:ascii="Times New Roman" w:hAnsi="Times New Roman" w:cs="Times New Roman"/>
          <w:color w:val="auto"/>
        </w:rPr>
        <w:t>）、中型（5~50hm</w:t>
      </w:r>
      <w:r>
        <w:rPr>
          <w:rFonts w:hint="default" w:ascii="Times New Roman" w:hAnsi="Times New Roman" w:cs="Times New Roman"/>
          <w:color w:val="auto"/>
          <w:vertAlign w:val="superscript"/>
        </w:rPr>
        <w:t>2</w:t>
      </w:r>
      <w:r>
        <w:rPr>
          <w:rFonts w:hint="default" w:ascii="Times New Roman" w:hAnsi="Times New Roman" w:cs="Times New Roman"/>
          <w:color w:val="auto"/>
        </w:rPr>
        <w:t>）、小型（≤5hm</w:t>
      </w:r>
      <w:r>
        <w:rPr>
          <w:rFonts w:hint="default" w:ascii="Times New Roman" w:hAnsi="Times New Roman" w:cs="Times New Roman"/>
          <w:color w:val="auto"/>
          <w:vertAlign w:val="superscript"/>
        </w:rPr>
        <w:t>2</w:t>
      </w:r>
      <w:r>
        <w:rPr>
          <w:rFonts w:hint="default" w:ascii="Times New Roman" w:hAnsi="Times New Roman" w:cs="Times New Roman"/>
          <w:color w:val="auto"/>
        </w:rPr>
        <w:t>），建设项目占地主要为永久占地。本项目占地面积5.5hm</w:t>
      </w:r>
      <w:r>
        <w:rPr>
          <w:rFonts w:hint="default" w:ascii="Times New Roman" w:hAnsi="Times New Roman" w:cs="Times New Roman"/>
          <w:color w:val="auto"/>
          <w:vertAlign w:val="superscript"/>
        </w:rPr>
        <w:t>2</w:t>
      </w:r>
      <w:r>
        <w:rPr>
          <w:rFonts w:hint="default" w:ascii="Times New Roman" w:hAnsi="Times New Roman" w:cs="Times New Roman"/>
          <w:color w:val="auto"/>
        </w:rPr>
        <w:t>，占地规模属于中型。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建设项目所在地周边的土壤环境敏感程度分为敏感、较敏感、不敏感，判别依据见下表。</w:t>
      </w:r>
    </w:p>
    <w:p>
      <w:pPr>
        <w:pStyle w:val="12"/>
        <w:keepNext w:val="0"/>
        <w:overflowPunct w:val="0"/>
        <w:adjustRightInd w:val="0"/>
        <w:spacing w:before="65" w:beforeLines="20" w:after="65" w:afterLines="20"/>
        <w:rPr>
          <w:rFonts w:hint="default" w:ascii="Times New Roman" w:hAnsi="Times New Roman" w:cs="Times New Roman"/>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污染影响型敏感程度分级表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4473"/>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jc w:val="center"/>
        </w:trPr>
        <w:tc>
          <w:tcPr>
            <w:tcW w:w="656"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敏感程度</w:t>
            </w:r>
          </w:p>
        </w:tc>
        <w:tc>
          <w:tcPr>
            <w:tcW w:w="2624"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判别依据</w:t>
            </w:r>
          </w:p>
        </w:tc>
        <w:tc>
          <w:tcPr>
            <w:tcW w:w="1719" w:type="pct"/>
            <w:vAlign w:val="center"/>
          </w:tcPr>
          <w:p>
            <w:pPr>
              <w:pStyle w:val="36"/>
              <w:adjustRightInd w:val="0"/>
              <w:rPr>
                <w:rFonts w:hint="default" w:ascii="Times New Roman" w:hAnsi="Times New Roman" w:cs="Times New Roman"/>
                <w:b/>
                <w:bCs/>
                <w:color w:val="auto"/>
              </w:rPr>
            </w:pPr>
            <w:r>
              <w:rPr>
                <w:rFonts w:hint="default" w:ascii="Times New Roman" w:hAnsi="Times New Roman" w:cs="Times New Roman"/>
                <w:b/>
                <w:bCs/>
                <w:color w:val="auto"/>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敏感</w:t>
            </w:r>
          </w:p>
        </w:tc>
        <w:tc>
          <w:tcPr>
            <w:tcW w:w="26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建设项目周边存在耕地、园地、牧草地饮用水水源地或居民区、学校、医院、疗养院、养老院等土壤环境敏感目标的</w:t>
            </w:r>
          </w:p>
        </w:tc>
        <w:tc>
          <w:tcPr>
            <w:tcW w:w="1719" w:type="pct"/>
            <w:vMerge w:val="restar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本项目周边（东南侧130m处）分布有农田。因此，本项目区域土壤敏感程度为敏感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较敏感</w:t>
            </w:r>
          </w:p>
        </w:tc>
        <w:tc>
          <w:tcPr>
            <w:tcW w:w="26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建设项目周边存在其他土壤环境敏感目标的</w:t>
            </w:r>
          </w:p>
        </w:tc>
        <w:tc>
          <w:tcPr>
            <w:tcW w:w="1719" w:type="pct"/>
            <w:vMerge w:val="continue"/>
            <w:vAlign w:val="center"/>
          </w:tcPr>
          <w:p>
            <w:pPr>
              <w:pStyle w:val="36"/>
              <w:adjustRightInd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不敏感</w:t>
            </w:r>
          </w:p>
        </w:tc>
        <w:tc>
          <w:tcPr>
            <w:tcW w:w="2624" w:type="pct"/>
            <w:vAlign w:val="center"/>
          </w:tcPr>
          <w:p>
            <w:pPr>
              <w:pStyle w:val="36"/>
              <w:adjustRightInd w:val="0"/>
              <w:rPr>
                <w:rFonts w:hint="default" w:ascii="Times New Roman" w:hAnsi="Times New Roman" w:cs="Times New Roman"/>
                <w:color w:val="auto"/>
              </w:rPr>
            </w:pPr>
            <w:r>
              <w:rPr>
                <w:rFonts w:hint="default" w:ascii="Times New Roman" w:hAnsi="Times New Roman" w:cs="Times New Roman"/>
                <w:color w:val="auto"/>
              </w:rPr>
              <w:t>其他情况</w:t>
            </w:r>
          </w:p>
        </w:tc>
        <w:tc>
          <w:tcPr>
            <w:tcW w:w="1719" w:type="pct"/>
            <w:vMerge w:val="continue"/>
            <w:vAlign w:val="center"/>
          </w:tcPr>
          <w:p>
            <w:pPr>
              <w:pStyle w:val="36"/>
              <w:adjustRightInd w:val="0"/>
              <w:rPr>
                <w:rFonts w:hint="default" w:ascii="Times New Roman" w:hAnsi="Times New Roman" w:cs="Times New Roman"/>
                <w:color w:val="auto"/>
              </w:rPr>
            </w:pP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根据项目区域土地利用现状图及实际土地利用现状，项目周边（东南侧130m处）分布有农田。因此，本项目区域土壤敏感程度为敏感。</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按照《环境影响评价技术导则 土壤环境（试行）》（HJ 964-2018）中表4评价工作等级分级表的划分方法进行确定，其判据详见下表。</w:t>
      </w:r>
    </w:p>
    <w:p>
      <w:pPr>
        <w:pStyle w:val="12"/>
        <w:keepNext w:val="0"/>
        <w:overflowPunct w:val="0"/>
        <w:adjustRightInd w:val="0"/>
        <w:spacing w:before="65" w:beforeLines="20" w:after="65" w:afterLines="20"/>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污染型评价工作等级划分表</w:t>
      </w:r>
    </w:p>
    <w:tbl>
      <w:tblPr>
        <w:tblStyle w:val="7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09"/>
        <w:gridCol w:w="709"/>
        <w:gridCol w:w="709"/>
        <w:gridCol w:w="709"/>
        <w:gridCol w:w="707"/>
        <w:gridCol w:w="707"/>
        <w:gridCol w:w="709"/>
        <w:gridCol w:w="707"/>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blHeader/>
        </w:trPr>
        <w:tc>
          <w:tcPr>
            <w:tcW w:w="1307" w:type="pct"/>
            <w:vMerge w:val="restart"/>
            <w:vAlign w:val="center"/>
          </w:tcPr>
          <w:p>
            <w:pPr>
              <w:overflowPunct w:val="0"/>
              <w:adjustRightInd w:val="0"/>
              <w:spacing w:before="65" w:beforeLines="20" w:after="65" w:afterLines="20" w:line="240" w:lineRule="auto"/>
              <w:ind w:firstLine="0" w:firstLineChars="0"/>
              <w:jc w:val="right"/>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mc:AlternateContent>
                <mc:Choice Requires="wps">
                  <w:drawing>
                    <wp:anchor distT="0" distB="0" distL="114300" distR="114300" simplePos="0" relativeHeight="251662336" behindDoc="0" locked="0" layoutInCell="1" allowOverlap="1">
                      <wp:simplePos x="0" y="0"/>
                      <wp:positionH relativeFrom="column">
                        <wp:posOffset>497205</wp:posOffset>
                      </wp:positionH>
                      <wp:positionV relativeFrom="paragraph">
                        <wp:posOffset>2540</wp:posOffset>
                      </wp:positionV>
                      <wp:extent cx="844550" cy="695960"/>
                      <wp:effectExtent l="3175" t="3810" r="9525" b="5080"/>
                      <wp:wrapNone/>
                      <wp:docPr id="37" name="直接连接符 37"/>
                      <wp:cNvGraphicFramePr/>
                      <a:graphic xmlns:a="http://schemas.openxmlformats.org/drawingml/2006/main">
                        <a:graphicData uri="http://schemas.microsoft.com/office/word/2010/wordprocessingShape">
                          <wps:wsp>
                            <wps:cNvCnPr/>
                            <wps:spPr>
                              <a:xfrm>
                                <a:off x="0" y="0"/>
                                <a:ext cx="844550" cy="69596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39.15pt;margin-top:0.2pt;height:54.8pt;width:66.5pt;z-index:251662336;mso-width-relative:page;mso-height-relative:page;" filled="f" stroked="t" coordsize="21600,21600" o:gfxdata="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2axNvUAAAABwEAAA8AAAAAAAAAAQAgAAAAIgAAAGRycy9kb3ducmV2LnhtbFBLAQIUABQAAAAI&#10;AIdO4kDp3CjI8QEAAMIDAAAOAAAAAAAAAAEAIAAAACMBAABkcnMvZTJvRG9jLnhtbFBLBQYAAAAA&#10;BgAGAFkBAACGBQAAAAA=&#10;">
                      <v:fill on="f" focussize="0,0"/>
                      <v:stroke color="#000000" joinstyle="round"/>
                      <v:imagedata o:title=""/>
                      <o:lock v:ext="edit" aspectratio="f"/>
                    </v:line>
                  </w:pict>
                </mc:Fallback>
              </mc:AlternateContent>
            </w:r>
            <w:r>
              <w:rPr>
                <w:rFonts w:hint="default" w:ascii="Times New Roman" w:hAnsi="Times New Roman" w:cs="Times New Roman"/>
                <w:b/>
                <w:color w:val="auto"/>
                <w:kern w:val="21"/>
                <w:sz w:val="21"/>
              </w:rPr>
              <w:t>占地规模</w:t>
            </w:r>
          </w:p>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mc:AlternateContent>
                <mc:Choice Requires="wps">
                  <w:drawing>
                    <wp:anchor distT="0" distB="0" distL="114300" distR="114300" simplePos="0" relativeHeight="251663360" behindDoc="0" locked="0" layoutInCell="1" allowOverlap="1">
                      <wp:simplePos x="0" y="0"/>
                      <wp:positionH relativeFrom="column">
                        <wp:posOffset>-44450</wp:posOffset>
                      </wp:positionH>
                      <wp:positionV relativeFrom="paragraph">
                        <wp:posOffset>68580</wp:posOffset>
                      </wp:positionV>
                      <wp:extent cx="1334770" cy="354330"/>
                      <wp:effectExtent l="1270" t="4445" r="16510" b="22225"/>
                      <wp:wrapNone/>
                      <wp:docPr id="61" name="直接连接符 61"/>
                      <wp:cNvGraphicFramePr/>
                      <a:graphic xmlns:a="http://schemas.openxmlformats.org/drawingml/2006/main">
                        <a:graphicData uri="http://schemas.microsoft.com/office/word/2010/wordprocessingShape">
                          <wps:wsp>
                            <wps:cNvCnPr/>
                            <wps:spPr>
                              <a:xfrm>
                                <a:off x="0" y="0"/>
                                <a:ext cx="1334770" cy="35433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3.5pt;margin-top:5.4pt;height:27.9pt;width:105.1pt;z-index:251663360;mso-width-relative:page;mso-height-relative:page;" filled="f" stroked="t" coordsize="21600,21600" o:gfxdata="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O/+qfWAAAACAEAAA8AAAAAAAAAAQAgAAAAIgAAAGRycy9kb3ducmV2LnhtbFBLAQIUABQA&#10;AAAIAIdO4kDo5TkB8gEAAMMDAAAOAAAAAAAAAAEAIAAAACUBAABkcnMvZTJvRG9jLnhtbFBLBQYA&#10;AAAABgAGAFkBAACJBQAAAAA=&#10;">
                      <v:fill on="f" focussize="0,0"/>
                      <v:stroke color="#000000" joinstyle="round"/>
                      <v:imagedata o:title=""/>
                      <o:lock v:ext="edit" aspectratio="f"/>
                    </v:line>
                  </w:pict>
                </mc:Fallback>
              </mc:AlternateContent>
            </w:r>
            <w:r>
              <w:rPr>
                <w:rFonts w:hint="default" w:ascii="Times New Roman" w:hAnsi="Times New Roman" w:cs="Times New Roman"/>
                <w:b/>
                <w:color w:val="auto"/>
                <w:kern w:val="21"/>
                <w:sz w:val="21"/>
              </w:rPr>
              <w:t>评价工作等级</w:t>
            </w:r>
          </w:p>
          <w:p>
            <w:pPr>
              <w:overflowPunct w:val="0"/>
              <w:adjustRightInd w:val="0"/>
              <w:spacing w:before="65" w:beforeLines="20" w:after="65" w:afterLines="20" w:line="240" w:lineRule="auto"/>
              <w:ind w:firstLine="0" w:firstLineChars="0"/>
              <w:jc w:val="left"/>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敏感程度</w:t>
            </w:r>
          </w:p>
        </w:tc>
        <w:tc>
          <w:tcPr>
            <w:tcW w:w="1248" w:type="pct"/>
            <w:gridSpan w:val="3"/>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Ⅰ类</w:t>
            </w:r>
          </w:p>
        </w:tc>
        <w:tc>
          <w:tcPr>
            <w:tcW w:w="1246" w:type="pct"/>
            <w:gridSpan w:val="3"/>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Ⅱ类</w:t>
            </w:r>
          </w:p>
        </w:tc>
        <w:tc>
          <w:tcPr>
            <w:tcW w:w="1198" w:type="pct"/>
            <w:gridSpan w:val="3"/>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307" w:type="pct"/>
            <w:vMerge w:val="continue"/>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中</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小</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中</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小</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中</w:t>
            </w:r>
          </w:p>
        </w:tc>
        <w:tc>
          <w:tcPr>
            <w:tcW w:w="36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敏感</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color w:val="auto"/>
                <w:kern w:val="21"/>
                <w:sz w:val="21"/>
              </w:rPr>
              <w:t>一级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color w:val="auto"/>
                <w:kern w:val="21"/>
                <w:sz w:val="21"/>
              </w:rPr>
              <w:t>二级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color w:val="auto"/>
                <w:kern w:val="21"/>
                <w:sz w:val="21"/>
              </w:rPr>
              <w:t>二级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color w:val="auto"/>
                <w:kern w:val="21"/>
                <w:sz w:val="21"/>
              </w:rPr>
              <w:t>二级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color w:val="auto"/>
                <w:kern w:val="21"/>
                <w:sz w:val="21"/>
              </w:rPr>
              <w:t>三级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bCs/>
                <w:color w:val="auto"/>
                <w:kern w:val="21"/>
                <w:sz w:val="21"/>
              </w:rPr>
              <w:t>三级</w:t>
            </w:r>
          </w:p>
        </w:tc>
        <w:tc>
          <w:tcPr>
            <w:tcW w:w="36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color w:val="auto"/>
                <w:kern w:val="21"/>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较敏感</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二级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二级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二级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三级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三级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三级</w:t>
            </w:r>
          </w:p>
        </w:tc>
        <w:tc>
          <w:tcPr>
            <w:tcW w:w="36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不敏感</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二级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二级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二级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三级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三级</w:t>
            </w:r>
          </w:p>
        </w:tc>
        <w:tc>
          <w:tcPr>
            <w:tcW w:w="41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三级</w:t>
            </w:r>
          </w:p>
        </w:tc>
        <w:tc>
          <w:tcPr>
            <w:tcW w:w="415"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w:t>
            </w:r>
          </w:p>
        </w:tc>
        <w:tc>
          <w:tcPr>
            <w:tcW w:w="36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注：“-”表示可不开展土壤环境影响评价工作。</w:t>
            </w:r>
          </w:p>
        </w:tc>
      </w:tr>
    </w:tbl>
    <w:p>
      <w:pPr>
        <w:overflowPunct w:val="0"/>
        <w:adjustRightInd w:val="0"/>
        <w:ind w:firstLine="480"/>
        <w:rPr>
          <w:rFonts w:hint="default" w:ascii="Times New Roman" w:hAnsi="Times New Roman" w:cs="Times New Roman"/>
          <w:b/>
          <w:color w:val="auto"/>
          <w:kern w:val="21"/>
          <w:szCs w:val="22"/>
        </w:rPr>
      </w:pPr>
      <w:r>
        <w:rPr>
          <w:rFonts w:hint="default" w:ascii="Times New Roman" w:hAnsi="Times New Roman" w:cs="Times New Roman"/>
          <w:color w:val="auto"/>
          <w:kern w:val="21"/>
          <w:szCs w:val="24"/>
        </w:rPr>
        <w:t>综上所述，按照《环境影响评价技术导则 土壤环境（试行）》（HJ964-2018）中表4评价工作等级划分表，本项目土壤评价等级为</w:t>
      </w:r>
      <w:r>
        <w:rPr>
          <w:rFonts w:hint="default" w:ascii="Times New Roman" w:hAnsi="Times New Roman" w:cs="Times New Roman"/>
          <w:b/>
          <w:bCs/>
          <w:color w:val="auto"/>
          <w:kern w:val="21"/>
          <w:szCs w:val="24"/>
        </w:rPr>
        <w:t>三级</w:t>
      </w:r>
      <w:r>
        <w:rPr>
          <w:rFonts w:hint="default" w:ascii="Times New Roman" w:hAnsi="Times New Roman" w:cs="Times New Roman"/>
          <w:color w:val="auto"/>
          <w:kern w:val="21"/>
          <w:szCs w:val="24"/>
        </w:rPr>
        <w:t>。</w:t>
      </w:r>
    </w:p>
    <w:p>
      <w:pPr>
        <w:pStyle w:val="4"/>
        <w:adjustRightInd w:val="0"/>
        <w:rPr>
          <w:rFonts w:hint="default" w:ascii="Times New Roman" w:hAnsi="Times New Roman" w:cs="Times New Roman"/>
          <w:color w:val="auto"/>
        </w:rPr>
      </w:pPr>
      <w:bookmarkStart w:id="71" w:name="_Toc12471"/>
      <w:bookmarkStart w:id="72" w:name="_Toc17896"/>
      <w:bookmarkStart w:id="73" w:name="_Toc28757"/>
      <w:bookmarkStart w:id="74" w:name="_Toc485748131"/>
      <w:bookmarkStart w:id="75" w:name="_Toc485856773"/>
      <w:bookmarkStart w:id="76" w:name="_Toc489883437"/>
      <w:r>
        <w:rPr>
          <w:rFonts w:hint="default" w:ascii="Times New Roman" w:hAnsi="Times New Roman" w:cs="Times New Roman"/>
          <w:color w:val="auto"/>
        </w:rPr>
        <w:t>生态环境评价</w:t>
      </w:r>
      <w:bookmarkEnd w:id="71"/>
      <w:bookmarkEnd w:id="72"/>
      <w:bookmarkEnd w:id="73"/>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生态影响》（HJ19-2022），依据建设项目影响区域的生态敏感性和影响程度，评价等级划分为一级、二级和三级，具体要求如下。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a）涉及国家公园、自然保护区、世界自然遗产、重要生境时，评价等级为一级；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b）涉及自然公园时，评价等级为二级；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c）涉及生态保护红线时，评价等级不低于二级；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d）根据HJ2.3判断属于水文要素影响型且地表水评价等级不低于二级的建设项目，生态影响评价等级不低于二级；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e）根据HJ610、HJ964判断地下水水位或土壤影响范围内分布有天然林、公益林、湿地等生态保护目标的建设项目，生态影响评价等级不低于二级；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f）当工程占地规模大于20km</w:t>
      </w:r>
      <w:r>
        <w:rPr>
          <w:rFonts w:hint="default" w:ascii="Times New Roman" w:hAnsi="Times New Roman" w:cs="Times New Roman"/>
          <w:color w:val="auto"/>
          <w:vertAlign w:val="superscript"/>
        </w:rPr>
        <w:t>2</w:t>
      </w:r>
      <w:r>
        <w:rPr>
          <w:rFonts w:hint="default" w:ascii="Times New Roman" w:hAnsi="Times New Roman" w:cs="Times New Roman"/>
          <w:color w:val="auto"/>
        </w:rPr>
        <w:t>时（包括永久和临时占用陆域和水域），评价等级不低于二级；改扩建项目的占地范围以新增占地（包括陆域和水域）确定；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g）除本条a）、b）、c）、d）、e）、f）以外的情况，评价等级为三级；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h）当评价等级判定同时符合上述多种情况时，应采用其中最高的评价等级。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生态影响》（HJ 19-2022），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位于乐山（沙湾）不锈钢产业园区内，乐山（沙湾）不锈钢产业园区属于已批准规划环评的产业园区，且本项目建设符合规划环评及审查意见要求，本项目建设范围内无保护和珍稀陆生动植物，也不涉及陆域生态环境敏感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生态影响》（HJ 19-2022），确定本项目直接进行生态影响简单分析。</w:t>
      </w:r>
    </w:p>
    <w:bookmarkEnd w:id="74"/>
    <w:bookmarkEnd w:id="75"/>
    <w:bookmarkEnd w:id="76"/>
    <w:p>
      <w:pPr>
        <w:pStyle w:val="4"/>
        <w:adjustRightInd w:val="0"/>
        <w:rPr>
          <w:rFonts w:hint="default" w:ascii="Times New Roman" w:hAnsi="Times New Roman" w:cs="Times New Roman"/>
          <w:color w:val="auto"/>
        </w:rPr>
      </w:pPr>
      <w:bookmarkStart w:id="77" w:name="_Toc31313"/>
      <w:bookmarkStart w:id="78" w:name="_Toc2845"/>
      <w:bookmarkStart w:id="79" w:name="_Toc19839"/>
      <w:bookmarkStart w:id="80" w:name="_Toc17922"/>
      <w:bookmarkStart w:id="81" w:name="_Toc30529"/>
      <w:r>
        <w:rPr>
          <w:rFonts w:hint="default" w:ascii="Times New Roman" w:hAnsi="Times New Roman" w:cs="Times New Roman"/>
          <w:color w:val="auto"/>
        </w:rPr>
        <w:t>环境风险</w:t>
      </w:r>
      <w:bookmarkEnd w:id="77"/>
      <w:bookmarkEnd w:id="78"/>
      <w:bookmarkEnd w:id="79"/>
      <w:bookmarkEnd w:id="80"/>
      <w:bookmarkEnd w:id="8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根据《建设项目环境风险评价技术导则》（HJ169-2018）中关于风险评价等级的划分方法确定环境风险评价的工作等级。</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一、风险潜势判定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 169-2018），建设项目环境风险潜势划分为Ⅰ、Ⅱ、Ⅲ、Ⅳ/Ⅳ+级。根据建设项目涉及的物质和工艺系统的危险性及其所在地的环境敏感程度，结合事故情形下环境影响途径，对建设项目潜在环境危害程度进行概化分析，确定环境风险潜势。</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查阅《建设项目环境风险评价技术导则》（HJ 169-2018）附录B，本工程涉及的主要风险物质为机油、废机油，其Q值计算见下表。</w:t>
      </w:r>
    </w:p>
    <w:p>
      <w:pPr>
        <w:pStyle w:val="12"/>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49</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存量与临界量对照表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616"/>
        <w:gridCol w:w="1171"/>
        <w:gridCol w:w="1548"/>
        <w:gridCol w:w="1045"/>
        <w:gridCol w:w="1204"/>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jc w:val="center"/>
        </w:trPr>
        <w:tc>
          <w:tcPr>
            <w:tcW w:w="54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序号</w:t>
            </w:r>
          </w:p>
        </w:tc>
        <w:tc>
          <w:tcPr>
            <w:tcW w:w="94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危化品名称</w:t>
            </w:r>
          </w:p>
        </w:tc>
        <w:tc>
          <w:tcPr>
            <w:tcW w:w="687"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临界量（t）</w:t>
            </w:r>
          </w:p>
        </w:tc>
        <w:tc>
          <w:tcPr>
            <w:tcW w:w="90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最大存储量（t）</w:t>
            </w:r>
          </w:p>
        </w:tc>
        <w:tc>
          <w:tcPr>
            <w:tcW w:w="6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qi/Qi</w:t>
            </w:r>
          </w:p>
        </w:tc>
        <w:tc>
          <w:tcPr>
            <w:tcW w:w="70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∑qi/Qi</w:t>
            </w:r>
          </w:p>
        </w:tc>
        <w:tc>
          <w:tcPr>
            <w:tcW w:w="5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1</w:t>
            </w:r>
          </w:p>
        </w:tc>
        <w:tc>
          <w:tcPr>
            <w:tcW w:w="94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机油</w:t>
            </w:r>
          </w:p>
        </w:tc>
        <w:tc>
          <w:tcPr>
            <w:tcW w:w="687"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2500</w:t>
            </w:r>
          </w:p>
        </w:tc>
        <w:tc>
          <w:tcPr>
            <w:tcW w:w="90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0.1</w:t>
            </w:r>
          </w:p>
        </w:tc>
        <w:tc>
          <w:tcPr>
            <w:tcW w:w="6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0.00004</w:t>
            </w:r>
          </w:p>
        </w:tc>
        <w:tc>
          <w:tcPr>
            <w:tcW w:w="70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0.00004</w:t>
            </w:r>
          </w:p>
        </w:tc>
        <w:tc>
          <w:tcPr>
            <w:tcW w:w="5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2</w:t>
            </w:r>
          </w:p>
        </w:tc>
        <w:tc>
          <w:tcPr>
            <w:tcW w:w="94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废机油</w:t>
            </w:r>
          </w:p>
        </w:tc>
        <w:tc>
          <w:tcPr>
            <w:tcW w:w="687"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2500</w:t>
            </w:r>
          </w:p>
        </w:tc>
        <w:tc>
          <w:tcPr>
            <w:tcW w:w="908"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0.12</w:t>
            </w:r>
          </w:p>
        </w:tc>
        <w:tc>
          <w:tcPr>
            <w:tcW w:w="6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0.00005</w:t>
            </w:r>
          </w:p>
        </w:tc>
        <w:tc>
          <w:tcPr>
            <w:tcW w:w="70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0.00005</w:t>
            </w:r>
          </w:p>
        </w:tc>
        <w:tc>
          <w:tcPr>
            <w:tcW w:w="5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rPr>
            </w:pPr>
            <w:r>
              <w:rPr>
                <w:rFonts w:hint="default" w:ascii="Times New Roman" w:hAnsi="Times New Roman" w:cs="Times New Roman"/>
                <w:color w:val="auto"/>
                <w:kern w:val="21"/>
                <w:sz w:val="21"/>
              </w:rPr>
              <w:t>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0" w:type="pct"/>
            <w:gridSpan w:val="6"/>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合计</w:t>
            </w:r>
          </w:p>
        </w:tc>
        <w:tc>
          <w:tcPr>
            <w:tcW w:w="58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0.00009</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 169-2018）当存在多种危险物质时，则按以下公式计算物质总量与其临界量比值（Q）：</w:t>
      </w:r>
    </w:p>
    <w:p>
      <w:pPr>
        <w:overflowPunct w:val="0"/>
        <w:adjustRightInd w:val="0"/>
        <w:spacing w:line="240" w:lineRule="auto"/>
        <w:ind w:firstLine="480"/>
        <w:jc w:val="center"/>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object>
          <v:shape id="_x0000_i1028" o:spt="75" type="#_x0000_t75" style="height:33.7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式中：</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q1，q2，…，qn——每种危险物质的最大存在总量，t；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Q1，Q2，…，Qn——每种危险物质的临界量，t。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当Q＜1时，该项目环境风险潜势为Ⅰ。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当Q≥1时，将Q值划分为：（1）1≤Q＜10；（2）10≤Q＜100；（3）Q≥100。</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经计算，Q=0.00009＜1，该项目环境风险潜势为Ⅰ。</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二、环境风险评价工作等级确定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环境风险评价工作等级划分为一级、二级、三级。根据建设项目涉及的物质及工艺系统危险性和所在地的环境敏感性确定环境风险潜势确定评价工作等级，具体见下表。</w:t>
      </w:r>
    </w:p>
    <w:p>
      <w:pPr>
        <w:pStyle w:val="12"/>
        <w:rPr>
          <w:rFonts w:hint="default" w:ascii="Times New Roman" w:hAnsi="Times New Roman" w:cs="Times New Roman"/>
          <w:bCs/>
          <w:color w:val="auto"/>
          <w:kern w:val="21"/>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50</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建设项目环境风险评价工作等级判断表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2"/>
        <w:gridCol w:w="1502"/>
        <w:gridCol w:w="1502"/>
        <w:gridCol w:w="1502"/>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6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环境风险潜势</w:t>
            </w:r>
          </w:p>
        </w:tc>
        <w:tc>
          <w:tcPr>
            <w:tcW w:w="88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Ⅳ、Ⅳ+</w:t>
            </w:r>
          </w:p>
        </w:tc>
        <w:tc>
          <w:tcPr>
            <w:tcW w:w="88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Ⅲ</w:t>
            </w:r>
          </w:p>
        </w:tc>
        <w:tc>
          <w:tcPr>
            <w:tcW w:w="88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Ⅱ</w:t>
            </w:r>
          </w:p>
        </w:tc>
        <w:tc>
          <w:tcPr>
            <w:tcW w:w="88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评价等级</w:t>
            </w:r>
          </w:p>
        </w:tc>
        <w:tc>
          <w:tcPr>
            <w:tcW w:w="88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一</w:t>
            </w:r>
          </w:p>
        </w:tc>
        <w:tc>
          <w:tcPr>
            <w:tcW w:w="88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二</w:t>
            </w:r>
          </w:p>
        </w:tc>
        <w:tc>
          <w:tcPr>
            <w:tcW w:w="88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三</w:t>
            </w:r>
          </w:p>
        </w:tc>
        <w:tc>
          <w:tcPr>
            <w:tcW w:w="882"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widowControl/>
              <w:overflowPunct w:val="0"/>
              <w:adjustRightInd w:val="0"/>
              <w:spacing w:before="65" w:beforeLines="20" w:after="65" w:afterLines="20" w:line="240" w:lineRule="auto"/>
              <w:ind w:firstLine="0" w:firstLineChars="0"/>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a.是相对于详细评价工作内容而言，在描述危险物质、环境影响途径、环境危害后果、风险防范措施等方面给出定性的说明。见附录A。</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本项目环境风险评价工作等级为简单分析。</w:t>
      </w:r>
    </w:p>
    <w:p>
      <w:pPr>
        <w:pStyle w:val="3"/>
        <w:adjustRightInd w:val="0"/>
        <w:rPr>
          <w:rFonts w:hint="default" w:ascii="Times New Roman" w:hAnsi="Times New Roman" w:cs="Times New Roman"/>
          <w:color w:val="auto"/>
        </w:rPr>
      </w:pPr>
      <w:bookmarkStart w:id="82" w:name="_Toc23710"/>
      <w:bookmarkStart w:id="83" w:name="_Toc30749"/>
      <w:bookmarkStart w:id="84" w:name="_Toc24600"/>
      <w:bookmarkStart w:id="85" w:name="_Toc11920"/>
      <w:r>
        <w:rPr>
          <w:rFonts w:hint="default" w:ascii="Times New Roman" w:hAnsi="Times New Roman" w:cs="Times New Roman"/>
          <w:color w:val="auto"/>
        </w:rPr>
        <w:t>外环境关系及环境保护目标</w:t>
      </w:r>
      <w:bookmarkEnd w:id="82"/>
      <w:bookmarkEnd w:id="83"/>
      <w:bookmarkEnd w:id="84"/>
      <w:bookmarkEnd w:id="85"/>
    </w:p>
    <w:p>
      <w:pPr>
        <w:pStyle w:val="4"/>
        <w:adjustRightInd w:val="0"/>
        <w:rPr>
          <w:rFonts w:hint="default" w:ascii="Times New Roman" w:hAnsi="Times New Roman" w:cs="Times New Roman"/>
          <w:color w:val="auto"/>
        </w:rPr>
      </w:pPr>
      <w:bookmarkStart w:id="86" w:name="_Toc22708"/>
      <w:bookmarkStart w:id="87" w:name="_Toc21165"/>
      <w:bookmarkStart w:id="88" w:name="_Toc30323219"/>
      <w:bookmarkStart w:id="89" w:name="_Toc25698"/>
      <w:r>
        <w:rPr>
          <w:rFonts w:hint="default" w:ascii="Times New Roman" w:hAnsi="Times New Roman" w:cs="Times New Roman"/>
          <w:color w:val="auto"/>
        </w:rPr>
        <w:t>外环境关系</w:t>
      </w:r>
      <w:bookmarkEnd w:id="86"/>
      <w:bookmarkEnd w:id="87"/>
      <w:bookmarkEnd w:id="88"/>
      <w:bookmarkEnd w:id="89"/>
    </w:p>
    <w:p>
      <w:pPr>
        <w:ind w:firstLine="480"/>
        <w:rPr>
          <w:rFonts w:hint="default" w:ascii="Times New Roman" w:hAnsi="Times New Roman" w:cs="Times New Roman"/>
          <w:color w:val="auto"/>
        </w:rPr>
      </w:pPr>
      <w:r>
        <w:rPr>
          <w:rFonts w:hint="default" w:ascii="Times New Roman" w:hAnsi="Times New Roman" w:cs="Times New Roman"/>
          <w:color w:val="auto"/>
        </w:rPr>
        <w:t>本项目外环境关系如下：</w:t>
      </w:r>
    </w:p>
    <w:p>
      <w:pPr>
        <w:pStyle w:val="12"/>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51</w:t>
      </w:r>
      <w:r>
        <w:rPr>
          <w:rFonts w:hint="default" w:ascii="Times New Roman" w:hAnsi="Times New Roman" w:cs="Times New Roman"/>
          <w:color w:val="auto"/>
        </w:rPr>
        <w:fldChar w:fldCharType="end"/>
      </w:r>
      <w:r>
        <w:rPr>
          <w:rFonts w:hint="default" w:ascii="Times New Roman" w:hAnsi="Times New Roman" w:cs="Times New Roman"/>
          <w:color w:val="auto"/>
        </w:rPr>
        <w:t>项目外环境关系表</w:t>
      </w:r>
    </w:p>
    <w:tbl>
      <w:tblPr>
        <w:tblStyle w:val="30"/>
        <w:tblW w:w="5000" w:type="pct"/>
        <w:tblInd w:w="0" w:type="dxa"/>
        <w:tblLayout w:type="fixed"/>
        <w:tblCellMar>
          <w:top w:w="0" w:type="dxa"/>
          <w:left w:w="108" w:type="dxa"/>
          <w:bottom w:w="0" w:type="dxa"/>
          <w:right w:w="108" w:type="dxa"/>
        </w:tblCellMar>
      </w:tblPr>
      <w:tblGrid>
        <w:gridCol w:w="1232"/>
        <w:gridCol w:w="1734"/>
        <w:gridCol w:w="1672"/>
        <w:gridCol w:w="1180"/>
        <w:gridCol w:w="1471"/>
        <w:gridCol w:w="1233"/>
      </w:tblGrid>
      <w:tr>
        <w:tblPrEx>
          <w:tblCellMar>
            <w:top w:w="0" w:type="dxa"/>
            <w:left w:w="108" w:type="dxa"/>
            <w:bottom w:w="0" w:type="dxa"/>
            <w:right w:w="108" w:type="dxa"/>
          </w:tblCellMar>
        </w:tblPrEx>
        <w:trPr>
          <w:trHeight w:val="270" w:hRule="atLeast"/>
          <w:tblHeader/>
        </w:trPr>
        <w:tc>
          <w:tcPr>
            <w:tcW w:w="722" w:type="pct"/>
            <w:tcBorders>
              <w:top w:val="single" w:color="000000" w:sz="4" w:space="0"/>
              <w:left w:val="single" w:color="000000" w:sz="4" w:space="0"/>
              <w:bottom w:val="single" w:color="000000" w:sz="4" w:space="0"/>
              <w:right w:val="single" w:color="000000" w:sz="4" w:space="0"/>
              <w:tl2br w:val="nil"/>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类别</w:t>
            </w: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名称</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规模（人）</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方位</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与厂界最近距离（m）</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备注</w:t>
            </w:r>
          </w:p>
        </w:tc>
      </w:tr>
      <w:tr>
        <w:tblPrEx>
          <w:tblCellMar>
            <w:top w:w="0" w:type="dxa"/>
            <w:left w:w="108" w:type="dxa"/>
            <w:bottom w:w="0" w:type="dxa"/>
            <w:right w:w="108" w:type="dxa"/>
          </w:tblCellMar>
        </w:tblPrEx>
        <w:trPr>
          <w:trHeight w:val="270" w:hRule="atLeast"/>
        </w:trPr>
        <w:tc>
          <w:tcPr>
            <w:tcW w:w="722"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敏感点</w:t>
            </w: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魏山顶居民点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23</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3300</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蒋坪居民点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1668</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熊湾居民点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1217</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童湾居民点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140</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1619</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范湾居民点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45</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1974</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李湾居民点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2419</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大坪山居民点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31</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1939</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蚂蚁湾居民点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22</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1568</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丁店子居民点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56</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2301</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方村居民点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84</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2594</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季珶居民点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62</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1882</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桥路子居民点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2289</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孙坝居民点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69</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1770</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官坝居民点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79</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1131</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杨子坝居民点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920</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嘉龙镇</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10000</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801</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玉龙村</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421</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239</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嘉龙小学</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378</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学校</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徐坝儿居民点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65</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765</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生姜坡居民点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45</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1965</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牛郎庙居民点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41</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2023</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牛毛冲居民点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26</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2091</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杉木冲居民点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32</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2856</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罗村居民点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415</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罗山珶居民点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428</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红苗儿居民点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942</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罗汉镇</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10000</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1634</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牛杠居民点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36</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1180</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洪桥儿居民点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24</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1576</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影槐村居民点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2131</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胡巷巷居民点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2731</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金子坝居民点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56</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1391</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易山顶居民点</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1813</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居民</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沙湾区高山寺</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716</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寺庙</w:t>
            </w:r>
          </w:p>
        </w:tc>
      </w:tr>
      <w:tr>
        <w:tblPrEx>
          <w:tblCellMar>
            <w:top w:w="0" w:type="dxa"/>
            <w:left w:w="108" w:type="dxa"/>
            <w:bottom w:w="0" w:type="dxa"/>
            <w:right w:w="108" w:type="dxa"/>
          </w:tblCellMar>
        </w:tblPrEx>
        <w:trPr>
          <w:trHeight w:val="270" w:hRule="atLeast"/>
        </w:trPr>
        <w:tc>
          <w:tcPr>
            <w:tcW w:w="722"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企业</w:t>
            </w: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嘉华水泥总厂</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紧邻</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水泥生产、销售</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四川宏旺不锈钢有限责任公司</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紧邻</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不锈钢生产、销售</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四川发利不锈钢制品有限公司</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紧邻</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不锈钢生产、销售</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博远不锈钢有限公司</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紧邻</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不锈钢生产、销售</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四川金宇不锈钢有限公司</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紧邻</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不锈钢生产、销售</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四川长鑫管业有限公司</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348</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管材生产、销售</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乐山市沙湾区不锈钢产业园区污水</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紧邻</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工业污水处理厂</w:t>
            </w:r>
          </w:p>
        </w:tc>
      </w:tr>
      <w:tr>
        <w:tblPrEx>
          <w:tblCellMar>
            <w:top w:w="0" w:type="dxa"/>
            <w:left w:w="108" w:type="dxa"/>
            <w:bottom w:w="0" w:type="dxa"/>
            <w:right w:w="108" w:type="dxa"/>
          </w:tblCellMar>
        </w:tblPrEx>
        <w:trPr>
          <w:trHeight w:val="270" w:hRule="atLeast"/>
        </w:trPr>
        <w:tc>
          <w:tcPr>
            <w:tcW w:w="722"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道路</w:t>
            </w: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凤凰路</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苏沙路</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354</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兴业路</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109</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r>
        <w:tblPrEx>
          <w:tblCellMar>
            <w:top w:w="0" w:type="dxa"/>
            <w:left w:w="108" w:type="dxa"/>
            <w:bottom w:w="0" w:type="dxa"/>
            <w:right w:w="108" w:type="dxa"/>
          </w:tblCellMar>
        </w:tblPrEx>
        <w:trPr>
          <w:trHeight w:val="270" w:hRule="atLeast"/>
        </w:trPr>
        <w:tc>
          <w:tcPr>
            <w:tcW w:w="722"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河流</w:t>
            </w: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红猫堰</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Ⅲ类水域</w:t>
            </w:r>
          </w:p>
        </w:tc>
      </w:tr>
      <w:tr>
        <w:tblPrEx>
          <w:tblCellMar>
            <w:top w:w="0" w:type="dxa"/>
            <w:left w:w="108" w:type="dxa"/>
            <w:bottom w:w="0" w:type="dxa"/>
            <w:right w:w="108" w:type="dxa"/>
          </w:tblCellMar>
        </w:tblPrEx>
        <w:trPr>
          <w:trHeight w:val="270" w:hRule="atLeast"/>
        </w:trPr>
        <w:tc>
          <w:tcPr>
            <w:tcW w:w="7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大渡河</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300</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Ⅲ类水域</w:t>
            </w:r>
          </w:p>
        </w:tc>
      </w:tr>
      <w:tr>
        <w:tblPrEx>
          <w:tblCellMar>
            <w:top w:w="0" w:type="dxa"/>
            <w:left w:w="108" w:type="dxa"/>
            <w:bottom w:w="0" w:type="dxa"/>
            <w:right w:w="108" w:type="dxa"/>
          </w:tblCellMar>
        </w:tblPrEx>
        <w:trPr>
          <w:trHeight w:val="270" w:hRule="atLeast"/>
        </w:trPr>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饮用水水源保护区</w:t>
            </w:r>
          </w:p>
        </w:tc>
        <w:tc>
          <w:tcPr>
            <w:tcW w:w="10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乐山市大渡河安谷电站库区集中式饮用水水源保护区</w:t>
            </w:r>
          </w:p>
        </w:tc>
        <w:tc>
          <w:tcPr>
            <w:tcW w:w="9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8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1246（与取水口距离为1802m）</w:t>
            </w:r>
          </w:p>
        </w:tc>
        <w:tc>
          <w:tcPr>
            <w:tcW w:w="7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bl>
    <w:p>
      <w:pPr>
        <w:pStyle w:val="4"/>
        <w:rPr>
          <w:rFonts w:hint="default" w:ascii="Times New Roman" w:hAnsi="Times New Roman" w:cs="Times New Roman"/>
          <w:color w:val="auto"/>
        </w:rPr>
      </w:pPr>
      <w:bookmarkStart w:id="90" w:name="_Toc4522"/>
      <w:r>
        <w:rPr>
          <w:rFonts w:hint="default" w:ascii="Times New Roman" w:hAnsi="Times New Roman" w:cs="Times New Roman"/>
          <w:color w:val="auto"/>
        </w:rPr>
        <w:t>项目主要保护目标</w:t>
      </w:r>
      <w:bookmarkEnd w:id="90"/>
    </w:p>
    <w:p>
      <w:pPr>
        <w:ind w:firstLine="480"/>
        <w:rPr>
          <w:rFonts w:hint="default" w:ascii="Times New Roman" w:hAnsi="Times New Roman" w:cs="Times New Roman"/>
          <w:color w:val="auto"/>
        </w:rPr>
      </w:pPr>
      <w:r>
        <w:rPr>
          <w:rFonts w:hint="default" w:ascii="Times New Roman" w:hAnsi="Times New Roman" w:cs="Times New Roman"/>
          <w:color w:val="auto"/>
        </w:rPr>
        <w:t>本项目主要环境保护目标如下表。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cs="Times New Roman"/>
          <w:color w:val="auto"/>
        </w:rPr>
        <w:t>项目环境保护目标一览表</w:t>
      </w:r>
    </w:p>
    <w:tbl>
      <w:tblPr>
        <w:tblStyle w:val="30"/>
        <w:tblW w:w="5000" w:type="pct"/>
        <w:tblInd w:w="0" w:type="dxa"/>
        <w:tblLayout w:type="fixed"/>
        <w:tblCellMar>
          <w:top w:w="0" w:type="dxa"/>
          <w:left w:w="108" w:type="dxa"/>
          <w:bottom w:w="0" w:type="dxa"/>
          <w:right w:w="108" w:type="dxa"/>
        </w:tblCellMar>
      </w:tblPr>
      <w:tblGrid>
        <w:gridCol w:w="684"/>
        <w:gridCol w:w="1356"/>
        <w:gridCol w:w="1223"/>
        <w:gridCol w:w="1328"/>
        <w:gridCol w:w="849"/>
        <w:gridCol w:w="768"/>
        <w:gridCol w:w="835"/>
        <w:gridCol w:w="783"/>
        <w:gridCol w:w="695"/>
      </w:tblGrid>
      <w:tr>
        <w:tblPrEx>
          <w:tblCellMar>
            <w:top w:w="0" w:type="dxa"/>
            <w:left w:w="108" w:type="dxa"/>
            <w:bottom w:w="0" w:type="dxa"/>
            <w:right w:w="108" w:type="dxa"/>
          </w:tblCellMar>
        </w:tblPrEx>
        <w:trPr>
          <w:trHeight w:val="270" w:hRule="atLeast"/>
          <w:tblHeader/>
        </w:trPr>
        <w:tc>
          <w:tcPr>
            <w:tcW w:w="401"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环境要素</w:t>
            </w:r>
          </w:p>
        </w:tc>
        <w:tc>
          <w:tcPr>
            <w:tcW w:w="794"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保护目标</w:t>
            </w:r>
          </w:p>
        </w:tc>
        <w:tc>
          <w:tcPr>
            <w:tcW w:w="1494"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坐标</w:t>
            </w:r>
          </w:p>
        </w:tc>
        <w:tc>
          <w:tcPr>
            <w:tcW w:w="498"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方位</w:t>
            </w:r>
          </w:p>
        </w:tc>
        <w:tc>
          <w:tcPr>
            <w:tcW w:w="45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与厂界距离（m）</w:t>
            </w:r>
          </w:p>
        </w:tc>
        <w:tc>
          <w:tcPr>
            <w:tcW w:w="490"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与生产车间距离（m）</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人数(人)</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标准</w:t>
            </w:r>
          </w:p>
        </w:tc>
      </w:tr>
      <w:tr>
        <w:tblPrEx>
          <w:tblCellMar>
            <w:top w:w="0" w:type="dxa"/>
            <w:left w:w="108" w:type="dxa"/>
            <w:bottom w:w="0" w:type="dxa"/>
            <w:right w:w="108" w:type="dxa"/>
          </w:tblCellMar>
        </w:tblPrEx>
        <w:trPr>
          <w:trHeight w:val="270" w:hRule="atLeast"/>
          <w:tblHeader/>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经度°</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纬度°</w:t>
            </w:r>
          </w:p>
        </w:tc>
        <w:tc>
          <w:tcPr>
            <w:tcW w:w="49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大气环境</w:t>
            </w: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魏山顶居民点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103.588537</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29.528313</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3300</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3450</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23</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GB3095-2012二级标准</w:t>
            </w: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蒋坪居民点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103.599006</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29.515999</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1668</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1801</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熊湾居民点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103.599006</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29.506065</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1217</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1368</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童湾居民点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103.596805</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29.501544</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1619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1768</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140</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范湾居民点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103.593028</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29.499551</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1974</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2054</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45</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李湾居民点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103.590857</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29.493275</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2419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2651</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大坪山居民点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103.596954</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29.494465</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1939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2096</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31</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蚂蚁湾居民点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103.597281</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29.511538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1568</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1702</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22</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丁店子居民点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103.590494</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29.505500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2301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2456</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56</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方村居民点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103.592814</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29.489855</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2594</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2713</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84</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季珶居民点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103.599536</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29.493008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1882</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2010</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62</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桥路子居民点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103.601261</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29.487356</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2289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2402</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孙坝居民点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103.609767</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29.489260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1770</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7921</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69</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官坝居民点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103.613396</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29.494614</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1131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1265</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79</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杨子坝居民点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103.619404</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29.498361</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920</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1022</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嘉龙镇</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103.609410</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29.497886</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801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902</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10000</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玉龙村</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103.614621</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29.502466</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239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296</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421</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嘉龙小学</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103.616787</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29.502252</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378</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456</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徐坝儿居民点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103.623133</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29.507613</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765</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823</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65</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生姜坡居民点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103.631199</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29.496048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1965</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1975</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45</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牛郎庙居民点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103.629486</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29.493264</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2023</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2056</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41</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牛毛冲居民点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103.627273</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29.490338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2091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2140</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26</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杉木冲居民点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103.635553</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29.487768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2856</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2902</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32</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罗村居民点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103.617458</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29.511003</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415</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425</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罗山珶居民点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103.612830</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29.512859</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428</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438</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红苗儿居民点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103.623064</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29.512117</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942</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953</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罗汉镇</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103.629965</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29.514258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1634</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1644</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10000</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牛杠居民点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103.621113</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29.516590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1180</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1190</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36</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洪桥儿居民点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103.624920</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29.518589</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1576</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1586</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24</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影槐村居民点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103.629251</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29.521016</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2131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2141</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胡巷巷居民点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103.634010</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29.525680</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2731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2831</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金子坝居民点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103.629108</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29.510356</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1391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1491</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56</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易山顶居民点</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103.612928</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29.524538</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1813</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1835</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沙湾区高山寺</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103.606075</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29.509833</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716</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736</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地表水环境</w:t>
            </w: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红猫堰</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西侧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GB3838-2002中Ⅲ类</w:t>
            </w: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大渡河</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300</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310</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r>
        <w:tblPrEx>
          <w:tblCellMar>
            <w:top w:w="0" w:type="dxa"/>
            <w:left w:w="108" w:type="dxa"/>
            <w:bottom w:w="0" w:type="dxa"/>
            <w:right w:w="108" w:type="dxa"/>
          </w:tblCellMar>
        </w:tblPrEx>
        <w:trPr>
          <w:trHeight w:val="270" w:hRule="atLeast"/>
        </w:trPr>
        <w:tc>
          <w:tcPr>
            <w:tcW w:w="40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地下水环境</w:t>
            </w: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乐山市大渡河安谷电站库区集中式饮用水水源保护区</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东南侧</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1246</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1256</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GBT/14848-2017Ⅲ类</w:t>
            </w:r>
          </w:p>
        </w:tc>
      </w:tr>
      <w:tr>
        <w:tblPrEx>
          <w:tblCellMar>
            <w:top w:w="0" w:type="dxa"/>
            <w:left w:w="108" w:type="dxa"/>
            <w:bottom w:w="0" w:type="dxa"/>
            <w:right w:w="108" w:type="dxa"/>
          </w:tblCellMar>
        </w:tblPrEx>
        <w:trPr>
          <w:trHeight w:val="270" w:hRule="atLeast"/>
        </w:trPr>
        <w:tc>
          <w:tcPr>
            <w:tcW w:w="4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项目所在地水文地质单元下伏潜水含水层</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77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c>
          <w:tcPr>
            <w:tcW w:w="4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pStyle w:val="65"/>
              <w:spacing w:before="65" w:after="65"/>
              <w:rPr>
                <w:rFonts w:hint="default" w:ascii="Times New Roman" w:hAnsi="Times New Roman" w:cs="Times New Roman"/>
                <w:color w:val="auto"/>
              </w:rPr>
            </w:pPr>
          </w:p>
        </w:tc>
      </w:tr>
    </w:tbl>
    <w:p>
      <w:pPr>
        <w:pStyle w:val="3"/>
        <w:adjustRightInd w:val="0"/>
        <w:rPr>
          <w:rFonts w:hint="default" w:ascii="Times New Roman" w:hAnsi="Times New Roman" w:cs="Times New Roman"/>
          <w:color w:val="auto"/>
        </w:rPr>
      </w:pPr>
      <w:bookmarkStart w:id="91" w:name="_Toc2516"/>
      <w:r>
        <w:rPr>
          <w:rFonts w:hint="default" w:ascii="Times New Roman" w:hAnsi="Times New Roman" w:cs="Times New Roman"/>
          <w:color w:val="auto"/>
        </w:rPr>
        <w:t>评价工作程序</w:t>
      </w:r>
      <w:bookmarkEnd w:id="9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本项目环境影响评价工作程序按照《环境影响评价技术导则总纲》（HJ2.1-2016）要求，将工作程序划分为前期准备、调研和工作方案阶段，分析论证和预测评价阶段和环境影响评价文件编制阶段，见下图。</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614670" cy="6835775"/>
            <wp:effectExtent l="0" t="0" r="5080" b="3175"/>
            <wp:docPr id="184" name="图片 184" descr="BE7E3946-197F-4867-9588-DF5D34E2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BE7E3946-197F-4867-9588-DF5D34E22810"/>
                    <pic:cNvPicPr>
                      <a:picLocks noChangeAspect="1"/>
                    </pic:cNvPicPr>
                  </pic:nvPicPr>
                  <pic:blipFill>
                    <a:blip r:embed="rId24"/>
                    <a:srcRect l="1312" t="782" r="747" b="1080"/>
                    <a:stretch>
                      <a:fillRect/>
                    </a:stretch>
                  </pic:blipFill>
                  <pic:spPr>
                    <a:xfrm>
                      <a:off x="0" y="0"/>
                      <a:ext cx="5614670" cy="6835775"/>
                    </a:xfrm>
                    <a:prstGeom prst="rect">
                      <a:avLst/>
                    </a:prstGeom>
                  </pic:spPr>
                </pic:pic>
              </a:graphicData>
            </a:graphic>
          </wp:inline>
        </w:drawing>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cs="Times New Roman"/>
          <w:color w:val="auto"/>
        </w:rPr>
        <w:t>环境影响评价工作程序图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本项目环境影响评价工作程序如下：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前期准备、调研和工作方案阶段：接受环境影响评价委托后，首先是研究国家和地方有关环境保护的法规、政策、标准及相关规划等文件，确定环境影响评价文件类型。在研究相关技术文件和其他有关文件的基础上，进行初步的工程分析，同时开展初步的环境状况调查。结合初步工程分析结果和环境现状资料，可以识别建设项目的环境影响因素，筛选主要的环境影响评价因子，明确评价重点和环境保护目标，确定环境影响评价的范围，评价工作等级和评价标准，最后制定工作方案。</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分析论证和预测评价阶段：主要工作内容为进一步做好工程分析，进行充分的环境现状调查、监测并开展环境质量现状评价，之后根据污染源强和环境资料进行建设项目的环境影响预测，评价建设项目的环境影响。若建设项目需要进行多个厂址的比选，则需要对各个厂址分别进行预测和评价，并从环境保护角度推荐最佳厂址方案；如果对原选厂址得出了否定的结论，则需要对新选厂址重新进行环境影响评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环境影响评价文件编制阶段：主要工作内容是汇总、分析第二阶段工作所得各种资料、数据，根据建设项目的环境影响、法律法规和标准等的要求以及公众的意愿提出减少环境污染和生态影响的环境管理措施和工程措施。从环境保护的角度确定项目建设的可行性，给出评价结论和提出进一步减缓环境影响的建议，并最终完成环境影响报告书编写。</w:t>
      </w: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sectPr>
          <w:pgSz w:w="11906" w:h="16838"/>
          <w:pgMar w:top="1440" w:right="1800" w:bottom="1440" w:left="1800" w:header="851" w:footer="992" w:gutter="0"/>
          <w:cols w:space="425" w:num="1"/>
          <w:docGrid w:type="lines" w:linePitch="326" w:charSpace="0"/>
        </w:sectPr>
      </w:pPr>
    </w:p>
    <w:p>
      <w:pPr>
        <w:pStyle w:val="2"/>
        <w:adjustRightInd w:val="0"/>
        <w:rPr>
          <w:rFonts w:hint="default" w:ascii="Times New Roman" w:hAnsi="Times New Roman" w:cs="Times New Roman"/>
          <w:color w:val="auto"/>
        </w:rPr>
      </w:pPr>
      <w:bookmarkStart w:id="92" w:name="_Toc21988"/>
      <w:r>
        <w:rPr>
          <w:rFonts w:hint="default" w:ascii="Times New Roman" w:hAnsi="Times New Roman" w:cs="Times New Roman"/>
          <w:color w:val="auto"/>
        </w:rPr>
        <w:t>工程概况</w:t>
      </w:r>
      <w:bookmarkEnd w:id="92"/>
    </w:p>
    <w:p>
      <w:pPr>
        <w:pStyle w:val="3"/>
        <w:adjustRightInd w:val="0"/>
        <w:rPr>
          <w:rFonts w:hint="default" w:ascii="Times New Roman" w:hAnsi="Times New Roman" w:cs="Times New Roman"/>
          <w:color w:val="auto"/>
        </w:rPr>
      </w:pPr>
      <w:bookmarkStart w:id="93" w:name="_Toc15099"/>
      <w:r>
        <w:rPr>
          <w:rFonts w:hint="default" w:ascii="Times New Roman" w:hAnsi="Times New Roman" w:cs="Times New Roman"/>
          <w:color w:val="auto"/>
        </w:rPr>
        <w:t>建设项目概况</w:t>
      </w:r>
      <w:bookmarkEnd w:id="93"/>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项目名称：乐山市沙湾区豪沐科技有限公司沙湾区新建50万吨锂矿加工综合利用项目</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建设单位：乐山市沙湾区豪沐科技有限公司</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建设性质：新建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行业类别：B0939其他稀有金属采选</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建设地点：乐山市沙湾区嘉农镇凤凰路1号（乐山（沙湾）不锈钢产业园区内）（E103.613885°，N29.506931°）</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项目投资：13000万元</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设内容：项目占地82.79亩，新建钢结构厂房；主要对锂矿加工处置利用，配套建设碎矿车间、磨矿车间、加工车间、磁选车间、压滤车间并配套建设办公楼、宿舍楼等工程。产品名称：锂辉石精矿、尾矿。主要设备：颚式破碎机，球磨机，浮选机，磁选机，鼓风机，精矿和尾矿压滤机等。项目建成后加工锂辉石原矿1666.67t/d（50万t/a）。</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劳动定员：70人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生产制度：年运行天数300天，3班制，每班8小时，其中破碎、筛分工序工作2班（夜间不生产），其他工序工作3班。</w:t>
      </w:r>
    </w:p>
    <w:p>
      <w:pPr>
        <w:pStyle w:val="3"/>
        <w:adjustRightInd w:val="0"/>
        <w:rPr>
          <w:rFonts w:hint="default" w:ascii="Times New Roman" w:hAnsi="Times New Roman" w:cs="Times New Roman"/>
          <w:color w:val="auto"/>
        </w:rPr>
      </w:pPr>
      <w:bookmarkStart w:id="94" w:name="_Toc15116"/>
      <w:r>
        <w:rPr>
          <w:rFonts w:hint="default" w:ascii="Times New Roman" w:hAnsi="Times New Roman" w:cs="Times New Roman"/>
          <w:color w:val="auto"/>
        </w:rPr>
        <w:t>产品方案</w:t>
      </w:r>
      <w:bookmarkEnd w:id="9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本项目具体产品方案见下表。</w:t>
      </w:r>
    </w:p>
    <w:p>
      <w:pPr>
        <w:pStyle w:val="12"/>
        <w:adjustRightInd w:val="0"/>
        <w:rPr>
          <w:rFonts w:hint="default" w:ascii="Times New Roman" w:hAnsi="Times New Roman" w:cs="Times New Roman"/>
          <w:color w:val="auto"/>
          <w:kern w:val="0"/>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kern w:val="0"/>
          <w:szCs w:val="21"/>
        </w:rPr>
        <w:t>产品方案一览表</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45" w:type="dxa"/>
          <w:bottom w:w="0" w:type="dxa"/>
          <w:right w:w="23" w:type="dxa"/>
        </w:tblCellMar>
      </w:tblPr>
      <w:tblGrid>
        <w:gridCol w:w="1626"/>
        <w:gridCol w:w="1948"/>
        <w:gridCol w:w="1601"/>
        <w:gridCol w:w="1601"/>
        <w:gridCol w:w="15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90" w:hRule="atLeast"/>
          <w:tblHeader/>
        </w:trPr>
        <w:tc>
          <w:tcPr>
            <w:tcW w:w="971"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名称</w:t>
            </w:r>
          </w:p>
        </w:tc>
        <w:tc>
          <w:tcPr>
            <w:tcW w:w="3075"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年产量（t/a）</w:t>
            </w:r>
          </w:p>
        </w:tc>
        <w:tc>
          <w:tcPr>
            <w:tcW w:w="95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设计品位（%）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90" w:hRule="atLeast"/>
          <w:tblHeader/>
        </w:trPr>
        <w:tc>
          <w:tcPr>
            <w:tcW w:w="97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11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绝干量</w:t>
            </w:r>
          </w:p>
        </w:tc>
        <w:tc>
          <w:tcPr>
            <w:tcW w:w="956"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含水率</w:t>
            </w:r>
          </w:p>
        </w:tc>
        <w:tc>
          <w:tcPr>
            <w:tcW w:w="956"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设计产量</w:t>
            </w:r>
          </w:p>
        </w:tc>
        <w:tc>
          <w:tcPr>
            <w:tcW w:w="95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90" w:hRule="atLeast"/>
        </w:trPr>
        <w:tc>
          <w:tcPr>
            <w:tcW w:w="9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锂辉石精矿</w:t>
            </w:r>
          </w:p>
        </w:tc>
        <w:tc>
          <w:tcPr>
            <w:tcW w:w="11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138000</w:t>
            </w:r>
          </w:p>
        </w:tc>
        <w:tc>
          <w:tcPr>
            <w:tcW w:w="9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w:t>
            </w:r>
          </w:p>
        </w:tc>
        <w:tc>
          <w:tcPr>
            <w:tcW w:w="95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158620.69</w:t>
            </w:r>
          </w:p>
        </w:tc>
        <w:tc>
          <w:tcPr>
            <w:tcW w:w="9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设单位为回收锂辉石矿中合格的锂精矿及综合回收其他伴生矿物，合理设计选矿工艺与流程，委托四川省有色冶金研究院有限公司于2022年4月编制了《锂辉石选矿试验研究报告（实验室试验）》，于2022年5月编制了《锂辉石选矿试验研究报告（扩大试验）》。具体情况如下：</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（1）实验室试验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根据《锂辉石选矿试验研究报告（实验室试验）》，结果如下：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该矿石主要有用矿物有：锂辉石；主要脉石矿物有：白云母、石英、钠长石、钾长石、钙长石、电气石、高岭石、磷灰石、绿柱石、角闪石、锰铝榴石、锂铁云母、黑云母等；此外，矿石中还含有微量锰矿、锡石、锰磷锂矿、铁磷锂矿、金红石、磁黄铁矿、黄铁矿、黄铜矿、褐铁矿、磁铁矿、毒砂等。</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2）Li</w:t>
      </w:r>
      <w:r>
        <w:rPr>
          <w:rFonts w:hint="default" w:ascii="Times New Roman" w:hAnsi="Times New Roman" w:cs="Times New Roman"/>
          <w:color w:val="auto"/>
          <w:vertAlign w:val="subscript"/>
        </w:rPr>
        <w:t>2</w:t>
      </w:r>
      <w:r>
        <w:rPr>
          <w:rFonts w:hint="default" w:ascii="Times New Roman" w:hAnsi="Times New Roman" w:cs="Times New Roman"/>
          <w:color w:val="auto"/>
        </w:rPr>
        <w:t>O主要赋存在锂辉石中，分布率为90.934%，其次赋存在铁锂云母中，分布率为6.879%，少量Li</w:t>
      </w:r>
      <w:r>
        <w:rPr>
          <w:rFonts w:hint="default" w:ascii="Times New Roman" w:hAnsi="Times New Roman" w:cs="Times New Roman"/>
          <w:color w:val="auto"/>
          <w:vertAlign w:val="subscript"/>
        </w:rPr>
        <w:t>2</w:t>
      </w:r>
      <w:r>
        <w:rPr>
          <w:rFonts w:hint="default" w:ascii="Times New Roman" w:hAnsi="Times New Roman" w:cs="Times New Roman"/>
          <w:color w:val="auto"/>
        </w:rPr>
        <w:t>O赋存在白云母（含锂）、锰磷锂矿和铁磷锂矿中。</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3）闭路试验结果表明：对于锂辉石，在磨矿细度-0.074mm含量占80%的条件下，配以高效锂辉石捕收剂，经浮选闭路流程，最终获得了Li</w:t>
      </w:r>
      <w:r>
        <w:rPr>
          <w:rFonts w:hint="default" w:ascii="Times New Roman" w:hAnsi="Times New Roman" w:cs="Times New Roman"/>
          <w:color w:val="auto"/>
          <w:vertAlign w:val="subscript"/>
        </w:rPr>
        <w:t>2</w:t>
      </w:r>
      <w:r>
        <w:rPr>
          <w:rFonts w:hint="default" w:ascii="Times New Roman" w:hAnsi="Times New Roman" w:cs="Times New Roman"/>
          <w:color w:val="auto"/>
        </w:rPr>
        <w:t>O品位5.32%，Li</w:t>
      </w:r>
      <w:r>
        <w:rPr>
          <w:rFonts w:hint="default" w:ascii="Times New Roman" w:hAnsi="Times New Roman" w:cs="Times New Roman"/>
          <w:color w:val="auto"/>
          <w:vertAlign w:val="subscript"/>
        </w:rPr>
        <w:t>2</w:t>
      </w:r>
      <w:r>
        <w:rPr>
          <w:rFonts w:hint="default" w:ascii="Times New Roman" w:hAnsi="Times New Roman" w:cs="Times New Roman"/>
          <w:color w:val="auto"/>
        </w:rPr>
        <w:t>O回收率为83.37%的锂辉石精矿。</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4）浮选各阶段用水经处理后分别返回各自选别流程，除了实现废水零排放。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5）锂精矿、尾矿在自然沉降的情况下能较快速澄清。</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（2）扩大试验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根据《锂辉石选矿试验研究报告（扩大试验）》，结果如下：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扩大连续试验规模为50kg/h，分浮选两阶段实施，两阶段均连续稳定运行72小时，分别获得Ta</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5</w:t>
      </w:r>
      <w:r>
        <w:rPr>
          <w:rFonts w:hint="default" w:ascii="Times New Roman" w:hAnsi="Times New Roman" w:cs="Times New Roman"/>
          <w:color w:val="auto"/>
        </w:rPr>
        <w:t>+Nb</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5</w:t>
      </w:r>
      <w:r>
        <w:rPr>
          <w:rFonts w:hint="default" w:ascii="Times New Roman" w:hAnsi="Times New Roman" w:cs="Times New Roman"/>
          <w:color w:val="auto"/>
        </w:rPr>
        <w:t>品位30.31%的精矿，LiO</w:t>
      </w:r>
      <w:r>
        <w:rPr>
          <w:rFonts w:hint="default" w:ascii="Times New Roman" w:hAnsi="Times New Roman" w:cs="Times New Roman"/>
          <w:color w:val="auto"/>
          <w:vertAlign w:val="subscript"/>
        </w:rPr>
        <w:t>2</w:t>
      </w:r>
      <w:r>
        <w:rPr>
          <w:rFonts w:hint="default" w:ascii="Times New Roman" w:hAnsi="Times New Roman" w:cs="Times New Roman"/>
          <w:color w:val="auto"/>
        </w:rPr>
        <w:t>品位5.58%、LiO</w:t>
      </w:r>
      <w:r>
        <w:rPr>
          <w:rFonts w:hint="default" w:ascii="Times New Roman" w:hAnsi="Times New Roman" w:cs="Times New Roman"/>
          <w:color w:val="auto"/>
          <w:vertAlign w:val="subscript"/>
        </w:rPr>
        <w:t>2</w:t>
      </w:r>
      <w:r>
        <w:rPr>
          <w:rFonts w:hint="default" w:ascii="Times New Roman" w:hAnsi="Times New Roman" w:cs="Times New Roman"/>
          <w:color w:val="auto"/>
        </w:rPr>
        <w:t>回收率84.27%的锂精矿。</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本项目选矿指标情况详见下表。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本项目设计指标一览表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45" w:type="dxa"/>
          <w:bottom w:w="0" w:type="dxa"/>
          <w:right w:w="23" w:type="dxa"/>
        </w:tblCellMar>
      </w:tblPr>
      <w:tblGrid>
        <w:gridCol w:w="1129"/>
        <w:gridCol w:w="2680"/>
        <w:gridCol w:w="1517"/>
        <w:gridCol w:w="1517"/>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254" w:hRule="atLeast"/>
          <w:tblHeader/>
          <w:jc w:val="center"/>
        </w:trPr>
        <w:tc>
          <w:tcPr>
            <w:tcW w:w="674"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类别</w:t>
            </w:r>
          </w:p>
        </w:tc>
        <w:tc>
          <w:tcPr>
            <w:tcW w:w="1600"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名称</w:t>
            </w:r>
          </w:p>
        </w:tc>
        <w:tc>
          <w:tcPr>
            <w:tcW w:w="2724" w:type="pct"/>
            <w:gridSpan w:val="3"/>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用量/产量（t/a）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186" w:hRule="atLeast"/>
          <w:tblHeader/>
          <w:jc w:val="center"/>
        </w:trPr>
        <w:tc>
          <w:tcPr>
            <w:tcW w:w="674" w:type="pct"/>
            <w:vMerge w:val="continue"/>
            <w:vAlign w:val="center"/>
          </w:tcPr>
          <w:p>
            <w:pPr>
              <w:pStyle w:val="65"/>
              <w:spacing w:before="65" w:after="65"/>
              <w:rPr>
                <w:rFonts w:hint="default" w:ascii="Times New Roman" w:hAnsi="Times New Roman" w:cs="Times New Roman"/>
                <w:b/>
                <w:bCs w:val="0"/>
                <w:color w:val="auto"/>
              </w:rPr>
            </w:pPr>
          </w:p>
        </w:tc>
        <w:tc>
          <w:tcPr>
            <w:tcW w:w="1600" w:type="pct"/>
            <w:vMerge w:val="continue"/>
            <w:vAlign w:val="center"/>
          </w:tcPr>
          <w:p>
            <w:pPr>
              <w:pStyle w:val="65"/>
              <w:spacing w:before="65" w:after="65"/>
              <w:rPr>
                <w:rFonts w:hint="default" w:ascii="Times New Roman" w:hAnsi="Times New Roman" w:cs="Times New Roman"/>
                <w:b/>
                <w:bCs w:val="0"/>
                <w:color w:val="auto"/>
              </w:rPr>
            </w:pPr>
          </w:p>
        </w:tc>
        <w:tc>
          <w:tcPr>
            <w:tcW w:w="90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绝干量</w:t>
            </w:r>
          </w:p>
        </w:tc>
        <w:tc>
          <w:tcPr>
            <w:tcW w:w="90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含水率</w:t>
            </w:r>
          </w:p>
        </w:tc>
        <w:tc>
          <w:tcPr>
            <w:tcW w:w="912"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湿基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90" w:hRule="atLeast"/>
          <w:jc w:val="center"/>
        </w:trPr>
        <w:tc>
          <w:tcPr>
            <w:tcW w:w="67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原矿</w:t>
            </w:r>
          </w:p>
        </w:tc>
        <w:tc>
          <w:tcPr>
            <w:tcW w:w="160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锂辉石原矿</w:t>
            </w:r>
          </w:p>
        </w:tc>
        <w:tc>
          <w:tcPr>
            <w:tcW w:w="906" w:type="pct"/>
            <w:vAlign w:val="bottom"/>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460000</w:t>
            </w:r>
          </w:p>
        </w:tc>
        <w:tc>
          <w:tcPr>
            <w:tcW w:w="9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w:t>
            </w:r>
          </w:p>
        </w:tc>
        <w:tc>
          <w:tcPr>
            <w:tcW w:w="912" w:type="pct"/>
            <w:vAlign w:val="bottom"/>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90" w:hRule="atLeast"/>
          <w:jc w:val="center"/>
        </w:trPr>
        <w:tc>
          <w:tcPr>
            <w:tcW w:w="67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产品</w:t>
            </w:r>
          </w:p>
        </w:tc>
        <w:tc>
          <w:tcPr>
            <w:tcW w:w="160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锂辉石精矿</w:t>
            </w:r>
          </w:p>
        </w:tc>
        <w:tc>
          <w:tcPr>
            <w:tcW w:w="9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138000</w:t>
            </w:r>
          </w:p>
        </w:tc>
        <w:tc>
          <w:tcPr>
            <w:tcW w:w="9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w:t>
            </w:r>
          </w:p>
        </w:tc>
        <w:tc>
          <w:tcPr>
            <w:tcW w:w="91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158620.69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90" w:hRule="atLeast"/>
          <w:jc w:val="center"/>
        </w:trPr>
        <w:tc>
          <w:tcPr>
            <w:tcW w:w="674"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固废</w:t>
            </w:r>
          </w:p>
        </w:tc>
        <w:tc>
          <w:tcPr>
            <w:tcW w:w="160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尾矿</w:t>
            </w:r>
          </w:p>
        </w:tc>
        <w:tc>
          <w:tcPr>
            <w:tcW w:w="9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299000</w:t>
            </w:r>
          </w:p>
        </w:tc>
        <w:tc>
          <w:tcPr>
            <w:tcW w:w="9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w:t>
            </w:r>
          </w:p>
        </w:tc>
        <w:tc>
          <w:tcPr>
            <w:tcW w:w="91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343678.16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90" w:hRule="atLeast"/>
          <w:jc w:val="center"/>
        </w:trPr>
        <w:tc>
          <w:tcPr>
            <w:tcW w:w="674" w:type="pct"/>
            <w:vMerge w:val="continue"/>
            <w:vAlign w:val="center"/>
          </w:tcPr>
          <w:p>
            <w:pPr>
              <w:pStyle w:val="65"/>
              <w:spacing w:before="65" w:after="65"/>
              <w:rPr>
                <w:rFonts w:hint="default" w:ascii="Times New Roman" w:hAnsi="Times New Roman" w:cs="Times New Roman"/>
                <w:color w:val="auto"/>
              </w:rPr>
            </w:pPr>
          </w:p>
        </w:tc>
        <w:tc>
          <w:tcPr>
            <w:tcW w:w="160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黑砂（磁性杂质）</w:t>
            </w:r>
          </w:p>
        </w:tc>
        <w:tc>
          <w:tcPr>
            <w:tcW w:w="9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23000</w:t>
            </w:r>
          </w:p>
        </w:tc>
        <w:tc>
          <w:tcPr>
            <w:tcW w:w="9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w:t>
            </w:r>
          </w:p>
        </w:tc>
        <w:tc>
          <w:tcPr>
            <w:tcW w:w="91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26436.78</w:t>
            </w:r>
          </w:p>
        </w:tc>
      </w:tr>
    </w:tbl>
    <w:p>
      <w:pPr>
        <w:adjustRightInd w:val="0"/>
        <w:ind w:firstLine="420"/>
        <w:rPr>
          <w:rFonts w:hint="default" w:ascii="Times New Roman" w:hAnsi="Times New Roman" w:cs="Times New Roman"/>
          <w:color w:val="auto"/>
        </w:rPr>
      </w:pPr>
      <w:r>
        <w:rPr>
          <w:rFonts w:hint="default" w:ascii="Times New Roman" w:hAnsi="Times New Roman" w:cs="Times New Roman"/>
          <w:color w:val="auto"/>
        </w:rPr>
        <w:t>本项目锂辉石精矿产品标准执行《锂辉石精矿》（YS/T261-2011），具体如下：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《锂辉石精矿》（YS/T261-2011）</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45" w:type="dxa"/>
          <w:bottom w:w="0" w:type="dxa"/>
          <w:right w:w="23" w:type="dxa"/>
        </w:tblCellMar>
      </w:tblPr>
      <w:tblGrid>
        <w:gridCol w:w="1159"/>
        <w:gridCol w:w="1355"/>
        <w:gridCol w:w="980"/>
        <w:gridCol w:w="1107"/>
        <w:gridCol w:w="975"/>
        <w:gridCol w:w="1683"/>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90" w:hRule="atLeast"/>
          <w:tblHeader/>
        </w:trPr>
        <w:tc>
          <w:tcPr>
            <w:tcW w:w="692"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品级</w:t>
            </w:r>
          </w:p>
        </w:tc>
        <w:tc>
          <w:tcPr>
            <w:tcW w:w="80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Li</w:t>
            </w:r>
            <w:r>
              <w:rPr>
                <w:rFonts w:hint="default" w:ascii="Times New Roman" w:hAnsi="Times New Roman" w:cs="Times New Roman"/>
                <w:b/>
                <w:color w:val="auto"/>
                <w:vertAlign w:val="subscript"/>
              </w:rPr>
              <w:t>2</w:t>
            </w:r>
            <w:r>
              <w:rPr>
                <w:rFonts w:hint="default" w:ascii="Times New Roman" w:hAnsi="Times New Roman" w:cs="Times New Roman"/>
                <w:b/>
                <w:color w:val="auto"/>
              </w:rPr>
              <w:t>O</w:t>
            </w:r>
          </w:p>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不小于/%</w:t>
            </w:r>
          </w:p>
        </w:tc>
        <w:tc>
          <w:tcPr>
            <w:tcW w:w="3499"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杂质不大于/%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253" w:hRule="atLeast"/>
          <w:tblHeader/>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p>
        </w:tc>
        <w:tc>
          <w:tcPr>
            <w:tcW w:w="80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Fe</w:t>
            </w:r>
            <w:r>
              <w:rPr>
                <w:rFonts w:hint="default" w:ascii="Times New Roman" w:hAnsi="Times New Roman" w:cs="Times New Roman"/>
                <w:b/>
                <w:color w:val="auto"/>
                <w:vertAlign w:val="subscript"/>
              </w:rPr>
              <w:t>2</w:t>
            </w:r>
            <w:r>
              <w:rPr>
                <w:rFonts w:hint="default" w:ascii="Times New Roman" w:hAnsi="Times New Roman" w:cs="Times New Roman"/>
                <w:b/>
                <w:color w:val="auto"/>
              </w:rPr>
              <w:t>O</w:t>
            </w:r>
            <w:r>
              <w:rPr>
                <w:rFonts w:hint="default" w:ascii="Times New Roman" w:hAnsi="Times New Roman" w:cs="Times New Roman"/>
                <w:b/>
                <w:color w:val="auto"/>
                <w:vertAlign w:val="subscript"/>
              </w:rPr>
              <w:t>3</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MnO</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MgO</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Na</w:t>
            </w:r>
            <w:r>
              <w:rPr>
                <w:rFonts w:hint="default" w:ascii="Times New Roman" w:hAnsi="Times New Roman" w:cs="Times New Roman"/>
                <w:b/>
                <w:color w:val="auto"/>
                <w:vertAlign w:val="subscript"/>
              </w:rPr>
              <w:t>2</w:t>
            </w:r>
            <w:r>
              <w:rPr>
                <w:rFonts w:hint="default" w:ascii="Times New Roman" w:hAnsi="Times New Roman" w:cs="Times New Roman"/>
                <w:b/>
                <w:color w:val="auto"/>
              </w:rPr>
              <w:t>O+K</w:t>
            </w:r>
            <w:r>
              <w:rPr>
                <w:rFonts w:hint="default" w:ascii="Times New Roman" w:hAnsi="Times New Roman" w:cs="Times New Roman"/>
                <w:b/>
                <w:color w:val="auto"/>
                <w:vertAlign w:val="subscript"/>
              </w:rPr>
              <w:t>2</w:t>
            </w:r>
            <w:r>
              <w:rPr>
                <w:rFonts w:hint="default" w:ascii="Times New Roman" w:hAnsi="Times New Roman" w:cs="Times New Roman"/>
                <w:b/>
                <w:color w:val="auto"/>
              </w:rPr>
              <w:t>O</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P</w:t>
            </w:r>
            <w:r>
              <w:rPr>
                <w:rFonts w:hint="default" w:ascii="Times New Roman" w:hAnsi="Times New Roman" w:cs="Times New Roman"/>
                <w:b/>
                <w:color w:val="auto"/>
                <w:vertAlign w:val="subscript"/>
              </w:rPr>
              <w:t>2</w:t>
            </w:r>
            <w:r>
              <w:rPr>
                <w:rFonts w:hint="default" w:ascii="Times New Roman" w:hAnsi="Times New Roman" w:cs="Times New Roman"/>
                <w:b/>
                <w:color w:val="auto"/>
              </w:rPr>
              <w:t>O</w:t>
            </w:r>
            <w:r>
              <w:rPr>
                <w:rFonts w:hint="default" w:ascii="Times New Roman" w:hAnsi="Times New Roman" w:cs="Times New Roman"/>
                <w:b/>
                <w:color w:val="auto"/>
                <w:vertAlign w:val="sub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微晶级-1</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7.50%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0.15</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微晶级-2</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7.00%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0.30</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0.15</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化工级-1</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6.00%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0.40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0.20</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2.00</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化工级-2</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5.50%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2.8</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0.30</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3.00</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玻璃级</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0.25</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0.15</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3.00</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本项目设计锂精矿设计品位为5%。</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产品质量可达性分析：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项目对原料进行了初步小型选矿试验研究、扩大连续试验等试验研究，研究结果表明：随着磨矿细度的增加，粗精矿的产率的回收率逐渐增加。当磨矿细度-0.074mm含量占85.4%时，粗精矿Li</w:t>
      </w:r>
      <w:r>
        <w:rPr>
          <w:rFonts w:hint="default" w:ascii="Times New Roman" w:hAnsi="Times New Roman" w:cs="Times New Roman"/>
          <w:color w:val="auto"/>
          <w:vertAlign w:val="subscript"/>
        </w:rPr>
        <w:t>2</w:t>
      </w:r>
      <w:r>
        <w:rPr>
          <w:rFonts w:hint="default" w:ascii="Times New Roman" w:hAnsi="Times New Roman" w:cs="Times New Roman"/>
          <w:color w:val="auto"/>
        </w:rPr>
        <w:t>O的回收率为87.26%，继续增加磨矿细度，粗精矿Li</w:t>
      </w:r>
      <w:r>
        <w:rPr>
          <w:rFonts w:hint="default" w:ascii="Times New Roman" w:hAnsi="Times New Roman" w:cs="Times New Roman"/>
          <w:color w:val="auto"/>
          <w:vertAlign w:val="subscript"/>
        </w:rPr>
        <w:t>2</w:t>
      </w:r>
      <w:r>
        <w:rPr>
          <w:rFonts w:hint="default" w:ascii="Times New Roman" w:hAnsi="Times New Roman" w:cs="Times New Roman"/>
          <w:color w:val="auto"/>
        </w:rPr>
        <w:t>O的回收率基本没有变化，磨矿过细，矿浆泥化严重，浮选恶化。根据浮选试验结果，同时考虑原矿供矿品位波动对选矿指标的影响，对指标作相应调整，最终确定锂精矿品位5.0%。</w:t>
      </w:r>
    </w:p>
    <w:p>
      <w:pPr>
        <w:pStyle w:val="3"/>
        <w:adjustRightInd w:val="0"/>
        <w:rPr>
          <w:rFonts w:hint="default" w:ascii="Times New Roman" w:hAnsi="Times New Roman" w:cs="Times New Roman"/>
          <w:color w:val="auto"/>
        </w:rPr>
      </w:pPr>
      <w:bookmarkStart w:id="95" w:name="_Toc19275"/>
      <w:r>
        <w:rPr>
          <w:rFonts w:hint="default" w:ascii="Times New Roman" w:hAnsi="Times New Roman" w:cs="Times New Roman"/>
          <w:color w:val="auto"/>
        </w:rPr>
        <w:t>项目主要建设内容及组成</w:t>
      </w:r>
      <w:bookmarkEnd w:id="95"/>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为新建项目，占地面积82.79亩，项目总投资13000万元，主要建设内容为：利用乐山（沙湾）不锈钢产业园区工业用地82.79亩进行建设，新建1栋碎矿车间、1栋磨浮车间、1栋压滤车间并配套建设办公生活、环保、公用等工程。项目建成后年加工锂辉石50万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项目组成及主要环境问题见下表。</w:t>
      </w:r>
    </w:p>
    <w:p>
      <w:pPr>
        <w:pStyle w:val="12"/>
        <w:adjustRightInd w:val="0"/>
        <w:ind w:firstLine="48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项目组成及主要环境问题</w:t>
      </w:r>
    </w:p>
    <w:tbl>
      <w:tblPr>
        <w:tblStyle w:val="30"/>
        <w:tblW w:w="515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67"/>
        <w:gridCol w:w="774"/>
        <w:gridCol w:w="4259"/>
        <w:gridCol w:w="1165"/>
        <w:gridCol w:w="880"/>
        <w:gridCol w:w="10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72"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工程</w:t>
            </w:r>
          </w:p>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分类</w:t>
            </w:r>
          </w:p>
        </w:tc>
        <w:tc>
          <w:tcPr>
            <w:tcW w:w="45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项目</w:t>
            </w:r>
          </w:p>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名称</w:t>
            </w:r>
          </w:p>
        </w:tc>
        <w:tc>
          <w:tcPr>
            <w:tcW w:w="24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建设内容</w:t>
            </w:r>
          </w:p>
        </w:tc>
        <w:tc>
          <w:tcPr>
            <w:tcW w:w="119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可能产生的环境问题</w:t>
            </w:r>
          </w:p>
        </w:tc>
        <w:tc>
          <w:tcPr>
            <w:tcW w:w="60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24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67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施工期</w:t>
            </w: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b/>
                <w:color w:val="auto"/>
              </w:rPr>
            </w:pPr>
            <w:r>
              <w:rPr>
                <w:rFonts w:hint="default" w:ascii="Times New Roman" w:hAnsi="Times New Roman" w:cs="Times New Roman"/>
                <w:b/>
                <w:color w:val="auto"/>
              </w:rPr>
              <w:t>营运期</w:t>
            </w:r>
          </w:p>
        </w:tc>
        <w:tc>
          <w:tcPr>
            <w:tcW w:w="60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1"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主体</w:t>
            </w:r>
          </w:p>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工程</w:t>
            </w: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碎矿车间</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位于厂区东北部，1F，钢结构，占地面积约10032m</w:t>
            </w:r>
            <w:r>
              <w:rPr>
                <w:rFonts w:hint="default" w:ascii="Times New Roman" w:hAnsi="Times New Roman" w:cs="Times New Roman"/>
                <w:color w:val="auto"/>
                <w:vertAlign w:val="superscript"/>
              </w:rPr>
              <w:t>2</w:t>
            </w:r>
            <w:r>
              <w:rPr>
                <w:rFonts w:hint="default" w:ascii="Times New Roman" w:hAnsi="Times New Roman" w:cs="Times New Roman"/>
                <w:color w:val="auto"/>
              </w:rPr>
              <w:t>，主要设置给料机2台、可移动给料机1台、颚式破碎机2台、圆锥破碎机1台、立轴式冲击破1台、圆振动筛1台。主要进行原矿破碎筛分工序。</w:t>
            </w:r>
          </w:p>
        </w:tc>
        <w:tc>
          <w:tcPr>
            <w:tcW w:w="67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施工噪声、施工建渣、施工粉尘、生活污水、生活垃圾</w:t>
            </w: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废气、噪声、固废</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1"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磨浮车间</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位于厂区中部，1F，钢结构，占地面积1517m</w:t>
            </w:r>
            <w:r>
              <w:rPr>
                <w:rFonts w:hint="default" w:ascii="Times New Roman" w:hAnsi="Times New Roman" w:cs="Times New Roman"/>
                <w:color w:val="auto"/>
                <w:vertAlign w:val="superscript"/>
              </w:rPr>
              <w:t>2</w:t>
            </w:r>
            <w:r>
              <w:rPr>
                <w:rFonts w:hint="default" w:ascii="Times New Roman" w:hAnsi="Times New Roman" w:cs="Times New Roman"/>
                <w:color w:val="auto"/>
              </w:rPr>
              <w:t>，主要设置溢流型球磨机1台、磨矿分级旋流器组1台、浓缩旋流器1台、浮选机22台、罗茨鼓风机1台、磁选机2台等。主要进行磨矿、浮选和磁选工序。</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噪声、固废</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脱水车间</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位于厂区西北侧，1F，钢结构，占地面积3801m</w:t>
            </w:r>
            <w:r>
              <w:rPr>
                <w:rFonts w:hint="default" w:ascii="Times New Roman" w:hAnsi="Times New Roman" w:cs="Times New Roman"/>
                <w:color w:val="auto"/>
                <w:vertAlign w:val="superscript"/>
              </w:rPr>
              <w:t>2</w:t>
            </w:r>
            <w:r>
              <w:rPr>
                <w:rFonts w:hint="default" w:ascii="Times New Roman" w:hAnsi="Times New Roman" w:cs="Times New Roman"/>
                <w:color w:val="auto"/>
              </w:rPr>
              <w:t>，主要设置浓密机2台、隔膜厢式自动压滤机4台、带式真空过滤机1台、永磁螺杆空压机2台。主要进行脱水工序。</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废水、噪声、固废</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辅助工程</w:t>
            </w: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门卫室</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位于厂区南部，占地面积约35m</w:t>
            </w:r>
            <w:r>
              <w:rPr>
                <w:rFonts w:hint="default" w:ascii="Times New Roman" w:hAnsi="Times New Roman" w:cs="Times New Roman"/>
                <w:color w:val="auto"/>
                <w:vertAlign w:val="superscript"/>
              </w:rPr>
              <w:t>2</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配电室</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位于厂区中部，占地面积约126m</w:t>
            </w:r>
            <w:r>
              <w:rPr>
                <w:rFonts w:hint="default" w:ascii="Times New Roman" w:hAnsi="Times New Roman" w:cs="Times New Roman"/>
                <w:color w:val="auto"/>
                <w:vertAlign w:val="superscript"/>
              </w:rPr>
              <w:t>2</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1"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公用工程</w:t>
            </w: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供水工程</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本项目生产、生活用水由园区市政给水管网供给，在项目红线范围内形成环状管网。</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eastAsia" w:ascii="Times New Roman" w:hAnsi="Times New Roman" w:eastAsia="宋体" w:cs="Times New Roman"/>
                <w:color w:val="auto"/>
                <w:lang w:eastAsia="zh-CN"/>
              </w:rPr>
            </w:pPr>
            <w:r>
              <w:rPr>
                <w:rFonts w:hint="eastAsia" w:cs="Times New Roman"/>
                <w:color w:val="auto"/>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1"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排水工程</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jc w:val="both"/>
              <w:rPr>
                <w:rFonts w:hint="default" w:ascii="Times New Roman" w:hAnsi="Times New Roman" w:cs="Times New Roman"/>
                <w:color w:val="auto"/>
              </w:rPr>
            </w:pPr>
            <w:r>
              <w:rPr>
                <w:rFonts w:hint="default" w:ascii="Times New Roman" w:hAnsi="Times New Roman" w:cs="Times New Roman"/>
                <w:color w:val="auto"/>
              </w:rPr>
              <w:t>本项目实施雨污分流。</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color w:val="auto"/>
              </w:rPr>
              <w:t>雨水排放系统：雨水排入雨水管网；</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color w:val="auto"/>
              </w:rPr>
              <w:t>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）处理后通过园区污水管网进入园区污水处理厂进一步处理；</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color w:val="auto"/>
              </w:rPr>
              <w:t>选矿废水：经废水处理设施（一级沉淀池有效容积1460m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、二级沉淀池有效容积1460m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、三级沉淀池有效容积1400m</w:t>
            </w:r>
            <w:r>
              <w:rPr>
                <w:rFonts w:hint="default" w:ascii="Times New Roman" w:hAnsi="Times New Roman" w:cs="Times New Roman"/>
                <w:color w:val="auto"/>
                <w:vertAlign w:val="superscript"/>
              </w:rPr>
              <w:t>3</w:t>
            </w:r>
            <w:r>
              <w:rPr>
                <w:rFonts w:hint="default" w:ascii="Times New Roman" w:hAnsi="Times New Roman" w:cs="Times New Roman"/>
                <w:color w:val="auto"/>
              </w:rPr>
              <w:t>，其中一级沉淀池设计水力停留时间为5.2h、二级沉淀池设计水力停留时间为5.2h，三级沉淀池设计水力停留时间为5h，处理能力280m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/h，处理工艺为絮凝+沉淀）处理后回用于球磨、浮选等工序，不外排；沿尾矿仓库边缘设置断面为30cm×30cm的尾矿渗滤水收集管道，砖混结构，用于收集物料堆场渗滤水。</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color w:val="auto"/>
              </w:rPr>
              <w:t>车辆冲洗废水：经沉淀池处理后回用于车辆冲洗，不外排。</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color w:val="auto"/>
              </w:rPr>
              <w:t>初期雨水：经雨水管道收集后汇入厂区初期雨水池（600m</w:t>
            </w:r>
            <w:r>
              <w:rPr>
                <w:rFonts w:hint="default" w:ascii="Times New Roman" w:hAnsi="Times New Roman" w:cs="Times New Roman"/>
                <w:color w:val="auto"/>
                <w:vertAlign w:val="superscript"/>
              </w:rPr>
              <w:t>3</w:t>
            </w:r>
            <w:r>
              <w:rPr>
                <w:rFonts w:hint="default" w:ascii="Times New Roman" w:hAnsi="Times New Roman" w:cs="Times New Roman"/>
                <w:color w:val="auto"/>
              </w:rPr>
              <w:t>），初期雨水经初期雨水池沉淀处理后回用于喷雾降尘，不外排。</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1"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供电工程</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项目自建配电房，位于厂区中部，从市政电网引入电源。</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储运工程</w:t>
            </w: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原矿仓库</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占地面积约8313m</w:t>
            </w:r>
            <w:r>
              <w:rPr>
                <w:rFonts w:hint="default" w:ascii="Times New Roman" w:hAnsi="Times New Roman" w:cs="Times New Roman"/>
                <w:color w:val="auto"/>
                <w:vertAlign w:val="superscript"/>
              </w:rPr>
              <w:t>2</w:t>
            </w:r>
            <w:r>
              <w:rPr>
                <w:rFonts w:hint="default" w:ascii="Times New Roman" w:hAnsi="Times New Roman" w:cs="Times New Roman"/>
                <w:color w:val="auto"/>
              </w:rPr>
              <w:t>，主要暂存锂辉石原矿</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粉矿仓库</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位于碎矿车间内，占地面积约126m</w:t>
            </w:r>
            <w:r>
              <w:rPr>
                <w:rFonts w:hint="default" w:ascii="Times New Roman" w:hAnsi="Times New Roman" w:cs="Times New Roman"/>
                <w:color w:val="auto"/>
                <w:vertAlign w:val="superscript"/>
              </w:rPr>
              <w:t>2</w:t>
            </w:r>
            <w:r>
              <w:rPr>
                <w:rFonts w:hint="default" w:ascii="Times New Roman" w:hAnsi="Times New Roman" w:cs="Times New Roman"/>
                <w:color w:val="auto"/>
              </w:rPr>
              <w:t>，主要暂存破碎后的粉矿</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药剂库</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位于磨浮车间内，占地面积约50m</w:t>
            </w:r>
            <w:r>
              <w:rPr>
                <w:rFonts w:hint="default" w:ascii="Times New Roman" w:hAnsi="Times New Roman" w:cs="Times New Roman"/>
                <w:color w:val="auto"/>
                <w:vertAlign w:val="superscript"/>
              </w:rPr>
              <w:t>2</w:t>
            </w:r>
            <w:r>
              <w:rPr>
                <w:rFonts w:hint="default" w:ascii="Times New Roman" w:hAnsi="Times New Roman" w:cs="Times New Roman"/>
                <w:color w:val="auto"/>
              </w:rPr>
              <w:t>，主要用于暂存氢氧化钠、碳酸钠、氯化镁、捕收剂、聚凝剂、絮凝剂等</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环境风险</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库房</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位于磨浮车间内，占地面积约50m</w:t>
            </w:r>
            <w:r>
              <w:rPr>
                <w:rFonts w:hint="default" w:ascii="Times New Roman" w:hAnsi="Times New Roman" w:cs="Times New Roman"/>
                <w:color w:val="auto"/>
                <w:vertAlign w:val="superscript"/>
              </w:rPr>
              <w:t>2</w:t>
            </w:r>
            <w:r>
              <w:rPr>
                <w:rFonts w:hint="default" w:ascii="Times New Roman" w:hAnsi="Times New Roman" w:cs="Times New Roman"/>
                <w:color w:val="auto"/>
              </w:rPr>
              <w:t>，主要用于暂存机油、工具等</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精矿仓库</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位于厂区西北侧，占地面积约180m</w:t>
            </w:r>
            <w:r>
              <w:rPr>
                <w:rFonts w:hint="default" w:ascii="Times New Roman" w:hAnsi="Times New Roman" w:cs="Times New Roman"/>
                <w:color w:val="auto"/>
                <w:vertAlign w:val="superscript"/>
              </w:rPr>
              <w:t>2</w:t>
            </w:r>
            <w:r>
              <w:rPr>
                <w:rFonts w:hint="default" w:ascii="Times New Roman" w:hAnsi="Times New Roman" w:cs="Times New Roman"/>
                <w:color w:val="auto"/>
              </w:rPr>
              <w:t>，主要暂存锂辉石精矿</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尾矿仓库</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位于厂区西北侧，占地面积约680m</w:t>
            </w:r>
            <w:r>
              <w:rPr>
                <w:rFonts w:hint="default" w:ascii="Times New Roman" w:hAnsi="Times New Roman" w:cs="Times New Roman"/>
                <w:color w:val="auto"/>
                <w:vertAlign w:val="superscript"/>
              </w:rPr>
              <w:t>2</w:t>
            </w:r>
            <w:r>
              <w:rPr>
                <w:rFonts w:hint="default" w:ascii="Times New Roman" w:hAnsi="Times New Roman" w:cs="Times New Roman"/>
                <w:color w:val="auto"/>
              </w:rPr>
              <w:t>，主要暂存尾矿、黑砂</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环保</w:t>
            </w:r>
          </w:p>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工程</w:t>
            </w: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废气治理</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jc w:val="both"/>
              <w:rPr>
                <w:rFonts w:hint="default" w:ascii="Times New Roman" w:hAnsi="Times New Roman" w:cs="Times New Roman"/>
                <w:color w:val="auto"/>
              </w:rPr>
            </w:pPr>
            <w:r>
              <w:rPr>
                <w:rFonts w:hint="default" w:ascii="Times New Roman" w:hAnsi="Times New Roman" w:cs="Times New Roman"/>
                <w:bCs w:val="0"/>
                <w:color w:val="auto"/>
              </w:rPr>
              <w:t>破碎粉尘</w:t>
            </w:r>
            <w:r>
              <w:rPr>
                <w:rFonts w:hint="default" w:ascii="Times New Roman" w:hAnsi="Times New Roman" w:cs="Times New Roman"/>
                <w:color w:val="auto"/>
              </w:rPr>
              <w:t>：经集气罩收集，布袋除尘器处理后通过15m高排气筒（DA001）达标外排；</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bCs w:val="0"/>
                <w:color w:val="auto"/>
              </w:rPr>
              <w:t>筛分粉尘</w:t>
            </w:r>
            <w:r>
              <w:rPr>
                <w:rFonts w:hint="default" w:ascii="Times New Roman" w:hAnsi="Times New Roman" w:cs="Times New Roman"/>
                <w:color w:val="auto"/>
              </w:rPr>
              <w:t>：经集气罩收集，布袋除尘器处理后通过15m高排气筒（DA001）达标外排；</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bCs w:val="0"/>
                <w:color w:val="auto"/>
              </w:rPr>
              <w:t>装卸及堆场粉尘</w:t>
            </w:r>
            <w:r>
              <w:rPr>
                <w:rFonts w:hint="default" w:ascii="Times New Roman" w:hAnsi="Times New Roman" w:cs="Times New Roman"/>
                <w:color w:val="auto"/>
              </w:rPr>
              <w:t>：原矿仓库设置为封闭厂房，在原矿仓库四周以及仓库顶部四周设置喷雾降尘装置；</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bCs w:val="0"/>
                <w:color w:val="auto"/>
              </w:rPr>
              <w:t>给料粉尘</w:t>
            </w:r>
            <w:r>
              <w:rPr>
                <w:rFonts w:hint="default" w:ascii="Times New Roman" w:hAnsi="Times New Roman" w:cs="Times New Roman"/>
                <w:color w:val="auto"/>
              </w:rPr>
              <w:t>：原矿仓库设置为封闭厂房，在原矿仓库四周以及仓库顶部四周设置喷雾降尘装置；</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bCs w:val="0"/>
                <w:color w:val="auto"/>
              </w:rPr>
              <w:t>车辆运输扬尘</w:t>
            </w:r>
            <w:r>
              <w:rPr>
                <w:rFonts w:hint="default" w:ascii="Times New Roman" w:hAnsi="Times New Roman" w:cs="Times New Roman"/>
                <w:color w:val="auto"/>
              </w:rPr>
              <w:t>：加强车辆管理，设置洗车池、运输车辆车轮清洗，降低车速，定期洒水降尘，加盖防尘网，密闭运输。</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噪声、固废</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48"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废水治理</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jc w:val="both"/>
              <w:rPr>
                <w:rFonts w:hint="default" w:ascii="Times New Roman" w:hAnsi="Times New Roman" w:cs="Times New Roman"/>
                <w:color w:val="auto"/>
              </w:rPr>
            </w:pPr>
            <w:r>
              <w:rPr>
                <w:rFonts w:hint="default" w:ascii="Times New Roman" w:hAnsi="Times New Roman" w:cs="Times New Roman"/>
                <w:color w:val="auto"/>
              </w:rPr>
              <w:t>本项目废水包括生产废水及生活污水，生产废水包括选矿废水、车辆冲洗废水、初期雨水。</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bCs w:val="0"/>
                <w:color w:val="auto"/>
              </w:rPr>
              <w:t>生活污水</w:t>
            </w:r>
            <w:r>
              <w:rPr>
                <w:rFonts w:hint="default" w:ascii="Times New Roman" w:hAnsi="Times New Roman" w:cs="Times New Roman"/>
                <w:color w:val="auto"/>
              </w:rPr>
              <w:t>：经预处理池（50m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）处理后通过园区污水管网进入园区污水处理厂进一步处理；</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bCs w:val="0"/>
                <w:color w:val="auto"/>
              </w:rPr>
              <w:t>选矿废水</w:t>
            </w:r>
            <w:r>
              <w:rPr>
                <w:rFonts w:hint="default" w:ascii="Times New Roman" w:hAnsi="Times New Roman" w:cs="Times New Roman"/>
                <w:color w:val="auto"/>
              </w:rPr>
              <w:t>：经1套废水处理设施（三级絮凝沉淀池，处理能力280m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/h）处理后回用于选矿工序；</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bCs w:val="0"/>
                <w:color w:val="auto"/>
              </w:rPr>
              <w:t>车辆冲洗废水</w:t>
            </w:r>
            <w:r>
              <w:rPr>
                <w:rFonts w:hint="default" w:ascii="Times New Roman" w:hAnsi="Times New Roman" w:cs="Times New Roman"/>
                <w:color w:val="auto"/>
              </w:rPr>
              <w:t>：经沉淀池（5m</w:t>
            </w:r>
            <w:r>
              <w:rPr>
                <w:rFonts w:hint="default" w:ascii="Times New Roman" w:hAnsi="Times New Roman" w:cs="Times New Roman"/>
                <w:color w:val="auto"/>
                <w:vertAlign w:val="superscript"/>
              </w:rPr>
              <w:t>3</w:t>
            </w:r>
            <w:r>
              <w:rPr>
                <w:rFonts w:hint="default" w:ascii="Times New Roman" w:hAnsi="Times New Roman" w:cs="Times New Roman"/>
                <w:color w:val="auto"/>
              </w:rPr>
              <w:t>）处理后回用于车辆冲洗，不外排；</w:t>
            </w:r>
          </w:p>
          <w:p>
            <w:pPr>
              <w:pStyle w:val="65"/>
              <w:spacing w:before="65" w:after="65"/>
              <w:jc w:val="both"/>
              <w:rPr>
                <w:rFonts w:hint="default" w:ascii="Times New Roman" w:hAnsi="Times New Roman" w:cs="Times New Roman"/>
                <w:color w:val="auto"/>
              </w:rPr>
            </w:pPr>
            <w:r>
              <w:rPr>
                <w:rFonts w:hint="default" w:ascii="Times New Roman" w:hAnsi="Times New Roman" w:cs="Times New Roman"/>
                <w:bCs w:val="0"/>
                <w:color w:val="auto"/>
              </w:rPr>
              <w:t>初期雨水</w:t>
            </w:r>
            <w:r>
              <w:rPr>
                <w:rFonts w:hint="default" w:ascii="Times New Roman" w:hAnsi="Times New Roman" w:cs="Times New Roman"/>
                <w:color w:val="auto"/>
              </w:rPr>
              <w:t>：经雨水管道收集后汇入初期雨水池（600m</w:t>
            </w:r>
            <w:r>
              <w:rPr>
                <w:rFonts w:hint="default" w:ascii="Times New Roman" w:hAnsi="Times New Roman" w:cs="Times New Roman"/>
                <w:color w:val="auto"/>
                <w:vertAlign w:val="superscript"/>
              </w:rPr>
              <w:t>3</w:t>
            </w:r>
            <w:r>
              <w:rPr>
                <w:rFonts w:hint="default" w:ascii="Times New Roman" w:hAnsi="Times New Roman" w:cs="Times New Roman"/>
                <w:color w:val="auto"/>
              </w:rPr>
              <w:t>），初期雨水经初期雨水池沉淀处理后回用于喷雾降尘，不外排。</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噪声、固废</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噪声治理</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选用低噪声设备，加强保养；合理布局，对各生产设备采取减震、隔声措施，加强管理。</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7"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固废治理</w:t>
            </w:r>
          </w:p>
        </w:tc>
        <w:tc>
          <w:tcPr>
            <w:tcW w:w="24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bCs w:val="0"/>
                <w:color w:val="auto"/>
              </w:rPr>
              <w:t>生活垃圾</w:t>
            </w:r>
            <w:r>
              <w:rPr>
                <w:rFonts w:hint="default" w:ascii="Times New Roman" w:hAnsi="Times New Roman" w:cs="Times New Roman"/>
                <w:color w:val="auto"/>
              </w:rPr>
              <w:t>：经厂区内垃圾桶统一收集后委托环卫部门清运处置；</w:t>
            </w:r>
          </w:p>
          <w:p>
            <w:pPr>
              <w:pStyle w:val="65"/>
              <w:spacing w:before="65" w:after="65"/>
              <w:rPr>
                <w:rFonts w:hint="default" w:ascii="Times New Roman" w:hAnsi="Times New Roman" w:cs="Times New Roman"/>
                <w:color w:val="auto"/>
              </w:rPr>
            </w:pPr>
            <w:r>
              <w:rPr>
                <w:rFonts w:hint="default" w:ascii="Times New Roman" w:hAnsi="Times New Roman" w:cs="Times New Roman"/>
                <w:bCs w:val="0"/>
                <w:color w:val="auto"/>
              </w:rPr>
              <w:t>一般固废</w:t>
            </w:r>
            <w:r>
              <w:rPr>
                <w:rFonts w:hint="default" w:ascii="Times New Roman" w:hAnsi="Times New Roman" w:cs="Times New Roman"/>
                <w:color w:val="auto"/>
              </w:rPr>
              <w:t>：尾矿、黑砂暂存于尾矿仓库，外售陶瓷生产厂家综合利用，尾矿仓库为密闭车间，并在堆场周围设置导流渠，防止雨水径流进入堆场内；废滤袋、废布袋由供货厂家回收；布袋收尘回用于生产；沉淀池沉砂暂存于一般固废间（50m</w:t>
            </w:r>
            <w:r>
              <w:rPr>
                <w:rFonts w:hint="default" w:ascii="Times New Roman" w:hAnsi="Times New Roman" w:cs="Times New Roman"/>
                <w:color w:val="auto"/>
                <w:vertAlign w:val="superscript"/>
              </w:rPr>
              <w:t>2</w:t>
            </w:r>
            <w:r>
              <w:rPr>
                <w:rFonts w:hint="default" w:ascii="Times New Roman" w:hAnsi="Times New Roman" w:cs="Times New Roman"/>
                <w:color w:val="auto"/>
              </w:rPr>
              <w:t>），回用于生产；废包装材料定期外售废品回收站；</w:t>
            </w:r>
          </w:p>
          <w:p>
            <w:pPr>
              <w:pStyle w:val="65"/>
              <w:spacing w:before="65" w:after="65"/>
              <w:rPr>
                <w:rFonts w:hint="default" w:ascii="Times New Roman" w:hAnsi="Times New Roman" w:cs="Times New Roman"/>
                <w:color w:val="auto"/>
              </w:rPr>
            </w:pPr>
            <w:r>
              <w:rPr>
                <w:rFonts w:hint="default" w:ascii="Times New Roman" w:hAnsi="Times New Roman" w:cs="Times New Roman"/>
                <w:bCs w:val="0"/>
                <w:color w:val="auto"/>
              </w:rPr>
              <w:t>危险废物</w:t>
            </w:r>
            <w:r>
              <w:rPr>
                <w:rFonts w:hint="default" w:ascii="Times New Roman" w:hAnsi="Times New Roman" w:cs="Times New Roman"/>
                <w:color w:val="auto"/>
              </w:rPr>
              <w:t>：废氢氧化钠包装袋、废碳酸钠包装袋、废氯化镁包装袋、废捕收剂桶、废机油、废机油桶、含油抹布及手套暂存于危废暂存间（50m</w:t>
            </w:r>
            <w:r>
              <w:rPr>
                <w:rFonts w:hint="default" w:ascii="Times New Roman" w:hAnsi="Times New Roman" w:cs="Times New Roman"/>
                <w:color w:val="auto"/>
                <w:vertAlign w:val="superscript"/>
              </w:rPr>
              <w:t>2</w:t>
            </w:r>
            <w:r>
              <w:rPr>
                <w:rFonts w:hint="default" w:ascii="Times New Roman" w:hAnsi="Times New Roman" w:cs="Times New Roman"/>
                <w:color w:val="auto"/>
              </w:rPr>
              <w:t>），定期交由有危废处理资质的单位进行处置。</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4"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24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4"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地下水、土壤污染防治</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重点防渗区：生产废水处理区、危废间、事故应急池、药剂库进行重点防渗，采用P8抗渗混凝土+2mm环氧树脂膜，危废间和药剂库增设不锈钢金属托盘，Mb≥6.0m、K≤1×10</w:t>
            </w:r>
            <w:r>
              <w:rPr>
                <w:rFonts w:hint="default" w:ascii="Times New Roman" w:hAnsi="Times New Roman" w:cs="Times New Roman"/>
                <w:color w:val="auto"/>
                <w:vertAlign w:val="superscript"/>
              </w:rPr>
              <w:t>-7</w:t>
            </w:r>
            <w:r>
              <w:rPr>
                <w:rFonts w:hint="default" w:ascii="Times New Roman" w:hAnsi="Times New Roman" w:cs="Times New Roman"/>
                <w:color w:val="auto"/>
              </w:rPr>
              <w:t>cm/s（其中危险废物暂存间渗透系数K≤1×10</w:t>
            </w:r>
            <w:r>
              <w:rPr>
                <w:rFonts w:hint="default" w:ascii="Times New Roman" w:hAnsi="Times New Roman" w:cs="Times New Roman"/>
                <w:color w:val="auto"/>
                <w:vertAlign w:val="superscript"/>
              </w:rPr>
              <w:t>-10</w:t>
            </w:r>
            <w:r>
              <w:rPr>
                <w:rFonts w:hint="default" w:ascii="Times New Roman" w:hAnsi="Times New Roman" w:cs="Times New Roman"/>
                <w:color w:val="auto"/>
              </w:rPr>
              <w:t>cm/s）的要求；污水输送管道采用高强度防腐材质；池体采用P8抗渗混凝土。</w:t>
            </w:r>
          </w:p>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一般防渗区：一般固废暂存间、碎矿车间、磨浮车间、脱水车间、精矿仓库、尾矿仓库、预处理池、初期雨水池采用P6抗渗混凝土进行防渗，保证渗透系数K≤1×10</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p>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简单防渗区：厂区道路、办公区等场内其他区域采用一般地面硬化。</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生活办公</w:t>
            </w:r>
          </w:p>
        </w:tc>
        <w:tc>
          <w:tcPr>
            <w:tcW w:w="4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办公生活楼</w:t>
            </w:r>
          </w:p>
        </w:tc>
        <w:tc>
          <w:tcPr>
            <w:tcW w:w="24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新建1栋办公生活楼（配套设置有职工食堂和职工宿舍），4F，砖混结构，位于厂区东南侧，占地面积约990m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生活污水；生活垃圾；噪声；食堂油烟</w:t>
            </w:r>
          </w:p>
        </w:tc>
        <w:tc>
          <w:tcPr>
            <w:tcW w:w="6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新建</w:t>
            </w:r>
          </w:p>
        </w:tc>
      </w:tr>
    </w:tbl>
    <w:p>
      <w:pPr>
        <w:pStyle w:val="3"/>
        <w:adjustRightInd w:val="0"/>
        <w:rPr>
          <w:rFonts w:hint="default" w:ascii="Times New Roman" w:hAnsi="Times New Roman" w:cs="Times New Roman"/>
          <w:color w:val="auto"/>
        </w:rPr>
      </w:pPr>
      <w:bookmarkStart w:id="96" w:name="_Toc19945"/>
      <w:r>
        <w:rPr>
          <w:rFonts w:hint="default" w:ascii="Times New Roman" w:hAnsi="Times New Roman" w:cs="Times New Roman"/>
          <w:color w:val="auto"/>
        </w:rPr>
        <w:t>主要原辅料及能耗</w:t>
      </w:r>
      <w:bookmarkEnd w:id="96"/>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项目运营期主要原辅材料和能耗见下表。</w:t>
      </w:r>
    </w:p>
    <w:p>
      <w:pPr>
        <w:pStyle w:val="12"/>
        <w:adjustRightInd w:val="0"/>
        <w:ind w:firstLine="48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项目原辅材料一览表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191"/>
        <w:gridCol w:w="1335"/>
        <w:gridCol w:w="717"/>
        <w:gridCol w:w="1101"/>
        <w:gridCol w:w="856"/>
        <w:gridCol w:w="812"/>
        <w:gridCol w:w="1058"/>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jc w:val="center"/>
        </w:trPr>
        <w:tc>
          <w:tcPr>
            <w:tcW w:w="249"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类别</w:t>
            </w:r>
          </w:p>
        </w:tc>
        <w:tc>
          <w:tcPr>
            <w:tcW w:w="698"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名称</w:t>
            </w:r>
          </w:p>
        </w:tc>
        <w:tc>
          <w:tcPr>
            <w:tcW w:w="78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成分</w:t>
            </w:r>
          </w:p>
        </w:tc>
        <w:tc>
          <w:tcPr>
            <w:tcW w:w="42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状态</w:t>
            </w:r>
          </w:p>
        </w:tc>
        <w:tc>
          <w:tcPr>
            <w:tcW w:w="64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年耗量（t）</w:t>
            </w:r>
          </w:p>
        </w:tc>
        <w:tc>
          <w:tcPr>
            <w:tcW w:w="501"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储存量（t）</w:t>
            </w:r>
          </w:p>
        </w:tc>
        <w:tc>
          <w:tcPr>
            <w:tcW w:w="47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来源</w:t>
            </w:r>
          </w:p>
        </w:tc>
        <w:tc>
          <w:tcPr>
            <w:tcW w:w="62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包装规格</w:t>
            </w:r>
          </w:p>
        </w:tc>
        <w:tc>
          <w:tcPr>
            <w:tcW w:w="60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贮存场所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原辅料</w:t>
            </w: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锂辉石原矿</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锂辉石</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49000</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外购</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原矿仓库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5"/>
              <w:spacing w:before="65" w:after="65"/>
              <w:rPr>
                <w:rFonts w:hint="default" w:ascii="Times New Roman" w:hAnsi="Times New Roman" w:cs="Times New Roman"/>
                <w:color w:val="auto"/>
                <w:lang w:eastAsia="zh-Hans"/>
              </w:rPr>
            </w:pP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氢氧化钠</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NaOH</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12.5</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外购</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25kg/袋</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磨浮车间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5"/>
              <w:spacing w:before="65" w:after="65"/>
              <w:rPr>
                <w:rFonts w:hint="default" w:ascii="Times New Roman" w:hAnsi="Times New Roman" w:cs="Times New Roman"/>
                <w:color w:val="auto"/>
                <w:lang w:eastAsia="zh-Hans"/>
              </w:rPr>
            </w:pP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碳酸钠</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Na</w:t>
            </w:r>
            <w:r>
              <w:rPr>
                <w:rFonts w:hint="default" w:ascii="Times New Roman" w:hAnsi="Times New Roman" w:cs="Times New Roman"/>
                <w:color w:val="auto"/>
                <w:vertAlign w:val="subscript"/>
              </w:rPr>
              <w:t>2</w:t>
            </w:r>
            <w:r>
              <w:rPr>
                <w:rFonts w:hint="default" w:ascii="Times New Roman" w:hAnsi="Times New Roman" w:cs="Times New Roman"/>
                <w:color w:val="auto"/>
              </w:rPr>
              <w:t>CO</w:t>
            </w:r>
            <w:r>
              <w:rPr>
                <w:rFonts w:hint="default" w:ascii="Times New Roman" w:hAnsi="Times New Roman" w:cs="Times New Roman"/>
                <w:color w:val="auto"/>
                <w:vertAlign w:val="subscript"/>
              </w:rPr>
              <w:t>3</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900</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100</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外购</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50kg/袋</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磨浮车间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5"/>
              <w:spacing w:before="65" w:after="65"/>
              <w:rPr>
                <w:rFonts w:hint="default" w:ascii="Times New Roman" w:hAnsi="Times New Roman" w:cs="Times New Roman"/>
                <w:color w:val="auto"/>
                <w:lang w:eastAsia="zh-Hans"/>
              </w:rPr>
            </w:pP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氯化镁</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MgCl</w:t>
            </w:r>
            <w:r>
              <w:rPr>
                <w:rFonts w:hint="default" w:ascii="Times New Roman" w:hAnsi="Times New Roman" w:cs="Times New Roman"/>
                <w:color w:val="auto"/>
                <w:vertAlign w:val="subscript"/>
              </w:rPr>
              <w:t>2</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250</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外购</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50kg/袋</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磨浮车间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5"/>
              <w:spacing w:before="65" w:after="65"/>
              <w:rPr>
                <w:rFonts w:hint="default" w:ascii="Times New Roman" w:hAnsi="Times New Roman" w:cs="Times New Roman"/>
                <w:color w:val="auto"/>
                <w:lang w:eastAsia="zh-Hans"/>
              </w:rPr>
            </w:pP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捕收剂</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RCO</w:t>
            </w:r>
            <w:r>
              <w:rPr>
                <w:rFonts w:hint="default" w:ascii="Times New Roman" w:hAnsi="Times New Roman" w:cs="Times New Roman"/>
                <w:color w:val="auto"/>
                <w:vertAlign w:val="subscript"/>
              </w:rPr>
              <w:t>2</w:t>
            </w:r>
            <w:r>
              <w:rPr>
                <w:rFonts w:hint="default" w:ascii="Times New Roman" w:hAnsi="Times New Roman" w:cs="Times New Roman"/>
                <w:color w:val="auto"/>
              </w:rPr>
              <w:t>Na</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液态</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850</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外购</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50kg/桶</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磨浮车间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5"/>
              <w:spacing w:before="65" w:after="65"/>
              <w:rPr>
                <w:rFonts w:hint="default" w:ascii="Times New Roman" w:hAnsi="Times New Roman" w:cs="Times New Roman"/>
                <w:color w:val="auto"/>
                <w:lang w:eastAsia="zh-Hans"/>
              </w:rPr>
            </w:pP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聚凝剂</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聚合氯化铝</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液态</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2150</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100</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外购</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25kg/袋</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磨浮车间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5"/>
              <w:spacing w:before="65" w:after="65"/>
              <w:rPr>
                <w:rFonts w:hint="default" w:ascii="Times New Roman" w:hAnsi="Times New Roman" w:cs="Times New Roman"/>
                <w:color w:val="auto"/>
                <w:lang w:eastAsia="zh-Hans"/>
              </w:rPr>
            </w:pP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絮凝剂</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聚丙烯酰胺</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7.5</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外购</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25kg/袋</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压滤车间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5"/>
              <w:spacing w:before="65" w:after="65"/>
              <w:rPr>
                <w:rFonts w:hint="default" w:ascii="Times New Roman" w:hAnsi="Times New Roman" w:cs="Times New Roman"/>
                <w:color w:val="auto"/>
                <w:lang w:eastAsia="zh-Hans"/>
              </w:rPr>
            </w:pP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机油</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油类物质</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液态</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0.2</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外购</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20kg/桶</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能源</w:t>
            </w: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水（m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195780m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园区管网</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5"/>
              <w:spacing w:before="65" w:after="65"/>
              <w:rPr>
                <w:rFonts w:hint="default" w:ascii="Times New Roman" w:hAnsi="Times New Roman" w:cs="Times New Roman"/>
                <w:color w:val="auto"/>
              </w:rPr>
            </w:pP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电（kW·h）</w:t>
            </w:r>
          </w:p>
        </w:tc>
        <w:tc>
          <w:tcPr>
            <w:tcW w:w="78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4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2160万kW·h</w:t>
            </w:r>
          </w:p>
        </w:tc>
        <w:tc>
          <w:tcPr>
            <w:tcW w:w="5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7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园区电网</w:t>
            </w:r>
          </w:p>
        </w:tc>
        <w:tc>
          <w:tcPr>
            <w:tcW w:w="62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bl>
    <w:p>
      <w:pPr>
        <w:adjustRightInd w:val="0"/>
        <w:spacing w:before="163" w:beforeLines="50"/>
        <w:ind w:firstLine="482"/>
        <w:rPr>
          <w:rFonts w:hint="default" w:ascii="Times New Roman" w:hAnsi="Times New Roman" w:cs="Times New Roman"/>
          <w:b/>
          <w:color w:val="auto"/>
          <w:szCs w:val="22"/>
        </w:rPr>
      </w:pPr>
      <w:r>
        <w:rPr>
          <w:rFonts w:hint="default" w:ascii="Times New Roman" w:hAnsi="Times New Roman" w:cs="Times New Roman"/>
          <w:b/>
          <w:color w:val="auto"/>
          <w:szCs w:val="22"/>
        </w:rPr>
        <w:t>主要原辅料简介：</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（1）锂辉石原矿</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本项目加工</w:t>
      </w:r>
      <w:r>
        <w:rPr>
          <w:rFonts w:hint="eastAsia" w:cs="Times New Roman"/>
          <w:color w:val="auto"/>
          <w:lang w:eastAsia="zh-CN"/>
        </w:rPr>
        <w:t>甘孜州融达锂业有限公司</w:t>
      </w:r>
      <w:r>
        <w:rPr>
          <w:rFonts w:hint="default" w:ascii="Times New Roman" w:hAnsi="Times New Roman" w:cs="Times New Roman"/>
          <w:color w:val="auto"/>
        </w:rPr>
        <w:t>提供的锂辉石原矿。锂辉石原矿总体呈块状构造，呈现灰白色与灰黑色，灰白色样品中夹杂有黑色点状物，灰黑色样品断口处呈现灰黑色。本项目外购的锂辉石为清洗后的矿石，不含泥，不需在厂区清洗。</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根据建设单位提供的《锂矿全成份检测报告》（四川省捷信隆检测技术有限公司，外委字（2025）Q-735），本项目使用的锂辉石原矿主要成分如下：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szCs w:val="21"/>
        </w:rPr>
        <w:t>《锂原矿全成分检测报告》</w:t>
      </w:r>
    </w:p>
    <w:tbl>
      <w:tblPr>
        <w:tblStyle w:val="7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358"/>
        <w:gridCol w:w="1986"/>
        <w:gridCol w:w="1986"/>
        <w:gridCol w:w="1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blHeader/>
        </w:trPr>
        <w:tc>
          <w:tcPr>
            <w:tcW w:w="1418"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分析项目</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含量</w:t>
            </w:r>
          </w:p>
        </w:tc>
        <w:tc>
          <w:tcPr>
            <w:tcW w:w="1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分析项目</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含量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Li</w:t>
            </w:r>
            <w:r>
              <w:rPr>
                <w:rFonts w:hint="default" w:ascii="Times New Roman" w:hAnsi="Times New Roman" w:eastAsia="等线" w:cs="Times New Roman"/>
                <w:color w:val="auto"/>
                <w:vertAlign w:val="subscript"/>
              </w:rPr>
              <w:t>2</w:t>
            </w:r>
            <w:r>
              <w:rPr>
                <w:rFonts w:hint="default" w:ascii="Times New Roman" w:hAnsi="Times New Roman" w:eastAsia="等线" w:cs="Times New Roman"/>
                <w:color w:val="auto"/>
              </w:rPr>
              <w:t>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1.4</w:t>
            </w:r>
            <w:r>
              <w:rPr>
                <w:rFonts w:hint="eastAsia" w:eastAsia="等线" w:cs="Times New Roman"/>
                <w:color w:val="auto"/>
                <w:lang w:val="en-US" w:eastAsia="zh-CN"/>
              </w:rPr>
              <w:t>8</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Pb</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CaO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1.1</w:t>
            </w:r>
            <w:r>
              <w:rPr>
                <w:rFonts w:hint="eastAsia" w:eastAsia="等线" w:cs="Times New Roman"/>
                <w:color w:val="auto"/>
                <w:lang w:val="en-US" w:eastAsia="zh-CN"/>
              </w:rPr>
              <w:t>3</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Hg</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SiO</w:t>
            </w:r>
            <w:r>
              <w:rPr>
                <w:rFonts w:hint="default" w:ascii="Times New Roman" w:hAnsi="Times New Roman" w:eastAsia="等线" w:cs="Times New Roman"/>
                <w:color w:val="auto"/>
                <w:vertAlign w:val="subscript"/>
              </w:rPr>
              <w:t>2</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71.</w:t>
            </w:r>
            <w:r>
              <w:rPr>
                <w:rFonts w:hint="eastAsia" w:eastAsia="等线" w:cs="Times New Roman"/>
                <w:color w:val="auto"/>
                <w:lang w:val="en-US" w:eastAsia="zh-CN"/>
              </w:rPr>
              <w:t>17</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Cd</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Al</w:t>
            </w:r>
            <w:r>
              <w:rPr>
                <w:rFonts w:hint="default" w:ascii="Times New Roman" w:hAnsi="Times New Roman" w:eastAsia="等线" w:cs="Times New Roman"/>
                <w:color w:val="auto"/>
                <w:vertAlign w:val="subscript"/>
              </w:rPr>
              <w:t>2</w:t>
            </w:r>
            <w:r>
              <w:rPr>
                <w:rFonts w:hint="default" w:ascii="Times New Roman" w:hAnsi="Times New Roman" w:eastAsia="等线" w:cs="Times New Roman"/>
                <w:color w:val="auto"/>
              </w:rPr>
              <w:t>O</w:t>
            </w:r>
            <w:r>
              <w:rPr>
                <w:rFonts w:hint="default" w:ascii="Times New Roman" w:hAnsi="Times New Roman" w:eastAsia="等线" w:cs="Times New Roman"/>
                <w:color w:val="auto"/>
                <w:vertAlign w:val="subscript"/>
              </w:rPr>
              <w:t>3</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15.</w:t>
            </w:r>
            <w:r>
              <w:rPr>
                <w:rFonts w:hint="eastAsia" w:eastAsia="等线" w:cs="Times New Roman"/>
                <w:color w:val="auto"/>
                <w:lang w:val="en-US" w:eastAsia="zh-CN"/>
              </w:rPr>
              <w:t>18</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Cr</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Na</w:t>
            </w:r>
            <w:r>
              <w:rPr>
                <w:rFonts w:hint="default" w:ascii="Times New Roman" w:hAnsi="Times New Roman" w:eastAsia="等线" w:cs="Times New Roman"/>
                <w:color w:val="auto"/>
                <w:vertAlign w:val="subscript"/>
              </w:rPr>
              <w:t>2</w:t>
            </w:r>
            <w:r>
              <w:rPr>
                <w:rFonts w:hint="default" w:ascii="Times New Roman" w:hAnsi="Times New Roman" w:eastAsia="等线" w:cs="Times New Roman"/>
                <w:color w:val="auto"/>
              </w:rPr>
              <w:t>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eastAsia" w:eastAsia="等线" w:cs="Times New Roman"/>
                <w:color w:val="auto"/>
                <w:lang w:val="en-US" w:eastAsia="zh-CN"/>
              </w:rPr>
              <w:t>2.35</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As</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K</w:t>
            </w:r>
            <w:r>
              <w:rPr>
                <w:rFonts w:hint="default" w:ascii="Times New Roman" w:hAnsi="Times New Roman" w:eastAsia="等线" w:cs="Times New Roman"/>
                <w:color w:val="auto"/>
                <w:vertAlign w:val="subscript"/>
              </w:rPr>
              <w:t>2</w:t>
            </w:r>
            <w:r>
              <w:rPr>
                <w:rFonts w:hint="default" w:ascii="Times New Roman" w:hAnsi="Times New Roman" w:eastAsia="等线" w:cs="Times New Roman"/>
                <w:color w:val="auto"/>
              </w:rPr>
              <w:t>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eastAsia" w:eastAsia="等线" w:cs="Times New Roman"/>
                <w:color w:val="auto"/>
                <w:lang w:val="en-US" w:eastAsia="zh-CN"/>
              </w:rPr>
              <w:t>3.51</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Ni</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MgO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w:t>
            </w:r>
            <w:r>
              <w:rPr>
                <w:rFonts w:hint="eastAsia" w:eastAsia="等线" w:cs="Times New Roman"/>
                <w:color w:val="auto"/>
                <w:lang w:val="en-US" w:eastAsia="zh-CN"/>
              </w:rPr>
              <w:t>82</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Mn</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TiO</w:t>
            </w:r>
            <w:r>
              <w:rPr>
                <w:rFonts w:hint="default" w:ascii="Times New Roman" w:hAnsi="Times New Roman" w:eastAsia="等线" w:cs="Times New Roman"/>
                <w:color w:val="auto"/>
                <w:vertAlign w:val="subscript"/>
              </w:rPr>
              <w:t>2</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0.1</w:t>
            </w:r>
            <w:r>
              <w:rPr>
                <w:rFonts w:hint="eastAsia" w:eastAsia="等线" w:cs="Times New Roman"/>
                <w:color w:val="auto"/>
                <w:lang w:val="en-US" w:eastAsia="zh-CN"/>
              </w:rPr>
              <w:t>1</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Ag</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Fe</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1.5</w:t>
            </w:r>
            <w:r>
              <w:rPr>
                <w:rFonts w:hint="eastAsia" w:eastAsia="等线" w:cs="Times New Roman"/>
                <w:color w:val="auto"/>
                <w:lang w:val="en-US" w:eastAsia="zh-CN"/>
              </w:rPr>
              <w:t>8</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Cu</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Fe</w:t>
            </w:r>
            <w:r>
              <w:rPr>
                <w:rFonts w:hint="default" w:ascii="Times New Roman" w:hAnsi="Times New Roman" w:eastAsia="等线" w:cs="Times New Roman"/>
                <w:color w:val="auto"/>
                <w:vertAlign w:val="subscript"/>
              </w:rPr>
              <w:t>2</w:t>
            </w:r>
            <w:r>
              <w:rPr>
                <w:rFonts w:hint="default" w:ascii="Times New Roman" w:hAnsi="Times New Roman" w:eastAsia="等线" w:cs="Times New Roman"/>
                <w:color w:val="auto"/>
              </w:rPr>
              <w:t>O</w:t>
            </w:r>
            <w:r>
              <w:rPr>
                <w:rFonts w:hint="default" w:ascii="Times New Roman" w:hAnsi="Times New Roman" w:eastAsia="等线" w:cs="Times New Roman"/>
                <w:color w:val="auto"/>
                <w:vertAlign w:val="subscript"/>
              </w:rPr>
              <w:t>3</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0.3</w:t>
            </w:r>
            <w:r>
              <w:rPr>
                <w:rFonts w:hint="eastAsia" w:eastAsia="等线" w:cs="Times New Roman"/>
                <w:color w:val="auto"/>
                <w:lang w:val="en-US" w:eastAsia="zh-CN"/>
              </w:rPr>
              <w:t>7</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Zn</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P</w:t>
            </w:r>
            <w:r>
              <w:rPr>
                <w:rFonts w:hint="default" w:ascii="Times New Roman" w:hAnsi="Times New Roman" w:eastAsia="等线" w:cs="Times New Roman"/>
                <w:color w:val="auto"/>
                <w:vertAlign w:val="subscript"/>
              </w:rPr>
              <w:t>2</w:t>
            </w:r>
            <w:r>
              <w:rPr>
                <w:rFonts w:hint="default" w:ascii="Times New Roman" w:hAnsi="Times New Roman" w:eastAsia="等线" w:cs="Times New Roman"/>
                <w:color w:val="auto"/>
              </w:rPr>
              <w:t>O</w:t>
            </w:r>
            <w:r>
              <w:rPr>
                <w:rFonts w:hint="default" w:ascii="Times New Roman" w:hAnsi="Times New Roman" w:eastAsia="等线" w:cs="Times New Roman"/>
                <w:color w:val="auto"/>
                <w:vertAlign w:val="subscript"/>
              </w:rPr>
              <w:t>5</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0.0</w:t>
            </w:r>
            <w:r>
              <w:rPr>
                <w:rFonts w:hint="eastAsia" w:eastAsia="等线" w:cs="Times New Roman"/>
                <w:color w:val="auto"/>
                <w:lang w:val="en-US" w:eastAsia="zh-CN"/>
              </w:rPr>
              <w:t>2</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V</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烧失量</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0.4</w:t>
            </w:r>
            <w:r>
              <w:rPr>
                <w:rFonts w:hint="eastAsia" w:eastAsia="等线" w:cs="Times New Roman"/>
                <w:color w:val="auto"/>
                <w:lang w:val="en-US" w:eastAsia="zh-CN"/>
              </w:rPr>
              <w:t>1</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Co</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C</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0.03</w:t>
            </w:r>
            <w:r>
              <w:rPr>
                <w:rFonts w:hint="eastAsia" w:eastAsia="等线" w:cs="Times New Roman"/>
                <w:color w:val="auto"/>
                <w:lang w:val="en-US" w:eastAsia="zh-CN"/>
              </w:rPr>
              <w:t>5</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TI</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S</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0.0</w:t>
            </w:r>
            <w:r>
              <w:rPr>
                <w:rFonts w:hint="eastAsia" w:eastAsia="等线" w:cs="Times New Roman"/>
                <w:color w:val="auto"/>
                <w:lang w:val="en-US" w:eastAsia="zh-CN"/>
              </w:rPr>
              <w:t>18</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Sb</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未检出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合计</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98.1</w:t>
            </w:r>
            <w:r>
              <w:rPr>
                <w:rFonts w:hint="eastAsia" w:eastAsia="等线" w:cs="Times New Roman"/>
                <w:color w:val="auto"/>
                <w:lang w:val="en-US" w:eastAsia="zh-CN"/>
              </w:rPr>
              <w:t>83</w:t>
            </w:r>
            <w:r>
              <w:rPr>
                <w:rFonts w:hint="default" w:ascii="Times New Roman" w:hAnsi="Times New Roman" w:eastAsia="等线" w:cs="Times New Roman"/>
                <w:color w:val="auto"/>
              </w:rPr>
              <w:t>%</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四川省“十四五”重金属污染防控工作方案》相关要求：重点重金属污染物为铅（Pb）、汞（Hg）、镉（Cd）、铬（Cr）、砷（As）、铊（Tl）和锑（Sb），并对铅、汞、镉、铬和砷五种重金属污染物排放量实施总量控制。</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根据本项目锂矿石原料成分检测报告，重点防控的重金属（铅（Pb）、汞（Hg）、镉（Cd）、铬（Cr）、砷（As）、铊（Tl）和锑（Sb））为未检出。本报告要求：若原矿来源发生变化需重新对原矿进行全成分检测分析，确保原矿中不含有重金属。</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由于本项目属于有色金属矿采选业</w:t>
      </w:r>
      <w:r>
        <w:rPr>
          <w:rFonts w:hint="eastAsia" w:cs="Times New Roman"/>
          <w:b/>
          <w:bCs/>
          <w:color w:val="auto"/>
          <w:lang w:eastAsia="zh-CN"/>
        </w:rPr>
        <w:t>，</w:t>
      </w:r>
      <w:r>
        <w:rPr>
          <w:rFonts w:hint="default" w:ascii="Times New Roman" w:hAnsi="Times New Roman" w:cs="Times New Roman"/>
          <w:b/>
          <w:bCs/>
          <w:color w:val="auto"/>
        </w:rPr>
        <w:t>项目拟采取分区防渗、强化大气污染治理等污染防治措施，从源头和生产过程上控制项目对区域地下水和土壤环境的污染源强。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考虑到原矿中可能含放射性物质等，建设单位委托四川省捷信隆检测技术有限公司进行了原矿及各产品的放射性检测，具体见下表。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szCs w:val="21"/>
        </w:rPr>
        <w:t>放射性检测结果</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377"/>
        <w:gridCol w:w="1156"/>
        <w:gridCol w:w="1156"/>
        <w:gridCol w:w="1158"/>
        <w:gridCol w:w="1156"/>
        <w:gridCol w:w="1156"/>
        <w:gridCol w:w="1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blHeader/>
        </w:trPr>
        <w:tc>
          <w:tcPr>
            <w:tcW w:w="828"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类型</w:t>
            </w:r>
          </w:p>
        </w:tc>
        <w:tc>
          <w:tcPr>
            <w:tcW w:w="2086" w:type="pct"/>
            <w:gridSpan w:val="3"/>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比活度</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内照指数</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外照指数</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镭当量浓度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blHeader/>
        </w:trPr>
        <w:tc>
          <w:tcPr>
            <w:tcW w:w="82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b/>
                <w:color w:val="auto"/>
              </w:rPr>
            </w:pP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Ra</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Th</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K</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I</w:t>
            </w:r>
            <w:r>
              <w:rPr>
                <w:rFonts w:hint="default" w:ascii="Times New Roman" w:hAnsi="Times New Roman" w:eastAsia="等线" w:cs="Times New Roman"/>
                <w:b/>
                <w:color w:val="auto"/>
                <w:vertAlign w:val="subscript"/>
              </w:rPr>
              <w:t>Ra</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I</w:t>
            </w:r>
            <w:r>
              <w:rPr>
                <w:rFonts w:hint="default" w:ascii="Times New Roman" w:hAnsi="Times New Roman" w:eastAsia="等线" w:cs="Times New Roman"/>
                <w:b/>
                <w:color w:val="auto"/>
                <w:vertAlign w:val="subscript"/>
              </w:rPr>
              <w:t>Y</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b/>
                <w:color w:val="auto"/>
              </w:rPr>
            </w:pPr>
            <w:r>
              <w:rPr>
                <w:rFonts w:hint="default" w:ascii="Times New Roman" w:hAnsi="Times New Roman" w:eastAsia="等线" w:cs="Times New Roman"/>
                <w:b/>
                <w:color w:val="auto"/>
              </w:rPr>
              <w:t>Bq/Kg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锂原矿</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default" w:ascii="Times New Roman" w:hAnsi="Times New Roman" w:eastAsia="等线" w:cs="Times New Roman"/>
                <w:color w:val="auto"/>
              </w:rPr>
              <w:t>1.</w:t>
            </w:r>
            <w:r>
              <w:rPr>
                <w:rFonts w:hint="eastAsia" w:eastAsia="等线" w:cs="Times New Roman"/>
                <w:color w:val="auto"/>
                <w:lang w:val="en-US" w:eastAsia="zh-CN"/>
              </w:rPr>
              <w:t>48</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80.76</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1038.9</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0.0</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0.4</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default" w:ascii="Times New Roman" w:hAnsi="Times New Roman" w:eastAsia="等线" w:cs="Times New Roman"/>
                <w:color w:val="auto"/>
              </w:rPr>
              <w:t>18</w:t>
            </w:r>
            <w:r>
              <w:rPr>
                <w:rFonts w:hint="eastAsia" w:eastAsia="等线" w:cs="Times New Roman"/>
                <w:color w:val="auto"/>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锂精矿</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default" w:ascii="Times New Roman" w:hAnsi="Times New Roman" w:eastAsia="等线" w:cs="Times New Roman"/>
                <w:color w:val="auto"/>
              </w:rPr>
              <w:t>1.</w:t>
            </w:r>
            <w:r>
              <w:rPr>
                <w:rFonts w:hint="eastAsia" w:eastAsia="等线" w:cs="Times New Roman"/>
                <w:color w:val="auto"/>
                <w:lang w:val="en-US" w:eastAsia="zh-CN"/>
              </w:rPr>
              <w:t>46</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63.98</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800.24</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0.0</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0.4</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179.88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锂尾矿</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21.88</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75.92</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808.76</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0.1</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rPr>
            </w:pPr>
            <w:r>
              <w:rPr>
                <w:rFonts w:hint="default" w:ascii="Times New Roman" w:hAnsi="Times New Roman" w:eastAsia="等线" w:cs="Times New Roman"/>
                <w:color w:val="auto"/>
              </w:rPr>
              <w:t>0.4</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pPr>
              <w:pStyle w:val="65"/>
              <w:spacing w:before="65" w:after="65"/>
              <w:rPr>
                <w:rFonts w:hint="default" w:ascii="Times New Roman" w:hAnsi="Times New Roman" w:eastAsia="等线" w:cs="Times New Roman"/>
                <w:color w:val="auto"/>
                <w:lang w:val="en-US" w:eastAsia="zh-CN"/>
              </w:rPr>
            </w:pPr>
            <w:r>
              <w:rPr>
                <w:rFonts w:hint="eastAsia" w:eastAsia="等线" w:cs="Times New Roman"/>
                <w:color w:val="auto"/>
                <w:lang w:val="en-US" w:eastAsia="zh-CN"/>
              </w:rPr>
              <w:t>193.76</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根据检测结果可知，项目拟加工的原矿石及产品锂辉石</w:t>
      </w:r>
      <w:r>
        <w:rPr>
          <w:rFonts w:hint="eastAsia" w:cs="Times New Roman"/>
          <w:color w:val="auto"/>
          <w:lang w:val="en-US" w:eastAsia="zh-CN"/>
        </w:rPr>
        <w:t>原矿、</w:t>
      </w:r>
      <w:r>
        <w:rPr>
          <w:rFonts w:hint="default" w:ascii="Times New Roman" w:hAnsi="Times New Roman" w:cs="Times New Roman"/>
          <w:color w:val="auto"/>
        </w:rPr>
        <w:t>精矿、尾矿的放射性均较低，满足《有色金属矿产品的天然放射性限值》（GB20664-2006）相关限值标准要求。项目原矿中各放射性核素的活度浓度与其相应的豁免活度浓度之比的和小于1，对照《电离辐射防护与辐射源安全基本标准》（GB18871-2002）可以得到豁免；且本项目不属于《矿产资源开发利用辐射环境监督管理名录》（公告2020年第54号）中规定的行业，因此不需要编制辐射环境影响评价专篇。</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本次评价要求，</w:t>
      </w:r>
      <w:r>
        <w:rPr>
          <w:rFonts w:hint="default" w:ascii="Times New Roman" w:hAnsi="Times New Roman" w:cs="Times New Roman"/>
          <w:color w:val="auto"/>
          <w:u w:val="single"/>
        </w:rPr>
        <w:t>建设单位必须定期对原料进行入厂放射性抽样检测，若后期产品放射性核素的活度浓度与其相应的豁免活度浓度之比的和大于1，建设单位需另行编制核与辐射环境影响评价专章</w:t>
      </w:r>
      <w:r>
        <w:rPr>
          <w:rFonts w:hint="default" w:ascii="Times New Roman" w:hAnsi="Times New Roman" w:cs="Times New Roman"/>
          <w:color w:val="auto"/>
        </w:rPr>
        <w:t>。</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（2）其他原辅材料理化性质</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浮选剂</w:t>
      </w:r>
      <w:r>
        <w:rPr>
          <w:rFonts w:hint="default" w:ascii="Times New Roman" w:hAnsi="Times New Roman" w:cs="Times New Roman"/>
          <w:color w:val="auto"/>
        </w:rPr>
        <w:t>：本项目使用的浮选剂外购片碱、碳酸钠、活化剂及捕收剂按比例配置，主要成分碳酸钠：氢氧化钠：捕收剂：活化剂（氯化镁）=72:1:68:20。</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絮凝剂</w:t>
      </w:r>
      <w:r>
        <w:rPr>
          <w:rFonts w:hint="default" w:ascii="Times New Roman" w:hAnsi="Times New Roman" w:cs="Times New Roman"/>
          <w:color w:val="auto"/>
        </w:rPr>
        <w:t>：本项目采用絮凝剂为聚丙烯酰胺（PAM），是一种线状的有机高分子聚合物，同时也是一种高分子水处理絮凝剂产品，可以吸附水中的悬浮颗粒，在颗粒之间起链接架桥作用，使细颗粒形成比较大的絮团，并且加快了沉淀的速度。这一过程称之为絮凝，因其良好的絮凝效果PAM作为水处理的絮凝剂并且被广泛用于污水处理。</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聚凝剂</w:t>
      </w:r>
      <w:r>
        <w:rPr>
          <w:rFonts w:hint="default" w:ascii="Times New Roman" w:hAnsi="Times New Roman" w:cs="Times New Roman"/>
          <w:color w:val="auto"/>
        </w:rPr>
        <w:t>：本项目采用聚凝剂为聚合氯化铝PAC，聚合氯化铝是一种净水材料，无机高分子混凝剂，又被简称为聚铝剂，英文缩写为PAC，由于氢氧根离子的架桥作用和多价阴离子的聚合作用而生产的分子量较大、电荷较高的无机高分子水处理药剂。在形态上又可以分为固体和液体两种。固体按颜色不同又分为棕褐色、米黄色、金黄色和白色，液体可以呈现为无色透明、微黄色、浅黄色至黄褐色。本项目购买的聚凝剂为白色固体。</w:t>
      </w:r>
    </w:p>
    <w:p>
      <w:pPr>
        <w:pStyle w:val="12"/>
        <w:adjustRightInd w:val="0"/>
        <w:ind w:firstLine="48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t>其他原辅材料理化性质特性表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158"/>
        <w:gridCol w:w="2463"/>
        <w:gridCol w:w="1473"/>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lang w:bidi="ar"/>
              </w:rPr>
              <w:t>名称</w:t>
            </w:r>
          </w:p>
        </w:tc>
        <w:tc>
          <w:tcPr>
            <w:tcW w:w="679"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lang w:bidi="ar"/>
              </w:rPr>
              <w:t>分子式</w:t>
            </w:r>
          </w:p>
        </w:tc>
        <w:tc>
          <w:tcPr>
            <w:tcW w:w="144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lang w:bidi="ar"/>
              </w:rPr>
              <w:t>物化特性</w:t>
            </w:r>
          </w:p>
        </w:tc>
        <w:tc>
          <w:tcPr>
            <w:tcW w:w="86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lang w:bidi="ar"/>
              </w:rPr>
              <w:t>燃烧爆炸性</w:t>
            </w:r>
          </w:p>
        </w:tc>
        <w:tc>
          <w:tcPr>
            <w:tcW w:w="175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lang w:bidi="ar"/>
              </w:rPr>
              <w:t>毒性毒理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碳酸钠</w:t>
            </w:r>
          </w:p>
        </w:tc>
        <w:tc>
          <w:tcPr>
            <w:tcW w:w="67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Na</w:t>
            </w:r>
            <w:r>
              <w:rPr>
                <w:rFonts w:hint="default" w:ascii="Times New Roman" w:hAnsi="Times New Roman" w:cs="Times New Roman"/>
                <w:color w:val="auto"/>
                <w:kern w:val="21"/>
                <w:sz w:val="21"/>
                <w:vertAlign w:val="subscript"/>
              </w:rPr>
              <w:t>2</w:t>
            </w:r>
            <w:r>
              <w:rPr>
                <w:rFonts w:hint="default" w:ascii="Times New Roman" w:hAnsi="Times New Roman" w:cs="Times New Roman"/>
                <w:color w:val="auto"/>
                <w:kern w:val="21"/>
                <w:sz w:val="21"/>
              </w:rPr>
              <w:t>CO</w:t>
            </w:r>
            <w:r>
              <w:rPr>
                <w:rFonts w:hint="default" w:ascii="Times New Roman" w:hAnsi="Times New Roman" w:cs="Times New Roman"/>
                <w:color w:val="auto"/>
                <w:kern w:val="21"/>
                <w:sz w:val="21"/>
                <w:vertAlign w:val="subscript"/>
              </w:rPr>
              <w:t>3</w:t>
            </w:r>
          </w:p>
        </w:tc>
        <w:tc>
          <w:tcPr>
            <w:tcW w:w="144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分子量105.99，CAS号：497-19-8。白色无味颗粒或粉末，易溶于水和甘油，密度2.532g/cm</w:t>
            </w:r>
            <w:r>
              <w:rPr>
                <w:rFonts w:hint="default" w:ascii="Times New Roman" w:hAnsi="Times New Roman" w:cs="Times New Roman"/>
                <w:color w:val="auto"/>
                <w:kern w:val="21"/>
                <w:sz w:val="21"/>
                <w:vertAlign w:val="superscript"/>
                <w:lang w:bidi="ar"/>
              </w:rPr>
              <w:t>3</w:t>
            </w:r>
            <w:r>
              <w:rPr>
                <w:rFonts w:hint="default" w:ascii="Times New Roman" w:hAnsi="Times New Roman" w:cs="Times New Roman"/>
                <w:color w:val="auto"/>
                <w:kern w:val="21"/>
                <w:sz w:val="21"/>
                <w:lang w:bidi="ar"/>
              </w:rPr>
              <w:t>。熔点851℃，沸点1744℃。</w:t>
            </w:r>
          </w:p>
        </w:tc>
        <w:tc>
          <w:tcPr>
            <w:tcW w:w="86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不燃，具有腐蚀性、刺激性。</w:t>
            </w:r>
          </w:p>
        </w:tc>
        <w:tc>
          <w:tcPr>
            <w:tcW w:w="175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健康危害：具有弱刺激性和弱腐蚀性。直接接触可引起皮肤和眼灼伤。生产中吸入其粉尘和烟雾可引起呼吸道刺激和结膜炎，还可有鼻黏膜溃疡、萎缩及鼻中隔穿孔。长时间接触该品溶液可发生湿疹、皮炎、鸡眼状溃疡和皮肤松弛。接触该品的作业工人呼吸器官疾病发病率升高。误服可造成消化道灼伤、黏膜糜烂、出血和休克。</w:t>
            </w:r>
          </w:p>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毒性：LD</w:t>
            </w:r>
            <w:r>
              <w:rPr>
                <w:rFonts w:hint="default" w:ascii="Times New Roman" w:hAnsi="Times New Roman" w:cs="Times New Roman"/>
                <w:color w:val="auto"/>
                <w:kern w:val="21"/>
                <w:sz w:val="21"/>
                <w:vertAlign w:val="subscript"/>
                <w:lang w:bidi="ar"/>
              </w:rPr>
              <w:t>50</w:t>
            </w:r>
            <w:r>
              <w:rPr>
                <w:rFonts w:hint="default" w:ascii="Times New Roman" w:hAnsi="Times New Roman" w:cs="Times New Roman"/>
                <w:color w:val="auto"/>
                <w:kern w:val="21"/>
                <w:sz w:val="21"/>
                <w:lang w:bidi="ar"/>
              </w:rPr>
              <w:t>：4090mg/kg（大鼠经口），LC</w:t>
            </w:r>
            <w:r>
              <w:rPr>
                <w:rFonts w:hint="default" w:ascii="Times New Roman" w:hAnsi="Times New Roman" w:cs="Times New Roman"/>
                <w:color w:val="auto"/>
                <w:kern w:val="21"/>
                <w:sz w:val="21"/>
                <w:vertAlign w:val="subscript"/>
                <w:lang w:bidi="ar"/>
              </w:rPr>
              <w:t>50</w:t>
            </w:r>
            <w:r>
              <w:rPr>
                <w:rFonts w:hint="default" w:ascii="Times New Roman" w:hAnsi="Times New Roman" w:cs="Times New Roman"/>
                <w:color w:val="auto"/>
                <w:kern w:val="21"/>
                <w:sz w:val="21"/>
                <w:lang w:bidi="ar"/>
              </w:rPr>
              <w:t>：2300mg/m</w:t>
            </w:r>
            <w:r>
              <w:rPr>
                <w:rFonts w:hint="default" w:ascii="Times New Roman" w:hAnsi="Times New Roman" w:cs="Times New Roman"/>
                <w:color w:val="auto"/>
                <w:kern w:val="21"/>
                <w:sz w:val="21"/>
                <w:vertAlign w:val="superscript"/>
                <w:lang w:bidi="ar"/>
              </w:rPr>
              <w:t>3</w:t>
            </w:r>
            <w:r>
              <w:rPr>
                <w:rFonts w:hint="default" w:ascii="Times New Roman" w:hAnsi="Times New Roman" w:cs="Times New Roman"/>
                <w:color w:val="auto"/>
                <w:kern w:val="21"/>
                <w:sz w:val="21"/>
                <w:lang w:bidi="ar"/>
              </w:rPr>
              <w:t>，2小时（大鼠吸入）。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氢氧化钠</w:t>
            </w:r>
          </w:p>
        </w:tc>
        <w:tc>
          <w:tcPr>
            <w:tcW w:w="67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NaOH</w:t>
            </w:r>
          </w:p>
        </w:tc>
        <w:tc>
          <w:tcPr>
            <w:tcW w:w="144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分子量40.01，蒸汽压0.13kPa（739℃），熔点：318.4℃，沸点：1390℃，易溶于水、乙醇、甘油，不溶于丙酮；相对密度（水=1）2.12，常温下稳定。</w:t>
            </w:r>
          </w:p>
        </w:tc>
        <w:tc>
          <w:tcPr>
            <w:tcW w:w="86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本品不会燃烧，遇水和水蒸气大量放热，形成腐蚀性溶液。与酸发生中和反应并放热。具有强腐蚀性。</w:t>
            </w:r>
          </w:p>
        </w:tc>
        <w:tc>
          <w:tcPr>
            <w:tcW w:w="175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lang w:bidi="ar"/>
              </w:rPr>
            </w:pPr>
            <w:r>
              <w:rPr>
                <w:rFonts w:hint="default" w:ascii="Times New Roman" w:hAnsi="Times New Roman" w:cs="Times New Roman"/>
                <w:color w:val="auto"/>
                <w:kern w:val="21"/>
                <w:sz w:val="21"/>
                <w:lang w:bidi="ar"/>
              </w:rPr>
              <w:t>健康危害：本品有强烈刺激和腐蚀性。</w:t>
            </w:r>
          </w:p>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侵入途径：吸入、食入。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氯化镁</w:t>
            </w:r>
          </w:p>
        </w:tc>
        <w:tc>
          <w:tcPr>
            <w:tcW w:w="67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MgCl</w:t>
            </w:r>
            <w:r>
              <w:rPr>
                <w:rFonts w:hint="default" w:ascii="Times New Roman" w:hAnsi="Times New Roman" w:cs="Times New Roman"/>
                <w:color w:val="auto"/>
                <w:kern w:val="21"/>
                <w:sz w:val="21"/>
                <w:vertAlign w:val="subscript"/>
              </w:rPr>
              <w:t>2</w:t>
            </w:r>
          </w:p>
        </w:tc>
        <w:tc>
          <w:tcPr>
            <w:tcW w:w="144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分子量为95.21，呈现为无色、无嗅的小片、颗粒、块状式单斜晶系晶体，味苦，极易受潮、极易溶于水且能溶于乙醇；其相对密度2.316~2.33（25℃），熔点714℃，沸点达1412℃。</w:t>
            </w:r>
          </w:p>
        </w:tc>
        <w:tc>
          <w:tcPr>
            <w:tcW w:w="86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不燃。</w:t>
            </w:r>
          </w:p>
        </w:tc>
        <w:tc>
          <w:tcPr>
            <w:tcW w:w="175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氯化镁属低毒物质，大鼠经口LD50为2800mg/kg，人经口服4~5g能引起腹泻，根据FAO/WHO（1994年）规定，其每日容许摄入量（ADI）不作特殊要求。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氧化石蜡皂</w:t>
            </w:r>
          </w:p>
        </w:tc>
        <w:tc>
          <w:tcPr>
            <w:tcW w:w="67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RCO</w:t>
            </w:r>
            <w:r>
              <w:rPr>
                <w:rFonts w:hint="default" w:ascii="Times New Roman" w:hAnsi="Times New Roman" w:cs="Times New Roman"/>
                <w:color w:val="auto"/>
                <w:kern w:val="21"/>
                <w:sz w:val="21"/>
                <w:vertAlign w:val="subscript"/>
              </w:rPr>
              <w:t>2</w:t>
            </w:r>
            <w:r>
              <w:rPr>
                <w:rFonts w:hint="default" w:ascii="Times New Roman" w:hAnsi="Times New Roman" w:cs="Times New Roman"/>
                <w:color w:val="auto"/>
                <w:kern w:val="21"/>
                <w:sz w:val="21"/>
              </w:rPr>
              <w:t>Na</w:t>
            </w:r>
          </w:p>
        </w:tc>
        <w:tc>
          <w:tcPr>
            <w:tcW w:w="144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红褐色，膏状物或粉状物溶于水，主要用有色金属矿和黑色金属矿及非金属矿作为捕收剂、起泡剂使用，适用于磷矿、钨矿、萤石矿、锂辉石矿、辉钼石矿、赤铁矿、铝土矿等。</w:t>
            </w:r>
          </w:p>
        </w:tc>
        <w:tc>
          <w:tcPr>
            <w:tcW w:w="86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不燃。</w:t>
            </w:r>
          </w:p>
        </w:tc>
        <w:tc>
          <w:tcPr>
            <w:tcW w:w="175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聚合氯化铝</w:t>
            </w:r>
          </w:p>
        </w:tc>
        <w:tc>
          <w:tcPr>
            <w:tcW w:w="67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AlCl</w:t>
            </w:r>
            <w:r>
              <w:rPr>
                <w:rFonts w:hint="default" w:ascii="Times New Roman" w:hAnsi="Times New Roman" w:cs="Times New Roman"/>
                <w:color w:val="auto"/>
                <w:kern w:val="21"/>
                <w:sz w:val="21"/>
                <w:vertAlign w:val="subscript"/>
              </w:rPr>
              <w:t>3</w:t>
            </w:r>
          </w:p>
        </w:tc>
        <w:tc>
          <w:tcPr>
            <w:tcW w:w="144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英文缩写PAC，分子量133.34，无机高分子水处理药剂，无色或黄色固体，易溶于水及稀酒精，不溶于无水酒精及甘油。</w:t>
            </w:r>
          </w:p>
        </w:tc>
        <w:tc>
          <w:tcPr>
            <w:tcW w:w="86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不燃。</w:t>
            </w:r>
          </w:p>
        </w:tc>
        <w:tc>
          <w:tcPr>
            <w:tcW w:w="175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聚丙烯酰胺</w:t>
            </w:r>
          </w:p>
        </w:tc>
        <w:tc>
          <w:tcPr>
            <w:tcW w:w="67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(C</w:t>
            </w:r>
            <w:r>
              <w:rPr>
                <w:rFonts w:hint="default" w:ascii="Times New Roman" w:hAnsi="Times New Roman" w:cs="Times New Roman"/>
                <w:color w:val="auto"/>
                <w:kern w:val="21"/>
                <w:sz w:val="21"/>
                <w:vertAlign w:val="subscript"/>
              </w:rPr>
              <w:t>3</w:t>
            </w:r>
            <w:r>
              <w:rPr>
                <w:rFonts w:hint="default" w:ascii="Times New Roman" w:hAnsi="Times New Roman" w:cs="Times New Roman"/>
                <w:color w:val="auto"/>
                <w:kern w:val="21"/>
                <w:sz w:val="21"/>
              </w:rPr>
              <w:t>H</w:t>
            </w:r>
            <w:r>
              <w:rPr>
                <w:rFonts w:hint="default" w:ascii="Times New Roman" w:hAnsi="Times New Roman" w:cs="Times New Roman"/>
                <w:color w:val="auto"/>
                <w:kern w:val="21"/>
                <w:sz w:val="21"/>
                <w:vertAlign w:val="subscript"/>
              </w:rPr>
              <w:t>5</w:t>
            </w:r>
            <w:r>
              <w:rPr>
                <w:rFonts w:hint="default" w:ascii="Times New Roman" w:hAnsi="Times New Roman" w:cs="Times New Roman"/>
                <w:color w:val="auto"/>
                <w:kern w:val="21"/>
                <w:sz w:val="21"/>
              </w:rPr>
              <w:t>NO</w:t>
            </w:r>
            <w:r>
              <w:rPr>
                <w:rFonts w:hint="default" w:ascii="Times New Roman" w:hAnsi="Times New Roman" w:cs="Times New Roman"/>
                <w:color w:val="auto"/>
                <w:kern w:val="21"/>
                <w:sz w:val="21"/>
                <w:vertAlign w:val="subscript"/>
              </w:rPr>
              <w:t>n</w:t>
            </w:r>
            <w:r>
              <w:rPr>
                <w:rFonts w:hint="default" w:ascii="Times New Roman" w:hAnsi="Times New Roman" w:cs="Times New Roman"/>
                <w:color w:val="auto"/>
                <w:kern w:val="21"/>
                <w:sz w:val="21"/>
              </w:rPr>
              <w:t>)</w:t>
            </w:r>
          </w:p>
        </w:tc>
        <w:tc>
          <w:tcPr>
            <w:tcW w:w="144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英文缩写PAM，分子量71.07，线状有机高分子聚合物，溶于水，可吸附水中悬浮颗粒。</w:t>
            </w:r>
          </w:p>
        </w:tc>
        <w:tc>
          <w:tcPr>
            <w:tcW w:w="864"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不燃。</w:t>
            </w:r>
          </w:p>
        </w:tc>
        <w:tc>
          <w:tcPr>
            <w:tcW w:w="1750"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无毒。</w:t>
            </w:r>
          </w:p>
        </w:tc>
      </w:tr>
    </w:tbl>
    <w:p>
      <w:pPr>
        <w:pStyle w:val="3"/>
        <w:adjustRightInd w:val="0"/>
        <w:rPr>
          <w:rFonts w:hint="default" w:ascii="Times New Roman" w:hAnsi="Times New Roman" w:cs="Times New Roman"/>
          <w:color w:val="auto"/>
        </w:rPr>
      </w:pPr>
      <w:bookmarkStart w:id="97" w:name="_Toc15852"/>
      <w:r>
        <w:rPr>
          <w:rFonts w:hint="default" w:ascii="Times New Roman" w:hAnsi="Times New Roman" w:cs="Times New Roman"/>
          <w:color w:val="auto"/>
        </w:rPr>
        <w:t>项目主要生产设备</w:t>
      </w:r>
      <w:bookmarkEnd w:id="97"/>
    </w:p>
    <w:p>
      <w:pPr>
        <w:adjustRightInd w:val="0"/>
        <w:ind w:firstLine="480"/>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default" w:ascii="Times New Roman" w:hAnsi="Times New Roman" w:cs="Times New Roman"/>
          <w:color w:val="auto"/>
        </w:rPr>
        <w:t>本项目主要设备见下表。</w:t>
      </w:r>
    </w:p>
    <w:p>
      <w:pPr>
        <w:pStyle w:val="12"/>
        <w:adjustRightInd w:val="0"/>
        <w:ind w:firstLine="48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t>项目主要设备一览表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810"/>
        <w:gridCol w:w="1368"/>
        <w:gridCol w:w="3180"/>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9"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位置</w:t>
            </w:r>
          </w:p>
        </w:tc>
        <w:tc>
          <w:tcPr>
            <w:tcW w:w="1062"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设备名称</w:t>
            </w:r>
          </w:p>
        </w:tc>
        <w:tc>
          <w:tcPr>
            <w:tcW w:w="80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数量（台/套）</w:t>
            </w:r>
          </w:p>
        </w:tc>
        <w:tc>
          <w:tcPr>
            <w:tcW w:w="186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规格/型号</w:t>
            </w:r>
          </w:p>
        </w:tc>
        <w:tc>
          <w:tcPr>
            <w:tcW w:w="658"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碎矿车间</w:t>
            </w: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给料机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PG800×3000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给料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可移动给料机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PG1000×6000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给料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颚式破碎机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XY-751060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破碎原矿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颚式破碎机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XY-6090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破碎原矿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圆锥破碎机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XY-1400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破碎原矿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立轴式冲击破</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XY-10000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破碎原矿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圆振动筛</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2YKH2460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筛分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密闭输送带</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物料运输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布袋除尘器</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风机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9-26No12.5D型，L=32000m3/h，H=3000Pa，N=55kW</w:t>
            </w:r>
          </w:p>
        </w:tc>
        <w:tc>
          <w:tcPr>
            <w:tcW w:w="658" w:type="pct"/>
            <w:vAlign w:val="center"/>
          </w:tcPr>
          <w:p>
            <w:pPr>
              <w:pStyle w:val="65"/>
              <w:spacing w:before="65" w:after="65"/>
              <w:rPr>
                <w:rFonts w:hint="default" w:ascii="Times New Roman" w:hAnsi="Times New Roman" w:cs="Times New Roman"/>
                <w:color w:val="auto"/>
                <w:lang w:val="en-US"/>
              </w:rPr>
            </w:pPr>
            <w:r>
              <w:rPr>
                <w:rFonts w:hint="default" w:ascii="Times New Roman" w:hAnsi="Times New Roman" w:cs="Times New Roman"/>
                <w:color w:val="auto"/>
              </w:rPr>
              <w:t>废气处理</w:t>
            </w:r>
            <w:r>
              <w:rPr>
                <w:rFonts w:hint="eastAsia" w:cs="Times New Roman"/>
                <w:color w:val="auto"/>
                <w:lang w:val="en-US" w:eastAsia="zh-CN"/>
              </w:rPr>
              <w:t>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磨浮车间</w:t>
            </w: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溢流型球磨机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MQY3650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球磨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磨矿分级旋流器组</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Φ350×6</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XCF-24</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KYF-24</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罗茨鼓风机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Q=125m³/min,P=34.3kpa</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浮选鼓风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磁选机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B=1200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磁选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磁选机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B=1000</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磁选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脱水车间</w:t>
            </w: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浓密机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NXZ-15</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浓密机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NXZ-26</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隔膜厢式自动压滤机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XMAZGF500-1600-40-UK</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尾矿脱水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带式真空过滤机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60m</w:t>
            </w:r>
            <w:r>
              <w:rPr>
                <w:rFonts w:hint="default" w:ascii="Times New Roman" w:hAnsi="Times New Roman" w:cs="Times New Roman"/>
                <w:color w:val="auto"/>
                <w:vertAlign w:val="superscript"/>
              </w:rPr>
              <w:t>2</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精矿脱水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浓缩旋流器</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Φ250×6</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精矿脱水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永磁螺杆空压机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KB-150PV</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给压滤机供气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pPr>
              <w:pStyle w:val="65"/>
              <w:spacing w:before="65" w:after="65"/>
              <w:rPr>
                <w:rFonts w:hint="default" w:ascii="Times New Roman" w:hAnsi="Times New Roman" w:cs="Times New Roman"/>
                <w:color w:val="auto"/>
              </w:rPr>
            </w:pPr>
          </w:p>
        </w:tc>
        <w:tc>
          <w:tcPr>
            <w:tcW w:w="10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永磁螺杆空压机</w:t>
            </w:r>
          </w:p>
        </w:tc>
        <w:tc>
          <w:tcPr>
            <w:tcW w:w="8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8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KB-20PV</w:t>
            </w:r>
          </w:p>
        </w:tc>
        <w:tc>
          <w:tcPr>
            <w:tcW w:w="65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给压滤机供气</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本项目所用设备均不属于2023年中华人民共和国国家发展和改革委员会令第7号公布的《产业结构调整指导目录（2024年本）》中的淘汰类或限制类设备。</w:t>
      </w:r>
    </w:p>
    <w:p>
      <w:pPr>
        <w:adjustRightInd w:val="0"/>
        <w:ind w:firstLine="482"/>
        <w:rPr>
          <w:rFonts w:hint="default" w:ascii="Times New Roman" w:hAnsi="Times New Roman" w:cs="Times New Roman"/>
          <w:b/>
          <w:bCs/>
          <w:color w:val="auto"/>
        </w:rPr>
      </w:pPr>
      <w:r>
        <w:rPr>
          <w:rFonts w:hint="eastAsia" w:cs="Times New Roman"/>
          <w:b/>
          <w:bCs/>
          <w:color w:val="auto"/>
          <w:lang w:eastAsia="zh-CN"/>
        </w:rPr>
        <w:t>（</w:t>
      </w:r>
      <w:r>
        <w:rPr>
          <w:rFonts w:hint="eastAsia" w:cs="Times New Roman"/>
          <w:b/>
          <w:bCs/>
          <w:color w:val="auto"/>
          <w:lang w:val="en-US" w:eastAsia="zh-CN"/>
        </w:rPr>
        <w:t>2</w:t>
      </w:r>
      <w:r>
        <w:rPr>
          <w:rFonts w:hint="eastAsia" w:cs="Times New Roman"/>
          <w:b/>
          <w:bCs/>
          <w:color w:val="auto"/>
          <w:lang w:eastAsia="zh-CN"/>
        </w:rPr>
        <w:t>）</w:t>
      </w:r>
      <w:r>
        <w:rPr>
          <w:rFonts w:hint="default" w:ascii="Times New Roman" w:hAnsi="Times New Roman" w:cs="Times New Roman"/>
          <w:b/>
          <w:bCs/>
          <w:color w:val="auto"/>
        </w:rPr>
        <w:t>主要生产线产能匹配性分析：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根据建设单位提供的资料，本项目建成后日处理锂辉石原矿1666.67t，项目主要生产设备与产能匹配性分析如下表。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项目主要设备与产能匹配性分析表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1407"/>
        <w:gridCol w:w="743"/>
        <w:gridCol w:w="1116"/>
        <w:gridCol w:w="834"/>
        <w:gridCol w:w="1061"/>
        <w:gridCol w:w="955"/>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设备名称</w:t>
            </w:r>
          </w:p>
        </w:tc>
        <w:tc>
          <w:tcPr>
            <w:tcW w:w="82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型号</w:t>
            </w:r>
          </w:p>
        </w:tc>
        <w:tc>
          <w:tcPr>
            <w:tcW w:w="43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数量（台/套）</w:t>
            </w:r>
          </w:p>
        </w:tc>
        <w:tc>
          <w:tcPr>
            <w:tcW w:w="654"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单台设备生产效率（t/h）</w:t>
            </w:r>
          </w:p>
        </w:tc>
        <w:tc>
          <w:tcPr>
            <w:tcW w:w="49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年运行时间（h）</w:t>
            </w:r>
          </w:p>
        </w:tc>
        <w:tc>
          <w:tcPr>
            <w:tcW w:w="62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年生产能力（t/a）</w:t>
            </w:r>
          </w:p>
        </w:tc>
        <w:tc>
          <w:tcPr>
            <w:tcW w:w="561"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设计生产规模（t/a）</w:t>
            </w:r>
          </w:p>
        </w:tc>
        <w:tc>
          <w:tcPr>
            <w:tcW w:w="547"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给料机</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PG800×3000</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55</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4800</w:t>
            </w:r>
          </w:p>
        </w:tc>
        <w:tc>
          <w:tcPr>
            <w:tcW w:w="62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528000</w:t>
            </w:r>
          </w:p>
        </w:tc>
        <w:tc>
          <w:tcPr>
            <w:tcW w:w="56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颚式破碎机</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XY-751060</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110</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4800</w:t>
            </w:r>
          </w:p>
        </w:tc>
        <w:tc>
          <w:tcPr>
            <w:tcW w:w="62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528000</w:t>
            </w:r>
          </w:p>
        </w:tc>
        <w:tc>
          <w:tcPr>
            <w:tcW w:w="56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颚式破碎机</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XY-6090</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110</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4800</w:t>
            </w:r>
          </w:p>
        </w:tc>
        <w:tc>
          <w:tcPr>
            <w:tcW w:w="62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528000</w:t>
            </w:r>
          </w:p>
        </w:tc>
        <w:tc>
          <w:tcPr>
            <w:tcW w:w="56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圆锥破碎机</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XY-1400</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110</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4800</w:t>
            </w:r>
          </w:p>
        </w:tc>
        <w:tc>
          <w:tcPr>
            <w:tcW w:w="62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528000</w:t>
            </w:r>
          </w:p>
        </w:tc>
        <w:tc>
          <w:tcPr>
            <w:tcW w:w="56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立轴式冲击破</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XY-10000</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110</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4800</w:t>
            </w:r>
          </w:p>
        </w:tc>
        <w:tc>
          <w:tcPr>
            <w:tcW w:w="62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528000</w:t>
            </w:r>
          </w:p>
        </w:tc>
        <w:tc>
          <w:tcPr>
            <w:tcW w:w="56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圆振动筛</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2YKH2460</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110</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4800</w:t>
            </w:r>
          </w:p>
        </w:tc>
        <w:tc>
          <w:tcPr>
            <w:tcW w:w="62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528000</w:t>
            </w:r>
          </w:p>
        </w:tc>
        <w:tc>
          <w:tcPr>
            <w:tcW w:w="56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溢流型球磨机</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MQY3650</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72</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7200</w:t>
            </w:r>
          </w:p>
        </w:tc>
        <w:tc>
          <w:tcPr>
            <w:tcW w:w="62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518400</w:t>
            </w:r>
          </w:p>
        </w:tc>
        <w:tc>
          <w:tcPr>
            <w:tcW w:w="56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浮选机</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XCF-24</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7200</w:t>
            </w:r>
          </w:p>
        </w:tc>
        <w:tc>
          <w:tcPr>
            <w:tcW w:w="62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518400</w:t>
            </w:r>
          </w:p>
        </w:tc>
        <w:tc>
          <w:tcPr>
            <w:tcW w:w="56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浮选机</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KYF-24</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5.5</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7200</w:t>
            </w:r>
          </w:p>
        </w:tc>
        <w:tc>
          <w:tcPr>
            <w:tcW w:w="62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514800</w:t>
            </w:r>
          </w:p>
        </w:tc>
        <w:tc>
          <w:tcPr>
            <w:tcW w:w="56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磁选机</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B=1200</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40</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7200</w:t>
            </w:r>
          </w:p>
        </w:tc>
        <w:tc>
          <w:tcPr>
            <w:tcW w:w="623"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518400</w:t>
            </w:r>
          </w:p>
        </w:tc>
        <w:tc>
          <w:tcPr>
            <w:tcW w:w="561"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500000</w:t>
            </w:r>
          </w:p>
        </w:tc>
        <w:tc>
          <w:tcPr>
            <w:tcW w:w="547"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磁选机</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B=1000</w:t>
            </w:r>
          </w:p>
        </w:tc>
        <w:tc>
          <w:tcPr>
            <w:tcW w:w="4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6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32</w:t>
            </w:r>
          </w:p>
        </w:tc>
        <w:tc>
          <w:tcPr>
            <w:tcW w:w="49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7200</w:t>
            </w:r>
          </w:p>
        </w:tc>
        <w:tc>
          <w:tcPr>
            <w:tcW w:w="623" w:type="pct"/>
            <w:vMerge w:val="continue"/>
            <w:vAlign w:val="center"/>
          </w:tcPr>
          <w:p>
            <w:pPr>
              <w:pStyle w:val="65"/>
              <w:spacing w:before="65" w:after="65"/>
              <w:rPr>
                <w:rFonts w:hint="default" w:ascii="Times New Roman" w:hAnsi="Times New Roman" w:cs="Times New Roman"/>
                <w:color w:val="auto"/>
              </w:rPr>
            </w:pPr>
          </w:p>
        </w:tc>
        <w:tc>
          <w:tcPr>
            <w:tcW w:w="561" w:type="pct"/>
            <w:vMerge w:val="continue"/>
            <w:vAlign w:val="center"/>
          </w:tcPr>
          <w:p>
            <w:pPr>
              <w:pStyle w:val="65"/>
              <w:spacing w:before="65" w:after="65"/>
              <w:rPr>
                <w:rFonts w:hint="default" w:ascii="Times New Roman" w:hAnsi="Times New Roman" w:cs="Times New Roman"/>
                <w:color w:val="auto"/>
              </w:rPr>
            </w:pPr>
          </w:p>
        </w:tc>
        <w:tc>
          <w:tcPr>
            <w:tcW w:w="547" w:type="pct"/>
            <w:vMerge w:val="continue"/>
            <w:vAlign w:val="center"/>
          </w:tcPr>
          <w:p>
            <w:pPr>
              <w:pStyle w:val="65"/>
              <w:spacing w:before="65" w:after="65"/>
              <w:rPr>
                <w:rFonts w:hint="default" w:ascii="Times New Roman" w:hAnsi="Times New Roman" w:cs="Times New Roman"/>
                <w:color w:val="auto"/>
              </w:rPr>
            </w:pPr>
          </w:p>
        </w:tc>
      </w:tr>
    </w:tbl>
    <w:p>
      <w:pPr>
        <w:pStyle w:val="3"/>
        <w:adjustRightInd w:val="0"/>
        <w:rPr>
          <w:rFonts w:hint="default" w:ascii="Times New Roman" w:hAnsi="Times New Roman" w:cs="Times New Roman"/>
          <w:color w:val="auto"/>
        </w:rPr>
      </w:pPr>
      <w:bookmarkStart w:id="98" w:name="_Toc4220"/>
      <w:r>
        <w:rPr>
          <w:rFonts w:hint="default" w:ascii="Times New Roman" w:hAnsi="Times New Roman" w:cs="Times New Roman"/>
          <w:color w:val="auto"/>
        </w:rPr>
        <w:t>公用工程</w:t>
      </w:r>
      <w:bookmarkEnd w:id="98"/>
    </w:p>
    <w:p>
      <w:pPr>
        <w:pStyle w:val="4"/>
        <w:adjustRightInd w:val="0"/>
        <w:rPr>
          <w:rFonts w:hint="default" w:ascii="Times New Roman" w:hAnsi="Times New Roman" w:cs="Times New Roman"/>
          <w:color w:val="auto"/>
        </w:rPr>
      </w:pPr>
      <w:bookmarkStart w:id="99" w:name="_Toc21104"/>
      <w:r>
        <w:rPr>
          <w:rFonts w:hint="default" w:ascii="Times New Roman" w:hAnsi="Times New Roman" w:cs="Times New Roman"/>
          <w:color w:val="auto"/>
        </w:rPr>
        <w:t>供水工程</w:t>
      </w:r>
      <w:bookmarkEnd w:id="99"/>
    </w:p>
    <w:p>
      <w:pPr>
        <w:adjustRightInd w:val="0"/>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根据《乐山（沙湾）不锈钢产业园区规划环境影响跟踪评价报告书》，规划区用水以大渡河水为水源，对于工业生产用水规划中采取直接从大渡河左岸工业用水取水口取水。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本项目位于乐山（沙湾）不锈钢产业园区内，厂区给水由市政供水管网提供，供水压力满足本项目使用要求。厂区给水主要用于生活、运行及消防等。给水干管管径DN150，厂区内呈环网状，利于消防和安全供水。</w:t>
      </w:r>
    </w:p>
    <w:p>
      <w:pPr>
        <w:pStyle w:val="4"/>
        <w:adjustRightInd w:val="0"/>
        <w:rPr>
          <w:rFonts w:hint="default" w:ascii="Times New Roman" w:hAnsi="Times New Roman" w:cs="Times New Roman"/>
          <w:color w:val="auto"/>
        </w:rPr>
      </w:pPr>
      <w:bookmarkStart w:id="100" w:name="_Toc15195"/>
      <w:r>
        <w:rPr>
          <w:rFonts w:hint="default" w:ascii="Times New Roman" w:hAnsi="Times New Roman" w:cs="Times New Roman"/>
          <w:color w:val="auto"/>
        </w:rPr>
        <w:t>排水工程</w:t>
      </w:r>
      <w:bookmarkEnd w:id="100"/>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本项目厂区排水采用雨污分流制。厂区雨水采用重力流方式，排入厂区外园区市政雨水管网内。全厂共设置1套生产废水处理设施，为三级沉淀池（一级沉淀池有效容积1460m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、二级沉淀池有效容积1460m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、三级沉淀池有效容积1400m</w:t>
      </w:r>
      <w:r>
        <w:rPr>
          <w:rFonts w:hint="default" w:ascii="Times New Roman" w:hAnsi="Times New Roman" w:cs="Times New Roman"/>
          <w:color w:val="auto"/>
          <w:vertAlign w:val="superscript"/>
        </w:rPr>
        <w:t>3</w:t>
      </w:r>
      <w:r>
        <w:rPr>
          <w:rFonts w:hint="default" w:ascii="Times New Roman" w:hAnsi="Times New Roman" w:cs="Times New Roman"/>
          <w:color w:val="auto"/>
        </w:rPr>
        <w:t>，其中一级沉淀池设计水力停留时间为5.2h、二级沉淀池设计水力停留时间为5.2h，三级沉淀池设计水力停留时间为5h，处理能力280m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/h，处理工艺为絮凝+沉淀），其中浓密机废水（4837.4m</w:t>
      </w:r>
      <w:r>
        <w:rPr>
          <w:rFonts w:hint="default" w:ascii="Times New Roman" w:hAnsi="Times New Roman" w:cs="Times New Roman"/>
          <w:color w:val="auto"/>
          <w:vertAlign w:val="superscript"/>
        </w:rPr>
        <w:t>3</w:t>
      </w:r>
      <w:r>
        <w:rPr>
          <w:rFonts w:hint="default" w:ascii="Times New Roman" w:hAnsi="Times New Roman" w:cs="Times New Roman"/>
          <w:color w:val="auto"/>
        </w:rPr>
        <w:t>/d）经废水处理设施处理后回用于球磨、浮选工序。堆场渗滤水（14.56m</w:t>
      </w:r>
      <w:r>
        <w:rPr>
          <w:rFonts w:hint="default" w:ascii="Times New Roman" w:hAnsi="Times New Roman" w:cs="Times New Roman"/>
          <w:color w:val="auto"/>
          <w:vertAlign w:val="superscript"/>
        </w:rPr>
        <w:t>3</w:t>
      </w:r>
      <w:r>
        <w:rPr>
          <w:rFonts w:hint="default" w:ascii="Times New Roman" w:hAnsi="Times New Roman" w:cs="Times New Roman"/>
          <w:color w:val="auto"/>
        </w:rPr>
        <w:t>/d）经导流沟收集后进入废水处理设施处理后回用于球磨工序；全厂设置7套板框压滤机，压滤工序产生的压滤废水（2073.16m</w:t>
      </w:r>
      <w:r>
        <w:rPr>
          <w:rFonts w:hint="default" w:ascii="Times New Roman" w:hAnsi="Times New Roman" w:cs="Times New Roman"/>
          <w:color w:val="auto"/>
          <w:vertAlign w:val="superscript"/>
        </w:rPr>
        <w:t>3</w:t>
      </w:r>
      <w:r>
        <w:rPr>
          <w:rFonts w:hint="default" w:ascii="Times New Roman" w:hAnsi="Times New Roman" w:cs="Times New Roman"/>
          <w:color w:val="auto"/>
        </w:rPr>
        <w:t>/d），进入废水处理设施处理后回用于生产。生活污水经预处理池（50m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）处理达标后排放至园区污水厂处理。</w:t>
      </w:r>
    </w:p>
    <w:p>
      <w:pPr>
        <w:pStyle w:val="4"/>
        <w:adjustRightInd w:val="0"/>
        <w:rPr>
          <w:rFonts w:hint="default" w:ascii="Times New Roman" w:hAnsi="Times New Roman" w:cs="Times New Roman"/>
          <w:color w:val="auto"/>
        </w:rPr>
      </w:pPr>
      <w:bookmarkStart w:id="101" w:name="_Toc8501"/>
      <w:r>
        <w:rPr>
          <w:rFonts w:hint="default" w:ascii="Times New Roman" w:hAnsi="Times New Roman" w:cs="Times New Roman"/>
          <w:color w:val="auto"/>
        </w:rPr>
        <w:t>供电工程</w:t>
      </w:r>
      <w:bookmarkEnd w:id="10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本项目供电系统由市政电网保障。本项目设10kV配电室为全厂供电，其10kV电源引自市政电网。配电室内安装1台1600kVA10/0.4kV变压器为低压设备配电。</w:t>
      </w:r>
    </w:p>
    <w:p>
      <w:pPr>
        <w:pStyle w:val="4"/>
        <w:adjustRightInd w:val="0"/>
        <w:rPr>
          <w:rFonts w:hint="default" w:ascii="Times New Roman" w:hAnsi="Times New Roman" w:cs="Times New Roman"/>
          <w:color w:val="auto"/>
        </w:rPr>
      </w:pPr>
      <w:bookmarkStart w:id="102" w:name="_Toc18178"/>
      <w:r>
        <w:rPr>
          <w:rFonts w:hint="default" w:ascii="Times New Roman" w:hAnsi="Times New Roman" w:cs="Times New Roman"/>
          <w:color w:val="auto"/>
        </w:rPr>
        <w:t>消防工程</w:t>
      </w:r>
      <w:bookmarkEnd w:id="102"/>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在正常运行情况下，不易发生火灾，本项目不设消防车辆，但要设专职消防人员和必要的消防设施（如灭火器、专用的砂池）以满足消防的要求。根据“预防为主，防消结合”的方针，本项目拟采取相应的防范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厂内主要道路宽4.0~6.0米，道路净空高度不小于4.0m，与厂外道路相连，满足消防车对道路的要求。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厂区内需设置室外消火栓，其水量和水压需满足本项目建设后厂区的消防用水要求，同时在生产厂房等建（构）筑物内分别设置干粉灭火器。</w:t>
      </w:r>
    </w:p>
    <w:p>
      <w:pPr>
        <w:pStyle w:val="3"/>
        <w:adjustRightInd w:val="0"/>
        <w:rPr>
          <w:rFonts w:hint="default" w:ascii="Times New Roman" w:hAnsi="Times New Roman" w:cs="Times New Roman"/>
          <w:color w:val="auto"/>
        </w:rPr>
      </w:pPr>
      <w:bookmarkStart w:id="103" w:name="_Toc25597"/>
      <w:r>
        <w:rPr>
          <w:rFonts w:hint="default" w:ascii="Times New Roman" w:hAnsi="Times New Roman" w:cs="Times New Roman"/>
          <w:color w:val="auto"/>
        </w:rPr>
        <w:t>项目总平面布置合理性分析</w:t>
      </w:r>
      <w:bookmarkEnd w:id="103"/>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址位于乐山市沙湾区嘉农镇凤凰路1号（乐山（沙湾）不锈钢产业园区内）,根据项目功能要求和厂房情况，本项目入口位于厂区西南侧，紧邻园区道路，交通便利。项目总体布局上分为生产区、生活区，总体布局上将生产、生活区独立设置，避免相互干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（1）总平面布置原则</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厂区总平面布置应符合国家的有关规定及要求，结合场地自然条件及现状，满足生产运输、安全卫生、环境保护等方面的需要；同时考虑企业在生产、交通运输、动力设施、设备维修等方面的协作关系，遵循节约用地的原则，做到生产工艺流程顺畅，通道宽度适中，总图布置合理紧凑，协调统一。</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（2）总平面布置</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本项目选址位于乐山（沙湾）不锈钢产业园区内，生产厂房呈长方形，根据建设单位对拟建场地的使用意图，结合场地外形及生产工艺流程，各项技术指标均符合要求，能够满足不同运输车辆行驶的性能要求。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原矿仓库设置在碎矿车间内东侧，原矿通过封闭胶带输送机运至原料破碎及筛分工序；筛分后的物料经封闭胶带输送机送至磨浮车间，磨浮车间位于厂区中部，主要用于原料磨矿、浮选及磁选工序；最终进入脱水车间，脱水车间位于厂区西北部，主要用于脱水工序，得到的产品转入精矿仓库。项目生产车间及设施布置充分结合厂房实际情况，项目破碎、筛分工序均在密闭车间内进行，物料通过封闭胶带输送机转运，可缩短物料运输距离，减少粉尘产生。</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出入口位于厂区西南侧，厂区道路及消防通道采用环形设计，符合厂区整体规划要求。车间内设有通道，能够满足消防、物流及人流通行需求。各生产装置之间、生产装置与公用工程设施之间的管线布置短捷、顺畅，物流路线分区明确。办公区位于厂区主导风向侧风向，可避免由生产带来的污染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的平面布置考虑了与周围环境的相容性，本项目生产车间设置于租用厂区的东南侧，远离敏感点，项目生产过程主要产噪设备、产尘设备环节均布置在标准厂房内，位于车间中部及东南部，与周围敏感点保持一定距离。本项目所在地主导风向为东南风，项目周围敏感点均位于项目所在地主导风向的侧风向、上风向，本项目生产厂房主导风向下风向处主要为不锈钢生产企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综上所述，本项目总体生产设施平面布置基本合理。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（3）竖向布置</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竖向设计以有利于场地的雨水排放和物料运输为原则，根据场地自然标高及周边环境确定场地平土标高。结合本项目生产工艺要求，竖向设计拟采用平坡式布置。初期雨水经雨水管道收集后汇入初期雨水池（600m</w:t>
      </w:r>
      <w:r>
        <w:rPr>
          <w:rFonts w:hint="default" w:ascii="Times New Roman" w:hAnsi="Times New Roman" w:cs="Times New Roman"/>
          <w:color w:val="auto"/>
          <w:vertAlign w:val="superscript"/>
        </w:rPr>
        <w:t>3</w:t>
      </w:r>
      <w:r>
        <w:rPr>
          <w:rFonts w:hint="default" w:ascii="Times New Roman" w:hAnsi="Times New Roman" w:cs="Times New Roman"/>
          <w:color w:val="auto"/>
        </w:rPr>
        <w:t>），经沉淀后回用于喷雾降尘，后期雨水汇集后排入市政雨水管网。</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（4）环保设施布置合理性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本项目厂区排水采用雨污分流制。本项目生活污水预处理池布置于厂区东南侧，靠近办公区，便于生活污水收集。生活污水经过预处理池（50m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）处理后通过园区污水管网进入园区污水处理厂进一步处理；选矿废水经废水处理设施（处理能力280m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/h）絮凝沉淀处理后回用于球磨、浮选等工序；初期雨水经初期雨水池沉淀处理后回用于喷雾降尘，不外排；车辆冲洗废水经沉淀池处理后回用于车辆冲洗，不外排。</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破碎粉尘、筛分粉尘经集气罩收集，布袋除尘器处理后通过15m高排气筒（DA001）达标外排。本项目各生产车间均为密闭车间，并在原矿仓库、尾矿仓库四周及仓库顶部设置喷雾降尘装置；车辆运输扬尘通过设置洗车池、清洗运输车辆车轮、降低车速、定期洒水降尘、加盖防尘网密闭运输等措施控制。</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厂区内设置一个面积为50m</w:t>
      </w:r>
      <w:r>
        <w:rPr>
          <w:rFonts w:hint="default" w:ascii="Times New Roman" w:hAnsi="Times New Roman" w:cs="Times New Roman"/>
          <w:color w:val="auto"/>
          <w:vertAlign w:val="superscript"/>
        </w:rPr>
        <w:t>2</w:t>
      </w:r>
      <w:r>
        <w:rPr>
          <w:rFonts w:hint="default" w:ascii="Times New Roman" w:hAnsi="Times New Roman" w:cs="Times New Roman"/>
          <w:color w:val="auto"/>
        </w:rPr>
        <w:t>的危废暂存间，并配备生活垃圾桶、废料收集箱等一般垃圾收集设施。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（5）小结</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车间内生产设备按照工艺顺序布置，有利于原料供给和产品生产，缩短了物流路径，降低了能源消耗。车间内通道能够满足厂区内物流、人行的要求。本项目厂房按封闭式标准化厂房建设，具有一定隔声降噪效果，且有利于废气收集处理，减少无组织废气排放。本项目生产区域与办公生活区域分区合理，互不干扰。项目生产过程主要产污环节均布置在标准厂房内，与周围敏感点有一定距离，项目周围敏感点位于项目所在地主导风向侧风向。</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本项目平面布置总体布局基本合理，功能分区明确，生产工艺流畅、物流顺畅，环保设施的设置能够满足项目生产环保要求，项目平面布局与周围敏感点有一定距离，可有效减缓对周围敏感点的影响。从环保角度而言，本项目总平面布置合理，总平面及环保设施布置图详见附图。</w:t>
      </w:r>
    </w:p>
    <w:p>
      <w:pPr>
        <w:pStyle w:val="3"/>
        <w:adjustRightInd w:val="0"/>
        <w:rPr>
          <w:rFonts w:hint="default" w:ascii="Times New Roman" w:hAnsi="Times New Roman" w:cs="Times New Roman"/>
          <w:color w:val="auto"/>
        </w:rPr>
      </w:pPr>
      <w:bookmarkStart w:id="104" w:name="_Toc25752"/>
      <w:r>
        <w:rPr>
          <w:rFonts w:hint="default" w:ascii="Times New Roman" w:hAnsi="Times New Roman" w:cs="Times New Roman"/>
          <w:color w:val="auto"/>
        </w:rPr>
        <w:t>劳动定员及工作制度</w:t>
      </w:r>
      <w:bookmarkEnd w:id="10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（1）劳动定员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根据运行规模和工艺需要，本项目规划配备劳动定员70人。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（2）工作制度</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本项目采取三班制连续运行，每班工作时间8h，其中破碎、筛分工序日工作班次为2班（夜间不生产），其他工序日工作班次为3班，每班工作8小时，年工作300天。</w:t>
      </w: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sectPr>
          <w:pgSz w:w="11906" w:h="16838"/>
          <w:pgMar w:top="1440" w:right="1800" w:bottom="1440" w:left="1800" w:header="851" w:footer="992" w:gutter="0"/>
          <w:cols w:space="425" w:num="1"/>
          <w:docGrid w:type="lines" w:linePitch="326" w:charSpace="0"/>
        </w:sectPr>
      </w:pPr>
    </w:p>
    <w:p>
      <w:pPr>
        <w:pStyle w:val="2"/>
        <w:adjustRightInd w:val="0"/>
        <w:rPr>
          <w:rFonts w:hint="default" w:ascii="Times New Roman" w:hAnsi="Times New Roman" w:cs="Times New Roman"/>
          <w:color w:val="auto"/>
        </w:rPr>
      </w:pPr>
      <w:bookmarkStart w:id="105" w:name="_Toc5137"/>
      <w:r>
        <w:rPr>
          <w:rFonts w:hint="default" w:ascii="Times New Roman" w:hAnsi="Times New Roman" w:cs="Times New Roman"/>
          <w:color w:val="auto"/>
        </w:rPr>
        <w:t>工程分析</w:t>
      </w:r>
      <w:bookmarkEnd w:id="105"/>
    </w:p>
    <w:p>
      <w:pPr>
        <w:pStyle w:val="3"/>
        <w:adjustRightInd w:val="0"/>
        <w:rPr>
          <w:rFonts w:hint="default" w:ascii="Times New Roman" w:hAnsi="Times New Roman" w:cs="Times New Roman"/>
          <w:color w:val="auto"/>
        </w:rPr>
      </w:pPr>
      <w:bookmarkStart w:id="106" w:name="_Toc2556"/>
      <w:r>
        <w:rPr>
          <w:rFonts w:hint="default" w:ascii="Times New Roman" w:hAnsi="Times New Roman" w:cs="Times New Roman"/>
          <w:color w:val="auto"/>
        </w:rPr>
        <w:t>施工期工程分析</w:t>
      </w:r>
      <w:bookmarkEnd w:id="106"/>
    </w:p>
    <w:p>
      <w:pPr>
        <w:pStyle w:val="4"/>
        <w:adjustRightInd w:val="0"/>
        <w:rPr>
          <w:rFonts w:hint="default" w:ascii="Times New Roman" w:hAnsi="Times New Roman" w:cs="Times New Roman"/>
          <w:color w:val="auto"/>
        </w:rPr>
      </w:pPr>
      <w:bookmarkStart w:id="107" w:name="_Toc4775"/>
      <w:r>
        <w:rPr>
          <w:rFonts w:hint="default" w:ascii="Times New Roman" w:hAnsi="Times New Roman" w:cs="Times New Roman"/>
          <w:color w:val="auto"/>
        </w:rPr>
        <w:t>施工期生产工艺流程及产污节点分析</w:t>
      </w:r>
      <w:bookmarkEnd w:id="107"/>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本项目工程施工期间将产生噪声、扬尘、固体废弃物、少量污水和废气等污染物，本项目施工期工艺流程图见下图。</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object>
          <v:shape id="_x0000_i1029" o:spt="75" type="#_x0000_t75" style="height:168.75pt;width:402pt;" o:ole="t" filled="f" o:preferrelative="t" stroked="f" coordsize="21600,21600">
            <v:path/>
            <v:fill on="f" focussize="0,0"/>
            <v:stroke on="f" joinstyle="miter"/>
            <v:imagedata r:id="rId26" o:title=""/>
            <o:lock v:ext="edit" aspectratio="t"/>
            <w10:wrap type="none"/>
            <w10:anchorlock/>
          </v:shape>
          <o:OLEObject Type="Embed" ProgID="Visio.Drawing.11" ShapeID="_x0000_i1029" DrawAspect="Content" ObjectID="_1468075729" r:id="rId25">
            <o:LockedField>false</o:LockedField>
          </o:OLEObject>
        </w:object>
      </w:r>
    </w:p>
    <w:p>
      <w:pPr>
        <w:pStyle w:val="12"/>
        <w:adjustRightInd w:val="0"/>
        <w:contextualSpacing/>
        <w:rPr>
          <w:rFonts w:hint="default" w:ascii="Times New Roman" w:hAnsi="Times New Roman" w:cs="Times New Roman"/>
          <w:color w:val="auto"/>
          <w:szCs w:val="21"/>
        </w:rPr>
      </w:pPr>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szCs w:val="21"/>
        </w:rPr>
        <w:t>施工期工艺流程及产污物环节图</w:t>
      </w:r>
    </w:p>
    <w:p>
      <w:pPr>
        <w:pStyle w:val="4"/>
        <w:adjustRightInd w:val="0"/>
        <w:rPr>
          <w:rFonts w:hint="default" w:ascii="Times New Roman" w:hAnsi="Times New Roman" w:cs="Times New Roman"/>
          <w:color w:val="auto"/>
        </w:rPr>
      </w:pPr>
      <w:bookmarkStart w:id="108" w:name="_Toc533509016"/>
      <w:bookmarkStart w:id="109" w:name="_Toc4885"/>
      <w:r>
        <w:rPr>
          <w:rFonts w:hint="default" w:ascii="Times New Roman" w:hAnsi="Times New Roman" w:cs="Times New Roman"/>
          <w:color w:val="auto"/>
        </w:rPr>
        <w:t>施工期主要污染工序</w:t>
      </w:r>
      <w:bookmarkEnd w:id="108"/>
      <w:bookmarkEnd w:id="109"/>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本项目的施工主要包括生产厂房以及其他配套设施的建设，以及主体工程建设完成后，建筑的内部装饰、水电等的安装。本项目施工期主要污染工序如下：</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废气</w:t>
      </w:r>
      <w:r>
        <w:rPr>
          <w:rFonts w:hint="default" w:ascii="Times New Roman" w:hAnsi="Times New Roman" w:cs="Times New Roman"/>
          <w:color w:val="auto"/>
        </w:rPr>
        <w:t>：本工程施工期废气主要来自于土石方开挖、回填施工产生的粉尘和材料堆放与运输过程中产生的扬尘；运输车辆、燃油机械的尾气排放产生的废气；以及对构筑物室内外进行装修时（如表面粉刷、油漆、喷涂等）产生的油漆、喷涂废气时产生的有机废气，其特点是排放量小，且属间断性无组织排放。</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废水</w:t>
      </w:r>
      <w:r>
        <w:rPr>
          <w:rFonts w:hint="default" w:ascii="Times New Roman" w:hAnsi="Times New Roman" w:cs="Times New Roman"/>
          <w:color w:val="auto"/>
        </w:rPr>
        <w:t>：施工期的废水排放主要来自于施工废水和建筑施工人员的办公生活污水。施工废水主要为车辆冲洗废水，以及浇筑水泥工段产生的泥浆废水，主要污染因子为SS。</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噪声</w:t>
      </w:r>
      <w:r>
        <w:rPr>
          <w:rFonts w:hint="default" w:ascii="Times New Roman" w:hAnsi="Times New Roman" w:cs="Times New Roman"/>
          <w:color w:val="auto"/>
        </w:rPr>
        <w:t>：施工期噪声主要来自于开挖土方、基础结构、构筑物砌筑、场地清理和修理、装修等使用施工机械的噪声以及施工运输车辆噪声等，噪声值在75~105dB(A)之间。</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固废</w:t>
      </w:r>
      <w:r>
        <w:rPr>
          <w:rFonts w:hint="default" w:ascii="Times New Roman" w:hAnsi="Times New Roman" w:cs="Times New Roman"/>
          <w:color w:val="auto"/>
        </w:rPr>
        <w:t>：工程施工过程中产生的固体废物主要来自于基坑开挖产生的土石方、少量的建筑垃圾、施工人员生活垃圾。</w:t>
      </w:r>
    </w:p>
    <w:p>
      <w:pPr>
        <w:pStyle w:val="4"/>
        <w:adjustRightInd w:val="0"/>
        <w:rPr>
          <w:rFonts w:hint="default" w:ascii="Times New Roman" w:hAnsi="Times New Roman" w:cs="Times New Roman"/>
          <w:color w:val="auto"/>
        </w:rPr>
      </w:pPr>
      <w:bookmarkStart w:id="110" w:name="_Toc533509017"/>
      <w:bookmarkStart w:id="111" w:name="_Toc30060"/>
      <w:r>
        <w:rPr>
          <w:rFonts w:hint="default" w:ascii="Times New Roman" w:hAnsi="Times New Roman" w:cs="Times New Roman"/>
          <w:color w:val="auto"/>
        </w:rPr>
        <w:t>施工期源强核算及治理措施</w:t>
      </w:r>
      <w:bookmarkEnd w:id="110"/>
      <w:bookmarkEnd w:id="11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本项目施工期间，废水主要为生活污水及施工废水。</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（1）施工废水源强核算及治理措施</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①生活污水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本项目施工期间高峰期人数为50人，按每人每天用水量50L，排放系数0.85计，则每天产生生活污水水量为2.1m</w:t>
      </w:r>
      <w:r>
        <w:rPr>
          <w:rFonts w:hint="default" w:ascii="Times New Roman" w:hAnsi="Times New Roman" w:cs="Times New Roman"/>
          <w:color w:val="auto"/>
          <w:vertAlign w:val="superscript"/>
        </w:rPr>
        <w:t>3</w:t>
      </w:r>
      <w:r>
        <w:rPr>
          <w:rFonts w:hint="default" w:ascii="Times New Roman" w:hAnsi="Times New Roman" w:cs="Times New Roman"/>
          <w:color w:val="auto"/>
        </w:rPr>
        <w:t>/d。本项目施工期生活污水依托当地农户化粪池处理后用于农田施肥。</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②施工废水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施工废水包括工地泥浆水、车辆检修及冲洗废水等排入简易沉淀池，经过沉淀后回用，不外排；也可考虑用于材料堆场的喷淋防止起尘，或用于出施工区车辆轮胎的清洗，基本上不会对周围环境造成影响。</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（2）施工废气源强核算及治理措施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本项目在施工期间对周围大气环境有影响的主要因素是：施工过程产生的扬尘、运输车辆的汽车尾气及后期装修废气。</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①施工扬尘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中由于挖方、填方，水泥、沙石等的装卸、运输过程中有大量尘埃散逸到周围环境空气中。物料堆放期间由于风吹等都会引起扬尘污染，尤其是在风速较大和汽车行驶速度较快的情况下，扬尘的污染尤其严重。</w:t>
      </w:r>
      <w:r>
        <w:rPr>
          <w:rFonts w:hint="default" w:ascii="Times New Roman" w:hAnsi="Times New Roman" w:cs="Times New Roman"/>
          <w:b/>
          <w:bCs/>
          <w:color w:val="auto"/>
        </w:rPr>
        <w:t>环评要求施工方采取如下的防治措施</w:t>
      </w:r>
      <w:r>
        <w:rPr>
          <w:rFonts w:hint="default" w:ascii="Times New Roman" w:hAnsi="Times New Roman" w:cs="Times New Roman"/>
          <w:color w:val="auto"/>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A.在施工期间对车辆行驶的路面实施洒水抑尘，对车辆实施清洁、冲洗轮胎。施工期间路面每天洒水4-5次，可使扬尘减少70%左右，可有效地控制施工扬尘，可将TSP的污染距离缩小到20-50m范围。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B.在施工场地，对施工车辆实行限速行驶，选择合理的运输路线和时间，项目弃渣、建筑垃圾必须由专业渣土运输公司清运，运输车辆需用帆布覆盖，覆盖率要达到100%。</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C.施工单位应建立健全的工地保洁制度，设置清扫、洒水设备和各种防护设施；土堆、料堆要有遮盖或喷洒覆盖剂。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D.严格执行国家环保总局《关于有效控制城市扬尘污染的通知》（国家环保总局环发〔2001〕56号文）的要求，在风速大于四级时应停止施工，并采取有效措施，控制扬尘飞散。</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E.施工过程中使用的建筑材料，在装卸、堆放、拌合过程中会产生大量粉尘外逸，为减轻对大气环境的污染，施工单位必须加强施工区域的管理。建筑材料（主要是黄沙、石子）的堆场应定点定位，并采取防尘抑尘措施，如在大风天气，对散料堆场采用水喷淋防尘，或用篷布遮盖散料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F.加强运输管理，如散货车不得超高超载，以免车辆颠簸物料洒出；坚持文明装卸，避免袋装水泥散包；运输车辆卸完货后应清洗车厢；工作车辆及运输车辆在离开施工区时冲洗轮胎，检查装车质量；加强对机械、车辆的维修保养，禁止以柴油为燃料的施工机械超负荷工作，减少烟度和颗粒物排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G.加强对施工人员的环保教育，提高全体施工人员的环保意识，坚持文明施工、科学施工，减少施工期的大气污染。</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H.为有效减少建设工地扬尘污染，本环评要求项目施工方，在施工建设中做到规范管理，文明施工，确保建设工地不制尘。做到建设工地现场“六必须”、“六不准”，即：必须打围作业、必须硬化道路必须设置冲洗设施、必须湿法作业、必须配齐保洁人员、必须定时清扫施工现场；不准车辆带泥出门，不准运渣车辆冒顶装载、不准高空抛洒建渣、不准现场搅拌混凝土、不准场地积水、不准现场焚烧废弃物。</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J.建立高效、务实的环境保护管理体系，加强工程的环境保护监理工作，合理安排施工进度及施工时间，避免雨天和大风天开挖施工作业。在开挖段施工时应做到随挖、随运、随铺、随压，不留或尽可能少留疏松地面，废弃土方要及时清运处理；尽量缩短施工期，并快速回填；开挖的土石方不允许在场内长时间堆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采取以上措施后，项目施工期对周边环境影响较小。</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②施工机械废气</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在施工过程中所需工具、建筑材料、土方的运输汽车以及一些动力设备会排放少量NOx、CO和THC，对大气环境也有一定影响。但由于燃油废气产生量较小，属间断性、分散性排放，基本可不考虑其影响。针对燃油废气在不采取措施的情况下即可达标，</w:t>
      </w:r>
      <w:r>
        <w:rPr>
          <w:rFonts w:hint="default" w:ascii="Times New Roman" w:hAnsi="Times New Roman" w:cs="Times New Roman"/>
          <w:b/>
          <w:bCs/>
          <w:color w:val="auto"/>
        </w:rPr>
        <w:t>本环评对此提出如下建议</w:t>
      </w:r>
      <w:r>
        <w:rPr>
          <w:rFonts w:hint="default" w:ascii="Times New Roman" w:hAnsi="Times New Roman" w:cs="Times New Roman"/>
          <w:color w:val="auto"/>
        </w:rPr>
        <w:t>：施工单位尽量选用专业作业车辆，选优质设备和燃油，加强设备和运输车辆的检修和维护，进一步减少施工过程对周围空气环境的影响。</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③后期装修废气</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的其它废气主要来自墙体的粉刷及屋内装修所用的涂料和油漆中的有机废气，属无组织排放。由于各类用房的性质不同，所以油漆的消耗量也不相同，再加上装修的时间有先后，因此该废气的排放对周围环境的影响也较难确定源强。本报告只对该废气作一般性估算。</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据多家装修公司的调查统计，一般情况下使用面积100m2的房屋装修时需消耗油漆10组份左右（包括地板漆、墙面漆、家具漆等），每组份油漆约7kg。油漆的成份比较复杂，随不同的种类和厂家而不同。油漆挥发成废气的含量约为油漆量的10%。</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为防止装修废气对周围环境的影响，特提出如下措施：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A.环评建议使用水性漆，降低油漆废气对周围环境的影响。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B.在装修工程施工中，施工人员应配备必要的防护装备和保证足够的通风量，避免具有刺激性气味的物质或可被人体吸入的粉尘、纤维等对施工人员身体健康造成危害。</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C.在施工装修期，涂料及装修材料的选取应按照《室内装修材料10项有害物质限量》规定进行，油漆结束完成以后，也应每天进行通风换气，所以运营后也要注意室内空气的流畅。</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（3）施工期噪声源强核算及治理措施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在施工期间，主要作业机械有摇臂式起重机、装载机、锯切塑料板材的圆锯机以及运送建材、渣土的载重汽车等高噪声源。这些突发性非稳态噪声源将对周围声环境产生一定影响。主要施工机械的噪声源强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szCs w:val="21"/>
        </w:rPr>
        <w:t>主要施工机械的噪声声级</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70"/>
        <w:gridCol w:w="2070"/>
        <w:gridCol w:w="2071"/>
        <w:gridCol w:w="20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070" w:type="dxa"/>
            <w:vAlign w:val="center"/>
          </w:tcPr>
          <w:p>
            <w:pPr>
              <w:pStyle w:val="36"/>
              <w:bidi w:val="0"/>
              <w:rPr>
                <w:rFonts w:hint="default"/>
                <w:b/>
                <w:bCs/>
                <w:color w:val="auto"/>
              </w:rPr>
            </w:pPr>
            <w:r>
              <w:rPr>
                <w:rFonts w:hint="default"/>
                <w:b/>
                <w:bCs/>
                <w:color w:val="auto"/>
              </w:rPr>
              <w:t>施工阶段</w:t>
            </w:r>
          </w:p>
        </w:tc>
        <w:tc>
          <w:tcPr>
            <w:tcW w:w="2070" w:type="dxa"/>
            <w:vAlign w:val="center"/>
          </w:tcPr>
          <w:p>
            <w:pPr>
              <w:pStyle w:val="36"/>
              <w:bidi w:val="0"/>
              <w:rPr>
                <w:rFonts w:hint="default"/>
                <w:b/>
                <w:bCs/>
                <w:color w:val="auto"/>
              </w:rPr>
            </w:pPr>
            <w:r>
              <w:rPr>
                <w:rFonts w:hint="default"/>
                <w:b/>
                <w:bCs/>
                <w:color w:val="auto"/>
              </w:rPr>
              <w:t>声源</w:t>
            </w:r>
          </w:p>
        </w:tc>
        <w:tc>
          <w:tcPr>
            <w:tcW w:w="2071" w:type="dxa"/>
            <w:vAlign w:val="center"/>
          </w:tcPr>
          <w:p>
            <w:pPr>
              <w:pStyle w:val="36"/>
              <w:bidi w:val="0"/>
              <w:rPr>
                <w:rFonts w:hint="default"/>
                <w:b/>
                <w:bCs/>
                <w:color w:val="auto"/>
              </w:rPr>
            </w:pPr>
            <w:r>
              <w:rPr>
                <w:rFonts w:hint="default"/>
                <w:b/>
                <w:bCs/>
                <w:color w:val="auto"/>
              </w:rPr>
              <w:t>测点距离（m）</w:t>
            </w:r>
          </w:p>
        </w:tc>
        <w:tc>
          <w:tcPr>
            <w:tcW w:w="2071" w:type="dxa"/>
            <w:vAlign w:val="center"/>
          </w:tcPr>
          <w:p>
            <w:pPr>
              <w:pStyle w:val="36"/>
              <w:bidi w:val="0"/>
              <w:rPr>
                <w:rFonts w:hint="default"/>
                <w:b/>
                <w:bCs/>
                <w:color w:val="auto"/>
              </w:rPr>
            </w:pPr>
            <w:r>
              <w:rPr>
                <w:rFonts w:hint="default"/>
                <w:b/>
                <w:bCs/>
                <w:color w:val="auto"/>
              </w:rPr>
              <w:t>声源强度dB(A)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restart"/>
            <w:vAlign w:val="center"/>
          </w:tcPr>
          <w:p>
            <w:pPr>
              <w:pStyle w:val="36"/>
              <w:bidi w:val="0"/>
              <w:rPr>
                <w:rFonts w:hint="default"/>
                <w:color w:val="auto"/>
              </w:rPr>
            </w:pPr>
            <w:r>
              <w:rPr>
                <w:rFonts w:hint="default"/>
                <w:color w:val="auto"/>
              </w:rPr>
              <w:t>基础工程</w:t>
            </w:r>
          </w:p>
        </w:tc>
        <w:tc>
          <w:tcPr>
            <w:tcW w:w="2070" w:type="dxa"/>
            <w:vAlign w:val="center"/>
          </w:tcPr>
          <w:p>
            <w:pPr>
              <w:pStyle w:val="36"/>
              <w:bidi w:val="0"/>
              <w:rPr>
                <w:rFonts w:hint="default"/>
                <w:color w:val="auto"/>
              </w:rPr>
            </w:pPr>
            <w:r>
              <w:rPr>
                <w:rFonts w:hint="default"/>
                <w:color w:val="auto"/>
              </w:rPr>
              <w:t>推土机</w:t>
            </w:r>
          </w:p>
        </w:tc>
        <w:tc>
          <w:tcPr>
            <w:tcW w:w="2071" w:type="dxa"/>
            <w:vAlign w:val="center"/>
          </w:tcPr>
          <w:p>
            <w:pPr>
              <w:pStyle w:val="36"/>
              <w:bidi w:val="0"/>
              <w:rPr>
                <w:rFonts w:hint="default"/>
                <w:color w:val="auto"/>
              </w:rPr>
            </w:pPr>
            <w:r>
              <w:rPr>
                <w:rFonts w:hint="default"/>
                <w:color w:val="auto"/>
              </w:rPr>
              <w:t>5</w:t>
            </w:r>
          </w:p>
        </w:tc>
        <w:tc>
          <w:tcPr>
            <w:tcW w:w="2071" w:type="dxa"/>
            <w:vAlign w:val="center"/>
          </w:tcPr>
          <w:p>
            <w:pPr>
              <w:pStyle w:val="36"/>
              <w:bidi w:val="0"/>
              <w:rPr>
                <w:rFonts w:hint="default"/>
                <w:color w:val="auto"/>
              </w:rPr>
            </w:pPr>
            <w:r>
              <w:rPr>
                <w:rFonts w:hint="default"/>
                <w:color w:val="auto"/>
              </w:rPr>
              <w:t>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挖掘机</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72～93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气锤</w:t>
            </w:r>
          </w:p>
        </w:tc>
        <w:tc>
          <w:tcPr>
            <w:tcW w:w="2071" w:type="dxa"/>
            <w:vAlign w:val="center"/>
          </w:tcPr>
          <w:p>
            <w:pPr>
              <w:pStyle w:val="36"/>
              <w:bidi w:val="0"/>
              <w:rPr>
                <w:rFonts w:hint="default"/>
                <w:color w:val="auto"/>
              </w:rPr>
            </w:pPr>
            <w:r>
              <w:rPr>
                <w:rFonts w:hint="default"/>
                <w:color w:val="auto"/>
              </w:rPr>
              <w:t>30</w:t>
            </w:r>
          </w:p>
        </w:tc>
        <w:tc>
          <w:tcPr>
            <w:tcW w:w="2071" w:type="dxa"/>
            <w:vAlign w:val="center"/>
          </w:tcPr>
          <w:p>
            <w:pPr>
              <w:pStyle w:val="36"/>
              <w:bidi w:val="0"/>
              <w:rPr>
                <w:rFonts w:hint="default"/>
                <w:color w:val="auto"/>
              </w:rPr>
            </w:pPr>
            <w:r>
              <w:rPr>
                <w:rFonts w:hint="default"/>
                <w:color w:val="auto"/>
              </w:rPr>
              <w:t>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夯土机</w:t>
            </w:r>
          </w:p>
        </w:tc>
        <w:tc>
          <w:tcPr>
            <w:tcW w:w="2071" w:type="dxa"/>
            <w:vAlign w:val="center"/>
          </w:tcPr>
          <w:p>
            <w:pPr>
              <w:pStyle w:val="36"/>
              <w:bidi w:val="0"/>
              <w:rPr>
                <w:rFonts w:hint="default"/>
                <w:color w:val="auto"/>
              </w:rPr>
            </w:pPr>
            <w:r>
              <w:rPr>
                <w:rFonts w:hint="default"/>
                <w:color w:val="auto"/>
              </w:rPr>
              <w:t>10</w:t>
            </w:r>
          </w:p>
        </w:tc>
        <w:tc>
          <w:tcPr>
            <w:tcW w:w="2071" w:type="dxa"/>
            <w:vAlign w:val="center"/>
          </w:tcPr>
          <w:p>
            <w:pPr>
              <w:pStyle w:val="36"/>
              <w:bidi w:val="0"/>
              <w:rPr>
                <w:rFonts w:hint="default"/>
                <w:color w:val="auto"/>
              </w:rPr>
            </w:pPr>
            <w:r>
              <w:rPr>
                <w:rFonts w:hint="default"/>
                <w:color w:val="auto"/>
              </w:rPr>
              <w:t>83～90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卷扬机</w:t>
            </w:r>
          </w:p>
        </w:tc>
        <w:tc>
          <w:tcPr>
            <w:tcW w:w="2071" w:type="dxa"/>
            <w:vAlign w:val="center"/>
          </w:tcPr>
          <w:p>
            <w:pPr>
              <w:pStyle w:val="36"/>
              <w:bidi w:val="0"/>
              <w:rPr>
                <w:rFonts w:hint="default"/>
                <w:color w:val="auto"/>
              </w:rPr>
            </w:pPr>
            <w:r>
              <w:rPr>
                <w:rFonts w:hint="default"/>
                <w:color w:val="auto"/>
              </w:rPr>
              <w:t>30</w:t>
            </w:r>
          </w:p>
        </w:tc>
        <w:tc>
          <w:tcPr>
            <w:tcW w:w="2071" w:type="dxa"/>
            <w:vAlign w:val="center"/>
          </w:tcPr>
          <w:p>
            <w:pPr>
              <w:pStyle w:val="36"/>
              <w:bidi w:val="0"/>
              <w:rPr>
                <w:rFonts w:hint="default"/>
                <w:color w:val="auto"/>
              </w:rPr>
            </w:pPr>
            <w:r>
              <w:rPr>
                <w:rFonts w:hint="default"/>
                <w:color w:val="auto"/>
              </w:rPr>
              <w:t>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压缩机</w:t>
            </w:r>
          </w:p>
        </w:tc>
        <w:tc>
          <w:tcPr>
            <w:tcW w:w="2071" w:type="dxa"/>
            <w:vAlign w:val="center"/>
          </w:tcPr>
          <w:p>
            <w:pPr>
              <w:pStyle w:val="36"/>
              <w:bidi w:val="0"/>
              <w:rPr>
                <w:rFonts w:hint="default"/>
                <w:color w:val="auto"/>
              </w:rPr>
            </w:pPr>
            <w:r>
              <w:rPr>
                <w:rFonts w:hint="default"/>
                <w:color w:val="auto"/>
              </w:rPr>
              <w:t>10</w:t>
            </w:r>
          </w:p>
        </w:tc>
        <w:tc>
          <w:tcPr>
            <w:tcW w:w="2071" w:type="dxa"/>
            <w:vAlign w:val="center"/>
          </w:tcPr>
          <w:p>
            <w:pPr>
              <w:pStyle w:val="36"/>
              <w:bidi w:val="0"/>
              <w:rPr>
                <w:rFonts w:hint="default"/>
                <w:color w:val="auto"/>
              </w:rPr>
            </w:pPr>
            <w:r>
              <w:rPr>
                <w:rFonts w:hint="default"/>
                <w:color w:val="auto"/>
              </w:rPr>
              <w:t>82～98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运输车辆</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70～95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restart"/>
            <w:vAlign w:val="center"/>
          </w:tcPr>
          <w:p>
            <w:pPr>
              <w:pStyle w:val="36"/>
              <w:bidi w:val="0"/>
              <w:rPr>
                <w:rFonts w:hint="default"/>
                <w:color w:val="auto"/>
              </w:rPr>
            </w:pPr>
            <w:r>
              <w:rPr>
                <w:rFonts w:hint="default"/>
                <w:color w:val="auto"/>
              </w:rPr>
              <w:t>主体工程</w:t>
            </w:r>
          </w:p>
        </w:tc>
        <w:tc>
          <w:tcPr>
            <w:tcW w:w="2070" w:type="dxa"/>
            <w:vAlign w:val="center"/>
          </w:tcPr>
          <w:p>
            <w:pPr>
              <w:pStyle w:val="36"/>
              <w:bidi w:val="0"/>
              <w:rPr>
                <w:rFonts w:hint="default"/>
                <w:color w:val="auto"/>
              </w:rPr>
            </w:pPr>
            <w:r>
              <w:rPr>
                <w:rFonts w:hint="default"/>
                <w:color w:val="auto"/>
              </w:rPr>
              <w:t>混凝土输送泵</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74～84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电锯</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72～93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发电机</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72～83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空压机</w:t>
            </w:r>
          </w:p>
        </w:tc>
        <w:tc>
          <w:tcPr>
            <w:tcW w:w="2071" w:type="dxa"/>
            <w:vAlign w:val="center"/>
          </w:tcPr>
          <w:p>
            <w:pPr>
              <w:pStyle w:val="36"/>
              <w:bidi w:val="0"/>
              <w:rPr>
                <w:rFonts w:hint="default"/>
                <w:color w:val="auto"/>
              </w:rPr>
            </w:pPr>
            <w:r>
              <w:rPr>
                <w:rFonts w:hint="default"/>
                <w:color w:val="auto"/>
              </w:rPr>
              <w:t>10</w:t>
            </w:r>
          </w:p>
        </w:tc>
        <w:tc>
          <w:tcPr>
            <w:tcW w:w="2071" w:type="dxa"/>
            <w:vAlign w:val="center"/>
          </w:tcPr>
          <w:p>
            <w:pPr>
              <w:pStyle w:val="36"/>
              <w:bidi w:val="0"/>
              <w:rPr>
                <w:rFonts w:hint="default"/>
                <w:color w:val="auto"/>
              </w:rPr>
            </w:pPr>
            <w:r>
              <w:rPr>
                <w:rFonts w:hint="default"/>
                <w:color w:val="auto"/>
              </w:rPr>
              <w:t>82～98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运输车辆</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70～95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摇臂式起重机</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86～88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restart"/>
            <w:vAlign w:val="center"/>
          </w:tcPr>
          <w:p>
            <w:pPr>
              <w:pStyle w:val="36"/>
              <w:bidi w:val="0"/>
              <w:rPr>
                <w:rFonts w:hint="default"/>
                <w:color w:val="auto"/>
              </w:rPr>
            </w:pPr>
            <w:r>
              <w:rPr>
                <w:rFonts w:hint="default"/>
                <w:color w:val="auto"/>
              </w:rPr>
              <w:t>装修工程</w:t>
            </w:r>
          </w:p>
        </w:tc>
        <w:tc>
          <w:tcPr>
            <w:tcW w:w="2070" w:type="dxa"/>
            <w:vAlign w:val="center"/>
          </w:tcPr>
          <w:p>
            <w:pPr>
              <w:pStyle w:val="36"/>
              <w:bidi w:val="0"/>
              <w:rPr>
                <w:rFonts w:hint="default"/>
                <w:color w:val="auto"/>
              </w:rPr>
            </w:pPr>
            <w:r>
              <w:rPr>
                <w:rFonts w:hint="default"/>
                <w:color w:val="auto"/>
              </w:rPr>
              <w:t>铆抢</w:t>
            </w:r>
          </w:p>
        </w:tc>
        <w:tc>
          <w:tcPr>
            <w:tcW w:w="2071" w:type="dxa"/>
            <w:vAlign w:val="center"/>
          </w:tcPr>
          <w:p>
            <w:pPr>
              <w:pStyle w:val="36"/>
              <w:bidi w:val="0"/>
              <w:rPr>
                <w:rFonts w:hint="default"/>
                <w:color w:val="auto"/>
              </w:rPr>
            </w:pPr>
            <w:r>
              <w:rPr>
                <w:rFonts w:hint="default"/>
                <w:color w:val="auto"/>
              </w:rPr>
              <w:t>10</w:t>
            </w:r>
          </w:p>
        </w:tc>
        <w:tc>
          <w:tcPr>
            <w:tcW w:w="2071" w:type="dxa"/>
            <w:vAlign w:val="center"/>
          </w:tcPr>
          <w:p>
            <w:pPr>
              <w:pStyle w:val="36"/>
              <w:bidi w:val="0"/>
              <w:rPr>
                <w:rFonts w:hint="default"/>
                <w:color w:val="auto"/>
              </w:rPr>
            </w:pPr>
            <w:r>
              <w:rPr>
                <w:rFonts w:hint="default"/>
                <w:color w:val="auto"/>
              </w:rPr>
              <w:t>85～98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电锤</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82～97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地螺钻</w:t>
            </w:r>
          </w:p>
        </w:tc>
        <w:tc>
          <w:tcPr>
            <w:tcW w:w="2071" w:type="dxa"/>
            <w:vAlign w:val="center"/>
          </w:tcPr>
          <w:p>
            <w:pPr>
              <w:pStyle w:val="36"/>
              <w:bidi w:val="0"/>
              <w:rPr>
                <w:rFonts w:hint="default"/>
                <w:color w:val="auto"/>
              </w:rPr>
            </w:pPr>
            <w:r>
              <w:rPr>
                <w:rFonts w:hint="default"/>
                <w:color w:val="auto"/>
              </w:rPr>
              <w:t>10</w:t>
            </w:r>
          </w:p>
        </w:tc>
        <w:tc>
          <w:tcPr>
            <w:tcW w:w="2071" w:type="dxa"/>
            <w:vAlign w:val="center"/>
          </w:tcPr>
          <w:p>
            <w:pPr>
              <w:pStyle w:val="36"/>
              <w:bidi w:val="0"/>
              <w:rPr>
                <w:rFonts w:hint="default"/>
                <w:color w:val="auto"/>
              </w:rPr>
            </w:pPr>
            <w:r>
              <w:rPr>
                <w:rFonts w:hint="default"/>
                <w:color w:val="auto"/>
              </w:rPr>
              <w:t>68～82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电锯</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72～93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多功能木工刨</w:t>
            </w:r>
          </w:p>
        </w:tc>
        <w:tc>
          <w:tcPr>
            <w:tcW w:w="2071" w:type="dxa"/>
            <w:vAlign w:val="center"/>
          </w:tcPr>
          <w:p>
            <w:pPr>
              <w:pStyle w:val="36"/>
              <w:bidi w:val="0"/>
              <w:rPr>
                <w:rFonts w:hint="default"/>
                <w:color w:val="auto"/>
              </w:rPr>
            </w:pPr>
            <w:r>
              <w:rPr>
                <w:rFonts w:hint="default"/>
                <w:color w:val="auto"/>
              </w:rPr>
              <w:t>1</w:t>
            </w:r>
          </w:p>
        </w:tc>
        <w:tc>
          <w:tcPr>
            <w:tcW w:w="2071" w:type="dxa"/>
            <w:vAlign w:val="center"/>
          </w:tcPr>
          <w:p>
            <w:pPr>
              <w:pStyle w:val="36"/>
              <w:bidi w:val="0"/>
              <w:rPr>
                <w:rFonts w:hint="default"/>
                <w:color w:val="auto"/>
              </w:rPr>
            </w:pPr>
            <w:r>
              <w:rPr>
                <w:rFonts w:hint="default"/>
                <w:color w:val="auto"/>
              </w:rPr>
              <w:t>90～98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磨光机</w:t>
            </w:r>
          </w:p>
        </w:tc>
        <w:tc>
          <w:tcPr>
            <w:tcW w:w="2071" w:type="dxa"/>
            <w:vAlign w:val="center"/>
          </w:tcPr>
          <w:p>
            <w:pPr>
              <w:pStyle w:val="36"/>
              <w:bidi w:val="0"/>
              <w:rPr>
                <w:rFonts w:hint="default"/>
                <w:color w:val="auto"/>
              </w:rPr>
            </w:pPr>
            <w:r>
              <w:rPr>
                <w:rFonts w:hint="default"/>
                <w:color w:val="auto"/>
              </w:rPr>
              <w:t>1</w:t>
            </w:r>
          </w:p>
        </w:tc>
        <w:tc>
          <w:tcPr>
            <w:tcW w:w="2071" w:type="dxa"/>
            <w:vAlign w:val="center"/>
          </w:tcPr>
          <w:p>
            <w:pPr>
              <w:pStyle w:val="36"/>
              <w:bidi w:val="0"/>
              <w:rPr>
                <w:rFonts w:hint="default"/>
                <w:color w:val="auto"/>
              </w:rPr>
            </w:pPr>
            <w:r>
              <w:rPr>
                <w:rFonts w:hint="default"/>
                <w:color w:val="auto"/>
              </w:rPr>
              <w:t>80～85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2070" w:type="dxa"/>
            <w:vMerge w:val="continue"/>
            <w:vAlign w:val="center"/>
          </w:tcPr>
          <w:p>
            <w:pPr>
              <w:pStyle w:val="36"/>
              <w:bidi w:val="0"/>
              <w:rPr>
                <w:rFonts w:hint="default"/>
                <w:color w:val="auto"/>
              </w:rPr>
            </w:pPr>
          </w:p>
        </w:tc>
        <w:tc>
          <w:tcPr>
            <w:tcW w:w="2070" w:type="dxa"/>
            <w:vAlign w:val="center"/>
          </w:tcPr>
          <w:p>
            <w:pPr>
              <w:pStyle w:val="36"/>
              <w:bidi w:val="0"/>
              <w:rPr>
                <w:rFonts w:hint="default"/>
                <w:color w:val="auto"/>
              </w:rPr>
            </w:pPr>
            <w:r>
              <w:rPr>
                <w:rFonts w:hint="default"/>
                <w:color w:val="auto"/>
              </w:rPr>
              <w:t>运输车辆</w:t>
            </w:r>
          </w:p>
        </w:tc>
        <w:tc>
          <w:tcPr>
            <w:tcW w:w="2071" w:type="dxa"/>
            <w:vAlign w:val="center"/>
          </w:tcPr>
          <w:p>
            <w:pPr>
              <w:pStyle w:val="36"/>
              <w:bidi w:val="0"/>
              <w:rPr>
                <w:rFonts w:hint="default"/>
                <w:color w:val="auto"/>
              </w:rPr>
            </w:pPr>
            <w:r>
              <w:rPr>
                <w:rFonts w:hint="default"/>
                <w:color w:val="auto"/>
              </w:rPr>
              <w:t>15</w:t>
            </w:r>
          </w:p>
        </w:tc>
        <w:tc>
          <w:tcPr>
            <w:tcW w:w="2071" w:type="dxa"/>
            <w:vAlign w:val="center"/>
          </w:tcPr>
          <w:p>
            <w:pPr>
              <w:pStyle w:val="36"/>
              <w:bidi w:val="0"/>
              <w:rPr>
                <w:rFonts w:hint="default"/>
                <w:color w:val="auto"/>
              </w:rPr>
            </w:pPr>
            <w:r>
              <w:rPr>
                <w:rFonts w:hint="default"/>
                <w:color w:val="auto"/>
              </w:rPr>
              <w:t>75～80</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施工期的噪声影响是短期的，项目建成后，施工期噪声的影响也就此结束。但是由于施工机械均为强噪声源，施工期间噪声影响范围较大，</w:t>
      </w:r>
      <w:r>
        <w:rPr>
          <w:rFonts w:hint="default" w:ascii="Times New Roman" w:hAnsi="Times New Roman" w:cs="Times New Roman"/>
          <w:b/>
          <w:bCs/>
          <w:color w:val="auto"/>
        </w:rPr>
        <w:t>因此必须采取以下措施，严格管理</w:t>
      </w:r>
      <w:r>
        <w:rPr>
          <w:rFonts w:hint="default" w:ascii="Times New Roman" w:hAnsi="Times New Roman" w:cs="Times New Roman"/>
          <w:color w:val="auto"/>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根据《中华人民共和国环境噪声污染防治法》第二十九条规定：施工单位必须在工程开工15日以前向工程所在地县级以上地方人民政府环境保护行政主管部门申报工程项目名称、施工场所和期限、建筑施工机械可能产生的环境噪声值以及所采取的环境噪声污染防治措施情况。</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②严格执行《建筑施工场界环境噪声排放标准》（GB12523-2011）对施工阶段的场界限值的规定。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施工车辆特别是重型运载车辆的运行线路和时间，应尽量避开噪声敏感区域和噪声敏感时段。进出车辆要合理调度，明确线路，使行驶道路保持平坦，减弱车辆的颠簸噪声和产生振动。加强施工区域交通管理，避免因交通堵塞增加车辆鸣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④在保证施工进度的前提下，合理安排作业时间，限制夜间进行强噪声污染的施工作业。教育工人文明施工，尤其是夜间施工时，不要大声喧哗，尽量减小机具和材料的撞击，以降低人为噪声的影响。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⑤如需在夜间使用机械、设备施工，必须提出申请，未经批准不得从事夜间施工作业。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⑥限制打桩机、空压机、切割机、电锯、电刨等高噪声建筑机械在夜间工作，在高噪声设备附近，加设可移动的简易隔声屏。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⑦按照《关于严格限制夜间施工作业防治环境污染的通告》实施施工操作，杜绝野蛮装卸和车辆鸣号。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总之，建设单位必须全面落实上述要求，并使施工各阶段的场界噪声符合《建筑施工场界环境噪声排放标准》（GB12523-2011）中的规定。</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（4）固体废弃物源强核算及治理措施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间固体废弃物主要为土建施工产生的建筑垃圾、施工人员的生活垃圾等。建筑垃圾在堆放和运输工程中，若不妥善处置，则会阻碍交通，污染环境；建筑垃圾清运车辆不但会给运输线路增加车流量，造成交通堵塞，尘土的洒漏也会给城市环境卫生带来危害；建筑垃圾的无组织堆放、倒弃，遇暴雨冲刷，则会造成水土流失，堵塞排水沟，泥浆水直接排入市政管网或附近地表河流，增加废水的含沙量，造成管网沟堵塞或河床沉积，同时泥浆水还夹带施工场地上的水泥、油污等污染物进入水体，造成水体污染。为防止固体废弃物对环境的影响，特提出如下措施：</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1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①</w:t>
      </w:r>
      <w:r>
        <w:rPr>
          <w:rFonts w:hint="default" w:ascii="Times New Roman" w:hAnsi="Times New Roman" w:cs="Times New Roman"/>
          <w:b/>
          <w:bCs/>
          <w:color w:val="auto"/>
        </w:rPr>
        <w:fldChar w:fldCharType="end"/>
      </w:r>
      <w:r>
        <w:rPr>
          <w:rFonts w:hint="default" w:ascii="Times New Roman" w:hAnsi="Times New Roman" w:cs="Times New Roman"/>
          <w:b/>
          <w:bCs/>
          <w:color w:val="auto"/>
        </w:rPr>
        <w:t>开挖土石方</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场平、道路工程及基础工程涉及土石方开挖，少量回填，大部分外运至当地政府指定的弃土场，施工期设置土石方临时堆场，并对堆场表面采取覆盖措施，减小起尘量。及时进行土方回填，对裸露土地进行表面植被培养，种植植物进行绿化，防范水土流失。</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2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②</w:t>
      </w:r>
      <w:r>
        <w:rPr>
          <w:rFonts w:hint="default" w:ascii="Times New Roman" w:hAnsi="Times New Roman" w:cs="Times New Roman"/>
          <w:b/>
          <w:bCs/>
          <w:color w:val="auto"/>
        </w:rPr>
        <w:fldChar w:fldCharType="end"/>
      </w:r>
      <w:r>
        <w:rPr>
          <w:rFonts w:hint="default" w:ascii="Times New Roman" w:hAnsi="Times New Roman" w:cs="Times New Roman"/>
          <w:b/>
          <w:bCs/>
          <w:color w:val="auto"/>
        </w:rPr>
        <w:t>建筑垃圾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建筑垃圾主要包括砂石、石块、碎砖瓦、废木料、废金属、废钢筋等杂物，针对建筑垃圾措施：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A.根据《中华人民共和国固体废物污染环境防治法》相关规定，充分合理利用固体废弃物。建筑垃圾中的废钢筋、废金属、废木料等可以再次利用的固体废弃物进行分类收集，分类存放，分类回收并及时出售给废品回收公司处理。建筑垃圾中不能回收部分及时清运到指定的建筑垃圾场处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B.在施工现场应设置临时建筑废物堆放场并进行遮盖处理，做好地面的防渗漏处理。</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③生活垃圾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本项目施工人员50人，根据类比分析，每人产生生活垃圾量为0.5kg/d，则每天产生的垃圾量为25kg/d，生活垃圾经过袋装收集后，由环卫部门统一运送处理，严禁就地填埋。</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（5）生态环境保护措施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对生态环境的影响主要为土石方开挖造成地貌变化，以及基础工程和主体工程施工产生的水土流失。施工结束后，本项目在场地内进行绿化，场地经过人工植树种草等绿化美化措施的实施，建设区的植树种类将会增多，生态环境会得到有效改善。本项目主要生态影响是施工过程中的水土流失，主要集中在施工期间，加强施工期间的监控工作是控制水土流失的重要环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于项目所在地属于四川盆地湿润气候区，雨量充沛，夏季降雨强度大，秋季多阴雨。在施工过程中，尤其是工程大面积开挖时应尽量避开雨季，以免开挖松散土得不到及时保护而产生新的水土流失。在项目的建设施工过程中应规范工程施工，加强水土保持监督管理。为防止项目建设对当地生态环境的影响，特提出如下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①合理安排施工时间，尽量避开雨季和汛期；不能避免时，应做好雨季施工防护及排水工作，保证施工期间排水通畅，不出现积水浸泡工作面的现象；</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②土石方工程应及时防护，随挖随运，随填随夯，不留松土，减少疏松地面的裸露时间；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③施工时，施工机械和施工人员要按照规划的施工平面位置进行操作，不得乱占土地，施工机械、土石及其它建筑材料不能乱停乱放，防止加剧水土流失；</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④施工期加强对水土保持监督、监理、监测工作管理和实施；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⑤加强土石方临时堆放点水保措施，在临时堆放点周围设置简易的排水沟，疏导雨水排放。</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综上所述，施工期间局部生态环境破坏、水土流失均属少量、局部的、暂时的生态影响，只要在施工中采用以上生态保护措施，则项目建设对生态环境的影响很小。</w:t>
      </w:r>
    </w:p>
    <w:p>
      <w:pPr>
        <w:pStyle w:val="3"/>
        <w:adjustRightInd w:val="0"/>
        <w:rPr>
          <w:rFonts w:hint="default" w:ascii="Times New Roman" w:hAnsi="Times New Roman" w:cs="Times New Roman"/>
          <w:color w:val="auto"/>
        </w:rPr>
      </w:pPr>
      <w:bookmarkStart w:id="112" w:name="_Toc19125"/>
      <w:bookmarkStart w:id="113" w:name="_Toc127483562"/>
      <w:r>
        <w:rPr>
          <w:rFonts w:hint="default" w:ascii="Times New Roman" w:hAnsi="Times New Roman" w:cs="Times New Roman"/>
          <w:color w:val="auto"/>
        </w:rPr>
        <w:t>营运期工程分析</w:t>
      </w:r>
      <w:bookmarkEnd w:id="112"/>
      <w:bookmarkEnd w:id="113"/>
    </w:p>
    <w:p>
      <w:pPr>
        <w:pStyle w:val="4"/>
        <w:adjustRightInd w:val="0"/>
        <w:rPr>
          <w:rFonts w:hint="default" w:ascii="Times New Roman" w:hAnsi="Times New Roman" w:cs="Times New Roman"/>
          <w:color w:val="auto"/>
        </w:rPr>
      </w:pPr>
      <w:bookmarkStart w:id="114" w:name="_Toc8283"/>
      <w:r>
        <w:rPr>
          <w:rFonts w:hint="default" w:ascii="Times New Roman" w:hAnsi="Times New Roman" w:cs="Times New Roman"/>
          <w:color w:val="auto"/>
        </w:rPr>
        <w:t>运营期工艺流程及产污环节分析</w:t>
      </w:r>
      <w:bookmarkEnd w:id="11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本项目工艺流程及产污环节如下：</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object>
          <v:shape id="_x0000_i1030" o:spt="75" type="#_x0000_t75" style="height:594pt;width:414pt;" o:ole="t" filled="f" o:preferrelative="t" stroked="f" coordsize="21600,21600">
            <v:path/>
            <v:fill on="f" focussize="0,0"/>
            <v:stroke on="f" joinstyle="miter"/>
            <v:imagedata r:id="rId28" o:title=""/>
            <o:lock v:ext="edit" aspectratio="t"/>
            <w10:wrap type="none"/>
            <w10:anchorlock/>
          </v:shape>
          <o:OLEObject Type="Embed" ProgID="Visio.Drawing.11" ShapeID="_x0000_i1030" DrawAspect="Content" ObjectID="_1468075730" r:id="rId27">
            <o:LockedField>false</o:LockedField>
          </o:OLEObject>
        </w:object>
      </w:r>
    </w:p>
    <w:p>
      <w:pPr>
        <w:pStyle w:val="12"/>
        <w:adjustRightInd w:val="0"/>
        <w:ind w:left="420" w:hanging="420"/>
        <w:rPr>
          <w:rFonts w:hint="default" w:ascii="Times New Roman" w:hAnsi="Times New Roman" w:cs="Times New Roman"/>
          <w:color w:val="auto"/>
          <w:szCs w:val="22"/>
        </w:rPr>
      </w:pPr>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szCs w:val="22"/>
        </w:rPr>
        <w:t>项目工艺流程及产污环节</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工艺简述：</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（1）卸料</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原矿经汽车运至选矿厂后，首先经电子扫描车牌和电子磅自动计量记录矿车毛重后卸入原矿仓库，然后空车返回时再次经电子扫描车牌和电子磅自动计量记录车重，最后计量矿石重量并记录。本项目外购的锂辉石为清洗后的矿石，不含泥，不需在厂区清洗。</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该工序主要污染物为：粉尘、噪声。</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（2）破碎（鄂破和圆锥破）、筛分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原矿仓库下部用2台给料机将矿石（＜30cm）给入颚式破碎机进行初破碎，再通过密闭输送机送至圆锥破进行细破，然后通过密闭输送机送至振动筛（双层筛，2台筛分机并列运行）进行筛分作业。振动筛筛下粒径小于12mm的物料进入下一步工序（磨矿），筛上粒径大于12mm的物料经密闭输送机送至圆锥破重新进行破碎，形成闭路。</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该工序主要污染物为：粉尘、噪声。</w:t>
      </w:r>
    </w:p>
    <w:p>
      <w:pPr>
        <w:adjustRightInd w:val="0"/>
        <w:ind w:firstLine="482"/>
        <w:rPr>
          <w:rFonts w:hint="default" w:ascii="Times New Roman" w:hAnsi="Times New Roman" w:cs="Times New Roman"/>
          <w:b/>
          <w:color w:val="auto"/>
          <w:szCs w:val="22"/>
        </w:rPr>
      </w:pPr>
      <w:r>
        <w:rPr>
          <w:rFonts w:hint="default" w:ascii="Times New Roman" w:hAnsi="Times New Roman" w:cs="Times New Roman"/>
          <w:b/>
          <w:color w:val="auto"/>
          <w:szCs w:val="22"/>
        </w:rPr>
        <w:t>（3）球磨、旋流分级</w:t>
      </w:r>
    </w:p>
    <w:p>
      <w:pPr>
        <w:adjustRightInd w:val="0"/>
        <w:ind w:firstLine="480"/>
        <w:rPr>
          <w:rFonts w:hint="default" w:ascii="Times New Roman" w:hAnsi="Times New Roman" w:cs="Times New Roman"/>
          <w:color w:val="auto"/>
          <w:szCs w:val="22"/>
        </w:rPr>
      </w:pPr>
      <w:r>
        <w:rPr>
          <w:rFonts w:hint="default" w:ascii="Times New Roman" w:hAnsi="Times New Roman" w:cs="Times New Roman"/>
          <w:color w:val="auto"/>
          <w:szCs w:val="22"/>
        </w:rPr>
        <w:t>经破碎后的物料（＜12mm）进入球磨机，加水进行湿法球磨，出料由渣浆泵给入水力旋流器分级，旋流器沉砂（粒径大于0.074mm）返回球磨机再磨，形成一次闭路磨矿。旋流器出料（粒径小于0.074mm）溢流进入预浮系统。</w:t>
      </w:r>
    </w:p>
    <w:p>
      <w:pPr>
        <w:adjustRightInd w:val="0"/>
        <w:ind w:firstLine="480"/>
        <w:rPr>
          <w:rFonts w:hint="default" w:ascii="Times New Roman" w:hAnsi="Times New Roman" w:cs="Times New Roman"/>
          <w:color w:val="auto"/>
          <w:szCs w:val="22"/>
        </w:rPr>
      </w:pPr>
      <w:r>
        <w:rPr>
          <w:rFonts w:hint="default" w:ascii="Times New Roman" w:hAnsi="Times New Roman" w:cs="Times New Roman"/>
          <w:color w:val="auto"/>
          <w:szCs w:val="22"/>
        </w:rPr>
        <w:t>项目对原料进行了初步小型选矿试验研究、扩大连续试验等试验研究，研究结果表明：随着磨矿细度的增加，粗精矿的产率的回收率逐渐增加。当磨矿细度-0.074mm含量占85.4%时，粗精矿Li</w:t>
      </w:r>
      <w:r>
        <w:rPr>
          <w:rFonts w:hint="default" w:ascii="Times New Roman" w:hAnsi="Times New Roman" w:cs="Times New Roman"/>
          <w:color w:val="auto"/>
          <w:szCs w:val="22"/>
          <w:vertAlign w:val="subscript"/>
        </w:rPr>
        <w:t>2</w:t>
      </w:r>
      <w:r>
        <w:rPr>
          <w:rFonts w:hint="default" w:ascii="Times New Roman" w:hAnsi="Times New Roman" w:cs="Times New Roman"/>
          <w:color w:val="auto"/>
          <w:szCs w:val="22"/>
        </w:rPr>
        <w:t>O的回收率为87.26%，继续增加磨矿细度，粗精矿Li</w:t>
      </w:r>
      <w:r>
        <w:rPr>
          <w:rFonts w:hint="default" w:ascii="Times New Roman" w:hAnsi="Times New Roman" w:cs="Times New Roman"/>
          <w:color w:val="auto"/>
          <w:szCs w:val="22"/>
          <w:vertAlign w:val="subscript"/>
        </w:rPr>
        <w:t>2</w:t>
      </w:r>
      <w:r>
        <w:rPr>
          <w:rFonts w:hint="default" w:ascii="Times New Roman" w:hAnsi="Times New Roman" w:cs="Times New Roman"/>
          <w:color w:val="auto"/>
          <w:szCs w:val="22"/>
        </w:rPr>
        <w:t>O的回收率基本没有变化，磨矿过细，矿浆泥化严重，浮选恶化。实验结果最终确定磨矿细度为-0.074mm。</w:t>
      </w:r>
    </w:p>
    <w:p>
      <w:pPr>
        <w:adjustRightInd w:val="0"/>
        <w:ind w:firstLine="480"/>
        <w:rPr>
          <w:rFonts w:hint="default" w:ascii="Times New Roman" w:hAnsi="Times New Roman" w:cs="Times New Roman"/>
          <w:color w:val="auto"/>
          <w:szCs w:val="22"/>
        </w:rPr>
      </w:pPr>
      <w:r>
        <w:rPr>
          <w:rFonts w:hint="default" w:ascii="Times New Roman" w:hAnsi="Times New Roman" w:cs="Times New Roman"/>
          <w:color w:val="auto"/>
          <w:szCs w:val="22"/>
        </w:rPr>
        <w:t>该工序主要污染物为：噪声。</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球磨原理</w:t>
      </w:r>
      <w:r>
        <w:rPr>
          <w:rFonts w:hint="default" w:ascii="Times New Roman" w:hAnsi="Times New Roman" w:cs="Times New Roman"/>
          <w:color w:val="auto"/>
        </w:rPr>
        <w:t>：球磨机主要由圆柱形筒体、端盖、轴承和传动大齿圈等部件组成。磨矿作业是在球磨机筒体内进行的，筒体的磨介随着筒体的旋转而被带到一定的高度后，介质由于自重而下落，装在筒体内的矿石就受到介质猛烈的冲击力；另一方面由于磨介在筒体内沿筒体轴心的公转与自转，在磨介之间及其与筒体接触区又产生对矿石的挤压和磨剥力，从而将矿石磨碎。球磨机钢球（磨矿介质）当筒体旋转时即被带起并升到一定高度，由于钢球本身的重力作用，最后沿一定的轨道下落。在区域内的钢球受到两种力的作用：一为旋转时自切线方向施于钢球的作用力；一为与钢球直径相对称一面而与上述作用力相反的力，这个作用力的产生是由于钢球本身自重而向下滑动所引起的。上述两种作用力，对于钢球会构成一对力偶，由于钢球是被挤压在筒体与相邻钢球的中间，所以力偶会使钢球之间存在大小不等的摩擦力，钢球随筒体轴心作公转运动时在区域内自上落下抛落，就在区域里对筒体内的矿石产生强大的冲击作用，将矿石破碎。可以说，在磨机筒体内矿石主要是受磨剥力、冲击力及挤压力的作用而被磨碎的。</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3413760" cy="1958340"/>
            <wp:effectExtent l="0" t="0" r="152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3414056" cy="1958510"/>
                    </a:xfrm>
                    <a:prstGeom prst="rect">
                      <a:avLst/>
                    </a:prstGeom>
                  </pic:spPr>
                </pic:pic>
              </a:graphicData>
            </a:graphic>
          </wp:inline>
        </w:drawing>
      </w:r>
    </w:p>
    <w:p>
      <w:pPr>
        <w:pStyle w:val="12"/>
        <w:adjustRightInd w:val="0"/>
        <w:ind w:left="420" w:hanging="420"/>
        <w:rPr>
          <w:rFonts w:hint="default" w:ascii="Times New Roman" w:hAnsi="Times New Roman" w:cs="Times New Roman"/>
          <w:color w:val="auto"/>
          <w:szCs w:val="22"/>
        </w:rPr>
      </w:pPr>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szCs w:val="22"/>
        </w:rPr>
        <w:t>球磨原理图</w:t>
      </w:r>
    </w:p>
    <w:p>
      <w:pPr>
        <w:adjustRightInd w:val="0"/>
        <w:spacing w:before="163" w:beforeLines="50"/>
        <w:ind w:firstLine="482"/>
        <w:rPr>
          <w:rFonts w:hint="default" w:ascii="Times New Roman" w:hAnsi="Times New Roman" w:cs="Times New Roman"/>
          <w:color w:val="auto"/>
          <w:szCs w:val="22"/>
        </w:rPr>
      </w:pPr>
      <w:r>
        <w:rPr>
          <w:rFonts w:hint="default" w:ascii="Times New Roman" w:hAnsi="Times New Roman" w:cs="Times New Roman"/>
          <w:b/>
          <w:color w:val="auto"/>
          <w:szCs w:val="22"/>
        </w:rPr>
        <w:t>水力旋流分级原理：</w:t>
      </w:r>
      <w:r>
        <w:rPr>
          <w:rFonts w:hint="default" w:ascii="Times New Roman" w:hAnsi="Times New Roman" w:cs="Times New Roman"/>
          <w:color w:val="auto"/>
          <w:szCs w:val="22"/>
        </w:rPr>
        <w:t>水力旋流器，是利用离心力来加速矿粒沉降的分级设备。水力旋流器由上部一个中空的圆柱体，下部一个与圆柱体相通的倒椎体，二者组成水力旋流器的工作筒体。除此，水力旋流器还有给矿管，溢流管，溢流导管和沉砂口。水力旋流器用砂泵（或高差）以一定压力（一般是0.5～2.5公斤/厘米）和流速（约5～12米/秒）将矿浆沿切线方向旋入圆筒，然后矿浆便以很快的速度沿筒壁旋转而产生离心力。通过离心力和重力的作用下，将较粗、较重的矿粒抛出。水力旋流器在选矿工业中主要用于分级、分选、浓缩和脱泥。当水力旋流器用作分级设备时，主要用来与磨机组成磨矿分级系统。水力旋流器无运动部件，构造简单；单位容积的生产能力较大，占面积小；分级效率高，分级粒度细；造价低，材料消耗少。</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矿浆以较高的速度由进料管沿切线方向进入水力旋流器，由于受到外筒壁的限制，迫使液体做自上而下的旋转运动，通常将这种运动称为外旋流或下降旋流运动。外旋流中的固体颗粒受到离心力作用，如果密度大于四周液体的密度（这是大多数情况），它所受的离心力就越大，一旦这个力大于因运动所产生的液体阻力，固体颗粒就会克服这一阻力而向器壁方向移动，与悬浮液分离，到达器壁附近的颗粒受到连续的液体推动，沿器壁向下运动，到达底流口附近聚集成为大大稠化的悬浮液，从底流口排出。分离后的液体(当然其中还有一些细小的颗粒)旋转向下继续运动，进入圆锥段后，因旋液分离器的内径逐渐缩小，液体旋转速度加快。由于液体产生涡流运动时沿径向方向的压力分布不均，越接近轴线处越小而至轴线时趋近于零，成为低压区甚至为真空区，导致液体趋向于轴线方向移动。同时，由于旋液分离器底流口大大缩小，液体无法迅速从底流口排出，而旋流腔顶盖中央的溢流口，由于处于低压区而使一部分液体向其移动，因而形成向上的旋转运动，并从溢流口排出。</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3977640" cy="367284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3977985" cy="3673158"/>
                    </a:xfrm>
                    <a:prstGeom prst="rect">
                      <a:avLst/>
                    </a:prstGeom>
                  </pic:spPr>
                </pic:pic>
              </a:graphicData>
            </a:graphic>
          </wp:inline>
        </w:drawing>
      </w:r>
    </w:p>
    <w:p>
      <w:pPr>
        <w:pStyle w:val="12"/>
        <w:adjustRightInd w:val="0"/>
        <w:ind w:left="420" w:hanging="420"/>
        <w:rPr>
          <w:rFonts w:hint="default" w:ascii="Times New Roman" w:hAnsi="Times New Roman" w:cs="Times New Roman"/>
          <w:color w:val="auto"/>
          <w:szCs w:val="22"/>
        </w:rPr>
      </w:pPr>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szCs w:val="22"/>
        </w:rPr>
        <w:t>水力旋流分级原理图</w:t>
      </w:r>
    </w:p>
    <w:p>
      <w:pPr>
        <w:adjustRightInd w:val="0"/>
        <w:spacing w:before="163" w:beforeLines="50"/>
        <w:ind w:firstLine="482"/>
        <w:rPr>
          <w:rFonts w:hint="default" w:ascii="Times New Roman" w:hAnsi="Times New Roman" w:cs="Times New Roman"/>
          <w:b/>
          <w:color w:val="auto"/>
          <w:szCs w:val="22"/>
        </w:rPr>
      </w:pPr>
      <w:r>
        <w:rPr>
          <w:rFonts w:hint="default" w:ascii="Times New Roman" w:hAnsi="Times New Roman" w:cs="Times New Roman"/>
          <w:b/>
          <w:color w:val="auto"/>
          <w:szCs w:val="22"/>
        </w:rPr>
        <w:t>（4）预浮（选锂前预处理系统）</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磨矿出料从旋流器溢流管道自流至搅拌槽，经自动加药装置加药搅拌，然后由管道输入预浮浮选机，选出易浮物（主要为极微粒径的矿物）用管道输送至脱水系统。</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该工序主要污染物为：噪声、废氢氧化钠包装袋、废碳酸钠包装袋、废氯化镁包装袋、废捕收剂桶、尾矿。</w:t>
      </w:r>
    </w:p>
    <w:p>
      <w:pPr>
        <w:adjustRightInd w:val="0"/>
        <w:ind w:firstLine="482"/>
        <w:rPr>
          <w:rFonts w:hint="default" w:ascii="Times New Roman" w:hAnsi="Times New Roman" w:cs="Times New Roman"/>
          <w:b/>
          <w:color w:val="auto"/>
          <w:szCs w:val="22"/>
        </w:rPr>
      </w:pPr>
      <w:r>
        <w:rPr>
          <w:rFonts w:hint="default" w:ascii="Times New Roman" w:hAnsi="Times New Roman" w:cs="Times New Roman"/>
          <w:b/>
          <w:color w:val="auto"/>
          <w:szCs w:val="22"/>
        </w:rPr>
        <w:t>（5）浮选</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磨矿出料从旋流器溢流管道自流至搅拌槽，经自动加药装置加药搅拌，搅拌调好矿浆送入浮选机后经搅拌充气，矿浆中的矿粒与气泡接触、碰撞，可浮性好的矿粒选择性地粘附于气泡并被携带上升成为气-液-固三相组成的矿化泡沫层挂出回收，不能浮起的脉石等矿物颗粒随矿浆从底部排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该工序主要污染物为：噪声、废氢氧化钠包装袋、废碳酸钠包装袋、废氯化镁包装袋、废捕收剂桶、尾矿。</w:t>
      </w:r>
    </w:p>
    <w:p>
      <w:pPr>
        <w:adjustRightInd w:val="0"/>
        <w:ind w:firstLine="482"/>
        <w:rPr>
          <w:rFonts w:hint="default" w:ascii="Times New Roman" w:hAnsi="Times New Roman" w:cs="Times New Roman"/>
          <w:color w:val="auto"/>
          <w:szCs w:val="22"/>
        </w:rPr>
      </w:pPr>
      <w:r>
        <w:rPr>
          <w:rFonts w:hint="default" w:ascii="Times New Roman" w:hAnsi="Times New Roman" w:cs="Times New Roman"/>
          <w:b/>
          <w:color w:val="auto"/>
          <w:szCs w:val="22"/>
        </w:rPr>
        <w:t>浮选原理：</w:t>
      </w:r>
      <w:r>
        <w:rPr>
          <w:rFonts w:hint="default" w:ascii="Times New Roman" w:hAnsi="Times New Roman" w:cs="Times New Roman"/>
          <w:color w:val="auto"/>
          <w:szCs w:val="22"/>
        </w:rPr>
        <w:t>浮选原理主要是根据液体表面张力的作用原理，使污水中固体污染物黏附在小气泡上。当空气通入废水时，废水中的细小颗粒物共同组成三相体系。细小颗粒黏附到气泡上时，使气泡界面发生变化。颗粒能否黏附于气泡上与颗粒和液体的表面性质有关。亲水性颗粒易被水润湿，水对它有较大的附着力，气泡不易把水推开取而代之，这种颗粒不易黏附于气泡上而除去。而疏水性颗粒则容易附着于气泡而被除去。各种物质对水的亲疏性，可用它们与水的接触角θ（以对着水的两切线夹角为准）来衡量。接触角θ&lt;90°的为亲水型物质，θ&gt;90°的为疏水物质。若要用浮选法分离亲水性颗粒，就必须投加合适的药剂—浮选剂，以改变颗粒表面性质，使其改为疏水性，易于黏附于气泡上。同时浮选剂还有促进起泡的作用，可使废水中的空气形成稳定的小气泡，以利于气浮。</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648200" cy="2636520"/>
            <wp:effectExtent l="0" t="0" r="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4648603" cy="2636748"/>
                    </a:xfrm>
                    <a:prstGeom prst="rect">
                      <a:avLst/>
                    </a:prstGeom>
                  </pic:spPr>
                </pic:pic>
              </a:graphicData>
            </a:graphic>
          </wp:inline>
        </w:drawing>
      </w:r>
    </w:p>
    <w:p>
      <w:pPr>
        <w:pStyle w:val="12"/>
        <w:adjustRightInd w:val="0"/>
        <w:ind w:left="420" w:hanging="420"/>
        <w:rPr>
          <w:rFonts w:hint="default" w:ascii="Times New Roman" w:hAnsi="Times New Roman" w:cs="Times New Roman"/>
          <w:color w:val="auto"/>
          <w:szCs w:val="22"/>
        </w:rPr>
      </w:pPr>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szCs w:val="22"/>
        </w:rPr>
        <w:t>浮选原理图</w:t>
      </w:r>
    </w:p>
    <w:p>
      <w:pPr>
        <w:adjustRightInd w:val="0"/>
        <w:ind w:firstLine="482"/>
        <w:rPr>
          <w:rFonts w:hint="default" w:ascii="Times New Roman" w:hAnsi="Times New Roman" w:cs="Times New Roman"/>
          <w:b/>
          <w:color w:val="auto"/>
          <w:szCs w:val="22"/>
        </w:rPr>
      </w:pPr>
      <w:r>
        <w:rPr>
          <w:rFonts w:hint="default" w:ascii="Times New Roman" w:hAnsi="Times New Roman" w:cs="Times New Roman"/>
          <w:b/>
          <w:color w:val="auto"/>
          <w:szCs w:val="22"/>
        </w:rPr>
        <w:t>（6）除铁</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经浮选的精矿经磁选机去除其中的铁等含磁性物杂质。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该工序主要污染物为：噪声、固废（黑砂）。</w:t>
      </w:r>
    </w:p>
    <w:p>
      <w:pPr>
        <w:adjustRightInd w:val="0"/>
        <w:ind w:firstLine="482"/>
        <w:rPr>
          <w:rFonts w:hint="default" w:ascii="Times New Roman" w:hAnsi="Times New Roman" w:cs="Times New Roman"/>
          <w:b/>
          <w:color w:val="auto"/>
          <w:szCs w:val="22"/>
        </w:rPr>
      </w:pPr>
      <w:r>
        <w:rPr>
          <w:rFonts w:hint="default" w:ascii="Times New Roman" w:hAnsi="Times New Roman" w:cs="Times New Roman"/>
          <w:b/>
          <w:color w:val="auto"/>
          <w:szCs w:val="22"/>
        </w:rPr>
        <w:t>（7）脱水</w:t>
      </w:r>
    </w:p>
    <w:p>
      <w:pPr>
        <w:adjustRightInd w:val="0"/>
        <w:ind w:firstLine="482"/>
        <w:rPr>
          <w:rFonts w:hint="default" w:ascii="Times New Roman" w:hAnsi="Times New Roman" w:cs="Times New Roman"/>
          <w:color w:val="auto"/>
          <w:szCs w:val="22"/>
        </w:rPr>
      </w:pPr>
      <w:r>
        <w:rPr>
          <w:rFonts w:hint="default" w:ascii="Times New Roman" w:hAnsi="Times New Roman" w:cs="Times New Roman"/>
          <w:b/>
          <w:color w:val="auto"/>
          <w:szCs w:val="22"/>
        </w:rPr>
        <w:t>锂辉石精矿脱水：</w:t>
      </w:r>
      <w:r>
        <w:rPr>
          <w:rFonts w:hint="default" w:ascii="Times New Roman" w:hAnsi="Times New Roman" w:cs="Times New Roman"/>
          <w:color w:val="auto"/>
          <w:szCs w:val="22"/>
        </w:rPr>
        <w:t>除铁后的精矿泵送至浓密机浓缩脱水，溢流水经沉淀后回用，底流再给入压滤机，经压滤后产出含水13%的锂辉石精矿由皮带输送机输送至锂辉石精矿仓库，而后装车外运销售。</w:t>
      </w:r>
    </w:p>
    <w:p>
      <w:pPr>
        <w:adjustRightInd w:val="0"/>
        <w:ind w:firstLine="482"/>
        <w:rPr>
          <w:rFonts w:hint="default" w:ascii="Times New Roman" w:hAnsi="Times New Roman" w:cs="Times New Roman"/>
          <w:color w:val="auto"/>
          <w:szCs w:val="22"/>
        </w:rPr>
      </w:pPr>
      <w:r>
        <w:rPr>
          <w:rFonts w:hint="default" w:ascii="Times New Roman" w:hAnsi="Times New Roman" w:cs="Times New Roman"/>
          <w:b/>
          <w:color w:val="auto"/>
          <w:szCs w:val="22"/>
        </w:rPr>
        <w:t>尾矿脱水：</w:t>
      </w:r>
      <w:r>
        <w:rPr>
          <w:rFonts w:hint="default" w:ascii="Times New Roman" w:hAnsi="Times New Roman" w:cs="Times New Roman"/>
          <w:color w:val="auto"/>
          <w:szCs w:val="22"/>
        </w:rPr>
        <w:t>浮选尾矿由渣浆泵输送至浓缩机浓缩，溢流水经沉淀处理后回用，浓缩机底流给入过滤机或压滤机（粗粒尾矿由带式真空过滤机进行脱水、细粒尾矿由隔膜厢式自动压滤机进行脱水），脱水后含水13%的尾矿由过滤机或压滤机下部皮带输送机至尾矿仓库，该部分物料作为陶瓷原料外运销售。</w:t>
      </w:r>
    </w:p>
    <w:p>
      <w:pPr>
        <w:adjustRightInd w:val="0"/>
        <w:ind w:firstLine="480"/>
        <w:rPr>
          <w:rFonts w:hint="default" w:ascii="Times New Roman" w:hAnsi="Times New Roman" w:cs="Times New Roman"/>
          <w:b/>
          <w:color w:val="auto"/>
          <w:szCs w:val="22"/>
        </w:rPr>
      </w:pPr>
      <w:r>
        <w:rPr>
          <w:rFonts w:hint="default" w:ascii="Times New Roman" w:hAnsi="Times New Roman" w:cs="Times New Roman"/>
          <w:color w:val="auto"/>
        </w:rPr>
        <w:t>该工序主要污染物为：噪声、废水、废包装材料</w:t>
      </w:r>
      <w:r>
        <w:rPr>
          <w:rFonts w:hint="default" w:ascii="Times New Roman" w:hAnsi="Times New Roman" w:cs="Times New Roman"/>
          <w:color w:val="auto"/>
          <w:szCs w:val="22"/>
        </w:rPr>
        <w:t>。</w:t>
      </w:r>
    </w:p>
    <w:p>
      <w:pPr>
        <w:pStyle w:val="4"/>
        <w:adjustRightInd w:val="0"/>
        <w:rPr>
          <w:rFonts w:hint="default" w:ascii="Times New Roman" w:hAnsi="Times New Roman" w:cs="Times New Roman"/>
          <w:color w:val="auto"/>
        </w:rPr>
      </w:pPr>
      <w:bookmarkStart w:id="115" w:name="_Toc32663"/>
      <w:r>
        <w:rPr>
          <w:rFonts w:hint="default" w:ascii="Times New Roman" w:hAnsi="Times New Roman" w:cs="Times New Roman"/>
          <w:color w:val="auto"/>
        </w:rPr>
        <w:t>产污环节汇总</w:t>
      </w:r>
      <w:bookmarkEnd w:id="115"/>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根据对项目生产工艺流程、生产设备和原辅材料的分析，确定本项目在生产过程中产生的污染环节如下：</w:t>
      </w:r>
    </w:p>
    <w:p>
      <w:pPr>
        <w:pStyle w:val="12"/>
        <w:adjustRightInd w:val="0"/>
        <w:ind w:firstLine="48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项目产污环节一览表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950"/>
        <w:gridCol w:w="2209"/>
        <w:gridCol w:w="3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79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类别</w:t>
            </w:r>
          </w:p>
        </w:tc>
        <w:tc>
          <w:tcPr>
            <w:tcW w:w="1144"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产污环节</w:t>
            </w:r>
          </w:p>
        </w:tc>
        <w:tc>
          <w:tcPr>
            <w:tcW w:w="129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产污类别</w:t>
            </w:r>
          </w:p>
        </w:tc>
        <w:tc>
          <w:tcPr>
            <w:tcW w:w="176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w:t>
            </w: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原矿仓库</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装卸及堆场粉尘</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车辆运输</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车辆运输扬尘</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原料给料</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给料粉尘</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破碎、筛分</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破碎筛分粉尘</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废水</w:t>
            </w: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球磨、浮选、精矿压滤、尾矿脱水</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选矿废水</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pH、COD、BOD</w:t>
            </w:r>
            <w:r>
              <w:rPr>
                <w:rFonts w:hint="default" w:ascii="Times New Roman" w:hAnsi="Times New Roman" w:cs="Times New Roman"/>
                <w:color w:val="auto"/>
                <w:vertAlign w:val="subscript"/>
              </w:rPr>
              <w:t>5</w:t>
            </w:r>
            <w:r>
              <w:rPr>
                <w:rFonts w:hint="default" w:ascii="Times New Roman" w:hAnsi="Times New Roman" w:cs="Times New Roman"/>
                <w:color w:val="auto"/>
              </w:rPr>
              <w:t>、氨氮、SS、石油类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车辆清洗</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车辆清洗废水</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初期雨水</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初期雨水</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办公生活</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生活污水</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pH、COD、BOD</w:t>
            </w:r>
            <w:r>
              <w:rPr>
                <w:rFonts w:hint="default" w:ascii="Times New Roman" w:hAnsi="Times New Roman" w:cs="Times New Roman"/>
                <w:color w:val="auto"/>
                <w:vertAlign w:val="subscript"/>
              </w:rPr>
              <w:t>5</w:t>
            </w:r>
            <w:r>
              <w:rPr>
                <w:rFonts w:hint="default" w:ascii="Times New Roman" w:hAnsi="Times New Roman" w:cs="Times New Roman"/>
                <w:color w:val="auto"/>
              </w:rPr>
              <w:t>、氨氮、SS等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噪声</w:t>
            </w: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设备运行</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设备噪声</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固体废物</w:t>
            </w: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废水处理</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沉淀池沉渣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尾矿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磁选</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黑砂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脱水</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废滤袋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废气处理</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布袋收尘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废气处理</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废布袋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办公生活</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设备维修</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危险废物</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Merge w:val="continue"/>
            <w:vAlign w:val="center"/>
          </w:tcPr>
          <w:p>
            <w:pPr>
              <w:pStyle w:val="65"/>
              <w:spacing w:before="65" w:after="65"/>
              <w:rPr>
                <w:rFonts w:hint="default" w:ascii="Times New Roman" w:hAnsi="Times New Roman" w:cs="Times New Roman"/>
                <w:color w:val="auto"/>
              </w:rPr>
            </w:pP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危险废物</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废机油桶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Merge w:val="continue"/>
            <w:vAlign w:val="center"/>
          </w:tcPr>
          <w:p>
            <w:pPr>
              <w:pStyle w:val="65"/>
              <w:spacing w:before="65" w:after="65"/>
              <w:rPr>
                <w:rFonts w:hint="default" w:ascii="Times New Roman" w:hAnsi="Times New Roman" w:cs="Times New Roman"/>
                <w:color w:val="auto"/>
              </w:rPr>
            </w:pP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危险废物</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含油抹布及手套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w:t>
            </w: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危险废物</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废氢氧化钠包装袋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Merge w:val="continue"/>
            <w:vAlign w:val="center"/>
          </w:tcPr>
          <w:p>
            <w:pPr>
              <w:pStyle w:val="65"/>
              <w:spacing w:before="65" w:after="65"/>
              <w:rPr>
                <w:rFonts w:hint="default" w:ascii="Times New Roman" w:hAnsi="Times New Roman" w:cs="Times New Roman"/>
                <w:color w:val="auto"/>
              </w:rPr>
            </w:pP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危险废物</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废碳酸钠包装袋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Merge w:val="continue"/>
            <w:vAlign w:val="center"/>
          </w:tcPr>
          <w:p>
            <w:pPr>
              <w:pStyle w:val="65"/>
              <w:spacing w:before="65" w:after="65"/>
              <w:rPr>
                <w:rFonts w:hint="default" w:ascii="Times New Roman" w:hAnsi="Times New Roman" w:cs="Times New Roman"/>
                <w:color w:val="auto"/>
              </w:rPr>
            </w:pP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危险废物</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废氯化镁包装袋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pPr>
              <w:pStyle w:val="65"/>
              <w:spacing w:before="65" w:after="65"/>
              <w:rPr>
                <w:rFonts w:hint="default" w:ascii="Times New Roman" w:hAnsi="Times New Roman" w:cs="Times New Roman"/>
                <w:color w:val="auto"/>
              </w:rPr>
            </w:pPr>
          </w:p>
        </w:tc>
        <w:tc>
          <w:tcPr>
            <w:tcW w:w="1144" w:type="pct"/>
            <w:vMerge w:val="continue"/>
            <w:vAlign w:val="center"/>
          </w:tcPr>
          <w:p>
            <w:pPr>
              <w:pStyle w:val="65"/>
              <w:spacing w:before="65" w:after="65"/>
              <w:rPr>
                <w:rFonts w:hint="default" w:ascii="Times New Roman" w:hAnsi="Times New Roman" w:cs="Times New Roman"/>
                <w:color w:val="auto"/>
              </w:rPr>
            </w:pPr>
          </w:p>
        </w:tc>
        <w:tc>
          <w:tcPr>
            <w:tcW w:w="12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危险废物</w:t>
            </w:r>
          </w:p>
        </w:tc>
        <w:tc>
          <w:tcPr>
            <w:tcW w:w="17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废捕收剂桶</w:t>
            </w:r>
          </w:p>
        </w:tc>
      </w:tr>
    </w:tbl>
    <w:p>
      <w:pPr>
        <w:pStyle w:val="4"/>
        <w:adjustRightInd w:val="0"/>
        <w:rPr>
          <w:rFonts w:hint="default" w:ascii="Times New Roman" w:hAnsi="Times New Roman" w:cs="Times New Roman"/>
          <w:color w:val="auto"/>
        </w:rPr>
      </w:pPr>
      <w:bookmarkStart w:id="116" w:name="_Toc24392"/>
      <w:r>
        <w:rPr>
          <w:rFonts w:hint="default" w:ascii="Times New Roman" w:hAnsi="Times New Roman" w:cs="Times New Roman"/>
          <w:color w:val="auto"/>
        </w:rPr>
        <w:t>物料平衡及水平衡分析</w:t>
      </w:r>
      <w:bookmarkEnd w:id="116"/>
    </w:p>
    <w:p>
      <w:pPr>
        <w:pStyle w:val="5"/>
        <w:adjustRightInd w:val="0"/>
        <w:rPr>
          <w:rFonts w:hint="default" w:ascii="Times New Roman" w:hAnsi="Times New Roman" w:cs="Times New Roman"/>
          <w:color w:val="auto"/>
        </w:rPr>
      </w:pPr>
      <w:r>
        <w:rPr>
          <w:rFonts w:hint="default" w:ascii="Times New Roman" w:hAnsi="Times New Roman" w:cs="Times New Roman"/>
          <w:color w:val="auto"/>
        </w:rPr>
        <w:t>物料平衡</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物料平衡确定依据：总物料平衡通过原料的量、核算中间产物的量、源强分析中各污染物的量以及各元素分析中主要物料之间相应的联系计算。</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本项目物料平衡见下图。</w:t>
      </w:r>
    </w:p>
    <w:p>
      <w:pPr>
        <w:pStyle w:val="37"/>
        <w:adjustRightInd w:val="0"/>
        <w:ind w:firstLine="480"/>
        <w:rPr>
          <w:rFonts w:hint="default" w:ascii="Times New Roman" w:hAnsi="Times New Roman" w:cs="Times New Roman"/>
          <w:color w:val="auto"/>
        </w:rPr>
        <w:sectPr>
          <w:pgSz w:w="11906" w:h="16838"/>
          <w:pgMar w:top="1440" w:right="1800" w:bottom="1440" w:left="1800" w:header="851" w:footer="992" w:gutter="0"/>
          <w:cols w:space="425" w:num="1"/>
          <w:docGrid w:type="lines" w:linePitch="326" w:charSpace="0"/>
        </w:sectPr>
      </w:pPr>
    </w:p>
    <w:p>
      <w:pPr>
        <w:pStyle w:val="54"/>
        <w:adjustRightIn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8853805" cy="3987800"/>
            <wp:effectExtent l="0" t="0" r="4445" b="1270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32"/>
                    <a:stretch>
                      <a:fillRect/>
                    </a:stretch>
                  </pic:blipFill>
                  <pic:spPr>
                    <a:xfrm>
                      <a:off x="0" y="0"/>
                      <a:ext cx="8853805" cy="3987800"/>
                    </a:xfrm>
                    <a:prstGeom prst="rect">
                      <a:avLst/>
                    </a:prstGeom>
                    <a:noFill/>
                    <a:ln>
                      <a:noFill/>
                    </a:ln>
                  </pic:spPr>
                </pic:pic>
              </a:graphicData>
            </a:graphic>
          </wp:inline>
        </w:drawing>
      </w:r>
    </w:p>
    <w:p>
      <w:pPr>
        <w:pStyle w:val="12"/>
        <w:adjustRightInd w:val="0"/>
        <w:ind w:firstLine="480"/>
        <w:rPr>
          <w:rFonts w:hint="default" w:ascii="Times New Roman" w:hAnsi="Times New Roman" w:cs="Times New Roman"/>
          <w:color w:val="auto"/>
        </w:rPr>
      </w:pPr>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项目总物料平衡图（单位：t/a）</w:t>
      </w:r>
    </w:p>
    <w:p>
      <w:pPr>
        <w:adjustRightInd w:val="0"/>
        <w:ind w:firstLine="480"/>
        <w:rPr>
          <w:rFonts w:hint="default" w:ascii="Times New Roman" w:hAnsi="Times New Roman" w:cs="Times New Roman"/>
          <w:color w:val="auto"/>
        </w:rPr>
        <w:sectPr>
          <w:pgSz w:w="16838" w:h="11906" w:orient="landscape"/>
          <w:pgMar w:top="1800" w:right="1440" w:bottom="1800" w:left="1440" w:header="851" w:footer="992" w:gutter="0"/>
          <w:cols w:space="425" w:num="1"/>
          <w:docGrid w:type="lines" w:linePitch="326" w:charSpace="0"/>
        </w:sectPr>
      </w:pPr>
    </w:p>
    <w:p>
      <w:pPr>
        <w:pStyle w:val="5"/>
        <w:adjustRightInd w:val="0"/>
        <w:rPr>
          <w:rFonts w:hint="default" w:ascii="Times New Roman" w:hAnsi="Times New Roman" w:cs="Times New Roman"/>
          <w:color w:val="auto"/>
        </w:rPr>
      </w:pPr>
      <w:r>
        <w:rPr>
          <w:rFonts w:hint="default" w:ascii="Times New Roman" w:hAnsi="Times New Roman" w:cs="Times New Roman"/>
          <w:color w:val="auto"/>
        </w:rPr>
        <w:t>水平衡</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（1）选矿用水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的锂辉石选矿工艺采用浮选，参照2021年发布的《排放源统计调查产排污核算方法和系数手册》中0919其他常用有色金属矿采选行业产污系数表，单位污水产生量为3.67t/t-产品，本项目日加工锂辉石1666.67t，日产精矿、尾矿等约1674.33t。因此，本项目选矿废水产生量为6144.79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根据乐山市全沫矿产品有限公司试运行阶段生产经验数据，浓密机废水、脱水过程产生的废水、堆场渗滤水分别占选矿废水百分比为69.942%、29.975%、0.083%。因此，本项目浓密机废水4297.79m</w:t>
      </w:r>
      <w:r>
        <w:rPr>
          <w:rFonts w:hint="default" w:ascii="Times New Roman" w:hAnsi="Times New Roman" w:cs="Times New Roman"/>
          <w:color w:val="auto"/>
          <w:vertAlign w:val="superscript"/>
        </w:rPr>
        <w:t>3</w:t>
      </w:r>
      <w:r>
        <w:rPr>
          <w:rFonts w:hint="default" w:ascii="Times New Roman" w:hAnsi="Times New Roman" w:cs="Times New Roman"/>
          <w:color w:val="auto"/>
        </w:rPr>
        <w:t>/d、脱水过程产生的废水1841.9m</w:t>
      </w:r>
      <w:r>
        <w:rPr>
          <w:rFonts w:hint="default" w:ascii="Times New Roman" w:hAnsi="Times New Roman" w:cs="Times New Roman"/>
          <w:color w:val="auto"/>
          <w:vertAlign w:val="superscript"/>
        </w:rPr>
        <w:t>3</w:t>
      </w:r>
      <w:r>
        <w:rPr>
          <w:rFonts w:hint="default" w:ascii="Times New Roman" w:hAnsi="Times New Roman" w:cs="Times New Roman"/>
          <w:color w:val="auto"/>
        </w:rPr>
        <w:t>/d、堆场渗滤水5.1m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本项目选矿过程中选矿用水损耗约5%，同时锂辉石精矿（含水率13%）带走水量68.74m</w:t>
      </w:r>
      <w:r>
        <w:rPr>
          <w:rFonts w:hint="default" w:ascii="Times New Roman" w:hAnsi="Times New Roman" w:cs="Times New Roman"/>
          <w:color w:val="auto"/>
          <w:vertAlign w:val="superscript"/>
        </w:rPr>
        <w:t>3</w:t>
      </w:r>
      <w:r>
        <w:rPr>
          <w:rFonts w:hint="default" w:ascii="Times New Roman" w:hAnsi="Times New Roman" w:cs="Times New Roman"/>
          <w:color w:val="auto"/>
        </w:rPr>
        <w:t>/d、尾矿（含水率13%）带走水量148.93m</w:t>
      </w:r>
      <w:r>
        <w:rPr>
          <w:rFonts w:hint="default" w:ascii="Times New Roman" w:hAnsi="Times New Roman" w:cs="Times New Roman"/>
          <w:color w:val="auto"/>
          <w:vertAlign w:val="superscript"/>
        </w:rPr>
        <w:t>3</w:t>
      </w:r>
      <w:r>
        <w:rPr>
          <w:rFonts w:hint="default" w:ascii="Times New Roman" w:hAnsi="Times New Roman" w:cs="Times New Roman"/>
          <w:color w:val="auto"/>
        </w:rPr>
        <w:t>/d、黑砂（含水率13%）将带走水量11.46m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全厂共设置1套生产废水处理设施，为三级沉淀池（一级沉淀池有效容积1460m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、二级沉淀池有效容积1460m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、三级沉淀池有效容积1400m</w:t>
      </w:r>
      <w:r>
        <w:rPr>
          <w:rFonts w:hint="default" w:ascii="Times New Roman" w:hAnsi="Times New Roman" w:cs="Times New Roman"/>
          <w:color w:val="auto"/>
          <w:vertAlign w:val="superscript"/>
        </w:rPr>
        <w:t>3</w:t>
      </w:r>
      <w:r>
        <w:rPr>
          <w:rFonts w:hint="default" w:ascii="Times New Roman" w:hAnsi="Times New Roman" w:cs="Times New Roman"/>
          <w:color w:val="auto"/>
        </w:rPr>
        <w:t>，其中一级沉淀池设计水力停留时间为5.2h、二级沉淀池设计水力停留时间为5.2h，三级沉淀池设计水力停留时间为5h，处理能力280m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/h，处理工艺为絮凝+沉淀），其中浓密机废水（4297.79m</w:t>
      </w:r>
      <w:r>
        <w:rPr>
          <w:rFonts w:hint="default" w:ascii="Times New Roman" w:hAnsi="Times New Roman" w:cs="Times New Roman"/>
          <w:color w:val="auto"/>
          <w:vertAlign w:val="superscript"/>
        </w:rPr>
        <w:t>3</w:t>
      </w:r>
      <w:r>
        <w:rPr>
          <w:rFonts w:hint="default" w:ascii="Times New Roman" w:hAnsi="Times New Roman" w:cs="Times New Roman"/>
          <w:color w:val="auto"/>
        </w:rPr>
        <w:t>/d）经废水处理设施处理后回用于球磨、浮选工序。堆场渗滤水（5.1m</w:t>
      </w:r>
      <w:r>
        <w:rPr>
          <w:rFonts w:hint="default" w:ascii="Times New Roman" w:hAnsi="Times New Roman" w:cs="Times New Roman"/>
          <w:color w:val="auto"/>
          <w:vertAlign w:val="superscript"/>
        </w:rPr>
        <w:t>3</w:t>
      </w:r>
      <w:r>
        <w:rPr>
          <w:rFonts w:hint="default" w:ascii="Times New Roman" w:hAnsi="Times New Roman" w:cs="Times New Roman"/>
          <w:color w:val="auto"/>
        </w:rPr>
        <w:t>/d）经导流沟收集后进入废水处理设施处理后回用于球磨工序；全厂设置4套板框压滤机+1套带式真空过滤机，脱水工序产生的废水（1841.9m</w:t>
      </w:r>
      <w:r>
        <w:rPr>
          <w:rFonts w:hint="default" w:ascii="Times New Roman" w:hAnsi="Times New Roman" w:cs="Times New Roman"/>
          <w:color w:val="auto"/>
          <w:vertAlign w:val="superscript"/>
        </w:rPr>
        <w:t>3/</w:t>
      </w:r>
      <w:r>
        <w:rPr>
          <w:rFonts w:hint="default" w:ascii="Times New Roman" w:hAnsi="Times New Roman" w:cs="Times New Roman"/>
          <w:color w:val="auto"/>
        </w:rPr>
        <w:t>d），进入废水处理设施处理后回用于生产。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经计算，本项目选矿用水量为6569.04m</w:t>
      </w:r>
      <w:r>
        <w:rPr>
          <w:rFonts w:hint="default" w:ascii="Times New Roman" w:hAnsi="Times New Roman" w:cs="Times New Roman"/>
          <w:color w:val="auto"/>
          <w:vertAlign w:val="superscript"/>
        </w:rPr>
        <w:t>3</w:t>
      </w:r>
      <w:r>
        <w:rPr>
          <w:rFonts w:hint="default" w:ascii="Times New Roman" w:hAnsi="Times New Roman" w:cs="Times New Roman"/>
          <w:color w:val="auto"/>
        </w:rPr>
        <w:t>/d，损耗按照5%计算，每天损耗的水量为328.45m</w:t>
      </w:r>
      <w:r>
        <w:rPr>
          <w:rFonts w:hint="default" w:ascii="Times New Roman" w:hAnsi="Times New Roman" w:cs="Times New Roman"/>
          <w:color w:val="auto"/>
          <w:vertAlign w:val="superscript"/>
        </w:rPr>
        <w:t>3</w:t>
      </w:r>
      <w:r>
        <w:rPr>
          <w:rFonts w:hint="default" w:ascii="Times New Roman" w:hAnsi="Times New Roman" w:cs="Times New Roman"/>
          <w:color w:val="auto"/>
        </w:rPr>
        <w:t>/d，锂辉石原矿每天带入的水量为133.33m</w:t>
      </w:r>
      <w:r>
        <w:rPr>
          <w:rFonts w:hint="default" w:ascii="Times New Roman" w:hAnsi="Times New Roman" w:cs="Times New Roman"/>
          <w:color w:val="auto"/>
          <w:vertAlign w:val="superscript"/>
        </w:rPr>
        <w:t>3</w:t>
      </w:r>
      <w:r>
        <w:rPr>
          <w:rFonts w:hint="default" w:ascii="Times New Roman" w:hAnsi="Times New Roman" w:cs="Times New Roman"/>
          <w:color w:val="auto"/>
        </w:rPr>
        <w:t>/d，需每天加入新鲜水424.25m</w:t>
      </w:r>
      <w:r>
        <w:rPr>
          <w:rFonts w:hint="default" w:ascii="Times New Roman" w:hAnsi="Times New Roman" w:cs="Times New Roman"/>
          <w:color w:val="auto"/>
          <w:vertAlign w:val="superscript"/>
        </w:rPr>
        <w:t>3</w:t>
      </w:r>
      <w:r>
        <w:rPr>
          <w:rFonts w:hint="default" w:ascii="Times New Roman" w:hAnsi="Times New Roman" w:cs="Times New Roman"/>
          <w:color w:val="auto"/>
        </w:rPr>
        <w:t>/d，保证选矿工艺用水量。</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（2）车辆冲洗用水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本项目设置洗车平台1座，对运输车辆进行冲洗，以降低运输扬尘的产生，根据《四川省用水定额》（2021年）平均每辆运输车辆每次冲洗轮胎用水量为0.1m</w:t>
      </w:r>
      <w:r>
        <w:rPr>
          <w:rFonts w:hint="default" w:ascii="Times New Roman" w:hAnsi="Times New Roman" w:cs="Times New Roman"/>
          <w:color w:val="auto"/>
          <w:vertAlign w:val="superscript"/>
        </w:rPr>
        <w:t>3</w:t>
      </w:r>
      <w:r>
        <w:rPr>
          <w:rFonts w:hint="default" w:ascii="Times New Roman" w:hAnsi="Times New Roman" w:cs="Times New Roman"/>
          <w:color w:val="auto"/>
        </w:rPr>
        <w:t>。本项目年加工50万吨锂辉石矿，原料和成品运输车次合计约20000次/年，因此本项目车辆冲洗用水量约为2000m</w:t>
      </w:r>
      <w:r>
        <w:rPr>
          <w:rFonts w:hint="default" w:ascii="Times New Roman" w:hAnsi="Times New Roman" w:cs="Times New Roman"/>
          <w:color w:val="auto"/>
          <w:vertAlign w:val="superscript"/>
        </w:rPr>
        <w:t>3</w:t>
      </w:r>
      <w:r>
        <w:rPr>
          <w:rFonts w:hint="default" w:ascii="Times New Roman" w:hAnsi="Times New Roman" w:cs="Times New Roman"/>
          <w:color w:val="auto"/>
        </w:rPr>
        <w:t>/a。本项目车辆冲洗废水产污系数按85%计，因此本项目车辆冲洗废水产生量为1700m</w:t>
      </w:r>
      <w:r>
        <w:rPr>
          <w:rFonts w:hint="default" w:ascii="Times New Roman" w:hAnsi="Times New Roman" w:cs="Times New Roman"/>
          <w:color w:val="auto"/>
          <w:vertAlign w:val="superscript"/>
        </w:rPr>
        <w:t>3</w:t>
      </w:r>
      <w:r>
        <w:rPr>
          <w:rFonts w:hint="default" w:ascii="Times New Roman" w:hAnsi="Times New Roman" w:cs="Times New Roman"/>
          <w:color w:val="auto"/>
        </w:rPr>
        <w:t>/a（5.67m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本项目车辆冲洗废水经车辆冲洗废水沉淀池处理后回用于车辆冲洗，不外排。</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（3）喷雾降尘用水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本项目碎矿车间（含原料堆场）设置1套喷雾降尘装置（共30个喷头），根据项目设计参数，该喷雾降尘装置平均每天用水量为8m</w:t>
      </w:r>
      <w:r>
        <w:rPr>
          <w:rFonts w:hint="default" w:ascii="Times New Roman" w:hAnsi="Times New Roman" w:cs="Times New Roman"/>
          <w:color w:val="auto"/>
          <w:vertAlign w:val="superscript"/>
        </w:rPr>
        <w:t>3</w:t>
      </w:r>
      <w:r>
        <w:rPr>
          <w:rFonts w:hint="default" w:ascii="Times New Roman" w:hAnsi="Times New Roman" w:cs="Times New Roman"/>
          <w:color w:val="auto"/>
        </w:rPr>
        <w:t>，则用水量为2400m</w:t>
      </w:r>
      <w:r>
        <w:rPr>
          <w:rFonts w:hint="default" w:ascii="Times New Roman" w:hAnsi="Times New Roman" w:cs="Times New Roman"/>
          <w:color w:val="auto"/>
          <w:vertAlign w:val="superscript"/>
        </w:rPr>
        <w:t>3</w:t>
      </w:r>
      <w:r>
        <w:rPr>
          <w:rFonts w:hint="default" w:ascii="Times New Roman" w:hAnsi="Times New Roman" w:cs="Times New Roman"/>
          <w:color w:val="auto"/>
        </w:rPr>
        <w:t>/a（8m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本项目喷雾降尘用水全部蒸发损耗。</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（4）生活用水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本项目劳动定员70人（公司设置食宿），根据《四川省用水定额》（川府函〔2021〕8号），本项目每人生活用水定额按0.16m</w:t>
      </w:r>
      <w:r>
        <w:rPr>
          <w:rFonts w:hint="default" w:ascii="Times New Roman" w:hAnsi="Times New Roman" w:cs="Times New Roman"/>
          <w:color w:val="auto"/>
          <w:vertAlign w:val="superscript"/>
        </w:rPr>
        <w:t>3</w:t>
      </w:r>
      <w:r>
        <w:rPr>
          <w:rFonts w:hint="default" w:ascii="Times New Roman" w:hAnsi="Times New Roman" w:cs="Times New Roman"/>
          <w:color w:val="auto"/>
        </w:rPr>
        <w:t>/d计，因此本项目生活用水量为11.2m</w:t>
      </w:r>
      <w:r>
        <w:rPr>
          <w:rFonts w:hint="default" w:ascii="Times New Roman" w:hAnsi="Times New Roman" w:cs="Times New Roman"/>
          <w:color w:val="auto"/>
          <w:vertAlign w:val="superscript"/>
        </w:rPr>
        <w:t>3</w:t>
      </w:r>
      <w:r>
        <w:rPr>
          <w:rFonts w:hint="default" w:ascii="Times New Roman" w:hAnsi="Times New Roman" w:cs="Times New Roman"/>
          <w:color w:val="auto"/>
        </w:rPr>
        <w:t>/d，3360m</w:t>
      </w:r>
      <w:r>
        <w:rPr>
          <w:rFonts w:hint="default" w:ascii="Times New Roman" w:hAnsi="Times New Roman" w:cs="Times New Roman"/>
          <w:color w:val="auto"/>
          <w:vertAlign w:val="superscript"/>
        </w:rPr>
        <w:t>3</w:t>
      </w:r>
      <w:r>
        <w:rPr>
          <w:rFonts w:hint="default" w:ascii="Times New Roman" w:hAnsi="Times New Roman" w:cs="Times New Roman"/>
          <w:color w:val="auto"/>
        </w:rPr>
        <w:t>/a，生活用水产污系数按85%计，则生活污水产生量约为9.52m</w:t>
      </w:r>
      <w:r>
        <w:rPr>
          <w:rFonts w:hint="default" w:ascii="Times New Roman" w:hAnsi="Times New Roman" w:cs="Times New Roman"/>
          <w:color w:val="auto"/>
          <w:vertAlign w:val="superscript"/>
        </w:rPr>
        <w:t>3</w:t>
      </w:r>
      <w:r>
        <w:rPr>
          <w:rFonts w:hint="default" w:ascii="Times New Roman" w:hAnsi="Times New Roman" w:cs="Times New Roman"/>
          <w:color w:val="auto"/>
        </w:rPr>
        <w:t>/d，2856m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本项目生活污水经预处理池处理后排放至园区污水厂处理。</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（5）初期雨水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有色金属工业环境保护工程设计规范》（GB50988-2014），稀有金属及产品制品初期雨水宜取一次降雨初期10min-15min雨量，宜根据装置生产特点和污染特征进行污染区域划分，设置初期雨水收集池。本项目易受污染区按厂区内露天硬化区域（除库房、生产车间、办公生活楼、绿化等的其他区域）计，约26313.71m</w:t>
      </w:r>
      <w:r>
        <w:rPr>
          <w:rFonts w:hint="default" w:ascii="Times New Roman" w:hAnsi="Times New Roman" w:cs="Times New Roman"/>
          <w:color w:val="auto"/>
          <w:vertAlign w:val="superscript"/>
        </w:rPr>
        <w:t>2</w:t>
      </w:r>
      <w:r>
        <w:rPr>
          <w:rFonts w:hint="default" w:ascii="Times New Roman" w:hAnsi="Times New Roman" w:cs="Times New Roman"/>
          <w:color w:val="auto"/>
        </w:rPr>
        <w:t>。初期雨水量可按以下公式计算：</w:t>
      </w:r>
    </w:p>
    <w:p>
      <w:pPr>
        <w:adjustRightInd w:val="0"/>
        <w:ind w:firstLine="480"/>
        <w:jc w:val="center"/>
        <w:rPr>
          <w:rFonts w:hint="default" w:ascii="Times New Roman" w:hAnsi="Times New Roman" w:cs="Times New Roman"/>
          <w:color w:val="auto"/>
          <w:szCs w:val="22"/>
        </w:rPr>
      </w:pPr>
      <w:r>
        <w:rPr>
          <w:rFonts w:hint="default" w:ascii="Times New Roman" w:hAnsi="Times New Roman" w:cs="Times New Roman"/>
          <w:color w:val="auto"/>
          <w:szCs w:val="22"/>
        </w:rPr>
        <w:drawing>
          <wp:inline distT="0" distB="0" distL="114300" distR="114300">
            <wp:extent cx="1017905" cy="359410"/>
            <wp:effectExtent l="0" t="0" r="10795" b="2540"/>
            <wp:docPr id="14" name="图片 14" descr="166312536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3125365252"/>
                    <pic:cNvPicPr>
                      <a:picLocks noChangeAspect="1"/>
                    </pic:cNvPicPr>
                  </pic:nvPicPr>
                  <pic:blipFill>
                    <a:blip r:embed="rId33"/>
                    <a:stretch>
                      <a:fillRect/>
                    </a:stretch>
                  </pic:blipFill>
                  <pic:spPr>
                    <a:xfrm>
                      <a:off x="0" y="0"/>
                      <a:ext cx="1017905" cy="359410"/>
                    </a:xfrm>
                    <a:prstGeom prst="rect">
                      <a:avLst/>
                    </a:prstGeom>
                  </pic:spPr>
                </pic:pic>
              </a:graphicData>
            </a:graphic>
          </wp:inline>
        </w:drawing>
      </w:r>
    </w:p>
    <w:p>
      <w:pPr>
        <w:widowControl/>
        <w:adjustRightInd w:val="0"/>
        <w:ind w:firstLine="480"/>
        <w:rPr>
          <w:rFonts w:hint="default" w:ascii="Times New Roman" w:hAnsi="Times New Roman" w:cs="Times New Roman"/>
          <w:color w:val="auto"/>
          <w:szCs w:val="22"/>
        </w:rPr>
      </w:pPr>
      <w:r>
        <w:rPr>
          <w:rFonts w:hint="default" w:ascii="Times New Roman" w:hAnsi="Times New Roman" w:cs="Times New Roman"/>
          <w:color w:val="auto"/>
          <w:szCs w:val="22"/>
          <w:lang w:bidi="ar"/>
        </w:rPr>
        <w:t>式中：Q</w:t>
      </w:r>
      <w:r>
        <w:rPr>
          <w:rFonts w:hint="default" w:ascii="Times New Roman" w:hAnsi="Times New Roman" w:cs="Times New Roman"/>
          <w:color w:val="auto"/>
          <w:szCs w:val="22"/>
          <w:vertAlign w:val="subscript"/>
          <w:lang w:bidi="ar"/>
        </w:rPr>
        <w:t>S</w:t>
      </w:r>
      <w:r>
        <w:rPr>
          <w:rFonts w:hint="default" w:ascii="Times New Roman" w:hAnsi="Times New Roman" w:cs="Times New Roman"/>
          <w:color w:val="auto"/>
          <w:szCs w:val="22"/>
          <w:lang w:bidi="ar"/>
        </w:rPr>
        <w:t>——雨水设计流量，m</w:t>
      </w:r>
      <w:r>
        <w:rPr>
          <w:rFonts w:hint="default" w:ascii="Times New Roman" w:hAnsi="Times New Roman" w:cs="Times New Roman"/>
          <w:color w:val="auto"/>
          <w:szCs w:val="22"/>
          <w:vertAlign w:val="superscript"/>
          <w:lang w:bidi="ar"/>
        </w:rPr>
        <w:t>3</w:t>
      </w:r>
      <w:r>
        <w:rPr>
          <w:rFonts w:hint="default" w:ascii="Times New Roman" w:hAnsi="Times New Roman" w:cs="Times New Roman"/>
          <w:color w:val="auto"/>
          <w:szCs w:val="22"/>
          <w:lang w:bidi="ar"/>
        </w:rPr>
        <w:t>/min；</w:t>
      </w:r>
    </w:p>
    <w:p>
      <w:pPr>
        <w:widowControl/>
        <w:adjustRightInd w:val="0"/>
        <w:ind w:firstLine="1200" w:firstLineChars="500"/>
        <w:rPr>
          <w:rFonts w:hint="default" w:ascii="Times New Roman" w:hAnsi="Times New Roman" w:cs="Times New Roman"/>
          <w:color w:val="auto"/>
          <w:szCs w:val="22"/>
        </w:rPr>
      </w:pPr>
      <w:r>
        <w:rPr>
          <w:rFonts w:hint="default" w:ascii="Times New Roman" w:hAnsi="Times New Roman" w:cs="Times New Roman"/>
          <w:color w:val="auto"/>
          <w:szCs w:val="22"/>
          <w:lang w:bidi="ar"/>
        </w:rPr>
        <w:t>q——设计暴雨强度，mm/min；</w:t>
      </w:r>
    </w:p>
    <w:p>
      <w:pPr>
        <w:widowControl/>
        <w:adjustRightInd w:val="0"/>
        <w:ind w:firstLine="1200" w:firstLineChars="500"/>
        <w:rPr>
          <w:rFonts w:hint="default" w:ascii="Times New Roman" w:hAnsi="Times New Roman" w:cs="Times New Roman"/>
          <w:color w:val="auto"/>
          <w:szCs w:val="22"/>
          <w:lang w:bidi="ar"/>
        </w:rPr>
      </w:pPr>
      <w:r>
        <w:rPr>
          <w:rFonts w:hint="default" w:ascii="Times New Roman" w:hAnsi="Times New Roman" w:cs="Times New Roman"/>
          <w:color w:val="auto"/>
          <w:szCs w:val="22"/>
          <w:lang w:bidi="ar"/>
        </w:rPr>
        <w:t>Ψ——径流系数，取0.9；</w:t>
      </w:r>
    </w:p>
    <w:p>
      <w:pPr>
        <w:widowControl/>
        <w:adjustRightInd w:val="0"/>
        <w:ind w:firstLine="1200" w:firstLineChars="500"/>
        <w:rPr>
          <w:rFonts w:hint="default" w:ascii="Times New Roman" w:hAnsi="Times New Roman" w:cs="Times New Roman"/>
          <w:color w:val="auto"/>
          <w:szCs w:val="22"/>
          <w:lang w:bidi="ar"/>
        </w:rPr>
      </w:pPr>
      <w:r>
        <w:rPr>
          <w:rFonts w:hint="default" w:ascii="Times New Roman" w:hAnsi="Times New Roman" w:cs="Times New Roman"/>
          <w:color w:val="auto"/>
          <w:szCs w:val="22"/>
          <w:lang w:bidi="ar"/>
        </w:rPr>
        <w:t>F——汇水面积，m</w:t>
      </w:r>
      <w:r>
        <w:rPr>
          <w:rFonts w:hint="default" w:ascii="Times New Roman" w:hAnsi="Times New Roman" w:cs="Times New Roman"/>
          <w:color w:val="auto"/>
          <w:szCs w:val="22"/>
          <w:vertAlign w:val="superscript"/>
          <w:lang w:bidi="ar"/>
        </w:rPr>
        <w:t>2</w:t>
      </w:r>
      <w:r>
        <w:rPr>
          <w:rFonts w:hint="default" w:ascii="Times New Roman" w:hAnsi="Times New Roman" w:cs="Times New Roman"/>
          <w:color w:val="auto"/>
          <w:szCs w:val="22"/>
          <w:lang w:bidi="ar"/>
        </w:rPr>
        <w:t>，本项目汇水面积取26313.71m</w:t>
      </w:r>
      <w:r>
        <w:rPr>
          <w:rFonts w:hint="default" w:ascii="Times New Roman" w:hAnsi="Times New Roman" w:cs="Times New Roman"/>
          <w:color w:val="auto"/>
          <w:szCs w:val="22"/>
          <w:vertAlign w:val="superscript"/>
          <w:lang w:bidi="ar"/>
        </w:rPr>
        <w:t>2</w:t>
      </w:r>
      <w:r>
        <w:rPr>
          <w:rFonts w:hint="default" w:ascii="Times New Roman" w:hAnsi="Times New Roman" w:cs="Times New Roman"/>
          <w:color w:val="auto"/>
          <w:szCs w:val="22"/>
          <w:lang w:bidi="ar"/>
        </w:rPr>
        <w:t>。</w:t>
      </w:r>
    </w:p>
    <w:p>
      <w:pPr>
        <w:adjustRightInd w:val="0"/>
        <w:ind w:firstLine="480"/>
        <w:rPr>
          <w:rFonts w:hint="default" w:ascii="Times New Roman" w:hAnsi="Times New Roman" w:cs="Times New Roman"/>
          <w:color w:val="auto"/>
          <w:szCs w:val="22"/>
        </w:rPr>
      </w:pPr>
      <w:r>
        <w:rPr>
          <w:rFonts w:hint="default" w:ascii="Times New Roman" w:hAnsi="Times New Roman" w:cs="Times New Roman"/>
          <w:color w:val="auto"/>
          <w:szCs w:val="22"/>
        </w:rPr>
        <w:t>本次评价采用经修订的乐山市城市暴雨强度公式：</w:t>
      </w:r>
    </w:p>
    <w:p>
      <w:pPr>
        <w:adjustRightInd w:val="0"/>
        <w:ind w:firstLine="480"/>
        <w:jc w:val="center"/>
        <w:rPr>
          <w:rFonts w:hint="default" w:ascii="Times New Roman" w:hAnsi="Times New Roman" w:cs="Times New Roman"/>
          <w:color w:val="auto"/>
          <w:szCs w:val="22"/>
        </w:rPr>
      </w:pPr>
      <w:r>
        <w:rPr>
          <w:rFonts w:hint="default" w:ascii="Times New Roman" w:hAnsi="Times New Roman" w:cs="Times New Roman"/>
          <w:color w:val="auto"/>
          <w:szCs w:val="22"/>
        </w:rPr>
        <w:t>q=（9.394+6.173lgP）/（t+14.6）</w:t>
      </w:r>
      <w:r>
        <w:rPr>
          <w:rFonts w:hint="default" w:ascii="Times New Roman" w:hAnsi="Times New Roman" w:cs="Times New Roman"/>
          <w:color w:val="auto"/>
          <w:szCs w:val="22"/>
          <w:vertAlign w:val="superscript"/>
        </w:rPr>
        <w:t>0.567</w:t>
      </w:r>
    </w:p>
    <w:p>
      <w:pPr>
        <w:widowControl/>
        <w:adjustRightInd w:val="0"/>
        <w:ind w:firstLine="480"/>
        <w:rPr>
          <w:rFonts w:hint="default" w:ascii="Times New Roman" w:hAnsi="Times New Roman" w:cs="Times New Roman"/>
          <w:color w:val="auto"/>
          <w:szCs w:val="22"/>
        </w:rPr>
      </w:pPr>
      <w:r>
        <w:rPr>
          <w:rFonts w:hint="default" w:ascii="Times New Roman" w:hAnsi="Times New Roman" w:cs="Times New Roman"/>
          <w:color w:val="auto"/>
          <w:szCs w:val="22"/>
          <w:lang w:bidi="ar"/>
        </w:rPr>
        <w:t>式中：q——设计暴雨强度，mm/min；</w:t>
      </w:r>
    </w:p>
    <w:p>
      <w:pPr>
        <w:widowControl/>
        <w:adjustRightInd w:val="0"/>
        <w:ind w:firstLine="1200" w:firstLineChars="500"/>
        <w:rPr>
          <w:rFonts w:hint="default" w:ascii="Times New Roman" w:hAnsi="Times New Roman" w:cs="Times New Roman"/>
          <w:color w:val="auto"/>
          <w:szCs w:val="22"/>
          <w:lang w:bidi="ar"/>
        </w:rPr>
      </w:pPr>
      <w:r>
        <w:rPr>
          <w:rFonts w:hint="default" w:ascii="Times New Roman" w:hAnsi="Times New Roman" w:cs="Times New Roman"/>
          <w:color w:val="auto"/>
          <w:szCs w:val="22"/>
          <w:lang w:bidi="ar"/>
        </w:rPr>
        <w:t>t——降雨历时，min，取15min；</w:t>
      </w:r>
    </w:p>
    <w:p>
      <w:pPr>
        <w:widowControl/>
        <w:adjustRightInd w:val="0"/>
        <w:ind w:firstLine="1200" w:firstLineChars="500"/>
        <w:rPr>
          <w:rFonts w:hint="default" w:ascii="Times New Roman" w:hAnsi="Times New Roman" w:cs="Times New Roman"/>
          <w:color w:val="auto"/>
          <w:szCs w:val="22"/>
        </w:rPr>
      </w:pPr>
      <w:r>
        <w:rPr>
          <w:rFonts w:hint="default" w:ascii="Times New Roman" w:hAnsi="Times New Roman" w:cs="Times New Roman"/>
          <w:color w:val="auto"/>
          <w:szCs w:val="22"/>
          <w:lang w:bidi="ar"/>
        </w:rPr>
        <w:t>P——设计重现期，年，取2a。</w:t>
      </w:r>
    </w:p>
    <w:p>
      <w:pPr>
        <w:adjustRightInd w:val="0"/>
        <w:ind w:firstLine="480"/>
        <w:rPr>
          <w:rFonts w:hint="default" w:ascii="Times New Roman" w:hAnsi="Times New Roman" w:cs="Times New Roman"/>
          <w:color w:val="auto"/>
          <w:szCs w:val="22"/>
          <w:lang w:bidi="ar"/>
        </w:rPr>
      </w:pPr>
      <w:r>
        <w:rPr>
          <w:rFonts w:hint="default" w:ascii="Times New Roman" w:hAnsi="Times New Roman" w:cs="Times New Roman"/>
          <w:color w:val="auto"/>
          <w:szCs w:val="22"/>
          <w:lang w:bidi="ar"/>
        </w:rPr>
        <w:t>计算得乐山市暴雨强度为1.6482mm/min。项目</w:t>
      </w:r>
      <w:r>
        <w:rPr>
          <w:rFonts w:hint="default" w:ascii="Times New Roman" w:hAnsi="Times New Roman" w:cs="Times New Roman"/>
          <w:color w:val="auto"/>
          <w:szCs w:val="22"/>
        </w:rPr>
        <w:t>初期雨水设计流量为39.03m³/min，初期雨水收集量为：585.45</w:t>
      </w:r>
      <w:r>
        <w:rPr>
          <w:rFonts w:hint="default" w:ascii="Times New Roman" w:hAnsi="Times New Roman" w:cs="Times New Roman"/>
          <w:color w:val="auto"/>
          <w:szCs w:val="22"/>
          <w:lang w:bidi="ar"/>
        </w:rPr>
        <w:t>m</w:t>
      </w:r>
      <w:r>
        <w:rPr>
          <w:rFonts w:hint="default" w:ascii="Times New Roman" w:hAnsi="Times New Roman" w:cs="Times New Roman"/>
          <w:color w:val="auto"/>
          <w:szCs w:val="22"/>
          <w:vertAlign w:val="superscript"/>
          <w:lang w:bidi="ar"/>
        </w:rPr>
        <w:t>3</w:t>
      </w:r>
      <w:r>
        <w:rPr>
          <w:rFonts w:hint="default" w:ascii="Times New Roman" w:hAnsi="Times New Roman" w:cs="Times New Roman"/>
          <w:color w:val="auto"/>
          <w:szCs w:val="22"/>
          <w:lang w:bidi="ar"/>
        </w:rPr>
        <w:t>/次。</w:t>
      </w:r>
    </w:p>
    <w:p>
      <w:pPr>
        <w:adjustRightInd w:val="0"/>
        <w:ind w:firstLine="480"/>
        <w:rPr>
          <w:rFonts w:hint="default" w:ascii="Times New Roman" w:hAnsi="Times New Roman" w:cs="Times New Roman"/>
          <w:color w:val="auto"/>
          <w:szCs w:val="22"/>
          <w:lang w:bidi="ar"/>
        </w:rPr>
      </w:pPr>
      <w:r>
        <w:rPr>
          <w:rFonts w:hint="default" w:ascii="Times New Roman" w:hAnsi="Times New Roman" w:cs="Times New Roman"/>
          <w:color w:val="auto"/>
          <w:szCs w:val="22"/>
          <w:lang w:bidi="ar"/>
        </w:rPr>
        <w:t>本项目</w:t>
      </w:r>
      <w:r>
        <w:rPr>
          <w:rFonts w:hint="default" w:ascii="Times New Roman" w:hAnsi="Times New Roman" w:cs="Times New Roman"/>
          <w:color w:val="auto"/>
          <w:szCs w:val="22"/>
        </w:rPr>
        <w:t>全厂采取雨污分流制，厂区初期雨水经导流沟引至初期雨水沉淀池（有效容积600m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）沉淀后用于生产补水或厂区洒水降尘</w:t>
      </w:r>
      <w:r>
        <w:rPr>
          <w:rFonts w:hint="default" w:ascii="Times New Roman" w:hAnsi="Times New Roman" w:cs="Times New Roman"/>
          <w:color w:val="auto"/>
          <w:szCs w:val="22"/>
          <w:lang w:bidi="ar"/>
        </w:rPr>
        <w:t>。</w:t>
      </w:r>
    </w:p>
    <w:p>
      <w:pPr>
        <w:adjustRightInd w:val="0"/>
        <w:ind w:firstLine="480"/>
        <w:rPr>
          <w:rFonts w:hint="default" w:ascii="Times New Roman" w:hAnsi="Times New Roman" w:cs="Times New Roman"/>
          <w:color w:val="auto"/>
          <w:szCs w:val="22"/>
        </w:rPr>
      </w:pPr>
      <w:r>
        <w:rPr>
          <w:rFonts w:hint="default" w:ascii="Times New Roman" w:hAnsi="Times New Roman" w:cs="Times New Roman"/>
          <w:color w:val="auto"/>
          <w:szCs w:val="22"/>
        </w:rPr>
        <w:t>综上所述，本项目水平衡如下。</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object>
          <v:shape id="_x0000_i1031" o:spt="75" type="#_x0000_t75" style="height:303.75pt;width:414pt;" o:ole="t" filled="f" o:preferrelative="t" stroked="f" coordsize="21600,21600">
            <v:path/>
            <v:fill on="f" focussize="0,0"/>
            <v:stroke on="f" joinstyle="miter"/>
            <v:imagedata r:id="rId35" o:title=""/>
            <o:lock v:ext="edit" aspectratio="t"/>
            <w10:wrap type="none"/>
            <w10:anchorlock/>
          </v:shape>
          <o:OLEObject Type="Embed" ProgID="Visio.Drawing.11" ShapeID="_x0000_i1031" DrawAspect="Content" ObjectID="_1468075731" r:id="rId34">
            <o:LockedField>false</o:LockedField>
          </o:OLEObject>
        </w:objec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项目水平衡图（单位m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pStyle w:val="4"/>
        <w:adjustRightInd w:val="0"/>
        <w:rPr>
          <w:rFonts w:hint="default" w:ascii="Times New Roman" w:hAnsi="Times New Roman" w:cs="Times New Roman"/>
          <w:color w:val="auto"/>
        </w:rPr>
      </w:pPr>
      <w:bookmarkStart w:id="117" w:name="_Toc11833"/>
      <w:r>
        <w:rPr>
          <w:rFonts w:hint="default" w:ascii="Times New Roman" w:hAnsi="Times New Roman" w:cs="Times New Roman"/>
          <w:color w:val="auto"/>
        </w:rPr>
        <w:t>运营期污染源核算及治理措施</w:t>
      </w:r>
      <w:bookmarkEnd w:id="117"/>
    </w:p>
    <w:p>
      <w:pPr>
        <w:pStyle w:val="5"/>
        <w:adjustRightInd w:val="0"/>
        <w:rPr>
          <w:rFonts w:hint="default" w:ascii="Times New Roman" w:hAnsi="Times New Roman" w:cs="Times New Roman"/>
          <w:color w:val="auto"/>
        </w:rPr>
      </w:pPr>
      <w:r>
        <w:rPr>
          <w:rFonts w:hint="default" w:ascii="Times New Roman" w:hAnsi="Times New Roman" w:cs="Times New Roman"/>
          <w:color w:val="auto"/>
        </w:rPr>
        <w:t>废气污染物产生及治理措施</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一、有组织废气</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本项目有组织废气主要为破碎、筛分粉尘。本项目锂辉石矿在进行破碎、筛分工序时，将产生一定量的粉尘。</w:t>
      </w:r>
    </w:p>
    <w:p>
      <w:pPr>
        <w:adjustRightInd w:val="0"/>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产生源强：本项目破碎、筛分粉尘废气产生情况采用类比法进行核算。类比《乐山市全沫矿产品有限公司夹江县锂矿精选项目（一期）环保竣工验收监测报告》（蓉诚环监字（2024）RC01第06043号）中DA001排气筒实测数据核算本项目破碎、筛分粉尘产污系数</w:t>
      </w:r>
      <w:r>
        <w:rPr>
          <w:rFonts w:hint="eastAsia" w:cs="Times New Roman"/>
          <w:color w:val="auto"/>
          <w:lang w:eastAsia="zh-CN"/>
        </w:rPr>
        <w:t>。</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类比可行性分析</w:t>
      </w:r>
      <w:r>
        <w:rPr>
          <w:rFonts w:hint="default" w:ascii="Times New Roman" w:hAnsi="Times New Roman" w:cs="Times New Roman"/>
          <w:color w:val="auto"/>
        </w:rPr>
        <w:t>：参考《污染源源强核算技术指南准则》（HJ884-2018），污染源源强核算可采用实测法、产污系数法、排污系数法、类比法等方法。本次废气核算过程采用类比法，类比可行性见下表。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项目类比可行性分析一览表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214"/>
        <w:gridCol w:w="2663"/>
        <w:gridCol w:w="2528"/>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jc w:val="center"/>
        </w:trPr>
        <w:tc>
          <w:tcPr>
            <w:tcW w:w="250" w:type="pct"/>
            <w:tcBorders>
              <w:tl2br w:val="nil"/>
              <w:tr2bl w:val="nil"/>
            </w:tcBorders>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1299" w:type="pct"/>
            <w:tcBorders>
              <w:tl2br w:val="nil"/>
              <w:tr2bl w:val="nil"/>
            </w:tcBorders>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《污染源源强核算技术指南准则》（HJ884-2018）要求</w:t>
            </w:r>
          </w:p>
        </w:tc>
        <w:tc>
          <w:tcPr>
            <w:tcW w:w="1562" w:type="pct"/>
            <w:tcBorders>
              <w:tl2br w:val="nil"/>
              <w:tr2bl w:val="nil"/>
            </w:tcBorders>
            <w:vAlign w:val="center"/>
          </w:tcPr>
          <w:p>
            <w:pPr>
              <w:pStyle w:val="65"/>
              <w:spacing w:before="65" w:after="65"/>
              <w:rPr>
                <w:rFonts w:hint="eastAsia" w:ascii="Times New Roman" w:hAnsi="Times New Roman" w:eastAsia="宋体" w:cs="Times New Roman"/>
                <w:b/>
                <w:bCs w:val="0"/>
                <w:color w:val="auto"/>
                <w:lang w:val="en-US" w:eastAsia="zh-CN"/>
              </w:rPr>
            </w:pPr>
            <w:r>
              <w:rPr>
                <w:rFonts w:hint="eastAsia" w:cs="Times New Roman"/>
                <w:b/>
                <w:bCs w:val="0"/>
                <w:color w:val="auto"/>
                <w:lang w:val="en-US" w:eastAsia="zh-CN"/>
              </w:rPr>
              <w:t>类比项目</w:t>
            </w:r>
          </w:p>
        </w:tc>
        <w:tc>
          <w:tcPr>
            <w:tcW w:w="1483" w:type="pct"/>
            <w:tcBorders>
              <w:tl2br w:val="nil"/>
              <w:tr2bl w:val="nil"/>
            </w:tcBorders>
            <w:vAlign w:val="center"/>
          </w:tcPr>
          <w:p>
            <w:pPr>
              <w:pStyle w:val="65"/>
              <w:spacing w:before="65" w:after="65"/>
              <w:rPr>
                <w:rFonts w:hint="eastAsia" w:ascii="Times New Roman" w:hAnsi="Times New Roman" w:eastAsia="宋体" w:cs="Times New Roman"/>
                <w:b/>
                <w:bCs w:val="0"/>
                <w:color w:val="auto"/>
                <w:lang w:eastAsia="zh-CN"/>
              </w:rPr>
            </w:pPr>
            <w:r>
              <w:rPr>
                <w:rFonts w:hint="eastAsia" w:cs="Times New Roman"/>
                <w:b/>
                <w:bCs w:val="0"/>
                <w:color w:val="auto"/>
                <w:lang w:val="en-US" w:eastAsia="zh-CN"/>
              </w:rPr>
              <w:t>本项目</w:t>
            </w:r>
          </w:p>
        </w:tc>
        <w:tc>
          <w:tcPr>
            <w:tcW w:w="403" w:type="pct"/>
            <w:tcBorders>
              <w:tl2br w:val="nil"/>
              <w:tr2bl w:val="nil"/>
            </w:tcBorders>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类比可行性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0"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1299"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原辅料及燃料类型相同且与污染物排放相关的成分相似</w:t>
            </w:r>
          </w:p>
        </w:tc>
        <w:tc>
          <w:tcPr>
            <w:tcW w:w="1562" w:type="pct"/>
            <w:tcBorders>
              <w:tl2br w:val="nil"/>
              <w:tr2bl w:val="nil"/>
            </w:tcBorders>
            <w:vAlign w:val="center"/>
          </w:tcPr>
          <w:p>
            <w:pPr>
              <w:pStyle w:val="65"/>
              <w:spacing w:before="65" w:after="65"/>
              <w:rPr>
                <w:rFonts w:hint="default" w:ascii="Times New Roman" w:hAnsi="Times New Roman" w:eastAsia="宋体" w:cs="Times New Roman"/>
                <w:color w:val="auto"/>
                <w:lang w:val="en-US" w:eastAsia="zh-CN"/>
              </w:rPr>
            </w:pPr>
            <w:r>
              <w:rPr>
                <w:rFonts w:hint="eastAsia" w:cs="Times New Roman"/>
                <w:color w:val="auto"/>
                <w:lang w:val="en-US" w:eastAsia="zh-CN"/>
              </w:rPr>
              <w:t>原辅料为锂矿石、氢氧化钠、碳酸钠、氯化镁、捕收剂、聚凝剂、絮凝剂</w:t>
            </w:r>
          </w:p>
        </w:tc>
        <w:tc>
          <w:tcPr>
            <w:tcW w:w="1483"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本项目原辅料为锂矿石、氢氧化钠、碳酸钠、氯化镁、捕收剂、聚凝剂、絮凝剂。</w:t>
            </w:r>
          </w:p>
        </w:tc>
        <w:tc>
          <w:tcPr>
            <w:tcW w:w="403"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50"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1299"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产品相似</w:t>
            </w:r>
          </w:p>
        </w:tc>
        <w:tc>
          <w:tcPr>
            <w:tcW w:w="1562" w:type="pct"/>
            <w:tcBorders>
              <w:tl2br w:val="nil"/>
              <w:tr2bl w:val="nil"/>
            </w:tcBorders>
            <w:vAlign w:val="center"/>
          </w:tcPr>
          <w:p>
            <w:pPr>
              <w:pStyle w:val="65"/>
              <w:spacing w:before="65" w:after="65"/>
              <w:rPr>
                <w:rFonts w:hint="default" w:ascii="Times New Roman" w:hAnsi="Times New Roman" w:cs="Times New Roman"/>
                <w:color w:val="auto"/>
              </w:rPr>
            </w:pPr>
            <w:r>
              <w:rPr>
                <w:rFonts w:hint="eastAsia" w:cs="Times New Roman"/>
                <w:color w:val="auto"/>
                <w:lang w:val="en-US" w:eastAsia="zh-CN"/>
              </w:rPr>
              <w:t>产品为</w:t>
            </w:r>
            <w:r>
              <w:rPr>
                <w:rFonts w:hint="default" w:ascii="Times New Roman" w:hAnsi="Times New Roman" w:cs="Times New Roman"/>
                <w:color w:val="auto"/>
              </w:rPr>
              <w:t>锂辉石精矿</w:t>
            </w:r>
          </w:p>
        </w:tc>
        <w:tc>
          <w:tcPr>
            <w:tcW w:w="1483"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本项目产品为锂辉石精矿。</w:t>
            </w:r>
          </w:p>
        </w:tc>
        <w:tc>
          <w:tcPr>
            <w:tcW w:w="403"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w:t>
            </w:r>
          </w:p>
        </w:tc>
        <w:tc>
          <w:tcPr>
            <w:tcW w:w="1299"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生产工艺相同</w:t>
            </w:r>
          </w:p>
        </w:tc>
        <w:tc>
          <w:tcPr>
            <w:tcW w:w="1562" w:type="pct"/>
            <w:tcBorders>
              <w:tl2br w:val="nil"/>
              <w:tr2bl w:val="nil"/>
            </w:tcBorders>
            <w:vAlign w:val="center"/>
          </w:tcPr>
          <w:p>
            <w:pPr>
              <w:pStyle w:val="65"/>
              <w:spacing w:before="65" w:after="65"/>
              <w:rPr>
                <w:rFonts w:hint="default" w:ascii="Times New Roman" w:hAnsi="Times New Roman" w:cs="Times New Roman"/>
                <w:color w:val="auto"/>
              </w:rPr>
            </w:pPr>
            <w:r>
              <w:rPr>
                <w:rFonts w:hint="eastAsia" w:cs="Times New Roman"/>
                <w:color w:val="auto"/>
                <w:lang w:val="en-US" w:eastAsia="zh-CN"/>
              </w:rPr>
              <w:t>生产</w:t>
            </w:r>
            <w:r>
              <w:rPr>
                <w:rFonts w:hint="default" w:ascii="Times New Roman" w:hAnsi="Times New Roman" w:cs="Times New Roman"/>
                <w:color w:val="auto"/>
              </w:rPr>
              <w:t>工艺主要为破碎、筛分、磨矿、浮选、除铁和脱水</w:t>
            </w:r>
          </w:p>
        </w:tc>
        <w:tc>
          <w:tcPr>
            <w:tcW w:w="1483"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本项目生产工艺主要为破碎、筛分、磨矿、浮选、除铁和脱水。</w:t>
            </w:r>
          </w:p>
        </w:tc>
        <w:tc>
          <w:tcPr>
            <w:tcW w:w="403"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0"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w:t>
            </w:r>
          </w:p>
        </w:tc>
        <w:tc>
          <w:tcPr>
            <w:tcW w:w="1299"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污染控制措施相似，且污染物设计去除效率不低于类比对象去除效率</w:t>
            </w:r>
          </w:p>
        </w:tc>
        <w:tc>
          <w:tcPr>
            <w:tcW w:w="1562"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破碎、筛分粉尘采用“集气罩+布袋除尘器处理”</w:t>
            </w:r>
          </w:p>
        </w:tc>
        <w:tc>
          <w:tcPr>
            <w:tcW w:w="1483" w:type="pct"/>
            <w:tcBorders>
              <w:tl2br w:val="nil"/>
              <w:tr2bl w:val="nil"/>
            </w:tcBorders>
            <w:vAlign w:val="center"/>
          </w:tcPr>
          <w:p>
            <w:pPr>
              <w:pStyle w:val="65"/>
              <w:spacing w:before="65" w:after="65"/>
              <w:rPr>
                <w:rFonts w:hint="default" w:ascii="Times New Roman" w:hAnsi="Times New Roman" w:cs="Times New Roman"/>
                <w:color w:val="auto"/>
              </w:rPr>
            </w:pPr>
            <w:r>
              <w:rPr>
                <w:rFonts w:hint="eastAsia" w:cs="Times New Roman"/>
                <w:color w:val="auto"/>
                <w:lang w:val="en-US" w:eastAsia="zh-CN"/>
              </w:rPr>
              <w:t>本项目破碎、筛分粉尘采用“集气罩+布袋除尘器处理”</w:t>
            </w:r>
            <w:r>
              <w:rPr>
                <w:rFonts w:hint="default" w:ascii="Times New Roman" w:hAnsi="Times New Roman" w:cs="Times New Roman"/>
                <w:color w:val="auto"/>
              </w:rPr>
              <w:t>。</w:t>
            </w:r>
          </w:p>
        </w:tc>
        <w:tc>
          <w:tcPr>
            <w:tcW w:w="403" w:type="pct"/>
            <w:tcBorders>
              <w:tl2br w:val="nil"/>
              <w:tr2bl w:val="nil"/>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可行</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综上所述，本项目破碎、筛分工序颗粒物产生源强类比“乐山市全沫矿产品有限公司夹江县锂矿精选项目（一期）”环保竣工验收监测数据可行。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本项目破碎、筛分粉尘产污系数见下表。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破碎、筛分粉尘产污系数核算</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676"/>
        <w:gridCol w:w="902"/>
        <w:gridCol w:w="725"/>
        <w:gridCol w:w="846"/>
        <w:gridCol w:w="929"/>
        <w:gridCol w:w="1034"/>
        <w:gridCol w:w="882"/>
        <w:gridCol w:w="847"/>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88"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排气筒序号</w:t>
            </w:r>
          </w:p>
        </w:tc>
        <w:tc>
          <w:tcPr>
            <w:tcW w:w="397"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529"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检测结果最大值（kg/h）</w:t>
            </w:r>
          </w:p>
        </w:tc>
        <w:tc>
          <w:tcPr>
            <w:tcW w:w="42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收集效率（%）</w:t>
            </w:r>
          </w:p>
        </w:tc>
        <w:tc>
          <w:tcPr>
            <w:tcW w:w="49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处理效率（%）</w:t>
            </w:r>
          </w:p>
        </w:tc>
        <w:tc>
          <w:tcPr>
            <w:tcW w:w="544"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类比项目生产时间（h/d）</w:t>
            </w:r>
          </w:p>
        </w:tc>
        <w:tc>
          <w:tcPr>
            <w:tcW w:w="60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污染物产生速率（kg/h）</w:t>
            </w:r>
          </w:p>
        </w:tc>
        <w:tc>
          <w:tcPr>
            <w:tcW w:w="517"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类比项目处理规模（t/d）</w:t>
            </w:r>
          </w:p>
        </w:tc>
        <w:tc>
          <w:tcPr>
            <w:tcW w:w="49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类比项目验收工况（%）</w:t>
            </w:r>
          </w:p>
        </w:tc>
        <w:tc>
          <w:tcPr>
            <w:tcW w:w="49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产生源强（kg/t-原矿）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DA001</w:t>
            </w:r>
          </w:p>
        </w:tc>
        <w:tc>
          <w:tcPr>
            <w:tcW w:w="39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52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0.057</w:t>
            </w:r>
          </w:p>
        </w:tc>
        <w:tc>
          <w:tcPr>
            <w:tcW w:w="4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80</w:t>
            </w:r>
          </w:p>
        </w:tc>
        <w:tc>
          <w:tcPr>
            <w:tcW w:w="4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99</w:t>
            </w:r>
          </w:p>
        </w:tc>
        <w:tc>
          <w:tcPr>
            <w:tcW w:w="5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24</w:t>
            </w:r>
          </w:p>
        </w:tc>
        <w:tc>
          <w:tcPr>
            <w:tcW w:w="6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7.125</w:t>
            </w:r>
          </w:p>
        </w:tc>
        <w:tc>
          <w:tcPr>
            <w:tcW w:w="5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1000</w:t>
            </w:r>
          </w:p>
        </w:tc>
        <w:tc>
          <w:tcPr>
            <w:tcW w:w="4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96.7</w:t>
            </w:r>
          </w:p>
        </w:tc>
        <w:tc>
          <w:tcPr>
            <w:tcW w:w="4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0.177</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乐山市全沫矿产品有限公司夹江县锂矿精选项目（一期）环保竣工验收监测报告》，破碎、筛分粉尘排气筒颗粒物最大排放速率为0.057kg/h，该项目颗粒物收集效率约80%、净化效率约99%，因此破碎、筛分粉尘产生速率约为7.125kg/h。监测期间该项目原矿处理量约40.29t/h（监测期间工况为96.7%），因此项目处理每吨原矿粉尘排放量约为0.177kg/t-原矿。</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本项目原矿处理规模为104.17t/h，破碎、筛分工序工作时间为16h/d，则本项目破碎、筛分粉尘产生量约为18.44kg/h（88.5t/a）。</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治理措施</w:t>
      </w:r>
      <w:r>
        <w:rPr>
          <w:rFonts w:hint="default" w:ascii="Times New Roman" w:hAnsi="Times New Roman" w:cs="Times New Roman"/>
          <w:color w:val="auto"/>
        </w:rPr>
        <w:t>：本项目设置2台给料机、1台可移动式给料机、2台颚式破碎机、1台圆锥破碎机、1台立轴式冲击破和1台振动筛，均为密闭设备。本项目拟在给料机、破碎机、振动筛上方各设置1个集气罩，出料口与皮带输送机密闭连接，废气经集气罩收集（收集效率80%）后经布袋除尘器（处理效率99%）处理后通过1根15m高排气筒（DA001）达标排放。</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风量核算</w:t>
      </w:r>
      <w:r>
        <w:rPr>
          <w:rFonts w:hint="default" w:ascii="Times New Roman" w:hAnsi="Times New Roman" w:cs="Times New Roman"/>
          <w:color w:val="auto"/>
        </w:rPr>
        <w:t>：本项目设计集气罩形式为外部集气罩，本项目工序均设置在密闭生产车间内，废气排放形式主要以逸散形式排出，参考《简明通风设计手册》，风量计算公式如下：</w:t>
      </w:r>
    </w:p>
    <w:p>
      <w:pPr>
        <w:overflowPunct w:val="0"/>
        <w:adjustRightInd w:val="0"/>
        <w:ind w:firstLine="0" w:firstLineChars="0"/>
        <w:jc w:val="center"/>
        <w:rPr>
          <w:rFonts w:hint="default" w:ascii="Times New Roman" w:hAnsi="Times New Roman" w:cs="Times New Roman"/>
          <w:bCs/>
          <w:color w:val="auto"/>
          <w:kern w:val="21"/>
          <w:szCs w:val="22"/>
        </w:rPr>
      </w:pPr>
      <w:r>
        <w:rPr>
          <w:rFonts w:hint="default" w:ascii="Times New Roman" w:hAnsi="Times New Roman" w:cs="Times New Roman"/>
          <w:bCs/>
          <w:color w:val="auto"/>
          <w:kern w:val="21"/>
          <w:szCs w:val="22"/>
        </w:rPr>
        <w:t>Q=3600×K×P×H×v</w:t>
      </w:r>
      <w:r>
        <w:rPr>
          <w:rFonts w:hint="default" w:ascii="Times New Roman" w:hAnsi="Times New Roman" w:cs="Times New Roman"/>
          <w:bCs/>
          <w:color w:val="auto"/>
          <w:kern w:val="21"/>
          <w:szCs w:val="22"/>
          <w:vertAlign w:val="subscript"/>
        </w:rPr>
        <w:t>0</w:t>
      </w:r>
    </w:p>
    <w:p>
      <w:pPr>
        <w:overflowPunct w:val="0"/>
        <w:adjustRightInd w:val="0"/>
        <w:ind w:firstLine="480"/>
        <w:rPr>
          <w:rFonts w:hint="default" w:ascii="Times New Roman" w:hAnsi="Times New Roman" w:cs="Times New Roman"/>
          <w:bCs/>
          <w:color w:val="auto"/>
          <w:kern w:val="21"/>
          <w:szCs w:val="22"/>
        </w:rPr>
      </w:pPr>
      <w:r>
        <w:rPr>
          <w:rFonts w:hint="default" w:ascii="Times New Roman" w:hAnsi="Times New Roman" w:cs="Times New Roman"/>
          <w:bCs/>
          <w:color w:val="auto"/>
          <w:kern w:val="21"/>
          <w:szCs w:val="22"/>
        </w:rPr>
        <w:t>式中：</w:t>
      </w:r>
    </w:p>
    <w:p>
      <w:pPr>
        <w:overflowPunct w:val="0"/>
        <w:adjustRightInd w:val="0"/>
        <w:ind w:firstLine="480"/>
        <w:rPr>
          <w:rFonts w:hint="default" w:ascii="Times New Roman" w:hAnsi="Times New Roman" w:cs="Times New Roman"/>
          <w:bCs/>
          <w:color w:val="auto"/>
          <w:kern w:val="21"/>
          <w:szCs w:val="22"/>
        </w:rPr>
      </w:pPr>
      <w:r>
        <w:rPr>
          <w:rFonts w:hint="default" w:ascii="Times New Roman" w:hAnsi="Times New Roman" w:cs="Times New Roman"/>
          <w:bCs/>
          <w:i/>
          <w:iCs/>
          <w:color w:val="auto"/>
          <w:kern w:val="21"/>
          <w:szCs w:val="22"/>
        </w:rPr>
        <w:t>Q——</w:t>
      </w:r>
      <w:r>
        <w:rPr>
          <w:rFonts w:hint="default" w:ascii="Times New Roman" w:hAnsi="Times New Roman" w:cs="Times New Roman"/>
          <w:bCs/>
          <w:color w:val="auto"/>
          <w:kern w:val="21"/>
          <w:szCs w:val="22"/>
        </w:rPr>
        <w:t>设计风量，m</w:t>
      </w:r>
      <w:r>
        <w:rPr>
          <w:rFonts w:hint="default" w:ascii="Times New Roman" w:hAnsi="Times New Roman" w:cs="Times New Roman"/>
          <w:bCs/>
          <w:color w:val="auto"/>
          <w:kern w:val="21"/>
          <w:szCs w:val="22"/>
          <w:vertAlign w:val="superscript"/>
        </w:rPr>
        <w:t>3</w:t>
      </w:r>
      <w:r>
        <w:rPr>
          <w:rFonts w:hint="default" w:ascii="Times New Roman" w:hAnsi="Times New Roman" w:cs="Times New Roman"/>
          <w:bCs/>
          <w:color w:val="auto"/>
          <w:kern w:val="21"/>
          <w:szCs w:val="22"/>
        </w:rPr>
        <w:t>/h；</w:t>
      </w:r>
    </w:p>
    <w:p>
      <w:pPr>
        <w:overflowPunct w:val="0"/>
        <w:adjustRightInd w:val="0"/>
        <w:ind w:firstLine="480"/>
        <w:rPr>
          <w:rFonts w:hint="default" w:ascii="Times New Roman" w:hAnsi="Times New Roman" w:cs="Times New Roman"/>
          <w:bCs/>
          <w:color w:val="auto"/>
          <w:kern w:val="21"/>
          <w:szCs w:val="22"/>
        </w:rPr>
      </w:pPr>
      <w:r>
        <w:rPr>
          <w:rFonts w:hint="default" w:ascii="Times New Roman" w:hAnsi="Times New Roman" w:cs="Times New Roman"/>
          <w:bCs/>
          <w:i/>
          <w:iCs/>
          <w:color w:val="auto"/>
          <w:kern w:val="21"/>
          <w:szCs w:val="22"/>
        </w:rPr>
        <w:t>K——</w:t>
      </w:r>
      <w:r>
        <w:rPr>
          <w:rFonts w:hint="default" w:ascii="Times New Roman" w:hAnsi="Times New Roman" w:cs="Times New Roman"/>
          <w:bCs/>
          <w:color w:val="auto"/>
          <w:kern w:val="21"/>
          <w:szCs w:val="22"/>
        </w:rPr>
        <w:t>考虑沿高度分布不均匀的安全系数，取1.4；</w:t>
      </w:r>
    </w:p>
    <w:p>
      <w:pPr>
        <w:overflowPunct w:val="0"/>
        <w:adjustRightInd w:val="0"/>
        <w:ind w:firstLine="480"/>
        <w:rPr>
          <w:rFonts w:hint="default" w:ascii="Times New Roman" w:hAnsi="Times New Roman" w:cs="Times New Roman"/>
          <w:bCs/>
          <w:color w:val="auto"/>
          <w:kern w:val="21"/>
          <w:szCs w:val="22"/>
        </w:rPr>
      </w:pPr>
      <w:r>
        <w:rPr>
          <w:rFonts w:hint="default" w:ascii="Times New Roman" w:hAnsi="Times New Roman" w:cs="Times New Roman"/>
          <w:bCs/>
          <w:i/>
          <w:iCs/>
          <w:color w:val="auto"/>
          <w:kern w:val="21"/>
          <w:szCs w:val="22"/>
        </w:rPr>
        <w:t>P——</w:t>
      </w:r>
      <w:r>
        <w:rPr>
          <w:rFonts w:hint="default" w:ascii="Times New Roman" w:hAnsi="Times New Roman" w:cs="Times New Roman"/>
          <w:bCs/>
          <w:color w:val="auto"/>
          <w:kern w:val="21"/>
          <w:szCs w:val="22"/>
        </w:rPr>
        <w:t>排风罩敞开面周长，m；</w:t>
      </w:r>
    </w:p>
    <w:p>
      <w:pPr>
        <w:overflowPunct w:val="0"/>
        <w:adjustRightInd w:val="0"/>
        <w:ind w:firstLine="480"/>
        <w:rPr>
          <w:rFonts w:hint="default" w:ascii="Times New Roman" w:hAnsi="Times New Roman" w:cs="Times New Roman"/>
          <w:bCs/>
          <w:color w:val="auto"/>
          <w:kern w:val="21"/>
          <w:szCs w:val="22"/>
        </w:rPr>
      </w:pPr>
      <w:r>
        <w:rPr>
          <w:rFonts w:hint="default" w:ascii="Times New Roman" w:hAnsi="Times New Roman" w:cs="Times New Roman"/>
          <w:bCs/>
          <w:i/>
          <w:iCs/>
          <w:color w:val="auto"/>
          <w:kern w:val="21"/>
          <w:szCs w:val="22"/>
        </w:rPr>
        <w:t>H——</w:t>
      </w:r>
      <w:r>
        <w:rPr>
          <w:rFonts w:hint="default" w:ascii="Times New Roman" w:hAnsi="Times New Roman" w:cs="Times New Roman"/>
          <w:bCs/>
          <w:color w:val="auto"/>
          <w:kern w:val="21"/>
          <w:szCs w:val="22"/>
        </w:rPr>
        <w:t>罩口至废气源距离，m；</w:t>
      </w:r>
    </w:p>
    <w:p>
      <w:pPr>
        <w:overflowPunct w:val="0"/>
        <w:adjustRightInd w:val="0"/>
        <w:ind w:firstLine="480"/>
        <w:rPr>
          <w:rFonts w:hint="default" w:ascii="Times New Roman" w:hAnsi="Times New Roman" w:cs="Times New Roman"/>
          <w:b/>
          <w:color w:val="auto"/>
          <w:kern w:val="21"/>
          <w:szCs w:val="22"/>
        </w:rPr>
      </w:pPr>
      <w:r>
        <w:rPr>
          <w:rFonts w:hint="default" w:ascii="Times New Roman" w:hAnsi="Times New Roman" w:cs="Times New Roman"/>
          <w:bCs/>
          <w:i/>
          <w:iCs/>
          <w:color w:val="auto"/>
          <w:kern w:val="21"/>
          <w:szCs w:val="22"/>
        </w:rPr>
        <w:t>v</w:t>
      </w:r>
      <w:r>
        <w:rPr>
          <w:rFonts w:hint="default" w:ascii="Times New Roman" w:hAnsi="Times New Roman" w:cs="Times New Roman"/>
          <w:bCs/>
          <w:i/>
          <w:iCs/>
          <w:color w:val="auto"/>
          <w:kern w:val="21"/>
          <w:szCs w:val="22"/>
          <w:vertAlign w:val="subscript"/>
        </w:rPr>
        <w:t>0</w:t>
      </w:r>
      <w:r>
        <w:rPr>
          <w:rFonts w:hint="default" w:ascii="Times New Roman" w:hAnsi="Times New Roman" w:cs="Times New Roman"/>
          <w:bCs/>
          <w:i/>
          <w:iCs/>
          <w:color w:val="auto"/>
          <w:kern w:val="21"/>
          <w:szCs w:val="22"/>
        </w:rPr>
        <w:t>——</w:t>
      </w:r>
      <w:r>
        <w:rPr>
          <w:rFonts w:hint="default" w:ascii="Times New Roman" w:hAnsi="Times New Roman" w:cs="Times New Roman"/>
          <w:bCs/>
          <w:color w:val="auto"/>
          <w:kern w:val="21"/>
          <w:szCs w:val="22"/>
        </w:rPr>
        <w:t>边缘控制点控制风速，m/s，</w:t>
      </w:r>
      <w:r>
        <w:rPr>
          <w:rFonts w:hint="default" w:ascii="Times New Roman" w:hAnsi="Times New Roman" w:cs="Times New Roman"/>
          <w:color w:val="auto"/>
          <w:kern w:val="21"/>
          <w:szCs w:val="22"/>
        </w:rPr>
        <w:t>最小控制风速为0.25-0.5m/s，本项目取0.5m/s；</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本项目破碎、筛分风量计算情况见下表。</w:t>
      </w:r>
    </w:p>
    <w:p>
      <w:pPr>
        <w:pStyle w:val="12"/>
        <w:adjustRightInd w:val="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本项目破碎、筛分粉尘收集系统</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390"/>
        <w:gridCol w:w="1268"/>
        <w:gridCol w:w="944"/>
        <w:gridCol w:w="985"/>
        <w:gridCol w:w="992"/>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91"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工序</w:t>
            </w:r>
          </w:p>
        </w:tc>
        <w:tc>
          <w:tcPr>
            <w:tcW w:w="81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产污节点</w:t>
            </w:r>
          </w:p>
        </w:tc>
        <w:tc>
          <w:tcPr>
            <w:tcW w:w="744"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收集方式及数量</w:t>
            </w:r>
          </w:p>
        </w:tc>
        <w:tc>
          <w:tcPr>
            <w:tcW w:w="554"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排风罩敞开面周长（m）</w:t>
            </w:r>
          </w:p>
        </w:tc>
        <w:tc>
          <w:tcPr>
            <w:tcW w:w="578"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罩口至废气源距离（m）</w:t>
            </w:r>
          </w:p>
        </w:tc>
        <w:tc>
          <w:tcPr>
            <w:tcW w:w="58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控制风速（m/s）</w:t>
            </w:r>
          </w:p>
        </w:tc>
        <w:tc>
          <w:tcPr>
            <w:tcW w:w="617"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风量（m³/h）</w:t>
            </w:r>
          </w:p>
        </w:tc>
        <w:tc>
          <w:tcPr>
            <w:tcW w:w="617"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设计风量（m³/h）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91"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w:t>
            </w:r>
          </w:p>
        </w:tc>
        <w:tc>
          <w:tcPr>
            <w:tcW w:w="8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给料机×2</w:t>
            </w:r>
          </w:p>
        </w:tc>
        <w:tc>
          <w:tcPr>
            <w:tcW w:w="7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集气罩×2</w:t>
            </w:r>
          </w:p>
        </w:tc>
        <w:tc>
          <w:tcPr>
            <w:tcW w:w="5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5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5040</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91" w:type="pct"/>
            <w:vMerge w:val="continue"/>
            <w:vAlign w:val="center"/>
          </w:tcPr>
          <w:p>
            <w:pPr>
              <w:pStyle w:val="65"/>
              <w:spacing w:before="65" w:after="65"/>
              <w:rPr>
                <w:rFonts w:hint="default" w:ascii="Times New Roman" w:hAnsi="Times New Roman" w:cs="Times New Roman"/>
                <w:color w:val="auto"/>
              </w:rPr>
            </w:pPr>
          </w:p>
        </w:tc>
        <w:tc>
          <w:tcPr>
            <w:tcW w:w="8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可移动式给料机×1</w:t>
            </w:r>
          </w:p>
        </w:tc>
        <w:tc>
          <w:tcPr>
            <w:tcW w:w="7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集气罩×1</w:t>
            </w:r>
          </w:p>
        </w:tc>
        <w:tc>
          <w:tcPr>
            <w:tcW w:w="5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5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2520</w:t>
            </w:r>
          </w:p>
        </w:tc>
        <w:tc>
          <w:tcPr>
            <w:tcW w:w="617" w:type="pct"/>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vAlign w:val="center"/>
          </w:tcPr>
          <w:p>
            <w:pPr>
              <w:pStyle w:val="65"/>
              <w:spacing w:before="65" w:after="65"/>
              <w:rPr>
                <w:rFonts w:hint="default" w:ascii="Times New Roman" w:hAnsi="Times New Roman" w:cs="Times New Roman"/>
                <w:color w:val="auto"/>
              </w:rPr>
            </w:pPr>
          </w:p>
        </w:tc>
        <w:tc>
          <w:tcPr>
            <w:tcW w:w="8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颚破机×2</w:t>
            </w:r>
          </w:p>
        </w:tc>
        <w:tc>
          <w:tcPr>
            <w:tcW w:w="7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集气罩×2</w:t>
            </w:r>
          </w:p>
        </w:tc>
        <w:tc>
          <w:tcPr>
            <w:tcW w:w="5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5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15120</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vAlign w:val="center"/>
          </w:tcPr>
          <w:p>
            <w:pPr>
              <w:pStyle w:val="65"/>
              <w:spacing w:before="65" w:after="65"/>
              <w:rPr>
                <w:rFonts w:hint="default" w:ascii="Times New Roman" w:hAnsi="Times New Roman" w:cs="Times New Roman"/>
                <w:color w:val="auto"/>
              </w:rPr>
            </w:pPr>
          </w:p>
        </w:tc>
        <w:tc>
          <w:tcPr>
            <w:tcW w:w="8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圆锥破碎机×1</w:t>
            </w:r>
          </w:p>
        </w:tc>
        <w:tc>
          <w:tcPr>
            <w:tcW w:w="7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集气罩×1</w:t>
            </w:r>
          </w:p>
        </w:tc>
        <w:tc>
          <w:tcPr>
            <w:tcW w:w="5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5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5040</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vAlign w:val="center"/>
          </w:tcPr>
          <w:p>
            <w:pPr>
              <w:pStyle w:val="65"/>
              <w:spacing w:before="65" w:after="65"/>
              <w:rPr>
                <w:rFonts w:hint="default" w:ascii="Times New Roman" w:hAnsi="Times New Roman" w:cs="Times New Roman"/>
                <w:color w:val="auto"/>
              </w:rPr>
            </w:pPr>
          </w:p>
        </w:tc>
        <w:tc>
          <w:tcPr>
            <w:tcW w:w="8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立轴式冲击破×1</w:t>
            </w:r>
          </w:p>
        </w:tc>
        <w:tc>
          <w:tcPr>
            <w:tcW w:w="7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集气罩×1</w:t>
            </w:r>
          </w:p>
        </w:tc>
        <w:tc>
          <w:tcPr>
            <w:tcW w:w="5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5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5040</w:t>
            </w:r>
          </w:p>
        </w:tc>
        <w:tc>
          <w:tcPr>
            <w:tcW w:w="617" w:type="pct"/>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筛分</w:t>
            </w:r>
          </w:p>
        </w:tc>
        <w:tc>
          <w:tcPr>
            <w:tcW w:w="8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振动筛×1</w:t>
            </w:r>
          </w:p>
        </w:tc>
        <w:tc>
          <w:tcPr>
            <w:tcW w:w="7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集气罩×1</w:t>
            </w:r>
          </w:p>
        </w:tc>
        <w:tc>
          <w:tcPr>
            <w:tcW w:w="55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5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7560</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5" w:type="pct"/>
            <w:gridSpan w:val="6"/>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合计</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40320</w:t>
            </w:r>
          </w:p>
        </w:tc>
        <w:tc>
          <w:tcPr>
            <w:tcW w:w="61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42000</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建设单位拟设置的风机风量为42000m</w:t>
      </w:r>
      <w:r>
        <w:rPr>
          <w:rFonts w:hint="default" w:ascii="Times New Roman" w:hAnsi="Times New Roman" w:cs="Times New Roman"/>
          <w:color w:val="auto"/>
          <w:vertAlign w:val="superscript"/>
        </w:rPr>
        <w:t>3</w:t>
      </w:r>
      <w:r>
        <w:rPr>
          <w:rFonts w:hint="default" w:ascii="Times New Roman" w:hAnsi="Times New Roman" w:cs="Times New Roman"/>
          <w:color w:val="auto"/>
        </w:rPr>
        <w:t>/h，能够满足本项目破碎、筛分粉尘收集要求。</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污染物排放情况</w:t>
      </w:r>
      <w:r>
        <w:rPr>
          <w:rFonts w:hint="default" w:ascii="Times New Roman" w:hAnsi="Times New Roman" w:cs="Times New Roman"/>
          <w:color w:val="auto"/>
        </w:rPr>
        <w:t>：根据源强核算结果和处理设施计算参数，本项目破碎、筛分粉尘有组织排放情况见下表。</w:t>
      </w:r>
    </w:p>
    <w:p>
      <w:pPr>
        <w:adjustRightInd w:val="0"/>
        <w:ind w:firstLine="480"/>
        <w:rPr>
          <w:rFonts w:hint="default" w:ascii="Times New Roman" w:hAnsi="Times New Roman" w:cs="Times New Roman"/>
          <w:color w:val="auto"/>
        </w:rPr>
        <w:sectPr>
          <w:pgSz w:w="11906" w:h="16838"/>
          <w:pgMar w:top="1440" w:right="1800" w:bottom="1440" w:left="1800" w:header="851" w:footer="992" w:gutter="0"/>
          <w:cols w:space="425" w:num="1"/>
          <w:docGrid w:type="lines" w:linePitch="326" w:charSpace="0"/>
        </w:sectPr>
      </w:pPr>
    </w:p>
    <w:p>
      <w:pPr>
        <w:pStyle w:val="12"/>
        <w:adjustRightInd w:val="0"/>
        <w:ind w:firstLine="48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本项目破碎、筛分粉尘源强及排污情况一览表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991"/>
        <w:gridCol w:w="1078"/>
        <w:gridCol w:w="1291"/>
        <w:gridCol w:w="1333"/>
        <w:gridCol w:w="1314"/>
        <w:gridCol w:w="1061"/>
        <w:gridCol w:w="1659"/>
        <w:gridCol w:w="1980"/>
        <w:gridCol w:w="1315"/>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污染源</w:t>
            </w:r>
          </w:p>
        </w:tc>
        <w:tc>
          <w:tcPr>
            <w:tcW w:w="349"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380"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产生源强（kg/h）</w:t>
            </w:r>
          </w:p>
        </w:tc>
        <w:tc>
          <w:tcPr>
            <w:tcW w:w="925" w:type="pct"/>
            <w:gridSpan w:val="2"/>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收集系统</w:t>
            </w:r>
          </w:p>
        </w:tc>
        <w:tc>
          <w:tcPr>
            <w:tcW w:w="837" w:type="pct"/>
            <w:gridSpan w:val="2"/>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治理措施参数</w:t>
            </w:r>
          </w:p>
        </w:tc>
        <w:tc>
          <w:tcPr>
            <w:tcW w:w="1747" w:type="pct"/>
            <w:gridSpan w:val="3"/>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排放参数</w:t>
            </w:r>
          </w:p>
        </w:tc>
        <w:tc>
          <w:tcPr>
            <w:tcW w:w="338"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continue"/>
            <w:vAlign w:val="center"/>
          </w:tcPr>
          <w:p>
            <w:pPr>
              <w:pStyle w:val="65"/>
              <w:spacing w:before="65" w:after="65"/>
              <w:rPr>
                <w:rFonts w:hint="default" w:ascii="Times New Roman" w:hAnsi="Times New Roman" w:cs="Times New Roman"/>
                <w:color w:val="auto"/>
              </w:rPr>
            </w:pPr>
          </w:p>
        </w:tc>
        <w:tc>
          <w:tcPr>
            <w:tcW w:w="349" w:type="pct"/>
            <w:vMerge w:val="continue"/>
            <w:vAlign w:val="center"/>
          </w:tcPr>
          <w:p>
            <w:pPr>
              <w:pStyle w:val="65"/>
              <w:spacing w:before="65" w:after="65"/>
              <w:rPr>
                <w:rFonts w:hint="default" w:ascii="Times New Roman" w:hAnsi="Times New Roman" w:cs="Times New Roman"/>
                <w:color w:val="auto"/>
              </w:rPr>
            </w:pPr>
          </w:p>
        </w:tc>
        <w:tc>
          <w:tcPr>
            <w:tcW w:w="380" w:type="pct"/>
            <w:vMerge w:val="continue"/>
            <w:vAlign w:val="center"/>
          </w:tcPr>
          <w:p>
            <w:pPr>
              <w:pStyle w:val="65"/>
              <w:spacing w:before="65" w:after="65"/>
              <w:rPr>
                <w:rFonts w:hint="default" w:ascii="Times New Roman" w:hAnsi="Times New Roman" w:cs="Times New Roman"/>
                <w:color w:val="auto"/>
              </w:rPr>
            </w:pPr>
          </w:p>
        </w:tc>
        <w:tc>
          <w:tcPr>
            <w:tcW w:w="45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风量（m</w:t>
            </w:r>
            <w:r>
              <w:rPr>
                <w:rFonts w:hint="default" w:ascii="Times New Roman" w:hAnsi="Times New Roman" w:cs="Times New Roman"/>
                <w:b/>
                <w:bCs w:val="0"/>
                <w:color w:val="auto"/>
                <w:vertAlign w:val="superscript"/>
              </w:rPr>
              <w:t>3</w:t>
            </w:r>
            <w:r>
              <w:rPr>
                <w:rFonts w:hint="default" w:ascii="Times New Roman" w:hAnsi="Times New Roman" w:cs="Times New Roman"/>
                <w:b/>
                <w:bCs w:val="0"/>
                <w:color w:val="auto"/>
              </w:rPr>
              <w:t>/h）</w:t>
            </w:r>
          </w:p>
        </w:tc>
        <w:tc>
          <w:tcPr>
            <w:tcW w:w="47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集气效率（%）</w:t>
            </w:r>
          </w:p>
        </w:tc>
        <w:tc>
          <w:tcPr>
            <w:tcW w:w="46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措施</w:t>
            </w:r>
          </w:p>
        </w:tc>
        <w:tc>
          <w:tcPr>
            <w:tcW w:w="374"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处理效率（%）</w:t>
            </w:r>
          </w:p>
        </w:tc>
        <w:tc>
          <w:tcPr>
            <w:tcW w:w="58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排放速率（kg/h）</w:t>
            </w:r>
          </w:p>
        </w:tc>
        <w:tc>
          <w:tcPr>
            <w:tcW w:w="698"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排放浓度（mg/m</w:t>
            </w:r>
            <w:r>
              <w:rPr>
                <w:rFonts w:hint="default" w:ascii="Times New Roman" w:hAnsi="Times New Roman" w:cs="Times New Roman"/>
                <w:b/>
                <w:bCs w:val="0"/>
                <w:color w:val="auto"/>
                <w:vertAlign w:val="superscript"/>
              </w:rPr>
              <w:t>3</w:t>
            </w:r>
            <w:r>
              <w:rPr>
                <w:rFonts w:hint="default" w:ascii="Times New Roman" w:hAnsi="Times New Roman" w:cs="Times New Roman"/>
                <w:b/>
                <w:bCs w:val="0"/>
                <w:color w:val="auto"/>
              </w:rPr>
              <w:t>）</w:t>
            </w:r>
          </w:p>
        </w:tc>
        <w:tc>
          <w:tcPr>
            <w:tcW w:w="462"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排放量（t/a）</w:t>
            </w:r>
          </w:p>
        </w:tc>
        <w:tc>
          <w:tcPr>
            <w:tcW w:w="338" w:type="pct"/>
            <w:vMerge w:val="continue"/>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破碎、筛分</w:t>
            </w:r>
          </w:p>
        </w:tc>
        <w:tc>
          <w:tcPr>
            <w:tcW w:w="34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3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18.44</w:t>
            </w:r>
          </w:p>
        </w:tc>
        <w:tc>
          <w:tcPr>
            <w:tcW w:w="45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42000</w:t>
            </w:r>
          </w:p>
        </w:tc>
        <w:tc>
          <w:tcPr>
            <w:tcW w:w="47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80</w:t>
            </w:r>
          </w:p>
        </w:tc>
        <w:tc>
          <w:tcPr>
            <w:tcW w:w="46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布袋除尘器</w:t>
            </w:r>
          </w:p>
        </w:tc>
        <w:tc>
          <w:tcPr>
            <w:tcW w:w="37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99</w:t>
            </w:r>
          </w:p>
        </w:tc>
        <w:tc>
          <w:tcPr>
            <w:tcW w:w="58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0.1475</w:t>
            </w:r>
          </w:p>
        </w:tc>
        <w:tc>
          <w:tcPr>
            <w:tcW w:w="6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3.512</w:t>
            </w:r>
          </w:p>
        </w:tc>
        <w:tc>
          <w:tcPr>
            <w:tcW w:w="46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0.708</w:t>
            </w:r>
          </w:p>
        </w:tc>
        <w:tc>
          <w:tcPr>
            <w:tcW w:w="33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DA001（15m）</w:t>
            </w:r>
          </w:p>
        </w:tc>
      </w:tr>
    </w:tbl>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sectPr>
          <w:pgSz w:w="16838" w:h="11906" w:orient="landscape"/>
          <w:pgMar w:top="1800" w:right="1440" w:bottom="1800" w:left="1440" w:header="851" w:footer="992" w:gutter="0"/>
          <w:cols w:space="425" w:num="1"/>
          <w:docGrid w:type="lines" w:linePitch="326" w:charSpace="0"/>
        </w:sectPr>
      </w:pP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上表可知，本项目破碎、筛分粉尘中颗粒物有组织排放速率参照执行《大气污染物综合排放标准》（GB16297-1996）表2中标准限值；有组织排放浓度能够满足《乐山市打赢蓝天保卫战实施方案》相关要求（排放浓度＜10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二、无组织废气</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本项目无组织废气包括给料粉尘、集气罩未收集到的破碎、筛分粉尘、车辆运输扬尘、装卸及堆场粉尘。</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（1）未收集的破碎、筛分粉尘</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产生源强</w:t>
      </w:r>
      <w:r>
        <w:rPr>
          <w:rFonts w:hint="default" w:ascii="Times New Roman" w:hAnsi="Times New Roman" w:cs="Times New Roman"/>
          <w:color w:val="auto"/>
        </w:rPr>
        <w:t>：本项目破碎、筛分粉尘产生速率为18.44kg/h（88.5t/a），集气罩收集效率按80%计，则本项目无组织粉尘产生速率为3.688kg/h（17.7t/a）。</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治理措施</w:t>
      </w:r>
      <w:r>
        <w:rPr>
          <w:rFonts w:hint="default" w:ascii="Times New Roman" w:hAnsi="Times New Roman" w:cs="Times New Roman"/>
          <w:color w:val="auto"/>
        </w:rPr>
        <w:t>：本项目破碎、筛分工序均在密闭碎矿车间内进行，在车间上方设置喷雾除尘装置进行喷雾除尘。参考生态环境部发布的《排放源统计调查产排污核算方法和系数手册》中《附1工业源-附表2工业源固体物料堆场颗粒物核算系数手册》，喷雾降尘措施治理效率为74%。</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排放情况</w:t>
      </w:r>
      <w:r>
        <w:rPr>
          <w:rFonts w:hint="default" w:ascii="Times New Roman" w:hAnsi="Times New Roman" w:cs="Times New Roman"/>
          <w:color w:val="auto"/>
        </w:rPr>
        <w:t>：本项目无组织破碎筛分粉尘的产生、治理及排放情况见下表。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本项目破碎、筛分粉尘无组织源强及排污情况一览表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831"/>
        <w:gridCol w:w="1144"/>
        <w:gridCol w:w="1895"/>
        <w:gridCol w:w="1098"/>
        <w:gridCol w:w="1158"/>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污染源</w:t>
            </w:r>
          </w:p>
        </w:tc>
        <w:tc>
          <w:tcPr>
            <w:tcW w:w="487"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671"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产生源强（kg/h）</w:t>
            </w:r>
          </w:p>
        </w:tc>
        <w:tc>
          <w:tcPr>
            <w:tcW w:w="1111"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治理措施及效率</w:t>
            </w:r>
          </w:p>
        </w:tc>
        <w:tc>
          <w:tcPr>
            <w:tcW w:w="644"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排放方式</w:t>
            </w:r>
          </w:p>
        </w:tc>
        <w:tc>
          <w:tcPr>
            <w:tcW w:w="1392" w:type="pct"/>
            <w:gridSpan w:val="2"/>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continue"/>
            <w:vAlign w:val="center"/>
          </w:tcPr>
          <w:p>
            <w:pPr>
              <w:pStyle w:val="65"/>
              <w:spacing w:before="65" w:after="65"/>
              <w:rPr>
                <w:rFonts w:hint="default" w:ascii="Times New Roman" w:hAnsi="Times New Roman" w:cs="Times New Roman"/>
                <w:b/>
                <w:bCs w:val="0"/>
                <w:color w:val="auto"/>
              </w:rPr>
            </w:pPr>
          </w:p>
        </w:tc>
        <w:tc>
          <w:tcPr>
            <w:tcW w:w="487" w:type="pct"/>
            <w:vMerge w:val="continue"/>
            <w:vAlign w:val="center"/>
          </w:tcPr>
          <w:p>
            <w:pPr>
              <w:pStyle w:val="65"/>
              <w:spacing w:before="65" w:after="65"/>
              <w:rPr>
                <w:rFonts w:hint="default" w:ascii="Times New Roman" w:hAnsi="Times New Roman" w:cs="Times New Roman"/>
                <w:b/>
                <w:bCs w:val="0"/>
                <w:color w:val="auto"/>
              </w:rPr>
            </w:pPr>
          </w:p>
        </w:tc>
        <w:tc>
          <w:tcPr>
            <w:tcW w:w="671" w:type="pct"/>
            <w:vMerge w:val="continue"/>
            <w:vAlign w:val="center"/>
          </w:tcPr>
          <w:p>
            <w:pPr>
              <w:pStyle w:val="65"/>
              <w:spacing w:before="65" w:after="65"/>
              <w:rPr>
                <w:rFonts w:hint="default" w:ascii="Times New Roman" w:hAnsi="Times New Roman" w:cs="Times New Roman"/>
                <w:b/>
                <w:bCs w:val="0"/>
                <w:color w:val="auto"/>
              </w:rPr>
            </w:pPr>
          </w:p>
        </w:tc>
        <w:tc>
          <w:tcPr>
            <w:tcW w:w="1111" w:type="pct"/>
            <w:vMerge w:val="continue"/>
            <w:vAlign w:val="center"/>
          </w:tcPr>
          <w:p>
            <w:pPr>
              <w:pStyle w:val="65"/>
              <w:spacing w:before="65" w:after="65"/>
              <w:rPr>
                <w:rFonts w:hint="default" w:ascii="Times New Roman" w:hAnsi="Times New Roman" w:cs="Times New Roman"/>
                <w:b/>
                <w:bCs w:val="0"/>
                <w:color w:val="auto"/>
              </w:rPr>
            </w:pPr>
          </w:p>
        </w:tc>
        <w:tc>
          <w:tcPr>
            <w:tcW w:w="644" w:type="pct"/>
            <w:vMerge w:val="continue"/>
            <w:vAlign w:val="center"/>
          </w:tcPr>
          <w:p>
            <w:pPr>
              <w:pStyle w:val="65"/>
              <w:spacing w:before="65" w:after="65"/>
              <w:rPr>
                <w:rFonts w:hint="default" w:ascii="Times New Roman" w:hAnsi="Times New Roman" w:cs="Times New Roman"/>
                <w:b/>
                <w:bCs w:val="0"/>
                <w:color w:val="auto"/>
              </w:rPr>
            </w:pPr>
          </w:p>
        </w:tc>
        <w:tc>
          <w:tcPr>
            <w:tcW w:w="679"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排放量（t/a）</w:t>
            </w:r>
          </w:p>
        </w:tc>
        <w:tc>
          <w:tcPr>
            <w:tcW w:w="71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破碎、筛分</w:t>
            </w:r>
          </w:p>
        </w:tc>
        <w:tc>
          <w:tcPr>
            <w:tcW w:w="48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67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3.688</w:t>
            </w:r>
          </w:p>
        </w:tc>
        <w:tc>
          <w:tcPr>
            <w:tcW w:w="111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喷雾除尘（74%）</w:t>
            </w:r>
          </w:p>
        </w:tc>
        <w:tc>
          <w:tcPr>
            <w:tcW w:w="6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无组织</w:t>
            </w:r>
          </w:p>
        </w:tc>
        <w:tc>
          <w:tcPr>
            <w:tcW w:w="67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4.602</w:t>
            </w:r>
          </w:p>
        </w:tc>
        <w:tc>
          <w:tcPr>
            <w:tcW w:w="71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0.959</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（2）装卸及堆场粉尘</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产生源强</w:t>
      </w:r>
      <w:r>
        <w:rPr>
          <w:rFonts w:hint="default" w:ascii="Times New Roman" w:hAnsi="Times New Roman" w:cs="Times New Roman"/>
          <w:color w:val="auto"/>
        </w:rPr>
        <w:t>：本项目堆场产生的粉尘包括装卸扬尘及风蚀扬尘。根据生态环境部发布的《排放源统计调查产排污核算方法和系数手册》附1工业源中的“附表2工业源固体物料堆场颗粒物核算系数手册”，本项目堆场粉尘产生量核算公式如下：</w:t>
      </w:r>
    </w:p>
    <w:p>
      <w:pPr>
        <w:overflowPunct w:val="0"/>
        <w:adjustRightInd w:val="0"/>
        <w:ind w:firstLine="0" w:firstLineChars="0"/>
        <w:jc w:val="center"/>
        <w:rPr>
          <w:rFonts w:hint="default" w:ascii="Times New Roman" w:hAnsi="Times New Roman" w:cs="Times New Roman"/>
          <w:color w:val="auto"/>
          <w:kern w:val="21"/>
          <w:sz w:val="21"/>
          <w:szCs w:val="24"/>
        </w:rPr>
      </w:pPr>
      <w:r>
        <w:rPr>
          <w:rFonts w:hint="default" w:ascii="Times New Roman" w:hAnsi="Times New Roman" w:cs="Times New Roman"/>
          <w:color w:val="auto"/>
          <w:kern w:val="21"/>
          <w:sz w:val="21"/>
          <w:szCs w:val="24"/>
        </w:rPr>
        <w:object>
          <v:shape id="_x0000_i1032" o:spt="75" type="#_x0000_t75" style="height:36pt;width:249.75pt;" o:ole="t" filled="f" o:preferrelative="t" stroked="f" coordsize="21600,21600">
            <v:path/>
            <v:fill on="f" focussize="0,0"/>
            <v:stroke on="f" joinstyle="miter"/>
            <v:imagedata r:id="rId37" o:title=""/>
            <o:lock v:ext="edit" aspectratio="t"/>
            <w10:wrap type="none"/>
            <w10:anchorlock/>
          </v:shape>
          <o:OLEObject Type="Embed" ProgID="Equation.KSEE3" ShapeID="_x0000_i1032" DrawAspect="Content" ObjectID="_1468075732" r:id="rId36">
            <o:LockedField>false</o:LockedField>
          </o:OLEObject>
        </w:objec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式中：</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color w:val="auto"/>
          <w:kern w:val="21"/>
          <w:szCs w:val="24"/>
        </w:rPr>
        <w:t>P</w:t>
      </w:r>
      <w:r>
        <w:rPr>
          <w:rFonts w:hint="default" w:ascii="Times New Roman" w:hAnsi="Times New Roman" w:cs="Times New Roman"/>
          <w:color w:val="auto"/>
          <w:kern w:val="21"/>
          <w:szCs w:val="24"/>
        </w:rPr>
        <w:t>——颗粒物产生量（单位：吨）；</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color w:val="auto"/>
          <w:kern w:val="21"/>
          <w:szCs w:val="24"/>
        </w:rPr>
        <w:t>ZC</w:t>
      </w:r>
      <w:r>
        <w:rPr>
          <w:rFonts w:hint="default" w:ascii="Times New Roman" w:hAnsi="Times New Roman" w:cs="Times New Roman"/>
          <w:i/>
          <w:color w:val="auto"/>
          <w:kern w:val="21"/>
          <w:szCs w:val="24"/>
          <w:vertAlign w:val="subscript"/>
        </w:rPr>
        <w:t>y</w:t>
      </w:r>
      <w:r>
        <w:rPr>
          <w:rFonts w:hint="default" w:ascii="Times New Roman" w:hAnsi="Times New Roman" w:cs="Times New Roman"/>
          <w:iCs/>
          <w:color w:val="auto"/>
          <w:kern w:val="21"/>
          <w:szCs w:val="24"/>
        </w:rPr>
        <w:t>——</w:t>
      </w:r>
      <w:r>
        <w:rPr>
          <w:rFonts w:hint="default" w:ascii="Times New Roman" w:hAnsi="Times New Roman" w:cs="Times New Roman"/>
          <w:color w:val="auto"/>
          <w:kern w:val="21"/>
          <w:szCs w:val="24"/>
        </w:rPr>
        <w:t>装卸扬尘产生量（单位：吨）；</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FC</w:t>
      </w:r>
      <w:r>
        <w:rPr>
          <w:rFonts w:hint="default" w:ascii="Times New Roman" w:hAnsi="Times New Roman" w:cs="Times New Roman"/>
          <w:i/>
          <w:iCs/>
          <w:color w:val="auto"/>
          <w:kern w:val="21"/>
          <w:szCs w:val="24"/>
          <w:vertAlign w:val="subscript"/>
        </w:rPr>
        <w:t>y</w:t>
      </w:r>
      <w:r>
        <w:rPr>
          <w:rFonts w:hint="default" w:ascii="Times New Roman" w:hAnsi="Times New Roman" w:cs="Times New Roman"/>
          <w:color w:val="auto"/>
          <w:kern w:val="21"/>
          <w:szCs w:val="24"/>
        </w:rPr>
        <w:t>——风蚀扬尘产生量（单位：吨）；</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color w:val="auto"/>
          <w:kern w:val="21"/>
          <w:szCs w:val="24"/>
        </w:rPr>
        <w:t>NC</w:t>
      </w:r>
      <w:r>
        <w:rPr>
          <w:rFonts w:hint="default" w:ascii="Times New Roman" w:hAnsi="Times New Roman" w:cs="Times New Roman"/>
          <w:iCs/>
          <w:color w:val="auto"/>
          <w:kern w:val="21"/>
          <w:szCs w:val="24"/>
        </w:rPr>
        <w:t>——</w:t>
      </w:r>
      <w:r>
        <w:rPr>
          <w:rFonts w:hint="default" w:ascii="Times New Roman" w:hAnsi="Times New Roman" w:cs="Times New Roman"/>
          <w:color w:val="auto"/>
          <w:kern w:val="21"/>
          <w:szCs w:val="24"/>
        </w:rPr>
        <w:t>年物料运载车次（单位：车/a），原矿运输次数约20000次/a；</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color w:val="auto"/>
          <w:kern w:val="21"/>
          <w:szCs w:val="24"/>
        </w:rPr>
        <w:t>D</w:t>
      </w:r>
      <w:r>
        <w:rPr>
          <w:rFonts w:hint="default" w:ascii="Times New Roman" w:hAnsi="Times New Roman" w:cs="Times New Roman"/>
          <w:color w:val="auto"/>
          <w:kern w:val="21"/>
          <w:szCs w:val="24"/>
        </w:rPr>
        <w:t>——单车平均运载量（单位：t/车），本项目采用的运输汽车载重平均25t/车；</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a/b</w:t>
      </w:r>
      <w:r>
        <w:rPr>
          <w:rFonts w:hint="default" w:ascii="Times New Roman" w:hAnsi="Times New Roman" w:cs="Times New Roman"/>
          <w:color w:val="auto"/>
          <w:kern w:val="21"/>
          <w:szCs w:val="24"/>
        </w:rPr>
        <w:t>——装卸扬尘概化系数（单位：kg/t），a指各省风速概化系数，本项目位于四川省，根据《工业源固体物料堆场颗粒物核算系数手册》附录1，a取0.0006。b指物料含水率概化系数，本项目原矿仓库堆存物料类型参照《工业源固体物料堆场颗粒物核算系数手册》附录2“混合矿石”，b取0.0084；</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E</w:t>
      </w:r>
      <w:r>
        <w:rPr>
          <w:rFonts w:hint="default" w:ascii="Times New Roman" w:hAnsi="Times New Roman" w:cs="Times New Roman"/>
          <w:i/>
          <w:iCs/>
          <w:color w:val="auto"/>
          <w:kern w:val="21"/>
          <w:szCs w:val="24"/>
          <w:vertAlign w:val="subscript"/>
        </w:rPr>
        <w:t>f</w:t>
      </w:r>
      <w:r>
        <w:rPr>
          <w:rFonts w:hint="default" w:ascii="Times New Roman" w:hAnsi="Times New Roman" w:cs="Times New Roman"/>
          <w:color w:val="auto"/>
          <w:kern w:val="21"/>
          <w:szCs w:val="24"/>
        </w:rPr>
        <w:t>——堆场风蚀扬尘概化系数，（单位：kg/m</w:t>
      </w:r>
      <w:r>
        <w:rPr>
          <w:rFonts w:hint="default" w:ascii="Times New Roman" w:hAnsi="Times New Roman" w:cs="Times New Roman"/>
          <w:color w:val="auto"/>
          <w:kern w:val="21"/>
          <w:szCs w:val="24"/>
          <w:vertAlign w:val="superscript"/>
        </w:rPr>
        <w:t>2</w:t>
      </w:r>
      <w:r>
        <w:rPr>
          <w:rFonts w:hint="default" w:ascii="Times New Roman" w:hAnsi="Times New Roman" w:cs="Times New Roman"/>
          <w:color w:val="auto"/>
          <w:kern w:val="21"/>
          <w:szCs w:val="24"/>
        </w:rPr>
        <w:t>）。本项目原矿仓库堆存物料类型参照《工业源固体物料堆场颗粒物核算系数手册》附录3，</w:t>
      </w:r>
      <w:r>
        <w:rPr>
          <w:rFonts w:hint="default" w:ascii="Times New Roman" w:hAnsi="Times New Roman" w:cs="Times New Roman"/>
          <w:i/>
          <w:iCs/>
          <w:color w:val="auto"/>
          <w:kern w:val="21"/>
          <w:szCs w:val="24"/>
        </w:rPr>
        <w:t>E</w:t>
      </w:r>
      <w:r>
        <w:rPr>
          <w:rFonts w:hint="default" w:ascii="Times New Roman" w:hAnsi="Times New Roman" w:cs="Times New Roman"/>
          <w:i/>
          <w:iCs/>
          <w:color w:val="auto"/>
          <w:kern w:val="21"/>
          <w:szCs w:val="24"/>
          <w:vertAlign w:val="subscript"/>
        </w:rPr>
        <w:t>f</w:t>
      </w:r>
      <w:r>
        <w:rPr>
          <w:rFonts w:hint="default" w:ascii="Times New Roman" w:hAnsi="Times New Roman" w:cs="Times New Roman"/>
          <w:color w:val="auto"/>
          <w:kern w:val="21"/>
          <w:szCs w:val="24"/>
        </w:rPr>
        <w:t>（混合矿石）取0；</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S</w:t>
      </w:r>
      <w:r>
        <w:rPr>
          <w:rFonts w:hint="default" w:ascii="Times New Roman" w:hAnsi="Times New Roman" w:cs="Times New Roman"/>
          <w:color w:val="auto"/>
          <w:kern w:val="21"/>
          <w:szCs w:val="24"/>
        </w:rPr>
        <w:t>——堆场占地面积（单位：m</w:t>
      </w:r>
      <w:r>
        <w:rPr>
          <w:rFonts w:hint="default" w:ascii="Times New Roman" w:hAnsi="Times New Roman" w:cs="Times New Roman"/>
          <w:color w:val="auto"/>
          <w:kern w:val="21"/>
          <w:szCs w:val="24"/>
          <w:vertAlign w:val="superscript"/>
        </w:rPr>
        <w:t>2</w:t>
      </w:r>
      <w:r>
        <w:rPr>
          <w:rFonts w:hint="default" w:ascii="Times New Roman" w:hAnsi="Times New Roman" w:cs="Times New Roman"/>
          <w:color w:val="auto"/>
          <w:kern w:val="21"/>
          <w:szCs w:val="24"/>
        </w:rPr>
        <w:t>），本项目除去运输道路，原料堆存面积约8313m</w:t>
      </w:r>
      <w:r>
        <w:rPr>
          <w:rFonts w:hint="default" w:ascii="Times New Roman" w:hAnsi="Times New Roman" w:cs="Times New Roman"/>
          <w:color w:val="auto"/>
          <w:kern w:val="21"/>
          <w:szCs w:val="24"/>
          <w:vertAlign w:val="superscript"/>
        </w:rPr>
        <w:t>2</w:t>
      </w:r>
      <w:r>
        <w:rPr>
          <w:rFonts w:hint="default" w:ascii="Times New Roman" w:hAnsi="Times New Roman" w:cs="Times New Roman"/>
          <w:color w:val="auto"/>
          <w:kern w:val="21"/>
          <w:szCs w:val="24"/>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经计算，本项目堆场粉尘产生量为35.714t/a（4.96kg/h）。</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治理措施</w:t>
      </w:r>
      <w:r>
        <w:rPr>
          <w:rFonts w:hint="default" w:ascii="Times New Roman" w:hAnsi="Times New Roman" w:cs="Times New Roman"/>
          <w:color w:val="auto"/>
        </w:rPr>
        <w:t>：本项目原矿仓库为密闭车间，在原矿仓库上方设置喷雾降尘装置进行喷雾除尘。参考生态环境部发布的《排放源统计调查产排污核算方法和系数手册》——《附1工业源-附表2工业源固体物料堆场颗粒物核算系数手册》，本项目堆场粉尘采取的封闭式厂房堆场措施治理效率为99%，喷雾降尘措施治理效率为74%。</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排放情况</w:t>
      </w:r>
      <w:r>
        <w:rPr>
          <w:rFonts w:hint="default" w:ascii="Times New Roman" w:hAnsi="Times New Roman" w:cs="Times New Roman"/>
          <w:color w:val="auto"/>
        </w:rPr>
        <w:t>：本项目堆场粉尘的产生、治理及排放情况见下表。</w:t>
      </w:r>
    </w:p>
    <w:p>
      <w:pPr>
        <w:pStyle w:val="12"/>
        <w:keepNext w:val="0"/>
        <w:overflowPunct w:val="0"/>
        <w:adjustRightInd w:val="0"/>
        <w:spacing w:before="65" w:beforeLines="20" w:after="65" w:afterLines="2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本项目堆场粉尘无组织</w:t>
      </w:r>
      <w:r>
        <w:rPr>
          <w:rFonts w:hint="default" w:ascii="Times New Roman" w:hAnsi="Times New Roman" w:cs="Times New Roman"/>
          <w:bCs/>
          <w:color w:val="auto"/>
          <w:kern w:val="21"/>
          <w:szCs w:val="21"/>
        </w:rPr>
        <w:t>源强及排污情况一览表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811"/>
        <w:gridCol w:w="1092"/>
        <w:gridCol w:w="2484"/>
        <w:gridCol w:w="1077"/>
        <w:gridCol w:w="871"/>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7"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污染源</w:t>
            </w:r>
          </w:p>
        </w:tc>
        <w:tc>
          <w:tcPr>
            <w:tcW w:w="478"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643"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产生源强（kg/h）</w:t>
            </w:r>
          </w:p>
        </w:tc>
        <w:tc>
          <w:tcPr>
            <w:tcW w:w="1459"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治理措施及效率</w:t>
            </w:r>
          </w:p>
        </w:tc>
        <w:tc>
          <w:tcPr>
            <w:tcW w:w="634"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排放方式</w:t>
            </w:r>
          </w:p>
        </w:tc>
        <w:tc>
          <w:tcPr>
            <w:tcW w:w="1147" w:type="pct"/>
            <w:gridSpan w:val="2"/>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7" w:type="pct"/>
            <w:vMerge w:val="continue"/>
            <w:vAlign w:val="center"/>
          </w:tcPr>
          <w:p>
            <w:pPr>
              <w:pStyle w:val="65"/>
              <w:spacing w:before="65" w:after="65"/>
              <w:rPr>
                <w:rFonts w:hint="default" w:ascii="Times New Roman" w:hAnsi="Times New Roman" w:cs="Times New Roman"/>
                <w:b/>
                <w:bCs w:val="0"/>
                <w:color w:val="auto"/>
              </w:rPr>
            </w:pPr>
          </w:p>
        </w:tc>
        <w:tc>
          <w:tcPr>
            <w:tcW w:w="478" w:type="pct"/>
            <w:vMerge w:val="continue"/>
            <w:vAlign w:val="center"/>
          </w:tcPr>
          <w:p>
            <w:pPr>
              <w:pStyle w:val="65"/>
              <w:spacing w:before="65" w:after="65"/>
              <w:rPr>
                <w:rFonts w:hint="default" w:ascii="Times New Roman" w:hAnsi="Times New Roman" w:cs="Times New Roman"/>
                <w:b/>
                <w:bCs w:val="0"/>
                <w:color w:val="auto"/>
              </w:rPr>
            </w:pPr>
          </w:p>
        </w:tc>
        <w:tc>
          <w:tcPr>
            <w:tcW w:w="643" w:type="pct"/>
            <w:vMerge w:val="continue"/>
            <w:vAlign w:val="center"/>
          </w:tcPr>
          <w:p>
            <w:pPr>
              <w:pStyle w:val="65"/>
              <w:spacing w:before="65" w:after="65"/>
              <w:rPr>
                <w:rFonts w:hint="default" w:ascii="Times New Roman" w:hAnsi="Times New Roman" w:cs="Times New Roman"/>
                <w:b/>
                <w:bCs w:val="0"/>
                <w:color w:val="auto"/>
              </w:rPr>
            </w:pPr>
          </w:p>
        </w:tc>
        <w:tc>
          <w:tcPr>
            <w:tcW w:w="1459" w:type="pct"/>
            <w:vMerge w:val="continue"/>
            <w:vAlign w:val="center"/>
          </w:tcPr>
          <w:p>
            <w:pPr>
              <w:pStyle w:val="65"/>
              <w:spacing w:before="65" w:after="65"/>
              <w:rPr>
                <w:rFonts w:hint="default" w:ascii="Times New Roman" w:hAnsi="Times New Roman" w:cs="Times New Roman"/>
                <w:b/>
                <w:bCs w:val="0"/>
                <w:color w:val="auto"/>
              </w:rPr>
            </w:pPr>
          </w:p>
        </w:tc>
        <w:tc>
          <w:tcPr>
            <w:tcW w:w="634" w:type="pct"/>
            <w:vMerge w:val="continue"/>
            <w:vAlign w:val="center"/>
          </w:tcPr>
          <w:p>
            <w:pPr>
              <w:pStyle w:val="65"/>
              <w:spacing w:before="65" w:after="65"/>
              <w:rPr>
                <w:rFonts w:hint="default" w:ascii="Times New Roman" w:hAnsi="Times New Roman" w:cs="Times New Roman"/>
                <w:b/>
                <w:bCs w:val="0"/>
                <w:color w:val="auto"/>
              </w:rPr>
            </w:pPr>
          </w:p>
        </w:tc>
        <w:tc>
          <w:tcPr>
            <w:tcW w:w="49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排放量（t/a）</w:t>
            </w:r>
          </w:p>
        </w:tc>
        <w:tc>
          <w:tcPr>
            <w:tcW w:w="65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原料贮存</w:t>
            </w:r>
          </w:p>
        </w:tc>
        <w:tc>
          <w:tcPr>
            <w:tcW w:w="4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64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4.96</w:t>
            </w:r>
          </w:p>
        </w:tc>
        <w:tc>
          <w:tcPr>
            <w:tcW w:w="145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封闭式厂房（99%）+喷雾除尘（74%）</w:t>
            </w:r>
          </w:p>
        </w:tc>
        <w:tc>
          <w:tcPr>
            <w:tcW w:w="63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无组织</w:t>
            </w:r>
          </w:p>
        </w:tc>
        <w:tc>
          <w:tcPr>
            <w:tcW w:w="4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0.0929</w:t>
            </w:r>
          </w:p>
        </w:tc>
        <w:tc>
          <w:tcPr>
            <w:tcW w:w="6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0.0129</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（3）车辆运输扬尘</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产生源强</w:t>
      </w:r>
      <w:r>
        <w:rPr>
          <w:rFonts w:hint="default" w:ascii="Times New Roman" w:hAnsi="Times New Roman" w:cs="Times New Roman"/>
          <w:color w:val="auto"/>
        </w:rPr>
        <w:t>：本项目原料通过汽车运输，汽车进出厂区都会产生道路扬尘。车辆行驶产生的扬尘，在道路完全干燥的情况下，可按下列经验公式计算：</w:t>
      </w:r>
    </w:p>
    <w:p>
      <w:pPr>
        <w:overflowPunct w:val="0"/>
        <w:adjustRightInd w:val="0"/>
        <w:ind w:firstLine="0" w:firstLineChars="0"/>
        <w:jc w:val="center"/>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object>
          <v:shape id="_x0000_i1033" o:spt="75" type="#_x0000_t75" style="height:18.75pt;width:132.75pt;" o:ole="t" filled="f" o:preferrelative="t" stroked="f" coordsize="21600,21600">
            <v:path/>
            <v:fill on="f" focussize="0,0"/>
            <v:stroke on="f" joinstyle="miter"/>
            <v:imagedata r:id="rId39" o:title=""/>
            <o:lock v:ext="edit" aspectratio="t"/>
            <w10:wrap type="none"/>
            <w10:anchorlock/>
          </v:shape>
          <o:OLEObject Type="Embed" ProgID="Equation.KSEE3" ShapeID="_x0000_i1033" DrawAspect="Content" ObjectID="_1468075733" r:id="rId38">
            <o:LockedField>false</o:LockedField>
          </o:OLEObject>
        </w:object>
      </w:r>
    </w:p>
    <w:p>
      <w:pPr>
        <w:overflowPunct w:val="0"/>
        <w:adjustRightInd w:val="0"/>
        <w:ind w:firstLine="0" w:firstLineChars="0"/>
        <w:jc w:val="center"/>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object>
          <v:shape id="_x0000_i1034" o:spt="75" type="#_x0000_t75" style="height:20.25pt;width:50.25pt;" o:ole="t" filled="f" o:preferrelative="t" stroked="f" coordsize="21600,21600">
            <v:path/>
            <v:fill on="f" focussize="0,0"/>
            <v:stroke on="f" joinstyle="miter"/>
            <v:imagedata r:id="rId41" o:title=""/>
            <o:lock v:ext="edit" aspectratio="t"/>
            <w10:wrap type="none"/>
            <w10:anchorlock/>
          </v:shape>
          <o:OLEObject Type="Embed" ProgID="Equation.KSEE3" ShapeID="_x0000_i1034" DrawAspect="Content" ObjectID="_1468075734" r:id="rId40">
            <o:LockedField>false</o:LockedField>
          </o:OLEObject>
        </w:objec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式中：</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Q</w:t>
      </w:r>
      <w:r>
        <w:rPr>
          <w:rFonts w:hint="default" w:ascii="Times New Roman" w:hAnsi="Times New Roman" w:cs="Times New Roman"/>
          <w:i/>
          <w:iCs/>
          <w:color w:val="auto"/>
          <w:kern w:val="21"/>
          <w:szCs w:val="24"/>
          <w:vertAlign w:val="subscript"/>
        </w:rPr>
        <w:t>i</w:t>
      </w:r>
      <w:r>
        <w:rPr>
          <w:rFonts w:hint="default" w:ascii="Times New Roman" w:hAnsi="Times New Roman" w:cs="Times New Roman"/>
          <w:color w:val="auto"/>
          <w:kern w:val="21"/>
          <w:szCs w:val="24"/>
        </w:rPr>
        <w:t>——每辆汽车行驶扬尘量，kg/km；</w:t>
      </w:r>
    </w:p>
    <w:p>
      <w:pPr>
        <w:widowControl/>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Q</w:t>
      </w:r>
      <w:r>
        <w:rPr>
          <w:rFonts w:hint="default" w:ascii="Times New Roman" w:hAnsi="Times New Roman" w:cs="Times New Roman"/>
          <w:color w:val="auto"/>
          <w:kern w:val="21"/>
          <w:szCs w:val="24"/>
        </w:rPr>
        <w:t>——每辆运输总扬尘量，t/a；</w:t>
      </w:r>
    </w:p>
    <w:p>
      <w:pPr>
        <w:widowControl/>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U</w:t>
      </w:r>
      <w:r>
        <w:rPr>
          <w:rFonts w:hint="default" w:ascii="Times New Roman" w:hAnsi="Times New Roman" w:cs="Times New Roman"/>
          <w:color w:val="auto"/>
          <w:kern w:val="21"/>
          <w:szCs w:val="24"/>
        </w:rPr>
        <w:t>——汽车速度，km/h，本项目厂内运输限速10km/h；</w:t>
      </w:r>
    </w:p>
    <w:p>
      <w:pPr>
        <w:widowControl/>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W</w:t>
      </w:r>
      <w:r>
        <w:rPr>
          <w:rFonts w:hint="default" w:ascii="Times New Roman" w:hAnsi="Times New Roman" w:cs="Times New Roman"/>
          <w:color w:val="auto"/>
          <w:kern w:val="21"/>
          <w:szCs w:val="24"/>
        </w:rPr>
        <w:t>——汽车重量，t。满载汽车重35t，空载5t；</w:t>
      </w:r>
    </w:p>
    <w:p>
      <w:pPr>
        <w:widowControl/>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P</w:t>
      </w:r>
      <w:r>
        <w:rPr>
          <w:rFonts w:hint="default" w:ascii="Times New Roman" w:hAnsi="Times New Roman" w:cs="Times New Roman"/>
          <w:color w:val="auto"/>
          <w:kern w:val="21"/>
          <w:szCs w:val="24"/>
        </w:rPr>
        <w:t>——道路表面粉尘量，kg/m</w:t>
      </w:r>
      <w:r>
        <w:rPr>
          <w:rFonts w:hint="default" w:ascii="Times New Roman" w:hAnsi="Times New Roman" w:cs="Times New Roman"/>
          <w:color w:val="auto"/>
          <w:kern w:val="21"/>
          <w:szCs w:val="24"/>
          <w:vertAlign w:val="superscript"/>
        </w:rPr>
        <w:t>2</w:t>
      </w:r>
      <w:r>
        <w:rPr>
          <w:rFonts w:hint="default" w:ascii="Times New Roman" w:hAnsi="Times New Roman" w:cs="Times New Roman"/>
          <w:color w:val="auto"/>
          <w:kern w:val="21"/>
          <w:szCs w:val="24"/>
        </w:rPr>
        <w:t>，厂区路面取0.2kg/m</w:t>
      </w:r>
      <w:r>
        <w:rPr>
          <w:rFonts w:hint="default" w:ascii="Times New Roman" w:hAnsi="Times New Roman" w:cs="Times New Roman"/>
          <w:color w:val="auto"/>
          <w:kern w:val="21"/>
          <w:szCs w:val="24"/>
          <w:vertAlign w:val="superscript"/>
        </w:rPr>
        <w:t>2</w:t>
      </w:r>
      <w:r>
        <w:rPr>
          <w:rFonts w:hint="default" w:ascii="Times New Roman" w:hAnsi="Times New Roman" w:cs="Times New Roman"/>
          <w:color w:val="auto"/>
          <w:kern w:val="21"/>
          <w:szCs w:val="24"/>
        </w:rPr>
        <w:t>。</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经计算，本项目运输车辆满载状况下汽车行驶扬尘产生量为0.5091kg/km；空载状况下汽车行驶扬尘产生量为0.0974kg/km。本项目车辆满载及空载运输次数均约为20000次/a，厂内运输距离以0.4km计。因此，本项目车辆运输粉尘产生量为4.852t/a（0.674kg/h）。</w:t>
      </w:r>
    </w:p>
    <w:p>
      <w:pPr>
        <w:overflowPunct w:val="0"/>
        <w:adjustRightInd w:val="0"/>
        <w:ind w:firstLine="482"/>
        <w:rPr>
          <w:rFonts w:hint="default" w:ascii="Times New Roman" w:hAnsi="Times New Roman" w:cs="Times New Roman"/>
          <w:color w:val="auto"/>
          <w:kern w:val="21"/>
          <w:szCs w:val="22"/>
        </w:rPr>
      </w:pPr>
      <w:r>
        <w:rPr>
          <w:rFonts w:hint="default" w:ascii="Times New Roman" w:hAnsi="Times New Roman" w:cs="Times New Roman"/>
          <w:b/>
          <w:color w:val="auto"/>
          <w:kern w:val="21"/>
          <w:szCs w:val="22"/>
        </w:rPr>
        <w:t>治理措施：</w:t>
      </w:r>
      <w:r>
        <w:rPr>
          <w:rFonts w:hint="default" w:ascii="Times New Roman" w:hAnsi="Times New Roman" w:cs="Times New Roman"/>
          <w:color w:val="auto"/>
          <w:kern w:val="21"/>
          <w:szCs w:val="22"/>
        </w:rPr>
        <w:t>参考生态环境部发布的《排放源统计调查产排污核算方法和系数手册》——《附1工业源-附表2工业源固体物料堆场颗粒物核算系数手册》中粉尘控制措施控制效率及堆场类型控制效率。本项目运输粉尘采取的洒水抑尘措施效率为74%，冲洗进出场车辆效率为78%。</w:t>
      </w:r>
    </w:p>
    <w:p>
      <w:pPr>
        <w:overflowPunct w:val="0"/>
        <w:adjustRightInd w:val="0"/>
        <w:ind w:firstLine="482"/>
        <w:rPr>
          <w:rFonts w:hint="default" w:ascii="Times New Roman" w:hAnsi="Times New Roman" w:cs="Times New Roman"/>
          <w:color w:val="auto"/>
          <w:kern w:val="21"/>
          <w:szCs w:val="22"/>
        </w:rPr>
      </w:pPr>
      <w:r>
        <w:rPr>
          <w:rFonts w:hint="default" w:ascii="Times New Roman" w:hAnsi="Times New Roman" w:cs="Times New Roman"/>
          <w:b/>
          <w:color w:val="auto"/>
          <w:kern w:val="21"/>
          <w:szCs w:val="22"/>
        </w:rPr>
        <w:t>排放情况：</w:t>
      </w:r>
      <w:r>
        <w:rPr>
          <w:rFonts w:hint="default" w:ascii="Times New Roman" w:hAnsi="Times New Roman" w:cs="Times New Roman"/>
          <w:color w:val="auto"/>
          <w:kern w:val="21"/>
          <w:szCs w:val="22"/>
        </w:rPr>
        <w:t>本项目车辆运输粉尘产生、治理及排放情况见下表。</w:t>
      </w:r>
    </w:p>
    <w:p>
      <w:pPr>
        <w:pStyle w:val="12"/>
        <w:keepNext w:val="0"/>
        <w:overflowPunct w:val="0"/>
        <w:adjustRightInd w:val="0"/>
        <w:spacing w:before="65" w:beforeLines="20" w:after="65" w:afterLines="2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本项目</w:t>
      </w:r>
      <w:r>
        <w:rPr>
          <w:rFonts w:hint="default" w:ascii="Times New Roman" w:hAnsi="Times New Roman" w:cs="Times New Roman"/>
          <w:bCs/>
          <w:color w:val="auto"/>
          <w:kern w:val="21"/>
          <w:szCs w:val="21"/>
        </w:rPr>
        <w:t>车辆运输粉尘</w:t>
      </w:r>
      <w:r>
        <w:rPr>
          <w:rFonts w:hint="default" w:ascii="Times New Roman" w:hAnsi="Times New Roman" w:cs="Times New Roman"/>
          <w:color w:val="auto"/>
          <w:kern w:val="21"/>
          <w:szCs w:val="21"/>
        </w:rPr>
        <w:t>无组织</w:t>
      </w:r>
      <w:r>
        <w:rPr>
          <w:rFonts w:hint="default" w:ascii="Times New Roman" w:hAnsi="Times New Roman" w:cs="Times New Roman"/>
          <w:bCs/>
          <w:color w:val="auto"/>
          <w:kern w:val="21"/>
          <w:szCs w:val="21"/>
        </w:rPr>
        <w:t>源强及排污情况一览表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811"/>
        <w:gridCol w:w="1093"/>
        <w:gridCol w:w="2484"/>
        <w:gridCol w:w="1077"/>
        <w:gridCol w:w="871"/>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7"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污染源</w:t>
            </w:r>
          </w:p>
        </w:tc>
        <w:tc>
          <w:tcPr>
            <w:tcW w:w="478"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643"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产生源强（kg/h）</w:t>
            </w:r>
          </w:p>
        </w:tc>
        <w:tc>
          <w:tcPr>
            <w:tcW w:w="1459"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治理措施及效率</w:t>
            </w:r>
          </w:p>
        </w:tc>
        <w:tc>
          <w:tcPr>
            <w:tcW w:w="634"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排放方式</w:t>
            </w:r>
          </w:p>
        </w:tc>
        <w:tc>
          <w:tcPr>
            <w:tcW w:w="1146" w:type="pct"/>
            <w:gridSpan w:val="2"/>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7" w:type="pct"/>
            <w:vMerge w:val="continue"/>
            <w:vAlign w:val="center"/>
          </w:tcPr>
          <w:p>
            <w:pPr>
              <w:pStyle w:val="65"/>
              <w:spacing w:before="65" w:after="65"/>
              <w:rPr>
                <w:rFonts w:hint="default" w:ascii="Times New Roman" w:hAnsi="Times New Roman" w:cs="Times New Roman"/>
                <w:b/>
                <w:bCs w:val="0"/>
                <w:color w:val="auto"/>
              </w:rPr>
            </w:pPr>
          </w:p>
        </w:tc>
        <w:tc>
          <w:tcPr>
            <w:tcW w:w="478" w:type="pct"/>
            <w:vMerge w:val="continue"/>
            <w:vAlign w:val="center"/>
          </w:tcPr>
          <w:p>
            <w:pPr>
              <w:pStyle w:val="65"/>
              <w:spacing w:before="65" w:after="65"/>
              <w:rPr>
                <w:rFonts w:hint="default" w:ascii="Times New Roman" w:hAnsi="Times New Roman" w:cs="Times New Roman"/>
                <w:b/>
                <w:bCs w:val="0"/>
                <w:color w:val="auto"/>
              </w:rPr>
            </w:pPr>
          </w:p>
        </w:tc>
        <w:tc>
          <w:tcPr>
            <w:tcW w:w="643" w:type="pct"/>
            <w:vMerge w:val="continue"/>
            <w:vAlign w:val="center"/>
          </w:tcPr>
          <w:p>
            <w:pPr>
              <w:pStyle w:val="65"/>
              <w:spacing w:before="65" w:after="65"/>
              <w:rPr>
                <w:rFonts w:hint="default" w:ascii="Times New Roman" w:hAnsi="Times New Roman" w:cs="Times New Roman"/>
                <w:b/>
                <w:bCs w:val="0"/>
                <w:color w:val="auto"/>
              </w:rPr>
            </w:pPr>
          </w:p>
        </w:tc>
        <w:tc>
          <w:tcPr>
            <w:tcW w:w="1459" w:type="pct"/>
            <w:vMerge w:val="continue"/>
            <w:vAlign w:val="center"/>
          </w:tcPr>
          <w:p>
            <w:pPr>
              <w:pStyle w:val="65"/>
              <w:spacing w:before="65" w:after="65"/>
              <w:rPr>
                <w:rFonts w:hint="default" w:ascii="Times New Roman" w:hAnsi="Times New Roman" w:cs="Times New Roman"/>
                <w:b/>
                <w:bCs w:val="0"/>
                <w:color w:val="auto"/>
              </w:rPr>
            </w:pPr>
          </w:p>
        </w:tc>
        <w:tc>
          <w:tcPr>
            <w:tcW w:w="634" w:type="pct"/>
            <w:vMerge w:val="continue"/>
            <w:vAlign w:val="center"/>
          </w:tcPr>
          <w:p>
            <w:pPr>
              <w:pStyle w:val="65"/>
              <w:spacing w:before="65" w:after="65"/>
              <w:rPr>
                <w:rFonts w:hint="default" w:ascii="Times New Roman" w:hAnsi="Times New Roman" w:cs="Times New Roman"/>
                <w:b/>
                <w:bCs w:val="0"/>
                <w:color w:val="auto"/>
              </w:rPr>
            </w:pPr>
          </w:p>
        </w:tc>
        <w:tc>
          <w:tcPr>
            <w:tcW w:w="49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排放量（t/a）</w:t>
            </w:r>
          </w:p>
        </w:tc>
        <w:tc>
          <w:tcPr>
            <w:tcW w:w="65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原料运输</w:t>
            </w:r>
          </w:p>
        </w:tc>
        <w:tc>
          <w:tcPr>
            <w:tcW w:w="4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64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0.674</w:t>
            </w:r>
          </w:p>
        </w:tc>
        <w:tc>
          <w:tcPr>
            <w:tcW w:w="145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冲洗进出厂车辆（78%）+硬化厂区道路、洒水抑尘（74%）</w:t>
            </w:r>
          </w:p>
        </w:tc>
        <w:tc>
          <w:tcPr>
            <w:tcW w:w="63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无组织</w:t>
            </w:r>
          </w:p>
        </w:tc>
        <w:tc>
          <w:tcPr>
            <w:tcW w:w="49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0.278</w:t>
            </w:r>
          </w:p>
        </w:tc>
        <w:tc>
          <w:tcPr>
            <w:tcW w:w="6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0.039</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（4）给料粉尘</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产生源强</w:t>
      </w:r>
      <w:r>
        <w:rPr>
          <w:rFonts w:hint="default" w:ascii="Times New Roman" w:hAnsi="Times New Roman" w:cs="Times New Roman"/>
          <w:color w:val="auto"/>
        </w:rPr>
        <w:t>：原料通过装载机运至给料机时，因为物料落差将产生粉尘，本次评价参考《煤炭装卸、堆放起尘规律及煤尘扩散规律的研究》（王宝章，齐鸣，徐铀等.[J].交通环保，1986,{4}(Z1):1-10.）中提出的装卸起尘量经验公式进行估算，给料过程中产生的粉尘量计算经验公式为：</w:t>
      </w:r>
    </w:p>
    <w:p>
      <w:pPr>
        <w:overflowPunct w:val="0"/>
        <w:adjustRightInd w:val="0"/>
        <w:ind w:firstLine="0" w:firstLineChars="0"/>
        <w:jc w:val="center"/>
        <w:rPr>
          <w:rFonts w:hint="default" w:ascii="Times New Roman" w:hAnsi="Times New Roman" w:cs="Times New Roman"/>
          <w:color w:val="auto"/>
          <w:kern w:val="21"/>
          <w:sz w:val="21"/>
          <w:szCs w:val="24"/>
        </w:rPr>
      </w:pPr>
      <w:r>
        <w:rPr>
          <w:rFonts w:hint="default" w:ascii="Times New Roman" w:hAnsi="Times New Roman" w:cs="Times New Roman"/>
          <w:color w:val="auto"/>
          <w:kern w:val="21"/>
          <w:sz w:val="21"/>
          <w:szCs w:val="24"/>
        </w:rPr>
        <w:object>
          <v:shape id="_x0000_i1035" o:spt="75" type="#_x0000_t75" style="height:18pt;width:131.25pt;" o:ole="t" filled="f" o:preferrelative="t" stroked="f" coordsize="21600,21600">
            <v:path/>
            <v:fill on="f" focussize="0,0"/>
            <v:stroke on="f" joinstyle="miter"/>
            <v:imagedata r:id="rId43" o:title=""/>
            <o:lock v:ext="edit" aspectratio="t"/>
            <w10:wrap type="none"/>
            <w10:anchorlock/>
          </v:shape>
          <o:OLEObject Type="Embed" ProgID="Equation.KSEE3" ShapeID="_x0000_i1035" DrawAspect="Content" ObjectID="_1468075735" r:id="rId42">
            <o:LockedField>false</o:LockedField>
          </o:OLEObject>
        </w:objec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式中：</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Q</w:t>
      </w:r>
      <w:r>
        <w:rPr>
          <w:rFonts w:hint="default" w:ascii="Times New Roman" w:hAnsi="Times New Roman" w:cs="Times New Roman"/>
          <w:color w:val="auto"/>
          <w:kern w:val="21"/>
          <w:szCs w:val="24"/>
        </w:rPr>
        <w:t>——物料机械落差起尘量，kg/t；</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u</w:t>
      </w:r>
      <w:r>
        <w:rPr>
          <w:rFonts w:hint="default" w:ascii="Times New Roman" w:hAnsi="Times New Roman" w:cs="Times New Roman"/>
          <w:color w:val="auto"/>
          <w:kern w:val="21"/>
          <w:szCs w:val="24"/>
        </w:rPr>
        <w:t>——平均风速，m/s，本项目所在地常年平均风速为1.5m/s；</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i/>
          <w:iCs/>
          <w:color w:val="auto"/>
          <w:kern w:val="21"/>
          <w:szCs w:val="24"/>
        </w:rPr>
        <w:t>H</w:t>
      </w:r>
      <w:r>
        <w:rPr>
          <w:rFonts w:hint="default" w:ascii="Times New Roman" w:hAnsi="Times New Roman" w:cs="Times New Roman"/>
          <w:color w:val="auto"/>
          <w:kern w:val="21"/>
          <w:szCs w:val="24"/>
        </w:rPr>
        <w:t>——装卸高度，m，本项目装卸高度取1.5m；</w:t>
      </w:r>
    </w:p>
    <w:p>
      <w:pPr>
        <w:overflowPunct w:val="0"/>
        <w:adjustRightInd w:val="0"/>
        <w:ind w:firstLine="480"/>
        <w:rPr>
          <w:rFonts w:hint="default" w:ascii="Times New Roman" w:hAnsi="Times New Roman" w:cs="Times New Roman"/>
          <w:b/>
          <w:bCs/>
          <w:color w:val="auto"/>
          <w:kern w:val="21"/>
          <w:szCs w:val="22"/>
        </w:rPr>
      </w:pPr>
      <w:r>
        <w:rPr>
          <w:rFonts w:hint="default" w:ascii="Times New Roman" w:hAnsi="Times New Roman" w:cs="Times New Roman"/>
          <w:i/>
          <w:iCs/>
          <w:color w:val="auto"/>
          <w:kern w:val="21"/>
          <w:szCs w:val="24"/>
        </w:rPr>
        <w:t>w</w:t>
      </w:r>
      <w:r>
        <w:rPr>
          <w:rFonts w:hint="default" w:ascii="Times New Roman" w:hAnsi="Times New Roman" w:cs="Times New Roman"/>
          <w:color w:val="auto"/>
          <w:kern w:val="21"/>
          <w:szCs w:val="24"/>
        </w:rPr>
        <w:t>——物料含水率，1%。</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经计算，本项目给料粉尘起尘量Q为0.0942kg/t，则本项目给料粉尘产生量为47.1t/a（6.542kg/h）。</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治理措施</w:t>
      </w:r>
      <w:r>
        <w:rPr>
          <w:rFonts w:hint="default" w:ascii="Times New Roman" w:hAnsi="Times New Roman" w:cs="Times New Roman"/>
          <w:color w:val="auto"/>
        </w:rPr>
        <w:t>：本项目原矿仓库为密闭车间，在原矿仓库上方设置喷雾降尘装置进行喷雾除尘。参考生态环境部发布的《排放源统计调查产排污核算方法和系数手册》——《附1工业源-附表2工业源固体物料堆场颗粒物核算系数手册》，本项目给料粉尘采取的封闭式厂房堆场措施治理效率为99%，喷雾降尘措施治理效率为74%。</w:t>
      </w:r>
    </w:p>
    <w:p>
      <w:pPr>
        <w:adjustRightInd w:val="0"/>
        <w:ind w:firstLine="482"/>
        <w:rPr>
          <w:rFonts w:hint="default" w:ascii="Times New Roman" w:hAnsi="Times New Roman" w:cs="Times New Roman"/>
          <w:color w:val="auto"/>
          <w:kern w:val="21"/>
          <w:szCs w:val="22"/>
        </w:rPr>
      </w:pPr>
      <w:r>
        <w:rPr>
          <w:rFonts w:hint="default" w:ascii="Times New Roman" w:hAnsi="Times New Roman" w:cs="Times New Roman"/>
          <w:b/>
          <w:bCs/>
          <w:color w:val="auto"/>
        </w:rPr>
        <w:t>排放情况</w:t>
      </w:r>
      <w:r>
        <w:rPr>
          <w:rFonts w:hint="default" w:ascii="Times New Roman" w:hAnsi="Times New Roman" w:cs="Times New Roman"/>
          <w:color w:val="auto"/>
        </w:rPr>
        <w:t>：本项目给料粉尘的产生、治理及排放情况见下表。</w:t>
      </w:r>
    </w:p>
    <w:p>
      <w:pPr>
        <w:pStyle w:val="12"/>
        <w:keepNext w:val="0"/>
        <w:overflowPunct w:val="0"/>
        <w:adjustRightInd w:val="0"/>
        <w:spacing w:before="65" w:beforeLines="20" w:after="65" w:afterLines="2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本项目</w:t>
      </w:r>
      <w:r>
        <w:rPr>
          <w:rFonts w:hint="default" w:ascii="Times New Roman" w:hAnsi="Times New Roman" w:cs="Times New Roman"/>
          <w:bCs/>
          <w:color w:val="auto"/>
          <w:kern w:val="21"/>
          <w:szCs w:val="21"/>
        </w:rPr>
        <w:t>给料粉尘</w:t>
      </w:r>
      <w:r>
        <w:rPr>
          <w:rFonts w:hint="default" w:ascii="Times New Roman" w:hAnsi="Times New Roman" w:cs="Times New Roman"/>
          <w:color w:val="auto"/>
          <w:kern w:val="21"/>
          <w:szCs w:val="21"/>
        </w:rPr>
        <w:t>无组织</w:t>
      </w:r>
      <w:r>
        <w:rPr>
          <w:rFonts w:hint="default" w:ascii="Times New Roman" w:hAnsi="Times New Roman" w:cs="Times New Roman"/>
          <w:bCs/>
          <w:color w:val="auto"/>
          <w:kern w:val="21"/>
          <w:szCs w:val="21"/>
        </w:rPr>
        <w:t>源强及排污情况一览表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815"/>
        <w:gridCol w:w="1097"/>
        <w:gridCol w:w="1808"/>
        <w:gridCol w:w="1098"/>
        <w:gridCol w:w="1301"/>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6"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污染源</w:t>
            </w:r>
          </w:p>
        </w:tc>
        <w:tc>
          <w:tcPr>
            <w:tcW w:w="478"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643"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产生源强（kg/h）</w:t>
            </w:r>
          </w:p>
        </w:tc>
        <w:tc>
          <w:tcPr>
            <w:tcW w:w="1060"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治理措施及效率</w:t>
            </w:r>
          </w:p>
        </w:tc>
        <w:tc>
          <w:tcPr>
            <w:tcW w:w="644"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排放方式</w:t>
            </w:r>
          </w:p>
        </w:tc>
        <w:tc>
          <w:tcPr>
            <w:tcW w:w="1536" w:type="pct"/>
            <w:gridSpan w:val="2"/>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6" w:type="pct"/>
            <w:vMerge w:val="continue"/>
            <w:vAlign w:val="center"/>
          </w:tcPr>
          <w:p>
            <w:pPr>
              <w:pStyle w:val="65"/>
              <w:spacing w:before="65" w:after="65"/>
              <w:rPr>
                <w:rFonts w:hint="default" w:ascii="Times New Roman" w:hAnsi="Times New Roman" w:cs="Times New Roman"/>
                <w:b/>
                <w:bCs w:val="0"/>
                <w:color w:val="auto"/>
              </w:rPr>
            </w:pPr>
          </w:p>
        </w:tc>
        <w:tc>
          <w:tcPr>
            <w:tcW w:w="478" w:type="pct"/>
            <w:vMerge w:val="continue"/>
            <w:vAlign w:val="center"/>
          </w:tcPr>
          <w:p>
            <w:pPr>
              <w:pStyle w:val="65"/>
              <w:spacing w:before="65" w:after="65"/>
              <w:rPr>
                <w:rFonts w:hint="default" w:ascii="Times New Roman" w:hAnsi="Times New Roman" w:cs="Times New Roman"/>
                <w:b/>
                <w:bCs w:val="0"/>
                <w:color w:val="auto"/>
              </w:rPr>
            </w:pPr>
          </w:p>
        </w:tc>
        <w:tc>
          <w:tcPr>
            <w:tcW w:w="643" w:type="pct"/>
            <w:vMerge w:val="continue"/>
            <w:vAlign w:val="center"/>
          </w:tcPr>
          <w:p>
            <w:pPr>
              <w:pStyle w:val="65"/>
              <w:spacing w:before="65" w:after="65"/>
              <w:rPr>
                <w:rFonts w:hint="default" w:ascii="Times New Roman" w:hAnsi="Times New Roman" w:cs="Times New Roman"/>
                <w:b/>
                <w:bCs w:val="0"/>
                <w:color w:val="auto"/>
              </w:rPr>
            </w:pPr>
          </w:p>
        </w:tc>
        <w:tc>
          <w:tcPr>
            <w:tcW w:w="1060" w:type="pct"/>
            <w:vMerge w:val="continue"/>
            <w:vAlign w:val="center"/>
          </w:tcPr>
          <w:p>
            <w:pPr>
              <w:pStyle w:val="65"/>
              <w:spacing w:before="65" w:after="65"/>
              <w:rPr>
                <w:rFonts w:hint="default" w:ascii="Times New Roman" w:hAnsi="Times New Roman" w:cs="Times New Roman"/>
                <w:b/>
                <w:bCs w:val="0"/>
                <w:color w:val="auto"/>
              </w:rPr>
            </w:pPr>
          </w:p>
        </w:tc>
        <w:tc>
          <w:tcPr>
            <w:tcW w:w="644" w:type="pct"/>
            <w:vMerge w:val="continue"/>
            <w:vAlign w:val="center"/>
          </w:tcPr>
          <w:p>
            <w:pPr>
              <w:pStyle w:val="65"/>
              <w:spacing w:before="65" w:after="65"/>
              <w:rPr>
                <w:rFonts w:hint="default" w:ascii="Times New Roman" w:hAnsi="Times New Roman" w:cs="Times New Roman"/>
                <w:b/>
                <w:bCs w:val="0"/>
                <w:color w:val="auto"/>
              </w:rPr>
            </w:pPr>
          </w:p>
        </w:tc>
        <w:tc>
          <w:tcPr>
            <w:tcW w:w="76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排放量（t/a）</w:t>
            </w:r>
          </w:p>
        </w:tc>
        <w:tc>
          <w:tcPr>
            <w:tcW w:w="772"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原料给料</w:t>
            </w:r>
          </w:p>
        </w:tc>
        <w:tc>
          <w:tcPr>
            <w:tcW w:w="4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64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6.542</w:t>
            </w:r>
          </w:p>
        </w:tc>
        <w:tc>
          <w:tcPr>
            <w:tcW w:w="10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封闭式厂房（99%）+喷雾除尘（74%）</w:t>
            </w:r>
          </w:p>
        </w:tc>
        <w:tc>
          <w:tcPr>
            <w:tcW w:w="6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无组织</w:t>
            </w:r>
          </w:p>
        </w:tc>
        <w:tc>
          <w:tcPr>
            <w:tcW w:w="76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0.122</w:t>
            </w:r>
          </w:p>
        </w:tc>
        <w:tc>
          <w:tcPr>
            <w:tcW w:w="77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0.017</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（5）无组织废气排放情况</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经计算，本项目无组织废气排放情况如下。</w:t>
      </w:r>
    </w:p>
    <w:p>
      <w:pPr>
        <w:pStyle w:val="12"/>
        <w:overflowPunct w:val="0"/>
        <w:adjustRightInd w:val="0"/>
        <w:spacing w:before="65" w:beforeLines="20" w:after="65" w:afterLines="2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本项目</w:t>
      </w:r>
      <w:r>
        <w:rPr>
          <w:rFonts w:hint="default" w:ascii="Times New Roman" w:hAnsi="Times New Roman" w:cs="Times New Roman"/>
          <w:bCs/>
          <w:color w:val="auto"/>
          <w:kern w:val="21"/>
          <w:szCs w:val="21"/>
        </w:rPr>
        <w:t>无组织废气排放情况一览表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1048"/>
        <w:gridCol w:w="1203"/>
        <w:gridCol w:w="985"/>
        <w:gridCol w:w="2264"/>
        <w:gridCol w:w="1409"/>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4"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615"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产污设施名称</w:t>
            </w:r>
          </w:p>
        </w:tc>
        <w:tc>
          <w:tcPr>
            <w:tcW w:w="706"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产污环节</w:t>
            </w:r>
          </w:p>
        </w:tc>
        <w:tc>
          <w:tcPr>
            <w:tcW w:w="578"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2155" w:type="pct"/>
            <w:gridSpan w:val="2"/>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国家或地方污染物排放标准</w:t>
            </w:r>
          </w:p>
        </w:tc>
        <w:tc>
          <w:tcPr>
            <w:tcW w:w="660" w:type="pct"/>
            <w:vMerge w:val="restar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blHeader/>
          <w:jc w:val="center"/>
        </w:trPr>
        <w:tc>
          <w:tcPr>
            <w:tcW w:w="284" w:type="pct"/>
            <w:vMerge w:val="continue"/>
            <w:vAlign w:val="center"/>
          </w:tcPr>
          <w:p>
            <w:pPr>
              <w:pStyle w:val="65"/>
              <w:spacing w:before="65" w:after="65"/>
              <w:rPr>
                <w:rFonts w:hint="default" w:ascii="Times New Roman" w:hAnsi="Times New Roman" w:cs="Times New Roman"/>
                <w:color w:val="auto"/>
              </w:rPr>
            </w:pPr>
          </w:p>
        </w:tc>
        <w:tc>
          <w:tcPr>
            <w:tcW w:w="615" w:type="pct"/>
            <w:vMerge w:val="continue"/>
            <w:vAlign w:val="center"/>
          </w:tcPr>
          <w:p>
            <w:pPr>
              <w:pStyle w:val="65"/>
              <w:spacing w:before="65" w:after="65"/>
              <w:rPr>
                <w:rFonts w:hint="default" w:ascii="Times New Roman" w:hAnsi="Times New Roman" w:cs="Times New Roman"/>
                <w:color w:val="auto"/>
              </w:rPr>
            </w:pPr>
          </w:p>
        </w:tc>
        <w:tc>
          <w:tcPr>
            <w:tcW w:w="706" w:type="pct"/>
            <w:vMerge w:val="continue"/>
            <w:vAlign w:val="center"/>
          </w:tcPr>
          <w:p>
            <w:pPr>
              <w:pStyle w:val="65"/>
              <w:spacing w:before="65" w:after="65"/>
              <w:rPr>
                <w:rFonts w:hint="default" w:ascii="Times New Roman" w:hAnsi="Times New Roman" w:cs="Times New Roman"/>
                <w:color w:val="auto"/>
              </w:rPr>
            </w:pPr>
          </w:p>
        </w:tc>
        <w:tc>
          <w:tcPr>
            <w:tcW w:w="578" w:type="pct"/>
            <w:vMerge w:val="continue"/>
            <w:vAlign w:val="center"/>
          </w:tcPr>
          <w:p>
            <w:pPr>
              <w:pStyle w:val="65"/>
              <w:spacing w:before="65" w:after="65"/>
              <w:rPr>
                <w:rFonts w:hint="default" w:ascii="Times New Roman" w:hAnsi="Times New Roman" w:cs="Times New Roman"/>
                <w:color w:val="auto"/>
              </w:rPr>
            </w:pPr>
          </w:p>
        </w:tc>
        <w:tc>
          <w:tcPr>
            <w:tcW w:w="1329"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标准名称</w:t>
            </w:r>
          </w:p>
        </w:tc>
        <w:tc>
          <w:tcPr>
            <w:tcW w:w="82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浓度限值（mg/m</w:t>
            </w:r>
            <w:r>
              <w:rPr>
                <w:rFonts w:hint="default" w:ascii="Times New Roman" w:hAnsi="Times New Roman" w:cs="Times New Roman"/>
                <w:b/>
                <w:bCs w:val="0"/>
                <w:color w:val="auto"/>
                <w:vertAlign w:val="superscript"/>
              </w:rPr>
              <w:t>3</w:t>
            </w:r>
            <w:r>
              <w:rPr>
                <w:rFonts w:hint="default" w:ascii="Times New Roman" w:hAnsi="Times New Roman" w:cs="Times New Roman"/>
                <w:b/>
                <w:bCs w:val="0"/>
                <w:color w:val="auto"/>
              </w:rPr>
              <w:t>）</w:t>
            </w:r>
          </w:p>
        </w:tc>
        <w:tc>
          <w:tcPr>
            <w:tcW w:w="660" w:type="pct"/>
            <w:vMerge w:val="continue"/>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6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碎矿车间</w:t>
            </w:r>
          </w:p>
        </w:tc>
        <w:tc>
          <w:tcPr>
            <w:tcW w:w="7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原料运输</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1329"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《大气污染物综合排放标准》（GB16297-1996）</w:t>
            </w: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w:t>
            </w:r>
          </w:p>
        </w:tc>
        <w:tc>
          <w:tcPr>
            <w:tcW w:w="6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6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原矿仓库</w:t>
            </w:r>
          </w:p>
        </w:tc>
        <w:tc>
          <w:tcPr>
            <w:tcW w:w="7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原料贮存</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1329" w:type="pct"/>
            <w:vMerge w:val="continue"/>
            <w:vAlign w:val="center"/>
          </w:tcPr>
          <w:p>
            <w:pPr>
              <w:pStyle w:val="65"/>
              <w:spacing w:before="65" w:after="65"/>
              <w:rPr>
                <w:rFonts w:hint="default" w:ascii="Times New Roman" w:hAnsi="Times New Roman" w:cs="Times New Roman"/>
                <w:color w:val="auto"/>
              </w:rPr>
            </w:pP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w:t>
            </w:r>
          </w:p>
        </w:tc>
        <w:tc>
          <w:tcPr>
            <w:tcW w:w="6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w:t>
            </w:r>
          </w:p>
        </w:tc>
        <w:tc>
          <w:tcPr>
            <w:tcW w:w="6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道路</w:t>
            </w:r>
          </w:p>
        </w:tc>
        <w:tc>
          <w:tcPr>
            <w:tcW w:w="7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破碎筛分</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1329" w:type="pct"/>
            <w:vMerge w:val="continue"/>
            <w:vAlign w:val="center"/>
          </w:tcPr>
          <w:p>
            <w:pPr>
              <w:pStyle w:val="65"/>
              <w:spacing w:before="65" w:after="65"/>
              <w:rPr>
                <w:rFonts w:hint="default" w:ascii="Times New Roman" w:hAnsi="Times New Roman" w:cs="Times New Roman"/>
                <w:color w:val="auto"/>
              </w:rPr>
            </w:pP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w:t>
            </w:r>
          </w:p>
        </w:tc>
        <w:tc>
          <w:tcPr>
            <w:tcW w:w="6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w:t>
            </w:r>
          </w:p>
        </w:tc>
        <w:tc>
          <w:tcPr>
            <w:tcW w:w="6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原料给料</w:t>
            </w:r>
          </w:p>
        </w:tc>
        <w:tc>
          <w:tcPr>
            <w:tcW w:w="70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给料粉尘</w:t>
            </w:r>
          </w:p>
        </w:tc>
        <w:tc>
          <w:tcPr>
            <w:tcW w:w="57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1329" w:type="pct"/>
            <w:vMerge w:val="continue"/>
            <w:vAlign w:val="center"/>
          </w:tcPr>
          <w:p>
            <w:pPr>
              <w:pStyle w:val="65"/>
              <w:spacing w:before="65" w:after="65"/>
              <w:rPr>
                <w:rFonts w:hint="default" w:ascii="Times New Roman" w:hAnsi="Times New Roman" w:cs="Times New Roman"/>
                <w:color w:val="auto"/>
              </w:rPr>
            </w:pPr>
          </w:p>
        </w:tc>
        <w:tc>
          <w:tcPr>
            <w:tcW w:w="8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w:t>
            </w:r>
          </w:p>
        </w:tc>
        <w:tc>
          <w:tcPr>
            <w:tcW w:w="6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w:t>
            </w:r>
          </w:p>
        </w:tc>
        <w:tc>
          <w:tcPr>
            <w:tcW w:w="4055" w:type="pct"/>
            <w:gridSpan w:val="5"/>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无组织排放合计</w:t>
            </w:r>
          </w:p>
        </w:tc>
        <w:tc>
          <w:tcPr>
            <w:tcW w:w="6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5.0949</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三、大气污染物年排放情况</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本项目大气污染物年排放情况见下表所示。</w:t>
      </w:r>
    </w:p>
    <w:p>
      <w:pPr>
        <w:pStyle w:val="12"/>
        <w:keepNext w:val="0"/>
        <w:overflowPunct w:val="0"/>
        <w:adjustRightInd w:val="0"/>
        <w:spacing w:before="65" w:beforeLines="20" w:after="65" w:afterLines="20"/>
        <w:rPr>
          <w:rFonts w:hint="default" w:ascii="Times New Roman" w:hAnsi="Times New Roman" w:cs="Times New Roman"/>
          <w:bCs/>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本项目大气污染物年排放量核算表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4194"/>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4"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246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175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246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175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5.8029</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四、非正常排放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2.2-2018），项目废气非正常排放为废气处理设施开停工、日常维修、检修以及废气设备运行异常下废气非正常工况下污染物的排放。本次评价在废气正常收集，处理效率为50%的情况下对非正常工况下废气排放情况进行计算。</w:t>
      </w:r>
    </w:p>
    <w:p>
      <w:pPr>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表3-7</w:t>
      </w:r>
      <w:r>
        <w:rPr>
          <w:rFonts w:hint="default" w:ascii="Times New Roman" w:hAnsi="Times New Roman" w:cs="Times New Roman"/>
          <w:b/>
          <w:color w:val="auto"/>
          <w:kern w:val="21"/>
          <w:sz w:val="21"/>
        </w:rPr>
        <w:t>非正常工况下废气排放情况表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34"/>
        <w:gridCol w:w="854"/>
        <w:gridCol w:w="1437"/>
        <w:gridCol w:w="1343"/>
        <w:gridCol w:w="1092"/>
        <w:gridCol w:w="101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22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552"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排放口编号</w:t>
            </w:r>
          </w:p>
        </w:tc>
        <w:tc>
          <w:tcPr>
            <w:tcW w:w="50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84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非正常排放浓度（mg/m</w:t>
            </w:r>
            <w:r>
              <w:rPr>
                <w:rFonts w:hint="default" w:ascii="Times New Roman" w:hAnsi="Times New Roman" w:cs="Times New Roman"/>
                <w:b/>
                <w:bCs w:val="0"/>
                <w:color w:val="auto"/>
                <w:vertAlign w:val="superscript"/>
              </w:rPr>
              <w:t>3</w:t>
            </w:r>
            <w:r>
              <w:rPr>
                <w:rFonts w:hint="default" w:ascii="Times New Roman" w:hAnsi="Times New Roman" w:cs="Times New Roman"/>
                <w:b/>
                <w:bCs w:val="0"/>
                <w:color w:val="auto"/>
              </w:rPr>
              <w:t>）</w:t>
            </w:r>
          </w:p>
        </w:tc>
        <w:tc>
          <w:tcPr>
            <w:tcW w:w="791"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非正常排放速率（kg/h）</w:t>
            </w:r>
          </w:p>
        </w:tc>
        <w:tc>
          <w:tcPr>
            <w:tcW w:w="644"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单次持续时间（h）</w:t>
            </w:r>
          </w:p>
        </w:tc>
        <w:tc>
          <w:tcPr>
            <w:tcW w:w="598"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年发生频次（次）</w:t>
            </w:r>
          </w:p>
        </w:tc>
        <w:tc>
          <w:tcPr>
            <w:tcW w:w="83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55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DA001</w:t>
            </w:r>
          </w:p>
        </w:tc>
        <w:tc>
          <w:tcPr>
            <w:tcW w:w="50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84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175.619</w:t>
            </w:r>
          </w:p>
        </w:tc>
        <w:tc>
          <w:tcPr>
            <w:tcW w:w="79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7.376</w:t>
            </w:r>
          </w:p>
        </w:tc>
        <w:tc>
          <w:tcPr>
            <w:tcW w:w="644"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598"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8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加强日常管理维护，尽量避免非正常排放</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本次评价要求建设单位加强管理，定期对设备及环保设施进行维护检修，保证环保设施的处理效率，避免事故排放对大气环境产生影响。</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废水污染物产生及治理措施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本项目产生的废水主要为选矿废水、车辆冲洗废水、生活污水及初期雨水。</w:t>
      </w:r>
    </w:p>
    <w:p>
      <w:pPr>
        <w:overflowPunct w:val="0"/>
        <w:adjustRightInd w:val="0"/>
        <w:ind w:firstLine="482"/>
        <w:rPr>
          <w:rFonts w:hint="default" w:ascii="Times New Roman" w:hAnsi="Times New Roman" w:cs="Times New Roman"/>
          <w:b/>
          <w:color w:val="auto"/>
          <w:kern w:val="21"/>
          <w:szCs w:val="22"/>
        </w:rPr>
      </w:pPr>
      <w:r>
        <w:rPr>
          <w:rFonts w:hint="default" w:ascii="Times New Roman" w:hAnsi="Times New Roman" w:cs="Times New Roman"/>
          <w:b/>
          <w:color w:val="auto"/>
          <w:kern w:val="21"/>
          <w:szCs w:val="22"/>
        </w:rPr>
        <w:t>（1）选矿废水（含堆场渗滤水）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1）产生情况</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的锂辉石选矿工艺采用浮选，参照2021年发布的《排放源统计调查产排污核算方法和系数手册》中0919其他常用有色金属矿采选行业产污系数表，单位污水产生量为3.67t/t-产品，本项目日加工锂辉石1666.67t，日产精矿、尾矿等约1674.33t。因此，本项目选矿废水产生量为6144.79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adjustRightInd w:val="0"/>
        <w:ind w:firstLine="480"/>
        <w:rPr>
          <w:rFonts w:hint="default" w:ascii="Times New Roman" w:hAnsi="Times New Roman" w:cs="Times New Roman"/>
          <w:color w:val="auto"/>
          <w:szCs w:val="22"/>
        </w:rPr>
      </w:pPr>
      <w:r>
        <w:rPr>
          <w:rFonts w:hint="default" w:ascii="Times New Roman" w:hAnsi="Times New Roman" w:cs="Times New Roman"/>
          <w:color w:val="auto"/>
          <w:szCs w:val="22"/>
        </w:rPr>
        <w:t>根据乐山市全沫矿产品有限公司试运行阶段生产经验数据，浓密机废水、脱水过程产生的废水、堆场渗滤水分别占选矿废水百分比为69.942%、29.975%、0.083%。因此，本项目浓密机废水4297.79m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/d、脱水过程产生的废水1841.9m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/d、堆场渗滤水5.1m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本项目选矿过程中选矿用水损耗约5%，同时锂辉石精矿（含水率13%）带走水量68.74m</w:t>
      </w:r>
      <w:r>
        <w:rPr>
          <w:rFonts w:hint="default" w:ascii="Times New Roman" w:hAnsi="Times New Roman" w:cs="Times New Roman"/>
          <w:color w:val="auto"/>
          <w:vertAlign w:val="superscript"/>
        </w:rPr>
        <w:t>3</w:t>
      </w:r>
      <w:r>
        <w:rPr>
          <w:rFonts w:hint="default" w:ascii="Times New Roman" w:hAnsi="Times New Roman" w:cs="Times New Roman"/>
          <w:color w:val="auto"/>
        </w:rPr>
        <w:t>/d、尾矿（含水率13%）带走水量148.93m</w:t>
      </w:r>
      <w:r>
        <w:rPr>
          <w:rFonts w:hint="default" w:ascii="Times New Roman" w:hAnsi="Times New Roman" w:cs="Times New Roman"/>
          <w:color w:val="auto"/>
          <w:vertAlign w:val="superscript"/>
        </w:rPr>
        <w:t>3</w:t>
      </w:r>
      <w:r>
        <w:rPr>
          <w:rFonts w:hint="default" w:ascii="Times New Roman" w:hAnsi="Times New Roman" w:cs="Times New Roman"/>
          <w:color w:val="auto"/>
        </w:rPr>
        <w:t>/d、黑砂（含水率13%）将带走水量11.46m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2）治理措施及排放情况</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全厂共设置1套生产废水处理设施，为三级沉淀池（一级沉淀池有效容积1460m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、二级沉淀池有效容积1460m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、三级沉淀池有效容积1400m</w:t>
      </w:r>
      <w:r>
        <w:rPr>
          <w:rFonts w:hint="default" w:ascii="Times New Roman" w:hAnsi="Times New Roman" w:cs="Times New Roman"/>
          <w:color w:val="auto"/>
          <w:vertAlign w:val="superscript"/>
        </w:rPr>
        <w:t>3</w:t>
      </w:r>
      <w:r>
        <w:rPr>
          <w:rFonts w:hint="default" w:ascii="Times New Roman" w:hAnsi="Times New Roman" w:cs="Times New Roman"/>
          <w:color w:val="auto"/>
        </w:rPr>
        <w:t>，其中一级沉淀池设计水力停留时间为5.2h、二级沉淀池设计水力停留时间为5.2h，三级沉淀池设计水力停留时间为5h，处理能力280m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/h，处理工艺为絮凝+沉淀），其中浓密机废水（4297.79m</w:t>
      </w:r>
      <w:r>
        <w:rPr>
          <w:rFonts w:hint="default" w:ascii="Times New Roman" w:hAnsi="Times New Roman" w:cs="Times New Roman"/>
          <w:color w:val="auto"/>
          <w:vertAlign w:val="superscript"/>
        </w:rPr>
        <w:t>3</w:t>
      </w:r>
      <w:r>
        <w:rPr>
          <w:rFonts w:hint="default" w:ascii="Times New Roman" w:hAnsi="Times New Roman" w:cs="Times New Roman"/>
          <w:color w:val="auto"/>
        </w:rPr>
        <w:t>/d）经废水处理设施处理后回用于球磨、浮选工序。堆场渗滤水（5.1m</w:t>
      </w:r>
      <w:r>
        <w:rPr>
          <w:rFonts w:hint="default" w:ascii="Times New Roman" w:hAnsi="Times New Roman" w:cs="Times New Roman"/>
          <w:color w:val="auto"/>
          <w:vertAlign w:val="superscript"/>
        </w:rPr>
        <w:t>3</w:t>
      </w:r>
      <w:r>
        <w:rPr>
          <w:rFonts w:hint="default" w:ascii="Times New Roman" w:hAnsi="Times New Roman" w:cs="Times New Roman"/>
          <w:color w:val="auto"/>
        </w:rPr>
        <w:t>/d）经导流沟收集后进入废水处理设施处理后回用于球磨工序；全厂设置4套板框压滤机+1套带式真空过滤机，脱水工序产生的废水（1841.9m</w:t>
      </w:r>
      <w:r>
        <w:rPr>
          <w:rFonts w:hint="default" w:ascii="Times New Roman" w:hAnsi="Times New Roman" w:cs="Times New Roman"/>
          <w:color w:val="auto"/>
          <w:vertAlign w:val="superscript"/>
        </w:rPr>
        <w:t>3/</w:t>
      </w:r>
      <w:r>
        <w:rPr>
          <w:rFonts w:hint="default" w:ascii="Times New Roman" w:hAnsi="Times New Roman" w:cs="Times New Roman"/>
          <w:color w:val="auto"/>
        </w:rPr>
        <w:t>d），进入废水处理设施处理后回用于生产。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治理措施可行性分析：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①生产废水处理设施处理能力可行性分析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本项目设置1套三级沉淀池（一级沉淀池有效容积1460m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、二级沉淀池有效容积1460m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、三级沉淀池有效容积1400m</w:t>
      </w:r>
      <w:r>
        <w:rPr>
          <w:rFonts w:hint="default" w:ascii="Times New Roman" w:hAnsi="Times New Roman" w:cs="Times New Roman"/>
          <w:color w:val="auto"/>
          <w:vertAlign w:val="superscript"/>
        </w:rPr>
        <w:t>3</w:t>
      </w:r>
      <w:r>
        <w:rPr>
          <w:rFonts w:hint="default" w:ascii="Times New Roman" w:hAnsi="Times New Roman" w:cs="Times New Roman"/>
          <w:color w:val="auto"/>
        </w:rPr>
        <w:t>，其中一级沉淀池设计水力停留时间为5.2h、二级沉淀池设计水力停留时间为5.2h，三级沉淀池设计水力停留时间为5h，处理能力280m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/h，处理工艺为絮凝+沉淀。本项目选矿废水产生量为6144.79m</w:t>
      </w:r>
      <w:r>
        <w:rPr>
          <w:rFonts w:hint="default" w:ascii="Times New Roman" w:hAnsi="Times New Roman" w:cs="Times New Roman"/>
          <w:color w:val="auto"/>
          <w:vertAlign w:val="superscript"/>
        </w:rPr>
        <w:t>3</w:t>
      </w:r>
      <w:r>
        <w:rPr>
          <w:rFonts w:hint="default" w:ascii="Times New Roman" w:hAnsi="Times New Roman" w:cs="Times New Roman"/>
          <w:color w:val="auto"/>
        </w:rPr>
        <w:t>/d（约256.03m</w:t>
      </w:r>
      <w:r>
        <w:rPr>
          <w:rFonts w:hint="default" w:ascii="Times New Roman" w:hAnsi="Times New Roman" w:cs="Times New Roman"/>
          <w:color w:val="auto"/>
          <w:vertAlign w:val="superscript"/>
        </w:rPr>
        <w:t>3</w:t>
      </w:r>
      <w:r>
        <w:rPr>
          <w:rFonts w:hint="default" w:ascii="Times New Roman" w:hAnsi="Times New Roman" w:cs="Times New Roman"/>
          <w:color w:val="auto"/>
        </w:rPr>
        <w:t>/h），因此本项目生产废水处理设施处理能力可满足选矿废水处理需求。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②回用水水质可行性分析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所用选矿药剂不属于毒性物质，主要为碱性浮选药剂，浮选和水处理过程中溶于水，在选矿废水中主要体现为SS，呈弱碱性，不含有毒物质，聚丙烯酰胺和氯化铝主要为水处理絮凝剂和聚凝剂，随脱水处理后进入产品或尾矿。因此，本项目选矿废水的主要污染物为SS，经过3级絮凝沉淀后回用于选矿工序，不外排。</w:t>
      </w:r>
    </w:p>
    <w:p>
      <w:pPr>
        <w:adjustRightInd w:val="0"/>
        <w:ind w:firstLine="480"/>
        <w:rPr>
          <w:rFonts w:hint="default" w:ascii="Times New Roman" w:hAnsi="Times New Roman" w:cs="Times New Roman"/>
          <w:color w:val="auto"/>
        </w:rPr>
      </w:pP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cs="Times New Roman"/>
          <w:color w:val="auto"/>
        </w:rPr>
        <w:t>选矿废水处理流程</w:t>
      </w:r>
    </w:p>
    <w:p>
      <w:pPr>
        <w:adjustRightInd w:val="0"/>
        <w:ind w:firstLine="480"/>
        <w:rPr>
          <w:rFonts w:hint="default" w:ascii="Times New Roman" w:hAnsi="Times New Roman" w:cs="Times New Roman"/>
          <w:color w:val="auto"/>
        </w:rPr>
      </w:pPr>
      <w:r>
        <w:rPr>
          <w:rFonts w:hint="eastAsia" w:cs="Times New Roman"/>
          <w:color w:val="auto"/>
          <w:lang w:val="en-US" w:eastAsia="zh-CN"/>
        </w:rPr>
        <w:t>①</w:t>
      </w:r>
      <w:r>
        <w:rPr>
          <w:rFonts w:hint="default" w:ascii="Times New Roman" w:hAnsi="Times New Roman" w:cs="Times New Roman"/>
          <w:color w:val="auto"/>
        </w:rPr>
        <w:t>投药：絮凝剂的配制与投加方法可分为干法投加和湿法投加两种。</w:t>
      </w:r>
    </w:p>
    <w:p>
      <w:pPr>
        <w:adjustRightInd w:val="0"/>
        <w:ind w:firstLine="480"/>
        <w:rPr>
          <w:rFonts w:hint="default" w:ascii="Times New Roman" w:hAnsi="Times New Roman" w:cs="Times New Roman"/>
          <w:color w:val="auto"/>
        </w:rPr>
      </w:pPr>
      <w:r>
        <w:rPr>
          <w:rFonts w:hint="eastAsia" w:cs="Times New Roman"/>
          <w:color w:val="auto"/>
          <w:lang w:val="en-US" w:eastAsia="zh-CN"/>
        </w:rPr>
        <w:t>②</w:t>
      </w:r>
      <w:r>
        <w:rPr>
          <w:rFonts w:hint="default" w:ascii="Times New Roman" w:hAnsi="Times New Roman" w:cs="Times New Roman"/>
          <w:color w:val="auto"/>
        </w:rPr>
        <w:t>混合：混合是指当药剂投入污水后发生水解并产生异电荷胶体与水中胶体和悬浮物接触形成细小的絮凝体（俗称矾花）这一过程。混合过程大约在10~30s内完成。混合需要搅拌动力，搅拌动力可采用水力搅拌和机械搅拌两种，水力搅拌常用管道式、穿孔板式、涡流式混合等方法；机械式可采用变速搅拌和水泵混合槽等装置。</w:t>
      </w:r>
    </w:p>
    <w:p>
      <w:pPr>
        <w:adjustRightInd w:val="0"/>
        <w:ind w:firstLine="480"/>
        <w:rPr>
          <w:rFonts w:hint="default" w:ascii="Times New Roman" w:hAnsi="Times New Roman" w:cs="Times New Roman"/>
          <w:color w:val="auto"/>
        </w:rPr>
      </w:pPr>
      <w:r>
        <w:rPr>
          <w:rFonts w:hint="eastAsia" w:cs="Times New Roman"/>
          <w:color w:val="auto"/>
          <w:lang w:val="en-US" w:eastAsia="zh-CN"/>
        </w:rPr>
        <w:t>③</w:t>
      </w:r>
      <w:r>
        <w:rPr>
          <w:rFonts w:hint="default" w:ascii="Times New Roman" w:hAnsi="Times New Roman" w:cs="Times New Roman"/>
          <w:color w:val="auto"/>
        </w:rPr>
        <w:t>反应：当在混合设备内完成混合后，水中已经产生细小絮体，但还未达到自然沉降的粒度，反应设备的任务就是使小絮体逐渐成大絮体以便于沉淀。反映设备有一定的停留时间和适当的搅拌强度，使小絮体能相互碰撞，并防止生产的大絮体沉淀。但搅拌器强度太大，则会使生成的絮体破碎，且絮体碎，且絮体越大，越易破碎。因此在反应设备中，沿着水流入方向搅拌强度越来越小。</w:t>
      </w:r>
    </w:p>
    <w:p>
      <w:pPr>
        <w:adjustRightInd w:val="0"/>
        <w:ind w:firstLine="480"/>
        <w:rPr>
          <w:rFonts w:hint="default" w:ascii="Times New Roman" w:hAnsi="Times New Roman" w:cs="Times New Roman"/>
          <w:color w:val="auto"/>
        </w:rPr>
      </w:pPr>
      <w:r>
        <w:rPr>
          <w:rFonts w:hint="eastAsia" w:cs="Times New Roman"/>
          <w:color w:val="auto"/>
          <w:lang w:val="en-US" w:eastAsia="zh-CN"/>
        </w:rPr>
        <w:t>④</w:t>
      </w:r>
      <w:r>
        <w:rPr>
          <w:rFonts w:hint="default" w:ascii="Times New Roman" w:hAnsi="Times New Roman" w:cs="Times New Roman"/>
          <w:color w:val="auto"/>
        </w:rPr>
        <w:t>沉淀：废水经过加药、混合、反应后，完成絮凝过程，进入沉淀池进行泥水分离。沉淀池可采用平流、辐流、竖流、斜流等多种结果形式。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本项目选矿磨-浮工段需要水量较大，选矿用水对水质要求不高。因此选矿废水回用于生产用水在充分利用水资源的同时可减少废水的排放。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综上所述，本项目选矿废水零排放技术上可行。</w:t>
      </w:r>
    </w:p>
    <w:p>
      <w:pPr>
        <w:overflowPunct w:val="0"/>
        <w:adjustRightInd w:val="0"/>
        <w:ind w:firstLine="482"/>
        <w:rPr>
          <w:rFonts w:hint="default" w:ascii="Times New Roman" w:hAnsi="Times New Roman" w:cs="Times New Roman"/>
          <w:color w:val="auto"/>
          <w:kern w:val="21"/>
          <w:szCs w:val="22"/>
        </w:rPr>
      </w:pPr>
      <w:r>
        <w:rPr>
          <w:rFonts w:hint="default" w:ascii="Times New Roman" w:hAnsi="Times New Roman" w:cs="Times New Roman"/>
          <w:b/>
          <w:bCs/>
          <w:color w:val="auto"/>
          <w:kern w:val="21"/>
          <w:szCs w:val="22"/>
        </w:rPr>
        <w:t>治理措施：</w:t>
      </w:r>
      <w:r>
        <w:rPr>
          <w:rFonts w:hint="default" w:ascii="Times New Roman" w:hAnsi="Times New Roman" w:cs="Times New Roman"/>
          <w:color w:val="auto"/>
          <w:kern w:val="21"/>
          <w:szCs w:val="22"/>
        </w:rPr>
        <w:t>全厂共设置1套生产废水处理设施，为3级沉淀池（</w:t>
      </w:r>
      <w:r>
        <w:rPr>
          <w:rFonts w:hint="default" w:ascii="Times New Roman" w:hAnsi="Times New Roman" w:cs="Times New Roman"/>
          <w:color w:val="auto"/>
        </w:rPr>
        <w:t>一级沉淀池有效容积1460m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、二级沉淀池有效容积1460m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、三级沉淀池有效容积1400m</w:t>
      </w:r>
      <w:r>
        <w:rPr>
          <w:rFonts w:hint="default" w:ascii="Times New Roman" w:hAnsi="Times New Roman" w:cs="Times New Roman"/>
          <w:color w:val="auto"/>
          <w:vertAlign w:val="superscript"/>
        </w:rPr>
        <w:t>3</w:t>
      </w:r>
      <w:r>
        <w:rPr>
          <w:rFonts w:hint="default" w:ascii="Times New Roman" w:hAnsi="Times New Roman" w:cs="Times New Roman"/>
          <w:color w:val="auto"/>
        </w:rPr>
        <w:t>，其中一级沉淀池设计水力停留时间为5.2h、二级沉淀池设计水力停留时间为5.2h，三级沉淀池设计水力停留时间为5h，处理能力280m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/h，处理工艺为絮凝+沉淀</w:t>
      </w:r>
      <w:r>
        <w:rPr>
          <w:rFonts w:hint="default" w:ascii="Times New Roman" w:hAnsi="Times New Roman" w:cs="Times New Roman"/>
          <w:color w:val="auto"/>
          <w:kern w:val="21"/>
          <w:szCs w:val="22"/>
        </w:rPr>
        <w:t>），本项目选矿废水经三级沉淀池絮凝沉淀处理后，上清液进入清水池中，清水池内设置回水泵，作为选矿生产用水回用于生产，不外排。</w:t>
      </w:r>
    </w:p>
    <w:p>
      <w:pPr>
        <w:overflowPunct w:val="0"/>
        <w:adjustRightInd w:val="0"/>
        <w:ind w:firstLine="482"/>
        <w:rPr>
          <w:rFonts w:hint="default" w:ascii="Times New Roman" w:hAnsi="Times New Roman" w:cs="Times New Roman"/>
          <w:b/>
          <w:bCs/>
          <w:color w:val="auto"/>
          <w:kern w:val="21"/>
          <w:szCs w:val="22"/>
        </w:rPr>
      </w:pPr>
      <w:r>
        <w:rPr>
          <w:rFonts w:hint="eastAsia" w:cs="Times New Roman"/>
          <w:b/>
          <w:bCs/>
          <w:color w:val="auto"/>
          <w:kern w:val="21"/>
          <w:szCs w:val="22"/>
          <w:lang w:val="en-US" w:eastAsia="zh-CN"/>
        </w:rPr>
        <w:t>4</w:t>
      </w:r>
      <w:r>
        <w:rPr>
          <w:rFonts w:hint="eastAsia" w:cs="Times New Roman"/>
          <w:b/>
          <w:bCs/>
          <w:color w:val="auto"/>
          <w:kern w:val="21"/>
          <w:szCs w:val="22"/>
          <w:lang w:eastAsia="zh-CN"/>
        </w:rPr>
        <w:t>）</w:t>
      </w:r>
      <w:r>
        <w:rPr>
          <w:rFonts w:hint="default" w:ascii="Times New Roman" w:hAnsi="Times New Roman" w:cs="Times New Roman"/>
          <w:b/>
          <w:bCs/>
          <w:color w:val="auto"/>
          <w:kern w:val="21"/>
          <w:szCs w:val="22"/>
        </w:rPr>
        <w:t>选矿废水事故排放预防措施如下：</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①本项目在实际运营过程中应加强对各种废水处理设施的运行管理，一旦发现隐患应当及时报告和排除，当出现废水事故排放时，立即停产将废水抽送至事故水池，组织人力抢修，排除故障，避免废水事故外排。本项目拟在厂内设置2个事故应急水池（1300</w:t>
      </w:r>
      <w:r>
        <w:rPr>
          <w:rFonts w:hint="default" w:ascii="Times New Roman" w:hAnsi="Times New Roman" w:cs="Times New Roman"/>
          <w:color w:val="auto"/>
          <w:kern w:val="21"/>
          <w:szCs w:val="24"/>
        </w:rPr>
        <w:t>m</w:t>
      </w:r>
      <w:r>
        <w:rPr>
          <w:rFonts w:hint="default" w:ascii="Times New Roman" w:hAnsi="Times New Roman" w:cs="Times New Roman"/>
          <w:color w:val="auto"/>
          <w:kern w:val="21"/>
          <w:szCs w:val="24"/>
          <w:vertAlign w:val="superscript"/>
        </w:rPr>
        <w:t>3</w:t>
      </w:r>
      <w:r>
        <w:rPr>
          <w:rFonts w:hint="default" w:ascii="Times New Roman" w:hAnsi="Times New Roman" w:cs="Times New Roman"/>
          <w:color w:val="auto"/>
          <w:kern w:val="21"/>
          <w:szCs w:val="22"/>
        </w:rPr>
        <w:t>）收集事故状态下的废水，保证事故状态下废水不外排。</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②本项目各个池子的输水泵及清水池的回水泵均为“一用一备”，一旦水泵出现损坏，立即启用备用水泵，确保各个水池不因水泵损坏而溢流；</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③本项目各废水收集池均为钢混结构，具有足够的稳固性，不易垮塌；雨季加强对废水沉淀池的巡检，若发生开裂变形需及时加固维修。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④公司管理人员应加强对应急水池的管理，应急水池在非事故状态下常年不得占用，保证在事故情况下将事故废水全部收集完毕，事故废水不得外排进入外环境中。选厂应对制定的相应防洪防汛事故应急救援预案，并定期进行演练，备足应急物资。防止废水收集池泄漏导致废水外排。</w:t>
      </w:r>
    </w:p>
    <w:p>
      <w:pPr>
        <w:overflowPunct w:val="0"/>
        <w:adjustRightInd w:val="0"/>
        <w:ind w:firstLine="482"/>
        <w:rPr>
          <w:rFonts w:hint="default" w:ascii="Times New Roman" w:hAnsi="Times New Roman" w:cs="Times New Roman"/>
          <w:b/>
          <w:color w:val="auto"/>
          <w:kern w:val="21"/>
          <w:szCs w:val="22"/>
        </w:rPr>
      </w:pPr>
      <w:r>
        <w:rPr>
          <w:rFonts w:hint="default" w:ascii="Times New Roman" w:hAnsi="Times New Roman" w:cs="Times New Roman"/>
          <w:b/>
          <w:color w:val="auto"/>
          <w:kern w:val="21"/>
          <w:szCs w:val="22"/>
        </w:rPr>
        <w:t>（2）车辆冲洗废水</w:t>
      </w:r>
    </w:p>
    <w:p>
      <w:pPr>
        <w:overflowPunct w:val="0"/>
        <w:adjustRightInd w:val="0"/>
        <w:ind w:firstLine="482"/>
        <w:rPr>
          <w:rFonts w:hint="default" w:ascii="Times New Roman" w:hAnsi="Times New Roman" w:cs="Times New Roman"/>
          <w:color w:val="auto"/>
          <w:kern w:val="21"/>
          <w:szCs w:val="22"/>
        </w:rPr>
      </w:pPr>
      <w:r>
        <w:rPr>
          <w:rFonts w:hint="default" w:ascii="Times New Roman" w:hAnsi="Times New Roman" w:cs="Times New Roman"/>
          <w:b/>
          <w:bCs/>
          <w:color w:val="auto"/>
          <w:kern w:val="21"/>
          <w:szCs w:val="22"/>
        </w:rPr>
        <w:t>源强核算：</w:t>
      </w:r>
      <w:r>
        <w:rPr>
          <w:rFonts w:hint="default" w:ascii="Times New Roman" w:hAnsi="Times New Roman" w:cs="Times New Roman"/>
          <w:color w:val="auto"/>
        </w:rPr>
        <w:t>本项目设置洗车平台1座，对运输车辆进行冲洗，以降低运输扬尘的产生，根据《四川省用水定额》（2021年）平均每辆运输车辆每次冲洗轮胎用水量为0.1m</w:t>
      </w:r>
      <w:r>
        <w:rPr>
          <w:rFonts w:hint="default" w:ascii="Times New Roman" w:hAnsi="Times New Roman" w:cs="Times New Roman"/>
          <w:color w:val="auto"/>
          <w:vertAlign w:val="superscript"/>
        </w:rPr>
        <w:t>3</w:t>
      </w:r>
      <w:r>
        <w:rPr>
          <w:rFonts w:hint="default" w:ascii="Times New Roman" w:hAnsi="Times New Roman" w:cs="Times New Roman"/>
          <w:color w:val="auto"/>
        </w:rPr>
        <w:t>。本项目年加工50万吨锂辉石矿，原料和成品运输车次合计约20000次/年，因此本项目车辆冲洗用水量约为2000m</w:t>
      </w:r>
      <w:r>
        <w:rPr>
          <w:rFonts w:hint="default" w:ascii="Times New Roman" w:hAnsi="Times New Roman" w:cs="Times New Roman"/>
          <w:color w:val="auto"/>
          <w:vertAlign w:val="superscript"/>
        </w:rPr>
        <w:t>3</w:t>
      </w:r>
      <w:r>
        <w:rPr>
          <w:rFonts w:hint="default" w:ascii="Times New Roman" w:hAnsi="Times New Roman" w:cs="Times New Roman"/>
          <w:color w:val="auto"/>
        </w:rPr>
        <w:t>/a。本项目车辆冲洗废水产污系数按85%计，因此本项目车辆冲洗废水产生量为1700m</w:t>
      </w:r>
      <w:r>
        <w:rPr>
          <w:rFonts w:hint="default" w:ascii="Times New Roman" w:hAnsi="Times New Roman" w:cs="Times New Roman"/>
          <w:color w:val="auto"/>
          <w:vertAlign w:val="superscript"/>
        </w:rPr>
        <w:t>3</w:t>
      </w:r>
      <w:r>
        <w:rPr>
          <w:rFonts w:hint="default" w:ascii="Times New Roman" w:hAnsi="Times New Roman" w:cs="Times New Roman"/>
          <w:color w:val="auto"/>
        </w:rPr>
        <w:t>/a（5.67m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kern w:val="21"/>
          <w:szCs w:val="22"/>
        </w:rPr>
        <w:t>。</w:t>
      </w:r>
    </w:p>
    <w:p>
      <w:pPr>
        <w:overflowPunct w:val="0"/>
        <w:adjustRightInd w:val="0"/>
        <w:ind w:firstLine="482"/>
        <w:rPr>
          <w:rFonts w:hint="default" w:ascii="Times New Roman" w:hAnsi="Times New Roman" w:cs="Times New Roman"/>
          <w:color w:val="auto"/>
          <w:kern w:val="21"/>
          <w:szCs w:val="22"/>
        </w:rPr>
      </w:pPr>
      <w:r>
        <w:rPr>
          <w:rFonts w:hint="default" w:ascii="Times New Roman" w:hAnsi="Times New Roman" w:cs="Times New Roman"/>
          <w:b/>
          <w:bCs/>
          <w:color w:val="auto"/>
          <w:kern w:val="21"/>
          <w:szCs w:val="22"/>
        </w:rPr>
        <w:t>治理措施：</w:t>
      </w:r>
      <w:r>
        <w:rPr>
          <w:rFonts w:hint="default" w:ascii="Times New Roman" w:hAnsi="Times New Roman" w:cs="Times New Roman"/>
          <w:color w:val="auto"/>
          <w:kern w:val="21"/>
          <w:szCs w:val="22"/>
        </w:rPr>
        <w:t>本项目车辆冲洗废水经沉淀池（5m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）处理后回用于车辆冲洗，不外排。</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（3）初期雨水</w:t>
      </w:r>
    </w:p>
    <w:p>
      <w:pPr>
        <w:overflowPunct w:val="0"/>
        <w:adjustRightInd w:val="0"/>
        <w:ind w:firstLine="482"/>
        <w:rPr>
          <w:rFonts w:hint="default" w:ascii="Times New Roman" w:hAnsi="Times New Roman" w:cs="Times New Roman"/>
          <w:color w:val="auto"/>
          <w:kern w:val="21"/>
          <w:szCs w:val="22"/>
        </w:rPr>
      </w:pPr>
      <w:r>
        <w:rPr>
          <w:rFonts w:hint="default" w:ascii="Times New Roman" w:hAnsi="Times New Roman" w:cs="Times New Roman"/>
          <w:b/>
          <w:bCs/>
          <w:color w:val="auto"/>
          <w:kern w:val="21"/>
          <w:szCs w:val="22"/>
        </w:rPr>
        <w:t>源强核算：</w:t>
      </w:r>
      <w:r>
        <w:rPr>
          <w:rFonts w:hint="default" w:ascii="Times New Roman" w:hAnsi="Times New Roman" w:cs="Times New Roman"/>
          <w:color w:val="auto"/>
          <w:kern w:val="21"/>
          <w:szCs w:val="22"/>
        </w:rPr>
        <w:t>根据3.2.3章节计算，本项目初期雨水量为585.45m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w:t>
      </w:r>
    </w:p>
    <w:p>
      <w:pPr>
        <w:overflowPunct w:val="0"/>
        <w:adjustRightInd w:val="0"/>
        <w:ind w:firstLine="482"/>
        <w:rPr>
          <w:rFonts w:hint="default" w:ascii="Times New Roman" w:hAnsi="Times New Roman" w:cs="Times New Roman"/>
          <w:color w:val="auto"/>
          <w:kern w:val="21"/>
          <w:szCs w:val="22"/>
        </w:rPr>
      </w:pPr>
      <w:r>
        <w:rPr>
          <w:rFonts w:hint="default" w:ascii="Times New Roman" w:hAnsi="Times New Roman" w:cs="Times New Roman"/>
          <w:b/>
          <w:bCs/>
          <w:color w:val="auto"/>
          <w:kern w:val="21"/>
          <w:szCs w:val="22"/>
        </w:rPr>
        <w:t>治理措施：</w:t>
      </w:r>
      <w:r>
        <w:rPr>
          <w:rFonts w:hint="default" w:ascii="Times New Roman" w:hAnsi="Times New Roman" w:cs="Times New Roman"/>
          <w:color w:val="auto"/>
          <w:kern w:val="21"/>
          <w:szCs w:val="22"/>
        </w:rPr>
        <w:t>厂区设置“雨污分流、清污分流”，车间外设置雨水收集沟。厂区雨水系统设置截留阀、转换闸门等系统，平时均设置为截留、转换进入初期雨水池，有效收集厂区初期雨水，15min后经人工打开闸门，将15min后的雨水切换进入雨水管网排放。租用厂区内已设置了初期雨水池（600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），初期雨水经雨水管道收集后汇入初期雨</w:t>
      </w:r>
      <w:r>
        <w:rPr>
          <w:rFonts w:hint="default" w:ascii="Times New Roman" w:hAnsi="Times New Roman" w:cs="Times New Roman"/>
          <w:color w:val="auto"/>
          <w:kern w:val="21"/>
          <w:szCs w:val="24"/>
        </w:rPr>
        <w:t>水池沉淀后回用于喷雾降尘，不外排。</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项目设置合理的初期雨水收集、切换管控设施，严控初期雨水未经处理直接进入净循环系统的循环水池和直排外环境。初期雨水收集系统要与一般性雨水收集管网相连，并在连接口设置切换阀，可以实现15分钟前的初期雨水进入污水管网，15分钟以后的雨水进入一般性雨水收集管网。</w:t>
      </w:r>
    </w:p>
    <w:p>
      <w:pPr>
        <w:overflowPunct w:val="0"/>
        <w:adjustRightInd w:val="0"/>
        <w:ind w:firstLine="482"/>
        <w:rPr>
          <w:rFonts w:hint="default" w:ascii="Times New Roman" w:hAnsi="Times New Roman" w:cs="Times New Roman"/>
          <w:b/>
          <w:color w:val="auto"/>
          <w:kern w:val="21"/>
          <w:szCs w:val="22"/>
        </w:rPr>
      </w:pPr>
      <w:r>
        <w:rPr>
          <w:rFonts w:hint="default" w:ascii="Times New Roman" w:hAnsi="Times New Roman" w:cs="Times New Roman"/>
          <w:b/>
          <w:color w:val="auto"/>
          <w:kern w:val="21"/>
          <w:szCs w:val="22"/>
        </w:rPr>
        <w:t>（4）生活污水</w:t>
      </w:r>
    </w:p>
    <w:p>
      <w:pPr>
        <w:overflowPunct w:val="0"/>
        <w:adjustRightInd w:val="0"/>
        <w:ind w:firstLine="482"/>
        <w:rPr>
          <w:rFonts w:hint="default" w:ascii="Times New Roman" w:hAnsi="Times New Roman" w:cs="Times New Roman"/>
          <w:color w:val="auto"/>
          <w:kern w:val="21"/>
          <w:szCs w:val="22"/>
        </w:rPr>
      </w:pPr>
      <w:r>
        <w:rPr>
          <w:rFonts w:hint="default" w:ascii="Times New Roman" w:hAnsi="Times New Roman" w:cs="Times New Roman"/>
          <w:b/>
          <w:bCs/>
          <w:color w:val="auto"/>
          <w:kern w:val="21"/>
          <w:szCs w:val="22"/>
        </w:rPr>
        <w:t>源强核算：</w:t>
      </w:r>
      <w:r>
        <w:rPr>
          <w:rFonts w:hint="default" w:ascii="Times New Roman" w:hAnsi="Times New Roman" w:cs="Times New Roman"/>
          <w:color w:val="auto"/>
          <w:kern w:val="21"/>
          <w:szCs w:val="22"/>
        </w:rPr>
        <w:t>本项目劳动定员70人，参考《四川省用水定额》（川府函〔2021〕8号），员工生活用水量取160L（人·d），则本</w:t>
      </w:r>
      <w:r>
        <w:rPr>
          <w:rFonts w:hint="default" w:ascii="Times New Roman" w:hAnsi="Times New Roman" w:cs="Times New Roman"/>
          <w:color w:val="auto"/>
          <w:kern w:val="21"/>
          <w:szCs w:val="24"/>
        </w:rPr>
        <w:t>项目</w:t>
      </w:r>
      <w:r>
        <w:rPr>
          <w:rFonts w:hint="default" w:ascii="Times New Roman" w:hAnsi="Times New Roman" w:cs="Times New Roman"/>
          <w:color w:val="auto"/>
          <w:kern w:val="21"/>
          <w:szCs w:val="22"/>
        </w:rPr>
        <w:t>员工生活用水为11.2m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/d，3360m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/a，污水排放系数按0.85计算，则员工生活污水产生量为9.52m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/d（2856m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/a）。</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参考《排放源统计调查产排污核算方法和系数手册》（公告2021年第24号）、《废水污染控制技术手册》（2013版），典型生活污水水质污染物浓度见下表。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cs="Times New Roman"/>
          <w:color w:val="auto"/>
        </w:rPr>
        <w:t>典型生活污水水质污染物浓度表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195"/>
        <w:gridCol w:w="1435"/>
        <w:gridCol w:w="5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43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701"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842"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浓度（mg/L）</w:t>
            </w:r>
          </w:p>
        </w:tc>
        <w:tc>
          <w:tcPr>
            <w:tcW w:w="3021"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7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CODcr</w:t>
            </w:r>
          </w:p>
        </w:tc>
        <w:tc>
          <w:tcPr>
            <w:tcW w:w="84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325</w:t>
            </w:r>
          </w:p>
        </w:tc>
        <w:tc>
          <w:tcPr>
            <w:tcW w:w="302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《排放源统计调查产排污核算方法和系数手册》（公告2021年第24号）中“生活源产排污核算系数手册”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7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84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220</w:t>
            </w:r>
          </w:p>
        </w:tc>
        <w:tc>
          <w:tcPr>
            <w:tcW w:w="3021"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《废水污染控制技术手册》（2013版）表1-1-1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w:t>
            </w:r>
          </w:p>
        </w:tc>
        <w:tc>
          <w:tcPr>
            <w:tcW w:w="7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SS</w:t>
            </w:r>
          </w:p>
        </w:tc>
        <w:tc>
          <w:tcPr>
            <w:tcW w:w="84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200</w:t>
            </w:r>
          </w:p>
        </w:tc>
        <w:tc>
          <w:tcPr>
            <w:tcW w:w="3021" w:type="pct"/>
            <w:vMerge w:val="continue"/>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w:t>
            </w:r>
          </w:p>
        </w:tc>
        <w:tc>
          <w:tcPr>
            <w:tcW w:w="7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氨氮</w:t>
            </w:r>
          </w:p>
        </w:tc>
        <w:tc>
          <w:tcPr>
            <w:tcW w:w="84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37.7</w:t>
            </w:r>
          </w:p>
        </w:tc>
        <w:tc>
          <w:tcPr>
            <w:tcW w:w="3021"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《排放源统计调查产排污核算方法和系数手册》（公告2021年第24号）中“生活源产排污核算系数手册”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w:t>
            </w:r>
          </w:p>
        </w:tc>
        <w:tc>
          <w:tcPr>
            <w:tcW w:w="70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总磷</w:t>
            </w:r>
          </w:p>
        </w:tc>
        <w:tc>
          <w:tcPr>
            <w:tcW w:w="842"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4.28</w:t>
            </w:r>
          </w:p>
        </w:tc>
        <w:tc>
          <w:tcPr>
            <w:tcW w:w="3021" w:type="pct"/>
            <w:vMerge w:val="continue"/>
            <w:vAlign w:val="center"/>
          </w:tcPr>
          <w:p>
            <w:pPr>
              <w:pStyle w:val="65"/>
              <w:spacing w:before="65" w:after="65"/>
              <w:rPr>
                <w:rFonts w:hint="default" w:ascii="Times New Roman" w:hAnsi="Times New Roman" w:cs="Times New Roman"/>
                <w:color w:val="auto"/>
              </w:rPr>
            </w:pPr>
          </w:p>
        </w:tc>
      </w:tr>
    </w:tbl>
    <w:p>
      <w:pPr>
        <w:overflowPunct w:val="0"/>
        <w:adjustRightInd w:val="0"/>
        <w:ind w:firstLine="482"/>
        <w:rPr>
          <w:rFonts w:hint="default" w:ascii="Times New Roman" w:hAnsi="Times New Roman" w:cs="Times New Roman"/>
          <w:bCs/>
          <w:color w:val="auto"/>
          <w:kern w:val="21"/>
          <w:szCs w:val="22"/>
        </w:rPr>
      </w:pPr>
      <w:r>
        <w:rPr>
          <w:rFonts w:hint="default" w:ascii="Times New Roman" w:hAnsi="Times New Roman" w:cs="Times New Roman"/>
          <w:b/>
          <w:bCs/>
          <w:color w:val="auto"/>
          <w:kern w:val="21"/>
          <w:szCs w:val="22"/>
        </w:rPr>
        <w:t>治理措施：</w:t>
      </w:r>
      <w:r>
        <w:rPr>
          <w:rFonts w:hint="default" w:ascii="Times New Roman" w:hAnsi="Times New Roman" w:cs="Times New Roman"/>
          <w:color w:val="auto"/>
          <w:kern w:val="21"/>
          <w:szCs w:val="22"/>
        </w:rPr>
        <w:t>本项目生活污水</w:t>
      </w:r>
      <w:r>
        <w:rPr>
          <w:rFonts w:hint="default" w:ascii="Times New Roman" w:hAnsi="Times New Roman" w:cs="Times New Roman"/>
          <w:color w:val="auto"/>
          <w:kern w:val="21"/>
        </w:rPr>
        <w:t>经预处理池（50m</w:t>
      </w:r>
      <w:r>
        <w:rPr>
          <w:rFonts w:hint="default" w:ascii="Times New Roman" w:hAnsi="Times New Roman" w:cs="Times New Roman"/>
          <w:color w:val="auto"/>
          <w:kern w:val="21"/>
          <w:vertAlign w:val="superscript"/>
        </w:rPr>
        <w:t>3</w:t>
      </w:r>
      <w:r>
        <w:rPr>
          <w:rFonts w:hint="default" w:ascii="Times New Roman" w:hAnsi="Times New Roman" w:cs="Times New Roman"/>
          <w:color w:val="auto"/>
          <w:kern w:val="21"/>
        </w:rPr>
        <w:t>）处理达“乐山沙湾经济开发区污水处理厂设计进水水质标准”后依托园区污水管网排入乐山沙湾经济开发区污水处理厂处理</w:t>
      </w:r>
      <w:r>
        <w:rPr>
          <w:rFonts w:hint="default" w:ascii="Times New Roman" w:hAnsi="Times New Roman" w:cs="Times New Roman"/>
          <w:bCs/>
          <w:color w:val="auto"/>
          <w:kern w:val="21"/>
          <w:szCs w:val="22"/>
        </w:rPr>
        <w:t>。</w:t>
      </w:r>
    </w:p>
    <w:p>
      <w:pPr>
        <w:pStyle w:val="12"/>
        <w:adjustRightInd w:val="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运营期废水污染物产生及排放情况</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6"/>
        <w:gridCol w:w="1077"/>
        <w:gridCol w:w="1555"/>
        <w:gridCol w:w="1068"/>
        <w:gridCol w:w="931"/>
        <w:gridCol w:w="898"/>
        <w:gridCol w:w="852"/>
        <w:gridCol w:w="852"/>
        <w:gridCol w:w="8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2" w:hRule="atLeast"/>
          <w:tblHeader/>
          <w:jc w:val="center"/>
        </w:trPr>
        <w:tc>
          <w:tcPr>
            <w:tcW w:w="1797" w:type="pct"/>
            <w:gridSpan w:val="3"/>
            <w:tcBorders>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废水性质</w:t>
            </w:r>
          </w:p>
        </w:tc>
        <w:tc>
          <w:tcPr>
            <w:tcW w:w="626" w:type="pct"/>
            <w:tcBorders>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废水量（m</w:t>
            </w:r>
            <w:r>
              <w:rPr>
                <w:rFonts w:hint="default" w:ascii="Times New Roman" w:hAnsi="Times New Roman" w:cs="Times New Roman"/>
                <w:b/>
                <w:color w:val="auto"/>
                <w:kern w:val="21"/>
                <w:sz w:val="21"/>
                <w:vertAlign w:val="superscript"/>
              </w:rPr>
              <w:t>3</w:t>
            </w:r>
            <w:r>
              <w:rPr>
                <w:rFonts w:hint="default" w:ascii="Times New Roman" w:hAnsi="Times New Roman" w:cs="Times New Roman"/>
                <w:b/>
                <w:color w:val="auto"/>
                <w:kern w:val="21"/>
                <w:sz w:val="21"/>
              </w:rPr>
              <w:t>/a）</w:t>
            </w:r>
          </w:p>
        </w:tc>
        <w:tc>
          <w:tcPr>
            <w:tcW w:w="546" w:type="pct"/>
            <w:tcBorders>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vertAlign w:val="subscript"/>
              </w:rPr>
            </w:pPr>
            <w:r>
              <w:rPr>
                <w:rFonts w:hint="default" w:ascii="Times New Roman" w:hAnsi="Times New Roman" w:cs="Times New Roman"/>
                <w:b/>
                <w:color w:val="auto"/>
                <w:kern w:val="21"/>
                <w:sz w:val="21"/>
              </w:rPr>
              <w:t>COD</w:t>
            </w:r>
          </w:p>
        </w:tc>
        <w:tc>
          <w:tcPr>
            <w:tcW w:w="527" w:type="pct"/>
            <w:tcBorders>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vertAlign w:val="subscript"/>
              </w:rPr>
            </w:pPr>
            <w:r>
              <w:rPr>
                <w:rFonts w:hint="default" w:ascii="Times New Roman" w:hAnsi="Times New Roman" w:cs="Times New Roman"/>
                <w:b/>
                <w:color w:val="auto"/>
                <w:kern w:val="21"/>
                <w:sz w:val="21"/>
              </w:rPr>
              <w:t>BOD</w:t>
            </w:r>
            <w:r>
              <w:rPr>
                <w:rFonts w:hint="default" w:ascii="Times New Roman" w:hAnsi="Times New Roman" w:cs="Times New Roman"/>
                <w:b/>
                <w:color w:val="auto"/>
                <w:kern w:val="21"/>
                <w:sz w:val="21"/>
                <w:vertAlign w:val="subscript"/>
              </w:rPr>
              <w:t>5</w:t>
            </w:r>
          </w:p>
        </w:tc>
        <w:tc>
          <w:tcPr>
            <w:tcW w:w="500" w:type="pct"/>
            <w:tcBorders>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SS</w:t>
            </w:r>
          </w:p>
        </w:tc>
        <w:tc>
          <w:tcPr>
            <w:tcW w:w="500" w:type="pct"/>
            <w:tcBorders>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氨氮</w:t>
            </w:r>
          </w:p>
        </w:tc>
        <w:tc>
          <w:tcPr>
            <w:tcW w:w="500" w:type="pct"/>
            <w:tcBorders>
              <w:left w:val="single" w:color="auto" w:sz="6" w:space="0"/>
              <w:bottom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总磷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255" w:type="pct"/>
            <w:vMerge w:val="restart"/>
            <w:tcBorders>
              <w:top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生活污水</w:t>
            </w:r>
          </w:p>
        </w:tc>
        <w:tc>
          <w:tcPr>
            <w:tcW w:w="631" w:type="pct"/>
            <w:vMerge w:val="restar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预处理池处理前</w:t>
            </w:r>
          </w:p>
        </w:tc>
        <w:tc>
          <w:tcPr>
            <w:tcW w:w="91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浓度（mg/L）</w:t>
            </w:r>
          </w:p>
        </w:tc>
        <w:tc>
          <w:tcPr>
            <w:tcW w:w="626" w:type="pct"/>
            <w:vMerge w:val="restar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2856</w:t>
            </w:r>
          </w:p>
        </w:tc>
        <w:tc>
          <w:tcPr>
            <w:tcW w:w="546"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325</w:t>
            </w:r>
          </w:p>
        </w:tc>
        <w:tc>
          <w:tcPr>
            <w:tcW w:w="527"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220</w:t>
            </w:r>
          </w:p>
        </w:tc>
        <w:tc>
          <w:tcPr>
            <w:tcW w:w="50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200</w:t>
            </w:r>
          </w:p>
        </w:tc>
        <w:tc>
          <w:tcPr>
            <w:tcW w:w="50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37.7</w:t>
            </w:r>
          </w:p>
        </w:tc>
        <w:tc>
          <w:tcPr>
            <w:tcW w:w="500" w:type="pct"/>
            <w:tcBorders>
              <w:top w:val="single" w:color="auto" w:sz="6" w:space="0"/>
              <w:left w:val="single" w:color="auto" w:sz="6" w:space="0"/>
              <w:bottom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4.28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5" w:type="pct"/>
            <w:vMerge w:val="continue"/>
            <w:tcBorders>
              <w:top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631" w:type="pct"/>
            <w:vMerge w:val="continue"/>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91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产生量（t/a）</w:t>
            </w:r>
          </w:p>
        </w:tc>
        <w:tc>
          <w:tcPr>
            <w:tcW w:w="626" w:type="pct"/>
            <w:vMerge w:val="continue"/>
            <w:tcBorders>
              <w:top w:val="single" w:color="auto" w:sz="6" w:space="0"/>
              <w:left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931"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0.928</w:t>
            </w:r>
          </w:p>
        </w:tc>
        <w:tc>
          <w:tcPr>
            <w:tcW w:w="898"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0.628</w:t>
            </w:r>
          </w:p>
        </w:tc>
        <w:tc>
          <w:tcPr>
            <w:tcW w:w="853"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0.571</w:t>
            </w:r>
          </w:p>
        </w:tc>
        <w:tc>
          <w:tcPr>
            <w:tcW w:w="853"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0.108</w:t>
            </w:r>
          </w:p>
        </w:tc>
        <w:tc>
          <w:tcPr>
            <w:tcW w:w="853" w:type="dxa"/>
            <w:tcBorders>
              <w:top w:val="single" w:color="auto" w:sz="6" w:space="0"/>
              <w:left w:val="single" w:color="auto" w:sz="6" w:space="0"/>
              <w:bottom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5" w:type="pct"/>
            <w:vMerge w:val="continue"/>
            <w:tcBorders>
              <w:top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631" w:type="pct"/>
            <w:vMerge w:val="restart"/>
            <w:tcBorders>
              <w:top w:val="single" w:color="auto" w:sz="6" w:space="0"/>
              <w:left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预处理池处理后</w:t>
            </w:r>
          </w:p>
        </w:tc>
        <w:tc>
          <w:tcPr>
            <w:tcW w:w="91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浓度（mg/L）</w:t>
            </w:r>
          </w:p>
        </w:tc>
        <w:tc>
          <w:tcPr>
            <w:tcW w:w="626" w:type="pct"/>
            <w:vMerge w:val="restart"/>
            <w:tcBorders>
              <w:top w:val="single" w:color="auto" w:sz="6" w:space="0"/>
              <w:left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2856</w:t>
            </w:r>
          </w:p>
        </w:tc>
        <w:tc>
          <w:tcPr>
            <w:tcW w:w="546"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300</w:t>
            </w:r>
          </w:p>
        </w:tc>
        <w:tc>
          <w:tcPr>
            <w:tcW w:w="527"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150</w:t>
            </w:r>
          </w:p>
        </w:tc>
        <w:tc>
          <w:tcPr>
            <w:tcW w:w="500"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200</w:t>
            </w:r>
          </w:p>
        </w:tc>
        <w:tc>
          <w:tcPr>
            <w:tcW w:w="500"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w:t>
            </w:r>
          </w:p>
        </w:tc>
        <w:tc>
          <w:tcPr>
            <w:tcW w:w="500" w:type="pct"/>
            <w:tcBorders>
              <w:top w:val="single" w:color="auto" w:sz="6" w:space="0"/>
              <w:left w:val="single" w:color="auto" w:sz="6" w:space="0"/>
              <w:bottom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5" w:type="pct"/>
            <w:vMerge w:val="continue"/>
            <w:tcBorders>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631" w:type="pct"/>
            <w:vMerge w:val="continue"/>
            <w:tcBorders>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91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排放量（t/a）</w:t>
            </w:r>
          </w:p>
        </w:tc>
        <w:tc>
          <w:tcPr>
            <w:tcW w:w="626" w:type="pct"/>
            <w:vMerge w:val="continue"/>
            <w:tcBorders>
              <w:left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931"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0.857</w:t>
            </w:r>
          </w:p>
        </w:tc>
        <w:tc>
          <w:tcPr>
            <w:tcW w:w="898"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0.428</w:t>
            </w:r>
          </w:p>
        </w:tc>
        <w:tc>
          <w:tcPr>
            <w:tcW w:w="853"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0.571</w:t>
            </w:r>
          </w:p>
        </w:tc>
        <w:tc>
          <w:tcPr>
            <w:tcW w:w="853"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0.071</w:t>
            </w:r>
          </w:p>
        </w:tc>
        <w:tc>
          <w:tcPr>
            <w:tcW w:w="853" w:type="dxa"/>
            <w:tcBorders>
              <w:top w:val="single" w:color="auto" w:sz="6" w:space="0"/>
              <w:left w:val="single" w:color="auto" w:sz="6" w:space="0"/>
              <w:bottom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86" w:type="pct"/>
            <w:gridSpan w:val="2"/>
            <w:vMerge w:val="restart"/>
            <w:tcBorders>
              <w:top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厂区总排口</w:t>
            </w:r>
          </w:p>
        </w:tc>
        <w:tc>
          <w:tcPr>
            <w:tcW w:w="91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浓度（mg/L）</w:t>
            </w:r>
          </w:p>
        </w:tc>
        <w:tc>
          <w:tcPr>
            <w:tcW w:w="626" w:type="pct"/>
            <w:vMerge w:val="restart"/>
            <w:tcBorders>
              <w:top w:val="single" w:color="auto" w:sz="6" w:space="0"/>
              <w:left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2856</w:t>
            </w:r>
          </w:p>
        </w:tc>
        <w:tc>
          <w:tcPr>
            <w:tcW w:w="546"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300</w:t>
            </w:r>
          </w:p>
        </w:tc>
        <w:tc>
          <w:tcPr>
            <w:tcW w:w="527"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150</w:t>
            </w:r>
          </w:p>
        </w:tc>
        <w:tc>
          <w:tcPr>
            <w:tcW w:w="500"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200</w:t>
            </w:r>
          </w:p>
        </w:tc>
        <w:tc>
          <w:tcPr>
            <w:tcW w:w="907"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w:t>
            </w:r>
          </w:p>
        </w:tc>
        <w:tc>
          <w:tcPr>
            <w:tcW w:w="500" w:type="pct"/>
            <w:tcBorders>
              <w:top w:val="single" w:color="auto" w:sz="6" w:space="0"/>
              <w:left w:val="single" w:color="auto" w:sz="6" w:space="0"/>
              <w:bottom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86" w:type="pct"/>
            <w:gridSpan w:val="2"/>
            <w:vMerge w:val="continue"/>
            <w:tcBorders>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91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排放量（t/a）</w:t>
            </w:r>
          </w:p>
        </w:tc>
        <w:tc>
          <w:tcPr>
            <w:tcW w:w="626" w:type="pct"/>
            <w:vMerge w:val="continue"/>
            <w:tcBorders>
              <w:left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931"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0.857</w:t>
            </w:r>
          </w:p>
        </w:tc>
        <w:tc>
          <w:tcPr>
            <w:tcW w:w="898"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0.428</w:t>
            </w:r>
          </w:p>
        </w:tc>
        <w:tc>
          <w:tcPr>
            <w:tcW w:w="853"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0.571</w:t>
            </w:r>
          </w:p>
        </w:tc>
        <w:tc>
          <w:tcPr>
            <w:tcW w:w="907"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0.071</w:t>
            </w:r>
          </w:p>
        </w:tc>
        <w:tc>
          <w:tcPr>
            <w:tcW w:w="853" w:type="dxa"/>
            <w:tcBorders>
              <w:top w:val="single" w:color="auto" w:sz="6" w:space="0"/>
              <w:left w:val="single" w:color="auto" w:sz="6" w:space="0"/>
              <w:bottom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2424" w:type="pct"/>
            <w:gridSpan w:val="4"/>
            <w:tcBorders>
              <w:top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乐山沙湾经济开发区污水处理厂设计进水水质标准</w:t>
            </w:r>
          </w:p>
        </w:tc>
        <w:tc>
          <w:tcPr>
            <w:tcW w:w="546"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300</w:t>
            </w:r>
          </w:p>
        </w:tc>
        <w:tc>
          <w:tcPr>
            <w:tcW w:w="527"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150</w:t>
            </w:r>
          </w:p>
        </w:tc>
        <w:tc>
          <w:tcPr>
            <w:tcW w:w="500"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200</w:t>
            </w:r>
          </w:p>
        </w:tc>
        <w:tc>
          <w:tcPr>
            <w:tcW w:w="500"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w:t>
            </w:r>
          </w:p>
        </w:tc>
        <w:tc>
          <w:tcPr>
            <w:tcW w:w="500" w:type="pct"/>
            <w:tcBorders>
              <w:top w:val="single" w:color="auto" w:sz="6" w:space="0"/>
              <w:left w:val="single" w:color="auto" w:sz="6" w:space="0"/>
              <w:bottom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86" w:type="pct"/>
            <w:gridSpan w:val="2"/>
            <w:vMerge w:val="restart"/>
            <w:tcBorders>
              <w:top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污水处理厂出水水质</w:t>
            </w:r>
          </w:p>
        </w:tc>
        <w:tc>
          <w:tcPr>
            <w:tcW w:w="910" w:type="pct"/>
            <w:tcBorders>
              <w:top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浓度（mg/L）</w:t>
            </w:r>
          </w:p>
        </w:tc>
        <w:tc>
          <w:tcPr>
            <w:tcW w:w="626" w:type="pct"/>
            <w:vMerge w:val="restart"/>
            <w:tcBorders>
              <w:top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2856</w:t>
            </w:r>
          </w:p>
        </w:tc>
        <w:tc>
          <w:tcPr>
            <w:tcW w:w="546"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40</w:t>
            </w:r>
          </w:p>
        </w:tc>
        <w:tc>
          <w:tcPr>
            <w:tcW w:w="527"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w:t>
            </w:r>
          </w:p>
        </w:tc>
        <w:tc>
          <w:tcPr>
            <w:tcW w:w="500"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w:t>
            </w:r>
          </w:p>
        </w:tc>
        <w:tc>
          <w:tcPr>
            <w:tcW w:w="500" w:type="pct"/>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w:t>
            </w:r>
          </w:p>
        </w:tc>
        <w:tc>
          <w:tcPr>
            <w:tcW w:w="500" w:type="pct"/>
            <w:tcBorders>
              <w:top w:val="single" w:color="auto" w:sz="6" w:space="0"/>
              <w:left w:val="single" w:color="auto" w:sz="6" w:space="0"/>
              <w:bottom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86" w:type="pct"/>
            <w:gridSpan w:val="2"/>
            <w:vMerge w:val="continue"/>
            <w:tcBorders>
              <w:top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910" w:type="pct"/>
            <w:tcBorders>
              <w:top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产生量（t/a）</w:t>
            </w:r>
          </w:p>
        </w:tc>
        <w:tc>
          <w:tcPr>
            <w:tcW w:w="626" w:type="pct"/>
            <w:vMerge w:val="continue"/>
            <w:tcBorders>
              <w:top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931"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0.114</w:t>
            </w:r>
          </w:p>
        </w:tc>
        <w:tc>
          <w:tcPr>
            <w:tcW w:w="898"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0.029</w:t>
            </w:r>
          </w:p>
        </w:tc>
        <w:tc>
          <w:tcPr>
            <w:tcW w:w="853"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0.029</w:t>
            </w:r>
          </w:p>
        </w:tc>
        <w:tc>
          <w:tcPr>
            <w:tcW w:w="853" w:type="dxa"/>
            <w:tcBorders>
              <w:top w:val="single" w:color="auto" w:sz="6" w:space="0"/>
              <w:left w:val="single" w:color="auto" w:sz="6" w:space="0"/>
              <w:bottom w:val="single" w:color="auto" w:sz="6" w:space="0"/>
              <w:right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0.009</w:t>
            </w:r>
          </w:p>
        </w:tc>
        <w:tc>
          <w:tcPr>
            <w:tcW w:w="853" w:type="dxa"/>
            <w:tcBorders>
              <w:top w:val="single" w:color="auto" w:sz="6" w:space="0"/>
              <w:left w:val="single" w:color="auto" w:sz="6" w:space="0"/>
              <w:bottom w:val="single" w:color="auto" w:sz="6" w:space="0"/>
            </w:tcBorders>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24" w:type="pct"/>
            <w:gridSpan w:val="4"/>
            <w:tcBorders>
              <w:top w:val="single" w:color="auto" w:sz="6" w:space="0"/>
              <w:bottom w:val="single" w:color="auto" w:sz="6" w:space="0"/>
              <w:right w:val="single" w:color="auto" w:sz="6" w:space="0"/>
            </w:tcBorders>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《四川省岷江、沱江流域水污染物排放标准》（DB51/2311-2016）中“工业园区集中式污水处理厂”排放标准</w:t>
            </w:r>
          </w:p>
        </w:tc>
        <w:tc>
          <w:tcPr>
            <w:tcW w:w="546"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40</w:t>
            </w:r>
          </w:p>
        </w:tc>
        <w:tc>
          <w:tcPr>
            <w:tcW w:w="527"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10</w:t>
            </w:r>
          </w:p>
        </w:tc>
        <w:tc>
          <w:tcPr>
            <w:tcW w:w="50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10</w:t>
            </w:r>
          </w:p>
        </w:tc>
        <w:tc>
          <w:tcPr>
            <w:tcW w:w="500" w:type="pct"/>
            <w:tcBorders>
              <w:top w:val="single" w:color="auto" w:sz="6" w:space="0"/>
              <w:left w:val="single" w:color="auto" w:sz="6" w:space="0"/>
              <w:bottom w:val="single" w:color="auto" w:sz="6" w:space="0"/>
              <w:right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3</w:t>
            </w:r>
          </w:p>
        </w:tc>
        <w:tc>
          <w:tcPr>
            <w:tcW w:w="500" w:type="pct"/>
            <w:tcBorders>
              <w:top w:val="single" w:color="auto" w:sz="6" w:space="0"/>
              <w:left w:val="single" w:color="auto" w:sz="6" w:space="0"/>
              <w:bottom w:val="single" w:color="auto" w:sz="6" w:space="0"/>
            </w:tcBorders>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lang w:bidi="ar"/>
              </w:rPr>
              <w:t>0.5</w:t>
            </w:r>
          </w:p>
        </w:tc>
      </w:tr>
    </w:tbl>
    <w:p>
      <w:pPr>
        <w:overflowPunct w:val="0"/>
        <w:adjustRightInd w:val="0"/>
        <w:spacing w:before="65" w:beforeLines="20" w:after="65" w:afterLines="20" w:line="240" w:lineRule="auto"/>
        <w:ind w:firstLine="0" w:firstLineChars="0"/>
        <w:rPr>
          <w:rFonts w:hint="default" w:ascii="Times New Roman" w:hAnsi="Times New Roman" w:cs="Times New Roman"/>
          <w:color w:val="auto"/>
          <w:kern w:val="21"/>
          <w:szCs w:val="24"/>
        </w:rPr>
      </w:pPr>
      <w:r>
        <w:rPr>
          <w:rFonts w:hint="default" w:ascii="Times New Roman" w:hAnsi="Times New Roman" w:cs="Times New Roman"/>
          <w:b/>
          <w:color w:val="auto"/>
          <w:kern w:val="21"/>
          <w:sz w:val="21"/>
        </w:rPr>
        <w:t>注：</w:t>
      </w:r>
      <w:r>
        <w:rPr>
          <w:rFonts w:hint="default" w:ascii="Times New Roman" w:hAnsi="Times New Roman" w:cs="Times New Roman"/>
          <w:bCs/>
          <w:color w:val="auto"/>
          <w:kern w:val="21"/>
          <w:sz w:val="21"/>
        </w:rPr>
        <w:t>年产生天数以300d进行计算。SS在《四川省岷江、沱江流域水污染物排放标准》（DB51/2311-2016）中“工业园区集中式污水处理厂”排放标准中未作规定，参照执行城镇污水处理厂污染物排放标准（GB18918-2002）表1一级A标准、表2、表3标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综上所述，本项目生活污水排放可满足“乐山沙湾经济开发区污水处理厂进水水质要求”。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本项目废水污染物排放信息表如下。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cs="Times New Roman"/>
          <w:color w:val="auto"/>
        </w:rPr>
        <w:t>废水污染物排放信息表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409"/>
        <w:gridCol w:w="426"/>
        <w:gridCol w:w="1252"/>
        <w:gridCol w:w="1804"/>
        <w:gridCol w:w="142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6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827"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排放口编号</w:t>
            </w:r>
          </w:p>
        </w:tc>
        <w:tc>
          <w:tcPr>
            <w:tcW w:w="982" w:type="pct"/>
            <w:gridSpan w:val="2"/>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污染物种类</w:t>
            </w:r>
          </w:p>
        </w:tc>
        <w:tc>
          <w:tcPr>
            <w:tcW w:w="1059"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排放浓度（mg/L）</w:t>
            </w:r>
          </w:p>
        </w:tc>
        <w:tc>
          <w:tcPr>
            <w:tcW w:w="83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日排放量（t/d）</w:t>
            </w:r>
          </w:p>
        </w:tc>
        <w:tc>
          <w:tcPr>
            <w:tcW w:w="832"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827"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WA001</w:t>
            </w:r>
          </w:p>
        </w:tc>
        <w:tc>
          <w:tcPr>
            <w:tcW w:w="247"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生活污水</w:t>
            </w:r>
          </w:p>
        </w:tc>
        <w:tc>
          <w:tcPr>
            <w:tcW w:w="7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COD</w:t>
            </w:r>
          </w:p>
        </w:tc>
        <w:tc>
          <w:tcPr>
            <w:tcW w:w="105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300</w:t>
            </w:r>
          </w:p>
        </w:tc>
        <w:tc>
          <w:tcPr>
            <w:tcW w:w="1425"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0.00286</w:t>
            </w:r>
          </w:p>
        </w:tc>
        <w:tc>
          <w:tcPr>
            <w:tcW w:w="141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827" w:type="pct"/>
            <w:vMerge w:val="continue"/>
            <w:vAlign w:val="center"/>
          </w:tcPr>
          <w:p>
            <w:pPr>
              <w:pStyle w:val="65"/>
              <w:spacing w:before="65" w:after="65"/>
              <w:rPr>
                <w:rFonts w:hint="default" w:ascii="Times New Roman" w:hAnsi="Times New Roman" w:cs="Times New Roman"/>
                <w:color w:val="auto"/>
              </w:rPr>
            </w:pPr>
          </w:p>
        </w:tc>
        <w:tc>
          <w:tcPr>
            <w:tcW w:w="247" w:type="pct"/>
            <w:vMerge w:val="continue"/>
            <w:vAlign w:val="center"/>
          </w:tcPr>
          <w:p>
            <w:pPr>
              <w:pStyle w:val="65"/>
              <w:spacing w:before="65" w:after="65"/>
              <w:rPr>
                <w:rFonts w:hint="default" w:ascii="Times New Roman" w:hAnsi="Times New Roman" w:cs="Times New Roman"/>
                <w:color w:val="auto"/>
              </w:rPr>
            </w:pPr>
          </w:p>
        </w:tc>
        <w:tc>
          <w:tcPr>
            <w:tcW w:w="7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105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150</w:t>
            </w:r>
          </w:p>
        </w:tc>
        <w:tc>
          <w:tcPr>
            <w:tcW w:w="1425"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0.00143</w:t>
            </w:r>
          </w:p>
        </w:tc>
        <w:tc>
          <w:tcPr>
            <w:tcW w:w="141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w:t>
            </w:r>
          </w:p>
        </w:tc>
        <w:tc>
          <w:tcPr>
            <w:tcW w:w="827" w:type="pct"/>
            <w:vMerge w:val="continue"/>
            <w:vAlign w:val="center"/>
          </w:tcPr>
          <w:p>
            <w:pPr>
              <w:pStyle w:val="65"/>
              <w:spacing w:before="65" w:after="65"/>
              <w:rPr>
                <w:rFonts w:hint="default" w:ascii="Times New Roman" w:hAnsi="Times New Roman" w:cs="Times New Roman"/>
                <w:color w:val="auto"/>
              </w:rPr>
            </w:pPr>
          </w:p>
        </w:tc>
        <w:tc>
          <w:tcPr>
            <w:tcW w:w="247" w:type="pct"/>
            <w:vMerge w:val="continue"/>
            <w:vAlign w:val="center"/>
          </w:tcPr>
          <w:p>
            <w:pPr>
              <w:pStyle w:val="65"/>
              <w:spacing w:before="65" w:after="65"/>
              <w:rPr>
                <w:rFonts w:hint="default" w:ascii="Times New Roman" w:hAnsi="Times New Roman" w:cs="Times New Roman"/>
                <w:color w:val="auto"/>
              </w:rPr>
            </w:pPr>
          </w:p>
        </w:tc>
        <w:tc>
          <w:tcPr>
            <w:tcW w:w="7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TP</w:t>
            </w:r>
          </w:p>
        </w:tc>
        <w:tc>
          <w:tcPr>
            <w:tcW w:w="105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3.5</w:t>
            </w:r>
          </w:p>
        </w:tc>
        <w:tc>
          <w:tcPr>
            <w:tcW w:w="1425"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0.00003</w:t>
            </w:r>
          </w:p>
        </w:tc>
        <w:tc>
          <w:tcPr>
            <w:tcW w:w="141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w:t>
            </w:r>
          </w:p>
        </w:tc>
        <w:tc>
          <w:tcPr>
            <w:tcW w:w="827" w:type="pct"/>
            <w:vMerge w:val="continue"/>
            <w:vAlign w:val="center"/>
          </w:tcPr>
          <w:p>
            <w:pPr>
              <w:pStyle w:val="65"/>
              <w:spacing w:before="65" w:after="65"/>
              <w:rPr>
                <w:rFonts w:hint="default" w:ascii="Times New Roman" w:hAnsi="Times New Roman" w:cs="Times New Roman"/>
                <w:color w:val="auto"/>
              </w:rPr>
            </w:pPr>
          </w:p>
        </w:tc>
        <w:tc>
          <w:tcPr>
            <w:tcW w:w="247" w:type="pct"/>
            <w:vMerge w:val="continue"/>
            <w:vAlign w:val="center"/>
          </w:tcPr>
          <w:p>
            <w:pPr>
              <w:pStyle w:val="65"/>
              <w:spacing w:before="65" w:after="65"/>
              <w:rPr>
                <w:rFonts w:hint="default" w:ascii="Times New Roman" w:hAnsi="Times New Roman" w:cs="Times New Roman"/>
                <w:color w:val="auto"/>
              </w:rPr>
            </w:pPr>
          </w:p>
        </w:tc>
        <w:tc>
          <w:tcPr>
            <w:tcW w:w="7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SS</w:t>
            </w:r>
          </w:p>
        </w:tc>
        <w:tc>
          <w:tcPr>
            <w:tcW w:w="105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200</w:t>
            </w:r>
          </w:p>
        </w:tc>
        <w:tc>
          <w:tcPr>
            <w:tcW w:w="1425"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0.00190</w:t>
            </w:r>
          </w:p>
        </w:tc>
        <w:tc>
          <w:tcPr>
            <w:tcW w:w="141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w:t>
            </w:r>
          </w:p>
        </w:tc>
        <w:tc>
          <w:tcPr>
            <w:tcW w:w="827" w:type="pct"/>
            <w:vMerge w:val="continue"/>
            <w:vAlign w:val="center"/>
          </w:tcPr>
          <w:p>
            <w:pPr>
              <w:pStyle w:val="65"/>
              <w:spacing w:before="65" w:after="65"/>
              <w:rPr>
                <w:rFonts w:hint="default" w:ascii="Times New Roman" w:hAnsi="Times New Roman" w:cs="Times New Roman"/>
                <w:color w:val="auto"/>
              </w:rPr>
            </w:pPr>
          </w:p>
        </w:tc>
        <w:tc>
          <w:tcPr>
            <w:tcW w:w="247" w:type="pct"/>
            <w:vMerge w:val="continue"/>
            <w:vAlign w:val="center"/>
          </w:tcPr>
          <w:p>
            <w:pPr>
              <w:pStyle w:val="65"/>
              <w:spacing w:before="65" w:after="65"/>
              <w:rPr>
                <w:rFonts w:hint="default" w:ascii="Times New Roman" w:hAnsi="Times New Roman" w:cs="Times New Roman"/>
                <w:color w:val="auto"/>
              </w:rPr>
            </w:pPr>
          </w:p>
        </w:tc>
        <w:tc>
          <w:tcPr>
            <w:tcW w:w="73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氨氮</w:t>
            </w:r>
          </w:p>
        </w:tc>
        <w:tc>
          <w:tcPr>
            <w:tcW w:w="1059"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25</w:t>
            </w:r>
          </w:p>
        </w:tc>
        <w:tc>
          <w:tcPr>
            <w:tcW w:w="1425"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0.00024</w:t>
            </w:r>
          </w:p>
        </w:tc>
        <w:tc>
          <w:tcPr>
            <w:tcW w:w="141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gridSpan w:val="2"/>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全厂排放口合计</w:t>
            </w:r>
          </w:p>
        </w:tc>
        <w:tc>
          <w:tcPr>
            <w:tcW w:w="2877" w:type="pct"/>
            <w:gridSpan w:val="4"/>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COD</w:t>
            </w:r>
          </w:p>
        </w:tc>
        <w:tc>
          <w:tcPr>
            <w:tcW w:w="150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gridSpan w:val="2"/>
            <w:vMerge w:val="continue"/>
            <w:vAlign w:val="center"/>
          </w:tcPr>
          <w:p>
            <w:pPr>
              <w:pStyle w:val="65"/>
              <w:spacing w:before="65" w:after="65"/>
              <w:rPr>
                <w:rFonts w:hint="default" w:ascii="Times New Roman" w:hAnsi="Times New Roman" w:cs="Times New Roman"/>
                <w:color w:val="auto"/>
              </w:rPr>
            </w:pPr>
          </w:p>
        </w:tc>
        <w:tc>
          <w:tcPr>
            <w:tcW w:w="2877" w:type="pct"/>
            <w:gridSpan w:val="4"/>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150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gridSpan w:val="2"/>
            <w:vMerge w:val="continue"/>
            <w:vAlign w:val="center"/>
          </w:tcPr>
          <w:p>
            <w:pPr>
              <w:pStyle w:val="65"/>
              <w:spacing w:before="65" w:after="65"/>
              <w:rPr>
                <w:rFonts w:hint="default" w:ascii="Times New Roman" w:hAnsi="Times New Roman" w:cs="Times New Roman"/>
                <w:color w:val="auto"/>
              </w:rPr>
            </w:pPr>
          </w:p>
        </w:tc>
        <w:tc>
          <w:tcPr>
            <w:tcW w:w="2877" w:type="pct"/>
            <w:gridSpan w:val="4"/>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TP</w:t>
            </w:r>
          </w:p>
        </w:tc>
        <w:tc>
          <w:tcPr>
            <w:tcW w:w="150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90" w:type="pct"/>
            <w:gridSpan w:val="2"/>
            <w:vMerge w:val="continue"/>
            <w:vAlign w:val="center"/>
          </w:tcPr>
          <w:p>
            <w:pPr>
              <w:pStyle w:val="65"/>
              <w:spacing w:before="65" w:after="65"/>
              <w:rPr>
                <w:rFonts w:hint="default" w:ascii="Times New Roman" w:hAnsi="Times New Roman" w:cs="Times New Roman"/>
                <w:color w:val="auto"/>
              </w:rPr>
            </w:pPr>
          </w:p>
        </w:tc>
        <w:tc>
          <w:tcPr>
            <w:tcW w:w="2877" w:type="pct"/>
            <w:gridSpan w:val="4"/>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SS</w:t>
            </w:r>
          </w:p>
        </w:tc>
        <w:tc>
          <w:tcPr>
            <w:tcW w:w="150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gridSpan w:val="2"/>
            <w:vMerge w:val="continue"/>
            <w:vAlign w:val="center"/>
          </w:tcPr>
          <w:p>
            <w:pPr>
              <w:pStyle w:val="65"/>
              <w:spacing w:before="65" w:after="65"/>
              <w:rPr>
                <w:rFonts w:hint="default" w:ascii="Times New Roman" w:hAnsi="Times New Roman" w:cs="Times New Roman"/>
                <w:color w:val="auto"/>
              </w:rPr>
            </w:pPr>
          </w:p>
        </w:tc>
        <w:tc>
          <w:tcPr>
            <w:tcW w:w="2877" w:type="pct"/>
            <w:gridSpan w:val="4"/>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氨氮</w:t>
            </w:r>
          </w:p>
        </w:tc>
        <w:tc>
          <w:tcPr>
            <w:tcW w:w="1508" w:type="dxa"/>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0.071</w:t>
            </w: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噪声污染物产生及治理措施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本项目运营期噪声主要为设备噪声、风机噪声等，根据类比调查，其源强为70~95dB（A）。具体见“6.2.3噪声源调查与分析”。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本次评价对项目噪声治理提出以下要求和措施：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（1）合理布置噪声源，优化总图布置，将高噪声设备（破碎机、筛分机和球磨机等）布置于生产车间内部，尽可能远离厂界，以减轻对厂界外的声环境影响。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（2）设备选型上使用国内先进的低噪声设备，对大功率设备及高噪声设备采用隔离布置，并采取减振、隔声等降噪措施，如厂房墙壁设吸声材料，设备安装时采取基座减振、橡胶减振接头及减振垫等措施。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（3）风机采取消声措施，风机管道进出口加柔性软接，风机机壳和输气管道采取阻尼措施或包裹吸声材料。</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（4）厂房的门窗均使用隔声门窗，厂房墙壁设吸声材料，临厂界一侧禁止开窗。</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（5）在装卸方式上，由叉车等工具妥善装卸，不得野蛮操作；产品由料框进行包装，以方便运输和降低装卸噪声。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（6）建立设备定期维护，保养的管理制度，以防止设备故障形成的非正常生产噪声，同时确保环保措施发挥最佳有效的功能；加强职工环保意识教育，提倡文明生产，防止人为噪声。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采取以上措施后本项目产生的噪声能满足《工业企业厂界环境噪声排放标准》（GB12348-2008）中的3类、4a类标准要求。</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固体废物产生及治理措施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工艺流程和产污环节分析结果，本项目运营期产生的固体废物分为一般固废、危险废物，其中一般固废主要为尾矿、黑砂、沉淀池沉渣、废滤袋、废布袋、布袋收尘、生活垃圾；危险废物主要为废机油、废机油桶、含油抹布及手套、废氢氧化钠包装袋、废碳酸钠包装袋、废氯化镁包装袋、废捕收剂桶。</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（1）一般固废</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1）尾矿</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根据物料平衡分析，本项目尾矿产生量约为343678.16t/a。本项目尾矿暂存于尾矿仓库，外售陶瓷生产厂家综合利用。根据《一般固体废物分类与代码》（GB/T 39198-2020），本项目尾矿属于“采矿业产生的一般固体废物”中“其他尾矿”，代码为093-001-29。</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本项目设置1处300m</w:t>
      </w:r>
      <w:r>
        <w:rPr>
          <w:rFonts w:hint="default" w:ascii="Times New Roman" w:hAnsi="Times New Roman" w:cs="Times New Roman"/>
          <w:color w:val="auto"/>
          <w:vertAlign w:val="superscript"/>
        </w:rPr>
        <w:t>2</w:t>
      </w:r>
      <w:r>
        <w:rPr>
          <w:rFonts w:hint="default" w:ascii="Times New Roman" w:hAnsi="Times New Roman" w:cs="Times New Roman"/>
          <w:color w:val="auto"/>
        </w:rPr>
        <w:t>尾矿仓库（三围一盖），设计最大暂存量为1300t，本项目尾矿日产生量约为1145.6t，最大储存周期为1天，最大储存量为1145.6t。因此，本项目尾矿仓库设计最大暂存量满足项目尾矿储存的要求。同时，本项目尾矿外售给陶瓷生产企业，可以做到尾矿日产日清。</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尾矿堆存管理应急措施</w:t>
      </w:r>
      <w:r>
        <w:rPr>
          <w:rFonts w:hint="default" w:ascii="Times New Roman" w:hAnsi="Times New Roman" w:cs="Times New Roman"/>
          <w:color w:val="auto"/>
        </w:rPr>
        <w:t>：若遇尾矿消纳企业停产等原因，导致尾矿不能及时外运消纳时，本项目应立即停产，不得露天堆放尾矿，不得乱堆乱放尾矿，保证尾矿规范堆放至尾矿仓库。</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目前，本项目已与四川新乐雅陶瓷有限公司、四川祥洪新型建材有限公司签订了尾矿的《购销意向协议》。尾矿消纳可行性分析如下：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①消纳企业的合法环保手续</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根据调查，四川新乐雅陶瓷有限公司、四川祥洪新型建材有限公司已取得合法的环保手续，具体如下：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四川新乐雅陶瓷有限公司：2015年7月28日，取得了《洪雅县环境保护局关于四川新乐雅陶瓷有限公司陶瓷产业升级改造项目环境影响报告书的批复》（乐市环审〔2018〕41号）。2018年8月进行环保自主验收，2020年7月23日取得了《排污许可证》（915114236211455798001V）。</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四川祥洪新型建材有限公司（原名四川欧冠新型建材有限公司）：2010年9月30日，取得了《眉山市环境保护局关于四川欧冠新型建材有限公司超洁聚品微粉砖生产线建设项目环境影响报告书的批复》（〔2010〕197号）。2013年8月8日取得了环保验收意见（眉环验〔2013〕13号），2020年7月23日取得了《排污许可证》（915114235534864269001V）。</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根据《固体废物再生利用污染防治技术导则》（HJ1091-2020）中3.3 固体废物建材利用：“利用固体废物直接代替传统建筑材料生产原料，或将其转化为建筑材料生产原料来生产建材的过程。固体废物建材利用的主要形式包括利用固体废物生产水泥、砖瓦、轻骨料、混凝土、玻璃、陶瓷、陶粒、路基材料等。”本项目尾矿外售陶瓷公司生产陶瓷，属于其中的“固体废物建材利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②生产工艺及原料要求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根据四川新乐雅陶瓷有限公司、四川祥洪新型建材有限公司环评报告和实际生产工艺数据，原料中“Al</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”含量大于10%即可使用。根据本项目《锂原矿全成份检测报告》，本项目原矿中“Al</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”含量为15.</w:t>
      </w:r>
      <w:r>
        <w:rPr>
          <w:rFonts w:hint="eastAsia" w:cs="Times New Roman"/>
          <w:color w:val="auto"/>
          <w:lang w:val="en-US" w:eastAsia="zh-CN"/>
        </w:rPr>
        <w:t>18</w:t>
      </w:r>
      <w:r>
        <w:rPr>
          <w:rFonts w:hint="default" w:ascii="Times New Roman" w:hAnsi="Times New Roman" w:cs="Times New Roman"/>
          <w:color w:val="auto"/>
        </w:rPr>
        <w:t>%，因此选矿后，尾矿“Al</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”含量大于15.</w:t>
      </w:r>
      <w:r>
        <w:rPr>
          <w:rFonts w:hint="eastAsia" w:cs="Times New Roman"/>
          <w:color w:val="auto"/>
          <w:lang w:val="en-US" w:eastAsia="zh-CN"/>
        </w:rPr>
        <w:t>18</w:t>
      </w:r>
      <w:r>
        <w:rPr>
          <w:rFonts w:hint="default" w:ascii="Times New Roman" w:hAnsi="Times New Roman" w:cs="Times New Roman"/>
          <w:color w:val="auto"/>
        </w:rPr>
        <w:t>%，可满足陶瓷生产使用要求。同时，眉山市已有大量陶瓷生产企业使用锂辉石尾矿作为原料的案例，因此本项目尾矿可作为陶瓷生产企业的原料使用。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③消纳企业需求量分析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四川新乐雅陶瓷有限公司、四川祥洪新型建材有限公司的环评报告和生产数据资料，四川新乐雅陶瓷有限公司可消纳尾矿粉约20万t/a，四川祥洪新型建材有限公司可消纳尾矿粉约21万t/a，满足本项目尾矿消纳需求（343678.16t/a）。因此本项目尾矿送至以上两家陶瓷企业进行综合利用可行。</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环评要求</w:t>
      </w:r>
      <w:r>
        <w:rPr>
          <w:rFonts w:hint="default" w:ascii="Times New Roman" w:hAnsi="Times New Roman" w:cs="Times New Roman"/>
          <w:color w:val="auto"/>
        </w:rPr>
        <w:t>，项目产生的固废应按照《中华人民共和国固体废物污染环境防治法》的相关规定，建立工业固体废物管理台账，如实记录产生的工业固体废物的种类、数量、流向、利用等信息，确保项目产生的尾矿产生量及处置量可追溯、可查询。当尾矿处置厂家因检修等特殊原因停产时，本项目尾矿无去向时，应及时停产，待处置厂家恢复生产或者重新寻找到处置方后方可恢复生产。</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2）废滤袋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压滤机滤袋使用寿命平均约为1年，每套滤袋重量约为0.12t。本项目共设置4套板框压滤机、1套带式真空过滤机，因此产生废滤袋为0.6t/a，暂存于一般工业固废暂存间，定期由滤袋供货商回收处理。</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3）废布袋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本项目布袋约每年更换一次，以保证除尘效率。本项目设置1套布袋除尘器，布袋比表面积为980m</w:t>
      </w:r>
      <w:r>
        <w:rPr>
          <w:rFonts w:hint="default" w:ascii="Times New Roman" w:hAnsi="Times New Roman" w:cs="Times New Roman"/>
          <w:color w:val="auto"/>
          <w:vertAlign w:val="superscript"/>
        </w:rPr>
        <w:t>2</w:t>
      </w:r>
      <w:r>
        <w:rPr>
          <w:rFonts w:hint="default" w:ascii="Times New Roman" w:hAnsi="Times New Roman" w:cs="Times New Roman"/>
          <w:color w:val="auto"/>
        </w:rPr>
        <w:t>，布袋重量约为0.1t，因此，本项目废布袋产生量约0.1t/a，暂存于一般工业固废暂存间，定期由布袋供货公司回收处理。</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4）除尘器收集的粉尘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根据工程分析，本项目破碎筛分粉尘产生量为88.5t/a，集气罩收集效率为80%，布袋除尘器净化效率为99%，因此除尘器收集的粉尘量为0.708t/a。</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本项目除尘器收集的粉尘，主要为锂辉石颗粒，暂存于一般工业固废暂存间，定期回用于球磨生产工序；</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5）黑砂（磁性杂质）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根据物料平衡分析，本项目尾矿产生量约为26436.78t/a。本项目尾矿暂存于尾矿仓库，外售陶瓷生产厂家综合利用。根据《一般固体废物分类与代码》（GB/T 39198-2020），本项目黑砂属于“采矿业产生的一般固体废物”中“其他尾矿”，代码为093-001-29。</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本项目设置1处300m</w:t>
      </w:r>
      <w:r>
        <w:rPr>
          <w:rFonts w:hint="default" w:ascii="Times New Roman" w:hAnsi="Times New Roman" w:cs="Times New Roman"/>
          <w:color w:val="auto"/>
          <w:vertAlign w:val="superscript"/>
        </w:rPr>
        <w:t>2</w:t>
      </w:r>
      <w:r>
        <w:rPr>
          <w:rFonts w:hint="default" w:ascii="Times New Roman" w:hAnsi="Times New Roman" w:cs="Times New Roman"/>
          <w:color w:val="auto"/>
        </w:rPr>
        <w:t>尾矿仓库（三围一盖），设计最大暂存量为1300t，本项目黑砂日产生量约为88t，最大储存周期为1天，最大储存量为88t。因此，本项目尾矿仓库设计最大暂存量满足项目黑砂储存的要求。同时，本项目黑砂外售给陶瓷生产企业，可以做到黑砂日产日清。</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尾矿堆存管理应急措施</w:t>
      </w:r>
      <w:r>
        <w:rPr>
          <w:rFonts w:hint="default" w:ascii="Times New Roman" w:hAnsi="Times New Roman" w:cs="Times New Roman"/>
          <w:color w:val="auto"/>
        </w:rPr>
        <w:t>：若遇黑砂消纳企业停产等原因，导致黑砂不能及时外运消纳时，本项目应立即停产，不得露天堆放黑砂，不得乱堆乱放黑砂，保证黑砂规范堆放至尾矿仓库。</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目前，本项目已与四川新乐雅陶瓷有限公司、四川祥洪新型建材有限公司签订了尾矿的《购销意向协议》。尾矿消纳可行性分析如下：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①消纳企业的合法环保手续</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根据调查，四川新乐雅陶瓷有限公司、四川祥洪新型建材有限公司已取得合法的环保手续，具体如下：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四川新乐雅陶瓷有限公司：2015年7月28日，取得了《洪雅县环境保护局关于四川新乐雅陶瓷有限公司陶瓷产业升级改造项目环境影响报告书的批复》（乐市环审〔2018〕41号）。2018年8月进行环保自主验收，2020年7月23日取得了《排污许可证》（915114236211455798001V）。</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四川祥洪新型建材有限公司（原名四川欧冠新型建材有限公司）：2010年9月30日，取得了《眉山市环境保护局关于四川欧冠新型建材有限公司超洁聚品微粉砖生产线建设项目环境影响报告书的批复》（〔2010〕197号）。2013年8月8日取得了环保验收意见（眉环验〔2013〕13号），2020年7月23日取得了《排污许可证》（915114235534864269001V）。</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根据《固体废物再生利用污染防治技术导则》（HJ1091-2020）中3.3 固体废物建材利用：“利用固体废物直接代替传统建筑材料生产原料，或将其转化为建筑材料生产原料来生产建材的过程。固体废物建材利用的主要形式包括利用固体废物生产水泥、砖瓦、轻骨料、混凝土、玻璃、陶瓷、陶粒、路基材料等。”本项目黑砂外售陶瓷公司生产陶瓷，属于其中的“固体废物建材利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②生产工艺及原料要求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根据四川新乐雅陶瓷有限公司、四川祥洪新型建材有限公司环评报告和实际生产工艺数据，原料中“Al</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”含量大于10%即可使用。根据本项目《锂原矿全成份检测报告》，本项目原矿中“Al</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”含量为15.</w:t>
      </w:r>
      <w:r>
        <w:rPr>
          <w:rFonts w:hint="eastAsia" w:cs="Times New Roman"/>
          <w:color w:val="auto"/>
          <w:lang w:val="en-US" w:eastAsia="zh-CN"/>
        </w:rPr>
        <w:t>18</w:t>
      </w:r>
      <w:r>
        <w:rPr>
          <w:rFonts w:hint="default" w:ascii="Times New Roman" w:hAnsi="Times New Roman" w:cs="Times New Roman"/>
          <w:color w:val="auto"/>
        </w:rPr>
        <w:t>%，因此选矿后，黑砂“Al</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”含量大于15.</w:t>
      </w:r>
      <w:r>
        <w:rPr>
          <w:rFonts w:hint="eastAsia" w:cs="Times New Roman"/>
          <w:color w:val="auto"/>
          <w:lang w:val="en-US" w:eastAsia="zh-CN"/>
        </w:rPr>
        <w:t>18</w:t>
      </w:r>
      <w:r>
        <w:rPr>
          <w:rFonts w:hint="default" w:ascii="Times New Roman" w:hAnsi="Times New Roman" w:cs="Times New Roman"/>
          <w:color w:val="auto"/>
        </w:rPr>
        <w:t>%，可满足陶瓷生产使用要求。同时，眉山市已有大量陶瓷生产企业使用锂辉石黑砂作为原料的案例，因此本项目黑砂可作为陶瓷生产企业的原料使用。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③消纳企业需求量分析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四川新乐雅陶瓷有限公司、四川祥洪新型建材有限公司的环评报告和生产数据资料，四川新乐雅陶瓷有限公司可消纳尾矿粉约20万t/a，四川祥洪新型建材有限公司可消纳尾矿粉约21万t/a，满足本项目尾矿消纳需求（343678.16t/a）。因此本项目尾矿送至以上两家陶瓷企业进行综合利用可行。</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环评要求</w:t>
      </w:r>
      <w:r>
        <w:rPr>
          <w:rFonts w:hint="default" w:ascii="Times New Roman" w:hAnsi="Times New Roman" w:cs="Times New Roman"/>
          <w:color w:val="auto"/>
        </w:rPr>
        <w:t>，项目产生的固废应按照《中华人民共和国固体废物污染环境防治法》的相关规定，建立工业固体废物管理台账，如实记录产生的工业固体废物的种类、数量、流向、利用等信息，确保项目产生的黑砂产生量及处置量可追溯、可查询。当黑砂处置厂家因检修等特殊原因停产时，本项目黑砂无去向时，应及时停产，待处置厂家恢复生产或者重新寻找到处置方后方可恢复生产。</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6）沉淀池沉砂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本项目沉淀池将产生一定量的沉砂，主要成份为锂辉石矿粉，根据项目工艺设计参数，产生量约为原料用量的1%，因此沉淀池沉沙产生量约为5000t/a（含水率80%）。</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本项目沉淀池沉砂暂存于一般工业固废暂存间，定期回用于生产工序。</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7）废包装材料</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本项目使用的絮凝剂和聚凝剂为袋装（25kg/袋），使用量为絮凝剂7.5t/a、聚凝剂2150t/a，因此，废包装材料约86300个/a（约0.43t/a）。</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本项目废包装材料暂存于一般工业固废暂存间，定期外售废品回收站处理。</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8）生活垃圾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本项目劳动定员70人，按人均产生垃圾0.5kg/d计，项目生活垃圾产生量约为10.5t/a。</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本项生活垃圾由当地环卫部门统一清运（其中餐厨垃圾由相应资质单位处置）。</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（2）危险废物</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1）废机油、废油桶、含油抹布及手套</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在正常运行过程中为了维持工况良好、正常，本项目需定期检修、维护，此过程会产生废机油、含油抹布及手套等。本项目在设备维护、检修时产生废机油约0.12t/a，属危险废物，废物类别HW08，废物代码900-214-08；废油桶0.5t/a，属危险废物，废物类别HW08，废物代码900-249-08；含油抹布及手套约0.02t/a，属危险废物，废物类别HW49，废物代码900-041-49，暂存于危废暂存间，定期交由有资质单位处置。</w:t>
      </w:r>
    </w:p>
    <w:p>
      <w:pPr>
        <w:adjustRightInd w:val="0"/>
        <w:ind w:firstLine="482"/>
        <w:rPr>
          <w:rFonts w:hint="default" w:ascii="Times New Roman" w:hAnsi="Times New Roman" w:cs="Times New Roman"/>
          <w:color w:val="auto"/>
        </w:rPr>
      </w:pPr>
      <w:r>
        <w:rPr>
          <w:rFonts w:hint="default" w:ascii="Times New Roman" w:hAnsi="Times New Roman" w:cs="Times New Roman"/>
          <w:b/>
          <w:bCs/>
          <w:color w:val="auto"/>
        </w:rPr>
        <w:t>2）废氢氧化钠包装袋、废碳酸钠包装袋、废氯化镁包装袋、废捕收剂桶</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氢氧化钠年使用量为12.5t（25kg/袋），废氢氧化钠包装袋产生量约为500个/a，平均每个重量约为0.05kg，废氢氧化钠包装袋产生量约0.025t/a；碳酸钠年使用量为900t（50kg/袋），废碳酸钠包装袋产生量约为18000个/a，平均每个重量约为0.05kg，碳酸钠包装袋产生量约0.9t/a；氯化镁年使用量为250t（50kg/袋），废氯化镁包装袋产生量约为5000个/a，平均每个重量约为0.05kg，废氯化镁包装袋产生量约0.25t/a；捕收剂年使用量为850t（50kg/桶），废捕收剂包装桶产生量约为17000个/a，平均每个重量约为0.2kg，废捕收剂包装袋产生量约3.4t/a。废氢氧化钠包装袋、废碳酸钠包装袋、废氯化镁包装袋、废捕收剂桶属于《国家危险废物名录（2025年版）》中的“含有或沾染毒性、感染性危险废物的废弃包装物、容器、过滤吸附介质”，废物类别HW49，废物代码900-041-49。</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综上，本项目固体废物均在厂内暂存后转运处置，固体废物的产生、排放量及处置措施见下表。</w:t>
      </w:r>
    </w:p>
    <w:p>
      <w:pPr>
        <w:keepNext/>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rPr>
        <w:t>表3-4固体废弃物产生及处置一览表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51"/>
        <w:gridCol w:w="1219"/>
        <w:gridCol w:w="818"/>
        <w:gridCol w:w="709"/>
        <w:gridCol w:w="1110"/>
        <w:gridCol w:w="965"/>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79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名称</w:t>
            </w:r>
          </w:p>
        </w:tc>
        <w:tc>
          <w:tcPr>
            <w:tcW w:w="71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废物类别</w:t>
            </w:r>
          </w:p>
        </w:tc>
        <w:tc>
          <w:tcPr>
            <w:tcW w:w="480"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主要成分</w:t>
            </w:r>
          </w:p>
        </w:tc>
        <w:tc>
          <w:tcPr>
            <w:tcW w:w="41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性状</w:t>
            </w:r>
          </w:p>
        </w:tc>
        <w:tc>
          <w:tcPr>
            <w:tcW w:w="651"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产生数量（t/a）</w:t>
            </w:r>
          </w:p>
        </w:tc>
        <w:tc>
          <w:tcPr>
            <w:tcW w:w="566"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产生源</w:t>
            </w:r>
          </w:p>
        </w:tc>
        <w:tc>
          <w:tcPr>
            <w:tcW w:w="1125"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废机油</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HW08</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矿物油</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液态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0.12</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设备检修</w:t>
            </w:r>
          </w:p>
        </w:tc>
        <w:tc>
          <w:tcPr>
            <w:tcW w:w="1125"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暂存于危废间，委托有资质单位处理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废机油桶</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HW08</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矿物油</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液态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0.5</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设备检修</w:t>
            </w:r>
          </w:p>
        </w:tc>
        <w:tc>
          <w:tcPr>
            <w:tcW w:w="1125" w:type="pct"/>
            <w:vMerge w:val="continue"/>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含油抹布及手套</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HW49</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矿物油</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0.02</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设备检修</w:t>
            </w:r>
          </w:p>
        </w:tc>
        <w:tc>
          <w:tcPr>
            <w:tcW w:w="1125" w:type="pct"/>
            <w:vMerge w:val="continue"/>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4</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废氢氧化钠包装袋</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HW49</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0.025</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w:t>
            </w:r>
          </w:p>
        </w:tc>
        <w:tc>
          <w:tcPr>
            <w:tcW w:w="1125" w:type="pct"/>
            <w:vMerge w:val="continue"/>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废碳酸钠包装袋</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HW49</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0.9</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w:t>
            </w:r>
          </w:p>
        </w:tc>
        <w:tc>
          <w:tcPr>
            <w:tcW w:w="1125" w:type="pct"/>
            <w:vMerge w:val="continue"/>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6</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废氯化镁包装袋</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HW49</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0.25</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w:t>
            </w:r>
          </w:p>
        </w:tc>
        <w:tc>
          <w:tcPr>
            <w:tcW w:w="1125" w:type="pct"/>
            <w:vMerge w:val="continue"/>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7</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废捕收剂桶</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HW49</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3.4</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w:t>
            </w:r>
          </w:p>
        </w:tc>
        <w:tc>
          <w:tcPr>
            <w:tcW w:w="1125" w:type="pct"/>
            <w:vMerge w:val="continue"/>
            <w:vAlign w:val="center"/>
          </w:tcPr>
          <w:p>
            <w:pPr>
              <w:pStyle w:val="65"/>
              <w:spacing w:before="65" w:after="65"/>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8</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沉淀池沉渣</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5000</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废水处理</w:t>
            </w:r>
          </w:p>
        </w:tc>
        <w:tc>
          <w:tcPr>
            <w:tcW w:w="11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9</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尾矿</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343678.16</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浮选</w:t>
            </w:r>
          </w:p>
        </w:tc>
        <w:tc>
          <w:tcPr>
            <w:tcW w:w="11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外售陶瓷企业综合利用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黑砂</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26436.78</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磁选</w:t>
            </w:r>
          </w:p>
        </w:tc>
        <w:tc>
          <w:tcPr>
            <w:tcW w:w="11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外售陶瓷企业综合利用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11</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废滤袋</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0.6</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脱水</w:t>
            </w:r>
          </w:p>
        </w:tc>
        <w:tc>
          <w:tcPr>
            <w:tcW w:w="11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由厂家更换时回收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12</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布袋收尘</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0.708</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废气处理</w:t>
            </w:r>
          </w:p>
        </w:tc>
        <w:tc>
          <w:tcPr>
            <w:tcW w:w="11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13</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废布袋</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0.1</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废气处理</w:t>
            </w:r>
          </w:p>
        </w:tc>
        <w:tc>
          <w:tcPr>
            <w:tcW w:w="11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由厂家更换时回收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14</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废包装材料</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0.43</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11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15</w:t>
            </w:r>
          </w:p>
        </w:tc>
        <w:tc>
          <w:tcPr>
            <w:tcW w:w="79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生活垃圾</w:t>
            </w:r>
          </w:p>
        </w:tc>
        <w:tc>
          <w:tcPr>
            <w:tcW w:w="71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一般固废</w:t>
            </w:r>
          </w:p>
        </w:tc>
        <w:tc>
          <w:tcPr>
            <w:tcW w:w="480"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固态</w:t>
            </w:r>
          </w:p>
        </w:tc>
        <w:tc>
          <w:tcPr>
            <w:tcW w:w="65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10.5</w:t>
            </w:r>
          </w:p>
        </w:tc>
        <w:tc>
          <w:tcPr>
            <w:tcW w:w="566"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办公生活</w:t>
            </w:r>
          </w:p>
        </w:tc>
        <w:tc>
          <w:tcPr>
            <w:tcW w:w="1125"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由环卫部门清运</w:t>
            </w:r>
          </w:p>
        </w:tc>
      </w:tr>
    </w:tbl>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本项目危险废物汇总情况详见下表。</w:t>
      </w:r>
    </w:p>
    <w:p>
      <w:pPr>
        <w:pStyle w:val="12"/>
        <w:adjustRightInd w:val="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危险废物产生及处置情况汇总表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883"/>
        <w:gridCol w:w="729"/>
        <w:gridCol w:w="1056"/>
        <w:gridCol w:w="778"/>
        <w:gridCol w:w="901"/>
        <w:gridCol w:w="602"/>
        <w:gridCol w:w="950"/>
        <w:gridCol w:w="996"/>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32"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序号</w:t>
            </w:r>
          </w:p>
        </w:tc>
        <w:tc>
          <w:tcPr>
            <w:tcW w:w="51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危险废物名称</w:t>
            </w:r>
          </w:p>
        </w:tc>
        <w:tc>
          <w:tcPr>
            <w:tcW w:w="42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危险废物类别</w:t>
            </w:r>
          </w:p>
        </w:tc>
        <w:tc>
          <w:tcPr>
            <w:tcW w:w="61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危险废物代码</w:t>
            </w:r>
          </w:p>
        </w:tc>
        <w:tc>
          <w:tcPr>
            <w:tcW w:w="45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产生量（t/a）</w:t>
            </w:r>
          </w:p>
        </w:tc>
        <w:tc>
          <w:tcPr>
            <w:tcW w:w="52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产生工序</w:t>
            </w:r>
          </w:p>
        </w:tc>
        <w:tc>
          <w:tcPr>
            <w:tcW w:w="35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形态</w:t>
            </w:r>
          </w:p>
        </w:tc>
        <w:tc>
          <w:tcPr>
            <w:tcW w:w="55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产废周期</w:t>
            </w:r>
          </w:p>
        </w:tc>
        <w:tc>
          <w:tcPr>
            <w:tcW w:w="58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危险特性</w:t>
            </w:r>
          </w:p>
        </w:tc>
        <w:tc>
          <w:tcPr>
            <w:tcW w:w="72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b/>
                <w:color w:val="auto"/>
                <w:kern w:val="21"/>
                <w:sz w:val="18"/>
                <w:szCs w:val="18"/>
              </w:rPr>
            </w:pPr>
            <w:r>
              <w:rPr>
                <w:rFonts w:hint="default" w:ascii="Times New Roman" w:hAnsi="Times New Roman" w:cs="Times New Roman"/>
                <w:b/>
                <w:color w:val="auto"/>
                <w:kern w:val="21"/>
                <w:sz w:val="18"/>
                <w:szCs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w:t>
            </w:r>
          </w:p>
        </w:tc>
        <w:tc>
          <w:tcPr>
            <w:tcW w:w="51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废机油</w:t>
            </w:r>
          </w:p>
        </w:tc>
        <w:tc>
          <w:tcPr>
            <w:tcW w:w="42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HW08</w:t>
            </w:r>
          </w:p>
        </w:tc>
        <w:tc>
          <w:tcPr>
            <w:tcW w:w="61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900-214-08</w:t>
            </w:r>
          </w:p>
        </w:tc>
        <w:tc>
          <w:tcPr>
            <w:tcW w:w="45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0.12</w:t>
            </w:r>
          </w:p>
        </w:tc>
        <w:tc>
          <w:tcPr>
            <w:tcW w:w="52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设备检修</w:t>
            </w:r>
          </w:p>
        </w:tc>
        <w:tc>
          <w:tcPr>
            <w:tcW w:w="35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液态</w:t>
            </w:r>
          </w:p>
        </w:tc>
        <w:tc>
          <w:tcPr>
            <w:tcW w:w="55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1次/半年</w:t>
            </w:r>
          </w:p>
        </w:tc>
        <w:tc>
          <w:tcPr>
            <w:tcW w:w="58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T/I</w:t>
            </w:r>
          </w:p>
        </w:tc>
        <w:tc>
          <w:tcPr>
            <w:tcW w:w="72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2</w:t>
            </w:r>
          </w:p>
        </w:tc>
        <w:tc>
          <w:tcPr>
            <w:tcW w:w="51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废机油桶</w:t>
            </w:r>
          </w:p>
        </w:tc>
        <w:tc>
          <w:tcPr>
            <w:tcW w:w="42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HW08</w:t>
            </w:r>
          </w:p>
        </w:tc>
        <w:tc>
          <w:tcPr>
            <w:tcW w:w="61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900-249-08</w:t>
            </w:r>
          </w:p>
        </w:tc>
        <w:tc>
          <w:tcPr>
            <w:tcW w:w="45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0.5</w:t>
            </w:r>
          </w:p>
        </w:tc>
        <w:tc>
          <w:tcPr>
            <w:tcW w:w="52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设备检修</w:t>
            </w:r>
          </w:p>
        </w:tc>
        <w:tc>
          <w:tcPr>
            <w:tcW w:w="35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固态</w:t>
            </w:r>
          </w:p>
        </w:tc>
        <w:tc>
          <w:tcPr>
            <w:tcW w:w="55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1次/半年</w:t>
            </w:r>
          </w:p>
        </w:tc>
        <w:tc>
          <w:tcPr>
            <w:tcW w:w="58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T/I</w:t>
            </w:r>
          </w:p>
        </w:tc>
        <w:tc>
          <w:tcPr>
            <w:tcW w:w="72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3</w:t>
            </w:r>
          </w:p>
        </w:tc>
        <w:tc>
          <w:tcPr>
            <w:tcW w:w="51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含油抹布及手套</w:t>
            </w:r>
          </w:p>
        </w:tc>
        <w:tc>
          <w:tcPr>
            <w:tcW w:w="42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HW49</w:t>
            </w:r>
          </w:p>
        </w:tc>
        <w:tc>
          <w:tcPr>
            <w:tcW w:w="61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900-041-49</w:t>
            </w:r>
          </w:p>
        </w:tc>
        <w:tc>
          <w:tcPr>
            <w:tcW w:w="456"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0.02</w:t>
            </w:r>
          </w:p>
        </w:tc>
        <w:tc>
          <w:tcPr>
            <w:tcW w:w="52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设备检修</w:t>
            </w:r>
          </w:p>
        </w:tc>
        <w:tc>
          <w:tcPr>
            <w:tcW w:w="35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固态</w:t>
            </w:r>
          </w:p>
        </w:tc>
        <w:tc>
          <w:tcPr>
            <w:tcW w:w="55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1次/半年</w:t>
            </w:r>
          </w:p>
        </w:tc>
        <w:tc>
          <w:tcPr>
            <w:tcW w:w="58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T/I</w:t>
            </w:r>
          </w:p>
        </w:tc>
        <w:tc>
          <w:tcPr>
            <w:tcW w:w="72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4</w:t>
            </w:r>
          </w:p>
        </w:tc>
        <w:tc>
          <w:tcPr>
            <w:tcW w:w="51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废氢氧化钠包装袋</w:t>
            </w:r>
          </w:p>
        </w:tc>
        <w:tc>
          <w:tcPr>
            <w:tcW w:w="42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HW49</w:t>
            </w:r>
          </w:p>
        </w:tc>
        <w:tc>
          <w:tcPr>
            <w:tcW w:w="61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900-041-49</w:t>
            </w:r>
          </w:p>
        </w:tc>
        <w:tc>
          <w:tcPr>
            <w:tcW w:w="456" w:type="pct"/>
            <w:vAlign w:val="center"/>
          </w:tcPr>
          <w:p>
            <w:pPr>
              <w:pStyle w:val="65"/>
              <w:spacing w:before="65" w:after="65"/>
              <w:rPr>
                <w:rFonts w:hint="default" w:ascii="Times New Roman" w:hAnsi="Times New Roman" w:cs="Times New Roman"/>
                <w:color w:val="auto"/>
                <w:kern w:val="21"/>
                <w:sz w:val="18"/>
                <w:szCs w:val="18"/>
              </w:rPr>
            </w:pPr>
            <w:r>
              <w:rPr>
                <w:rFonts w:hint="default" w:ascii="Times New Roman" w:hAnsi="Times New Roman" w:cs="Times New Roman"/>
                <w:color w:val="auto"/>
              </w:rPr>
              <w:t>0.025</w:t>
            </w:r>
          </w:p>
        </w:tc>
        <w:tc>
          <w:tcPr>
            <w:tcW w:w="52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浮选</w:t>
            </w:r>
          </w:p>
        </w:tc>
        <w:tc>
          <w:tcPr>
            <w:tcW w:w="35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固态</w:t>
            </w:r>
          </w:p>
        </w:tc>
        <w:tc>
          <w:tcPr>
            <w:tcW w:w="55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1次/月</w:t>
            </w:r>
          </w:p>
        </w:tc>
        <w:tc>
          <w:tcPr>
            <w:tcW w:w="58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T/I</w:t>
            </w:r>
          </w:p>
        </w:tc>
        <w:tc>
          <w:tcPr>
            <w:tcW w:w="72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5</w:t>
            </w:r>
          </w:p>
        </w:tc>
        <w:tc>
          <w:tcPr>
            <w:tcW w:w="518" w:type="pct"/>
            <w:vAlign w:val="center"/>
          </w:tcPr>
          <w:p>
            <w:pPr>
              <w:pStyle w:val="65"/>
              <w:spacing w:before="65" w:after="65"/>
              <w:rPr>
                <w:rFonts w:hint="default" w:ascii="Times New Roman" w:hAnsi="Times New Roman" w:cs="Times New Roman"/>
                <w:color w:val="auto"/>
                <w:kern w:val="21"/>
                <w:sz w:val="18"/>
                <w:szCs w:val="18"/>
              </w:rPr>
            </w:pPr>
            <w:r>
              <w:rPr>
                <w:rFonts w:hint="default" w:ascii="Times New Roman" w:hAnsi="Times New Roman" w:cs="Times New Roman"/>
                <w:color w:val="auto"/>
              </w:rPr>
              <w:t>废碳酸钠包装袋</w:t>
            </w:r>
          </w:p>
        </w:tc>
        <w:tc>
          <w:tcPr>
            <w:tcW w:w="42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HW49</w:t>
            </w:r>
          </w:p>
        </w:tc>
        <w:tc>
          <w:tcPr>
            <w:tcW w:w="61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900-041-49</w:t>
            </w:r>
          </w:p>
        </w:tc>
        <w:tc>
          <w:tcPr>
            <w:tcW w:w="456" w:type="pct"/>
            <w:vAlign w:val="center"/>
          </w:tcPr>
          <w:p>
            <w:pPr>
              <w:pStyle w:val="65"/>
              <w:spacing w:before="65" w:after="65"/>
              <w:rPr>
                <w:rFonts w:hint="default" w:ascii="Times New Roman" w:hAnsi="Times New Roman" w:cs="Times New Roman"/>
                <w:color w:val="auto"/>
                <w:kern w:val="21"/>
                <w:sz w:val="18"/>
                <w:szCs w:val="18"/>
              </w:rPr>
            </w:pPr>
            <w:r>
              <w:rPr>
                <w:rFonts w:hint="default" w:ascii="Times New Roman" w:hAnsi="Times New Roman" w:cs="Times New Roman"/>
                <w:color w:val="auto"/>
              </w:rPr>
              <w:t>0.9</w:t>
            </w:r>
          </w:p>
        </w:tc>
        <w:tc>
          <w:tcPr>
            <w:tcW w:w="52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浮选</w:t>
            </w:r>
          </w:p>
        </w:tc>
        <w:tc>
          <w:tcPr>
            <w:tcW w:w="35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固态</w:t>
            </w:r>
          </w:p>
        </w:tc>
        <w:tc>
          <w:tcPr>
            <w:tcW w:w="55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1次/月</w:t>
            </w:r>
          </w:p>
        </w:tc>
        <w:tc>
          <w:tcPr>
            <w:tcW w:w="58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T/I</w:t>
            </w:r>
          </w:p>
        </w:tc>
        <w:tc>
          <w:tcPr>
            <w:tcW w:w="72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6</w:t>
            </w:r>
          </w:p>
        </w:tc>
        <w:tc>
          <w:tcPr>
            <w:tcW w:w="518" w:type="pct"/>
            <w:vAlign w:val="center"/>
          </w:tcPr>
          <w:p>
            <w:pPr>
              <w:pStyle w:val="65"/>
              <w:spacing w:before="65" w:after="65"/>
              <w:rPr>
                <w:rFonts w:hint="default" w:ascii="Times New Roman" w:hAnsi="Times New Roman" w:cs="Times New Roman"/>
                <w:color w:val="auto"/>
                <w:kern w:val="21"/>
                <w:sz w:val="18"/>
                <w:szCs w:val="18"/>
              </w:rPr>
            </w:pPr>
            <w:r>
              <w:rPr>
                <w:rFonts w:hint="default" w:ascii="Times New Roman" w:hAnsi="Times New Roman" w:cs="Times New Roman"/>
                <w:color w:val="auto"/>
              </w:rPr>
              <w:t>废氯化镁包装袋</w:t>
            </w:r>
          </w:p>
        </w:tc>
        <w:tc>
          <w:tcPr>
            <w:tcW w:w="42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HW49</w:t>
            </w:r>
          </w:p>
        </w:tc>
        <w:tc>
          <w:tcPr>
            <w:tcW w:w="61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900-041-49</w:t>
            </w:r>
          </w:p>
        </w:tc>
        <w:tc>
          <w:tcPr>
            <w:tcW w:w="456" w:type="pct"/>
            <w:vAlign w:val="center"/>
          </w:tcPr>
          <w:p>
            <w:pPr>
              <w:pStyle w:val="65"/>
              <w:spacing w:before="65" w:after="65"/>
              <w:rPr>
                <w:rFonts w:hint="default" w:ascii="Times New Roman" w:hAnsi="Times New Roman" w:cs="Times New Roman"/>
                <w:color w:val="auto"/>
                <w:kern w:val="21"/>
                <w:sz w:val="18"/>
                <w:szCs w:val="18"/>
              </w:rPr>
            </w:pPr>
            <w:r>
              <w:rPr>
                <w:rFonts w:hint="default" w:ascii="Times New Roman" w:hAnsi="Times New Roman" w:cs="Times New Roman"/>
                <w:color w:val="auto"/>
              </w:rPr>
              <w:t>0.25</w:t>
            </w:r>
          </w:p>
        </w:tc>
        <w:tc>
          <w:tcPr>
            <w:tcW w:w="52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浮选</w:t>
            </w:r>
          </w:p>
        </w:tc>
        <w:tc>
          <w:tcPr>
            <w:tcW w:w="35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固态</w:t>
            </w:r>
          </w:p>
        </w:tc>
        <w:tc>
          <w:tcPr>
            <w:tcW w:w="55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1次/月</w:t>
            </w:r>
          </w:p>
        </w:tc>
        <w:tc>
          <w:tcPr>
            <w:tcW w:w="58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T/I</w:t>
            </w:r>
          </w:p>
        </w:tc>
        <w:tc>
          <w:tcPr>
            <w:tcW w:w="72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7</w:t>
            </w:r>
          </w:p>
        </w:tc>
        <w:tc>
          <w:tcPr>
            <w:tcW w:w="518" w:type="pct"/>
            <w:vAlign w:val="center"/>
          </w:tcPr>
          <w:p>
            <w:pPr>
              <w:pStyle w:val="65"/>
              <w:spacing w:before="65" w:after="65"/>
              <w:rPr>
                <w:rFonts w:hint="default" w:ascii="Times New Roman" w:hAnsi="Times New Roman" w:cs="Times New Roman"/>
                <w:color w:val="auto"/>
                <w:kern w:val="21"/>
                <w:sz w:val="18"/>
                <w:szCs w:val="18"/>
              </w:rPr>
            </w:pPr>
            <w:r>
              <w:rPr>
                <w:rFonts w:hint="default" w:ascii="Times New Roman" w:hAnsi="Times New Roman" w:cs="Times New Roman"/>
                <w:color w:val="auto"/>
              </w:rPr>
              <w:t>废捕收剂桶</w:t>
            </w:r>
          </w:p>
        </w:tc>
        <w:tc>
          <w:tcPr>
            <w:tcW w:w="42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HW49</w:t>
            </w:r>
          </w:p>
        </w:tc>
        <w:tc>
          <w:tcPr>
            <w:tcW w:w="619"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900-041-49</w:t>
            </w:r>
          </w:p>
        </w:tc>
        <w:tc>
          <w:tcPr>
            <w:tcW w:w="456" w:type="pct"/>
            <w:vAlign w:val="center"/>
          </w:tcPr>
          <w:p>
            <w:pPr>
              <w:pStyle w:val="65"/>
              <w:spacing w:before="65" w:after="65"/>
              <w:rPr>
                <w:rFonts w:hint="default" w:ascii="Times New Roman" w:hAnsi="Times New Roman" w:cs="Times New Roman"/>
                <w:color w:val="auto"/>
                <w:kern w:val="21"/>
                <w:sz w:val="18"/>
                <w:szCs w:val="18"/>
              </w:rPr>
            </w:pPr>
            <w:r>
              <w:rPr>
                <w:rFonts w:hint="default" w:ascii="Times New Roman" w:hAnsi="Times New Roman" w:cs="Times New Roman"/>
                <w:color w:val="auto"/>
              </w:rPr>
              <w:t>3.4</w:t>
            </w:r>
          </w:p>
        </w:tc>
        <w:tc>
          <w:tcPr>
            <w:tcW w:w="528"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浮选</w:t>
            </w:r>
          </w:p>
        </w:tc>
        <w:tc>
          <w:tcPr>
            <w:tcW w:w="35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固态</w:t>
            </w:r>
          </w:p>
        </w:tc>
        <w:tc>
          <w:tcPr>
            <w:tcW w:w="557"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1次/月</w:t>
            </w:r>
          </w:p>
        </w:tc>
        <w:tc>
          <w:tcPr>
            <w:tcW w:w="584"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T/I</w:t>
            </w:r>
          </w:p>
        </w:tc>
        <w:tc>
          <w:tcPr>
            <w:tcW w:w="721"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18"/>
                <w:szCs w:val="18"/>
              </w:rPr>
            </w:pPr>
            <w:r>
              <w:rPr>
                <w:rFonts w:hint="default" w:ascii="Times New Roman" w:hAnsi="Times New Roman" w:cs="Times New Roman"/>
                <w:color w:val="auto"/>
                <w:kern w:val="21"/>
                <w:sz w:val="18"/>
                <w:szCs w:val="18"/>
              </w:rPr>
              <w:t>危废暂存间</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环评要求：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厂内产生固废必须分类堆放，危废设危废暂存间，其中废机油、废机油桶、含油抹布及手套、废氢氧化钠包装袋、废碳酸钠包装袋、废氯化镁包装袋、废捕收剂桶暂存于本项目厂区北侧新建的危废暂存间（50m2）。针对具体危险废物严格按照国家相关要求进行分类回收和存放，禁止将危险废物混入非危险废物中贮存；危废暂存间需按《危险废物贮存污染控制标准》（GB18597-2023）和《危险废物收集贮存运输技术规范》（HJ2025-2012）中要求设置，并进行防风、防晒、防雨、防漏、防渗、防腐处理。项目危险废物在出厂前分类收集到危废桶或料斗，由专业运输单位负责运输。</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危险废物的运输过程应采取必要的风险防范与应急措施：危险废物的包装严格执行《危险货物运输包装通用技术条件》（GB12463-1990），《危险货物运输包装标志》（GB190-1990）规范要求；在危险废物的收集与运输方面的管理中，严格执行《危险废物转移管理办法》、《道路危险货物运输管理规定》、《汽车危险货物运输规则》、《道路运输危险货物车辆标志》等相关废物转移与道路运输法规；使用密闭式车辆运输，并尽可能安排在夜间或车辆较少的非高峰时段进行；车辆所载危险废物应注明废物来源、性质，不能混合运输性质不相容的危险废物，车辆应设置明显的危害标志，以便引起其他车辆的重视；避免在恶劣的天气进行运输作业；运输危险废物的单位应当制定在发生意外事故时采取的防范和应急措施；驾驶员应接受专业培训，具备有关化学危险品的专业知识，知晓所运送危险废物的性质，以配合有关部门的救援；一旦发生污染事故，能根据事先制定应急预案迅速做出反应，及时通知当地环保和卫生部门，采取应急措施，将损失减小到最低程度。</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上述危险废物的收集和管理，公司需委派专人负责，各种废物的储存容器都有很好的密封性，危废储存场所按照《危险废物贮存污染控制标准》（GB18597-2023）相关要求进行防渗、防漏处理，安全可靠，不会受到风雨侵蚀，可有效地防止了存放过程中的二次污染。</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危险废物外运至处置单位时必须严格遵守以下要求：</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生态环境局。</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废物处置单位的运输人员必须掌握风险物质运输的安全知识，了解所运载风险物质的性质、危害特性、包装容器的使用特性和发生意外时的应急措施。运输车辆必须具有车辆危险货物运输许可证。驾驶人员必须由取得驾驶执照的熟练人员担任。</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③处置单位在运输危险废物时必须配备押运人员，并随时处于押运人员的监管之下，不得超装、超载，严格按照所在城市规定的行车时间和行车路线行驶，不得进入风险物质运输车辆禁止通行的区域。</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④危险废物在运输途中若发生被盗、丢失、流散、泄漏等情况时，公司及押运人员必须立即向当地公安部门报告，并采取一切可能的警示措施。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⑤一旦发生废物泄漏事故，公司和废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综上，本项目采取以上措施后固废均能够得到合理有效的处置、去向明确，不会对区域环境造成二次污染。</w:t>
      </w:r>
    </w:p>
    <w:p>
      <w:pPr>
        <w:pStyle w:val="3"/>
        <w:adjustRightInd w:val="0"/>
        <w:rPr>
          <w:rFonts w:hint="default" w:ascii="Times New Roman" w:hAnsi="Times New Roman" w:cs="Times New Roman"/>
          <w:color w:val="auto"/>
        </w:rPr>
      </w:pPr>
      <w:bookmarkStart w:id="118" w:name="_Toc1224"/>
      <w:bookmarkStart w:id="119" w:name="_Toc18206"/>
      <w:bookmarkStart w:id="120" w:name="_Toc22503"/>
      <w:r>
        <w:rPr>
          <w:rFonts w:hint="default" w:ascii="Times New Roman" w:hAnsi="Times New Roman" w:cs="Times New Roman"/>
          <w:color w:val="auto"/>
        </w:rPr>
        <w:t>总量控制</w:t>
      </w:r>
      <w:bookmarkEnd w:id="118"/>
      <w:bookmarkEnd w:id="119"/>
      <w:bookmarkEnd w:id="120"/>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贯彻落实国家和四川省污染物排放总量控制规划是实现环境保护目标的重大举措之一。实施总量控制将促进资源、能源的合理利用和优化配置，加速产业结构调整，实现经济增长方式的根本转变；实施总量控制可以较好地处理经济发展与环境保护之间的协调关系，推动可持续发展战</w:t>
      </w:r>
      <w:r>
        <w:rPr>
          <w:rFonts w:hint="eastAsia" w:cs="Times New Roman"/>
          <w:color w:val="auto"/>
          <w:lang w:eastAsia="zh-CN"/>
        </w:rPr>
        <w:t>本部分涉密</w:t>
      </w:r>
      <w:r>
        <w:rPr>
          <w:rFonts w:hint="default" w:ascii="Times New Roman" w:hAnsi="Times New Roman" w:cs="Times New Roman"/>
          <w:color w:val="auto"/>
        </w:rPr>
        <w:t>的实行。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污染物排放总量控制的目的是根据环境质量标准，通过调控污染源分布状况和污染排放方式，把污染物负荷总量控制在自然环境的承载力范围之内。</w:t>
      </w:r>
    </w:p>
    <w:p>
      <w:pPr>
        <w:pStyle w:val="4"/>
        <w:adjustRightInd w:val="0"/>
        <w:rPr>
          <w:rFonts w:hint="default" w:ascii="Times New Roman" w:hAnsi="Times New Roman" w:cs="Times New Roman"/>
          <w:color w:val="auto"/>
        </w:rPr>
      </w:pPr>
      <w:bookmarkStart w:id="121" w:name="_Toc23511"/>
      <w:bookmarkStart w:id="122" w:name="_Toc1884"/>
      <w:bookmarkStart w:id="123" w:name="_Toc20134"/>
      <w:r>
        <w:rPr>
          <w:rFonts w:hint="default" w:ascii="Times New Roman" w:hAnsi="Times New Roman" w:cs="Times New Roman"/>
          <w:color w:val="auto"/>
        </w:rPr>
        <w:t>总量控制因子</w:t>
      </w:r>
      <w:bookmarkEnd w:id="121"/>
      <w:bookmarkEnd w:id="122"/>
      <w:bookmarkEnd w:id="123"/>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（1）废气总量控制因子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本项目区域（沙湾县）属于达标区，根据乐山市“生态环境分区管控”要求，本报告提出颗粒物2倍总量替代要求。</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（2）废水总量控制因子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本项目选矿废水经絮凝沉淀处理后回用于选矿，不外排；初期雨水经初期雨水池沉淀处理后回用于喷雾降尘，不外排；车辆冲洗废水经沉淀池处理后回用于车辆冲洗，不外排；生活污水经预处理池（50m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）处理达标后经污水管网排入园区污水处理厂处理。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因此，本项目废水总量控制指标为COD、氨氮。</w:t>
      </w:r>
    </w:p>
    <w:p>
      <w:pPr>
        <w:pStyle w:val="4"/>
        <w:adjustRightInd w:val="0"/>
        <w:rPr>
          <w:rFonts w:hint="default" w:ascii="Times New Roman" w:hAnsi="Times New Roman" w:cs="Times New Roman"/>
          <w:color w:val="auto"/>
        </w:rPr>
      </w:pPr>
      <w:bookmarkStart w:id="124" w:name="_Toc9684"/>
      <w:bookmarkStart w:id="125" w:name="_Toc19599"/>
      <w:bookmarkStart w:id="126" w:name="_Toc351"/>
      <w:r>
        <w:rPr>
          <w:rFonts w:hint="default" w:ascii="Times New Roman" w:hAnsi="Times New Roman" w:cs="Times New Roman"/>
          <w:color w:val="auto"/>
        </w:rPr>
        <w:t>污染物排放总量</w:t>
      </w:r>
      <w:bookmarkEnd w:id="124"/>
      <w:bookmarkEnd w:id="125"/>
      <w:bookmarkEnd w:id="126"/>
    </w:p>
    <w:p>
      <w:pPr>
        <w:adjustRightInd w:val="0"/>
        <w:ind w:firstLine="482"/>
        <w:rPr>
          <w:rFonts w:hint="default" w:ascii="Times New Roman" w:hAnsi="Times New Roman" w:cs="Times New Roman"/>
          <w:b/>
          <w:bCs/>
          <w:color w:val="auto"/>
          <w:lang w:val="de-DE"/>
        </w:rPr>
      </w:pPr>
      <w:r>
        <w:rPr>
          <w:rFonts w:hint="default" w:ascii="Times New Roman" w:hAnsi="Times New Roman" w:cs="Times New Roman"/>
          <w:b/>
          <w:bCs/>
          <w:color w:val="auto"/>
          <w:lang w:val="de-DE"/>
        </w:rPr>
        <w:t>（1）废气总量指标核算</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lang w:val="de-DE" w:eastAsia="de-DE"/>
        </w:rPr>
        <w:t>根据《建设项目主要污染物总量控制指标审核及管理暂行办法》（环发</w:t>
      </w:r>
      <w:r>
        <w:rPr>
          <w:rFonts w:hint="default" w:ascii="Times New Roman" w:hAnsi="Times New Roman" w:cs="Times New Roman"/>
          <w:color w:val="auto"/>
          <w:lang w:val="de-DE"/>
        </w:rPr>
        <w:t>〔</w:t>
      </w:r>
      <w:r>
        <w:rPr>
          <w:rFonts w:hint="default" w:ascii="Times New Roman" w:hAnsi="Times New Roman" w:cs="Times New Roman"/>
          <w:color w:val="auto"/>
          <w:lang w:val="de-DE" w:eastAsia="de-DE"/>
        </w:rPr>
        <w:t>2014</w:t>
      </w:r>
      <w:r>
        <w:rPr>
          <w:rFonts w:hint="default" w:ascii="Times New Roman" w:hAnsi="Times New Roman" w:cs="Times New Roman"/>
          <w:color w:val="auto"/>
          <w:lang w:val="de-DE"/>
        </w:rPr>
        <w:t>〕</w:t>
      </w:r>
      <w:r>
        <w:rPr>
          <w:rFonts w:hint="default" w:ascii="Times New Roman" w:hAnsi="Times New Roman" w:cs="Times New Roman"/>
          <w:color w:val="auto"/>
          <w:lang w:val="de-DE" w:eastAsia="de-DE"/>
        </w:rPr>
        <w:t>197号，简称《暂行方法》）在污染物排放总量审核中明确</w:t>
      </w:r>
      <w:r>
        <w:rPr>
          <w:rFonts w:hint="default" w:ascii="Times New Roman" w:hAnsi="Times New Roman" w:cs="Times New Roman"/>
          <w:color w:val="auto"/>
          <w:lang w:val="de-DE"/>
        </w:rPr>
        <w:t>“</w:t>
      </w:r>
      <w:r>
        <w:rPr>
          <w:rFonts w:hint="default" w:ascii="Times New Roman" w:hAnsi="Times New Roman" w:cs="Times New Roman"/>
          <w:color w:val="auto"/>
          <w:lang w:val="de-DE" w:eastAsia="de-DE"/>
        </w:rPr>
        <w:t>火电、钢铁、水泥、造纸、印染行业建设项目所需替代的主要污染物排放总量指标采用绩效方法核定。其他行业依照国家或地方污染物排放标准及单位产品基准排水量（行业最高允许排水量）、烟气量等予以核定</w:t>
      </w:r>
      <w:r>
        <w:rPr>
          <w:rFonts w:hint="default" w:ascii="Times New Roman" w:hAnsi="Times New Roman" w:cs="Times New Roman"/>
          <w:color w:val="auto"/>
          <w:lang w:val="de-DE"/>
        </w:rPr>
        <w:t>”</w:t>
      </w:r>
      <w:r>
        <w:rPr>
          <w:rFonts w:hint="default" w:ascii="Times New Roman" w:hAnsi="Times New Roman" w:cs="Times New Roman"/>
          <w:color w:val="auto"/>
          <w:lang w:val="de-DE" w:eastAsia="de-DE"/>
        </w:rPr>
        <w:t>。由于本项目</w:t>
      </w:r>
      <w:r>
        <w:rPr>
          <w:rFonts w:hint="default" w:ascii="Times New Roman" w:hAnsi="Times New Roman" w:cs="Times New Roman"/>
          <w:color w:val="auto"/>
        </w:rPr>
        <w:t>颗粒物</w:t>
      </w:r>
      <w:r>
        <w:rPr>
          <w:rFonts w:hint="default" w:ascii="Times New Roman" w:hAnsi="Times New Roman" w:cs="Times New Roman"/>
          <w:color w:val="auto"/>
          <w:lang w:val="de-DE"/>
        </w:rPr>
        <w:t>预测</w:t>
      </w:r>
      <w:r>
        <w:rPr>
          <w:rFonts w:hint="default" w:ascii="Times New Roman" w:hAnsi="Times New Roman" w:cs="Times New Roman"/>
          <w:color w:val="auto"/>
          <w:lang w:val="de-DE" w:eastAsia="de-DE"/>
        </w:rPr>
        <w:t>排放量与按照标准核定量差异较大，</w:t>
      </w:r>
      <w:r>
        <w:rPr>
          <w:rFonts w:hint="default" w:ascii="Times New Roman" w:hAnsi="Times New Roman" w:cs="Times New Roman"/>
          <w:color w:val="auto"/>
          <w:lang w:val="de-DE"/>
        </w:rPr>
        <w:t>因此</w:t>
      </w:r>
      <w:r>
        <w:rPr>
          <w:rFonts w:hint="default" w:ascii="Times New Roman" w:hAnsi="Times New Roman" w:cs="Times New Roman"/>
          <w:color w:val="auto"/>
          <w:lang w:val="de-DE" w:eastAsia="de-DE"/>
        </w:rPr>
        <w:t>本项目</w:t>
      </w:r>
      <w:r>
        <w:rPr>
          <w:rFonts w:hint="default" w:ascii="Times New Roman" w:hAnsi="Times New Roman" w:cs="Times New Roman"/>
          <w:color w:val="auto"/>
        </w:rPr>
        <w:t>颗粒物</w:t>
      </w:r>
      <w:r>
        <w:rPr>
          <w:rFonts w:hint="default" w:ascii="Times New Roman" w:hAnsi="Times New Roman" w:cs="Times New Roman"/>
          <w:color w:val="auto"/>
          <w:lang w:val="de-DE" w:eastAsia="de-DE"/>
        </w:rPr>
        <w:t>的排放量以</w:t>
      </w:r>
      <w:r>
        <w:rPr>
          <w:rFonts w:hint="default" w:ascii="Times New Roman" w:hAnsi="Times New Roman" w:cs="Times New Roman"/>
          <w:color w:val="auto"/>
          <w:lang w:val="de-DE"/>
        </w:rPr>
        <w:t>企业预测</w:t>
      </w:r>
      <w:r>
        <w:rPr>
          <w:rFonts w:hint="default" w:ascii="Times New Roman" w:hAnsi="Times New Roman" w:cs="Times New Roman"/>
          <w:color w:val="auto"/>
          <w:lang w:val="de-DE" w:eastAsia="de-DE"/>
        </w:rPr>
        <w:t>排放量核定</w:t>
      </w:r>
      <w:r>
        <w:rPr>
          <w:rFonts w:hint="default" w:ascii="Times New Roman" w:hAnsi="Times New Roman" w:cs="Times New Roman"/>
          <w:color w:val="auto"/>
          <w:lang w:val="de-DE"/>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全厂废气污染物</w:t>
      </w:r>
      <w:r>
        <w:rPr>
          <w:rFonts w:hint="default" w:ascii="Times New Roman" w:hAnsi="Times New Roman" w:cs="Times New Roman"/>
          <w:color w:val="auto"/>
          <w:lang w:val="de-DE"/>
        </w:rPr>
        <w:t>：</w:t>
      </w:r>
    </w:p>
    <w:p>
      <w:pPr>
        <w:overflowPunct w:val="0"/>
        <w:adjustRightInd w:val="0"/>
        <w:ind w:firstLine="480"/>
        <w:rPr>
          <w:rFonts w:hint="default" w:ascii="Times New Roman" w:hAnsi="Times New Roman" w:cs="Times New Roman"/>
          <w:color w:val="auto"/>
          <w:kern w:val="21"/>
          <w:szCs w:val="24"/>
          <w:lang w:val="de-DE"/>
        </w:rPr>
      </w:pPr>
      <w:r>
        <w:rPr>
          <w:rFonts w:hint="default" w:ascii="Times New Roman" w:hAnsi="Times New Roman" w:cs="Times New Roman"/>
          <w:color w:val="auto"/>
          <w:kern w:val="21"/>
          <w:szCs w:val="24"/>
        </w:rPr>
        <w:t>颗粒物</w:t>
      </w:r>
      <w:r>
        <w:rPr>
          <w:rFonts w:hint="default" w:ascii="Times New Roman" w:hAnsi="Times New Roman" w:cs="Times New Roman"/>
          <w:color w:val="auto"/>
          <w:kern w:val="21"/>
          <w:szCs w:val="24"/>
          <w:lang w:val="de-DE"/>
        </w:rPr>
        <w:t>（</w:t>
      </w:r>
      <w:r>
        <w:rPr>
          <w:rFonts w:hint="default" w:ascii="Times New Roman" w:hAnsi="Times New Roman" w:cs="Times New Roman"/>
          <w:color w:val="auto"/>
          <w:kern w:val="21"/>
          <w:szCs w:val="24"/>
        </w:rPr>
        <w:t>有组织</w:t>
      </w:r>
      <w:r>
        <w:rPr>
          <w:rFonts w:hint="default" w:ascii="Times New Roman" w:hAnsi="Times New Roman" w:cs="Times New Roman"/>
          <w:color w:val="auto"/>
          <w:kern w:val="21"/>
          <w:szCs w:val="24"/>
          <w:lang w:val="de-DE"/>
        </w:rPr>
        <w:t>）：</w:t>
      </w:r>
      <w:r>
        <w:rPr>
          <w:rFonts w:hint="default" w:ascii="Times New Roman" w:hAnsi="Times New Roman" w:cs="Times New Roman"/>
          <w:color w:val="auto"/>
          <w:kern w:val="21"/>
          <w:szCs w:val="24"/>
        </w:rPr>
        <w:t>88.5</w:t>
      </w:r>
      <w:r>
        <w:rPr>
          <w:rFonts w:hint="default" w:ascii="Times New Roman" w:hAnsi="Times New Roman" w:cs="Times New Roman"/>
          <w:color w:val="auto"/>
          <w:kern w:val="21"/>
          <w:szCs w:val="24"/>
          <w:lang w:val="de-DE"/>
        </w:rPr>
        <w:t>t/a</w:t>
      </w:r>
      <w:r>
        <w:rPr>
          <w:rFonts w:hint="default" w:ascii="Times New Roman" w:hAnsi="Times New Roman" w:cs="Times New Roman"/>
          <w:color w:val="auto"/>
          <w:kern w:val="21"/>
          <w:szCs w:val="22"/>
          <w:lang w:val="de-DE" w:bidi="ar"/>
        </w:rPr>
        <w:t>×</w:t>
      </w:r>
      <w:r>
        <w:rPr>
          <w:rFonts w:hint="default" w:ascii="Times New Roman" w:hAnsi="Times New Roman" w:cs="Times New Roman"/>
          <w:color w:val="auto"/>
          <w:kern w:val="21"/>
          <w:szCs w:val="22"/>
          <w:lang w:bidi="ar"/>
        </w:rPr>
        <w:t>80</w:t>
      </w:r>
      <w:r>
        <w:rPr>
          <w:rFonts w:hint="default" w:ascii="Times New Roman" w:hAnsi="Times New Roman" w:cs="Times New Roman"/>
          <w:color w:val="auto"/>
          <w:kern w:val="21"/>
          <w:szCs w:val="22"/>
          <w:lang w:val="de-DE" w:bidi="ar"/>
        </w:rPr>
        <w:t>%×（1-</w:t>
      </w:r>
      <w:r>
        <w:rPr>
          <w:rFonts w:hint="default" w:ascii="Times New Roman" w:hAnsi="Times New Roman" w:cs="Times New Roman"/>
          <w:color w:val="auto"/>
          <w:kern w:val="21"/>
          <w:szCs w:val="22"/>
          <w:lang w:bidi="ar"/>
        </w:rPr>
        <w:t>99</w:t>
      </w:r>
      <w:r>
        <w:rPr>
          <w:rFonts w:hint="default" w:ascii="Times New Roman" w:hAnsi="Times New Roman" w:cs="Times New Roman"/>
          <w:color w:val="auto"/>
          <w:kern w:val="21"/>
          <w:szCs w:val="22"/>
          <w:lang w:val="de-DE" w:bidi="ar"/>
        </w:rPr>
        <w:t>%）=</w:t>
      </w:r>
      <w:r>
        <w:rPr>
          <w:rFonts w:hint="default" w:ascii="Times New Roman" w:hAnsi="Times New Roman" w:cs="Times New Roman"/>
          <w:color w:val="auto"/>
          <w:kern w:val="21"/>
          <w:szCs w:val="22"/>
          <w:lang w:bidi="ar"/>
        </w:rPr>
        <w:t>0.708</w:t>
      </w:r>
      <w:r>
        <w:rPr>
          <w:rFonts w:hint="default" w:ascii="Times New Roman" w:hAnsi="Times New Roman" w:cs="Times New Roman"/>
          <w:color w:val="auto"/>
          <w:kern w:val="21"/>
          <w:szCs w:val="22"/>
          <w:lang w:val="de-DE" w:bidi="ar"/>
        </w:rPr>
        <w:t>t/a</w:t>
      </w:r>
    </w:p>
    <w:p>
      <w:pPr>
        <w:adjustRightInd w:val="0"/>
        <w:ind w:firstLine="482"/>
        <w:rPr>
          <w:rFonts w:hint="default" w:ascii="Times New Roman" w:hAnsi="Times New Roman" w:cs="Times New Roman"/>
          <w:b/>
          <w:bCs/>
          <w:color w:val="auto"/>
          <w:lang w:val="de-DE"/>
        </w:rPr>
      </w:pPr>
      <w:r>
        <w:rPr>
          <w:rFonts w:hint="default" w:ascii="Times New Roman" w:hAnsi="Times New Roman" w:cs="Times New Roman"/>
          <w:b/>
          <w:bCs/>
          <w:color w:val="auto"/>
          <w:lang w:val="de-DE"/>
        </w:rPr>
        <w:t>（2）废水总量指标核算</w:t>
      </w:r>
    </w:p>
    <w:p>
      <w:pPr>
        <w:adjustRightInd w:val="0"/>
        <w:ind w:firstLine="480"/>
        <w:rPr>
          <w:rFonts w:hint="default" w:ascii="Times New Roman" w:hAnsi="Times New Roman" w:cs="Times New Roman"/>
          <w:color w:val="auto"/>
          <w:lang w:val="de-DE"/>
        </w:rPr>
      </w:pPr>
      <w:r>
        <w:rPr>
          <w:rFonts w:hint="default" w:ascii="Times New Roman" w:hAnsi="Times New Roman" w:cs="Times New Roman"/>
          <w:color w:val="auto"/>
        </w:rPr>
        <w:t>本项目生产废水回用不外排，生活污水经预处理池（50m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）处理达“乐山沙湾经济开发区污水处理厂进水水质标准”后经污水管网排入乐山沙湾经济开发区污水处理厂处理达</w:t>
      </w:r>
      <w:r>
        <w:rPr>
          <w:rFonts w:hint="default" w:ascii="Times New Roman" w:hAnsi="Times New Roman" w:cs="Times New Roman"/>
          <w:color w:val="auto"/>
          <w:lang w:val="zh-CN"/>
        </w:rPr>
        <w:t>《四川省岷江、沱江流域水污染物排放标准》（</w:t>
      </w:r>
      <w:r>
        <w:rPr>
          <w:rFonts w:hint="default" w:ascii="Times New Roman" w:hAnsi="Times New Roman" w:cs="Times New Roman"/>
          <w:color w:val="auto"/>
        </w:rPr>
        <w:t>DB51/2133</w:t>
      </w:r>
      <w:r>
        <w:rPr>
          <w:rFonts w:hint="default" w:ascii="Times New Roman" w:hAnsi="Times New Roman" w:cs="Times New Roman"/>
          <w:color w:val="auto"/>
          <w:lang w:val="zh-CN"/>
        </w:rPr>
        <w:t>-20</w:t>
      </w:r>
      <w:r>
        <w:rPr>
          <w:rFonts w:hint="default" w:ascii="Times New Roman" w:hAnsi="Times New Roman" w:cs="Times New Roman"/>
          <w:color w:val="auto"/>
        </w:rPr>
        <w:t>16</w:t>
      </w:r>
      <w:r>
        <w:rPr>
          <w:rFonts w:hint="default" w:ascii="Times New Roman" w:hAnsi="Times New Roman" w:cs="Times New Roman"/>
          <w:color w:val="auto"/>
          <w:lang w:val="zh-CN"/>
        </w:rPr>
        <w:t>）表1中标准</w:t>
      </w:r>
      <w:r>
        <w:rPr>
          <w:rFonts w:hint="default" w:ascii="Times New Roman" w:hAnsi="Times New Roman" w:cs="Times New Roman"/>
          <w:color w:val="auto"/>
        </w:rPr>
        <w:t>（COD40mg/L、NH</w:t>
      </w:r>
      <w:r>
        <w:rPr>
          <w:rFonts w:hint="default" w:ascii="Times New Roman" w:hAnsi="Times New Roman" w:cs="Times New Roman"/>
          <w:color w:val="auto"/>
          <w:vertAlign w:val="subscript"/>
        </w:rPr>
        <w:t>3</w:t>
      </w:r>
      <w:r>
        <w:rPr>
          <w:rFonts w:hint="default" w:ascii="Times New Roman" w:hAnsi="Times New Roman" w:cs="Times New Roman"/>
          <w:color w:val="auto"/>
        </w:rPr>
        <w:t>-N3mg/L</w:t>
      </w:r>
      <w:r>
        <w:rPr>
          <w:rFonts w:hint="default" w:ascii="Times New Roman" w:hAnsi="Times New Roman" w:cs="Times New Roman"/>
          <w:color w:val="auto"/>
          <w:lang w:val="zh-CN"/>
        </w:rPr>
        <w:t>）后排入</w:t>
      </w:r>
      <w:r>
        <w:rPr>
          <w:rFonts w:hint="default" w:ascii="Times New Roman" w:hAnsi="Times New Roman" w:cs="Times New Roman"/>
          <w:color w:val="auto"/>
        </w:rPr>
        <w:t>大渡河。</w:t>
      </w:r>
    </w:p>
    <w:p>
      <w:pPr>
        <w:adjustRightInd w:val="0"/>
        <w:ind w:firstLine="482"/>
        <w:rPr>
          <w:rFonts w:hint="default" w:ascii="Times New Roman" w:hAnsi="Times New Roman" w:cs="Times New Roman"/>
          <w:b/>
          <w:bCs/>
          <w:color w:val="auto"/>
          <w:lang w:val="de-DE"/>
        </w:rPr>
      </w:pPr>
      <w:r>
        <w:rPr>
          <w:rFonts w:hint="default" w:ascii="Times New Roman" w:hAnsi="Times New Roman" w:cs="Times New Roman"/>
          <w:b/>
          <w:bCs/>
          <w:color w:val="auto"/>
          <w:lang w:val="de-DE"/>
        </w:rPr>
        <w:t>①</w:t>
      </w:r>
      <w:r>
        <w:rPr>
          <w:rFonts w:hint="default" w:ascii="Times New Roman" w:hAnsi="Times New Roman" w:cs="Times New Roman"/>
          <w:b/>
          <w:bCs/>
          <w:color w:val="auto"/>
        </w:rPr>
        <w:t>厂区排口</w:t>
      </w:r>
    </w:p>
    <w:p>
      <w:pPr>
        <w:adjustRightInd w:val="0"/>
        <w:ind w:firstLine="480"/>
        <w:rPr>
          <w:rFonts w:hint="default" w:ascii="Times New Roman" w:hAnsi="Times New Roman" w:cs="Times New Roman"/>
          <w:color w:val="auto"/>
          <w:lang w:val="de-DE"/>
        </w:rPr>
      </w:pPr>
      <w:r>
        <w:rPr>
          <w:rFonts w:hint="default" w:ascii="Times New Roman" w:hAnsi="Times New Roman" w:cs="Times New Roman"/>
          <w:color w:val="auto"/>
          <w:lang w:val="de-DE"/>
        </w:rPr>
        <w:t>COD：2856m</w:t>
      </w:r>
      <w:r>
        <w:rPr>
          <w:rFonts w:hint="default" w:ascii="Times New Roman" w:hAnsi="Times New Roman" w:cs="Times New Roman"/>
          <w:color w:val="auto"/>
          <w:vertAlign w:val="superscript"/>
          <w:lang w:val="de-DE"/>
        </w:rPr>
        <w:t>3</w:t>
      </w:r>
      <w:r>
        <w:rPr>
          <w:rFonts w:hint="default" w:ascii="Times New Roman" w:hAnsi="Times New Roman" w:cs="Times New Roman"/>
          <w:color w:val="auto"/>
          <w:lang w:val="de-DE"/>
        </w:rPr>
        <w:t>/a×300mg/L×10</w:t>
      </w:r>
      <w:r>
        <w:rPr>
          <w:rFonts w:hint="default" w:ascii="Times New Roman" w:hAnsi="Times New Roman" w:cs="Times New Roman"/>
          <w:color w:val="auto"/>
          <w:vertAlign w:val="superscript"/>
          <w:lang w:val="de-DE"/>
        </w:rPr>
        <w:t>-6</w:t>
      </w:r>
      <w:r>
        <w:rPr>
          <w:rFonts w:hint="default" w:ascii="Times New Roman" w:hAnsi="Times New Roman" w:cs="Times New Roman"/>
          <w:color w:val="auto"/>
          <w:lang w:val="de-DE"/>
        </w:rPr>
        <w:t>=0.857t/a</w:t>
      </w:r>
    </w:p>
    <w:p>
      <w:pPr>
        <w:adjustRightInd w:val="0"/>
        <w:ind w:firstLine="480"/>
        <w:rPr>
          <w:rFonts w:hint="default" w:ascii="Times New Roman" w:hAnsi="Times New Roman" w:cs="Times New Roman"/>
          <w:color w:val="auto"/>
          <w:lang w:val="de-DE"/>
        </w:rPr>
      </w:pPr>
      <w:r>
        <w:rPr>
          <w:rFonts w:hint="default" w:ascii="Times New Roman" w:hAnsi="Times New Roman" w:cs="Times New Roman"/>
          <w:color w:val="auto"/>
        </w:rPr>
        <w:t>氨氮</w:t>
      </w:r>
      <w:r>
        <w:rPr>
          <w:rFonts w:hint="default" w:ascii="Times New Roman" w:hAnsi="Times New Roman" w:cs="Times New Roman"/>
          <w:color w:val="auto"/>
          <w:lang w:val="de-DE"/>
        </w:rPr>
        <w:t>：2856m</w:t>
      </w:r>
      <w:r>
        <w:rPr>
          <w:rFonts w:hint="default" w:ascii="Times New Roman" w:hAnsi="Times New Roman" w:cs="Times New Roman"/>
          <w:color w:val="auto"/>
          <w:vertAlign w:val="superscript"/>
          <w:lang w:val="de-DE"/>
        </w:rPr>
        <w:t>3</w:t>
      </w:r>
      <w:r>
        <w:rPr>
          <w:rFonts w:hint="default" w:ascii="Times New Roman" w:hAnsi="Times New Roman" w:cs="Times New Roman"/>
          <w:color w:val="auto"/>
          <w:lang w:val="de-DE"/>
        </w:rPr>
        <w:t>/a×25mg/L×10</w:t>
      </w:r>
      <w:r>
        <w:rPr>
          <w:rFonts w:hint="default" w:ascii="Times New Roman" w:hAnsi="Times New Roman" w:cs="Times New Roman"/>
          <w:color w:val="auto"/>
          <w:vertAlign w:val="superscript"/>
          <w:lang w:val="de-DE"/>
        </w:rPr>
        <w:t>-6</w:t>
      </w:r>
      <w:r>
        <w:rPr>
          <w:rFonts w:hint="default" w:ascii="Times New Roman" w:hAnsi="Times New Roman" w:cs="Times New Roman"/>
          <w:color w:val="auto"/>
          <w:lang w:val="de-DE"/>
        </w:rPr>
        <w:t>=0.071t/a</w:t>
      </w:r>
    </w:p>
    <w:p>
      <w:pPr>
        <w:adjustRightInd w:val="0"/>
        <w:ind w:firstLine="482"/>
        <w:rPr>
          <w:rFonts w:hint="default" w:ascii="Times New Roman" w:hAnsi="Times New Roman" w:cs="Times New Roman"/>
          <w:b/>
          <w:bCs/>
          <w:color w:val="auto"/>
          <w:lang w:val="de-DE"/>
        </w:rPr>
      </w:pPr>
      <w:r>
        <w:rPr>
          <w:rFonts w:hint="default" w:ascii="Times New Roman" w:hAnsi="Times New Roman" w:cs="Times New Roman"/>
          <w:b/>
          <w:bCs/>
          <w:color w:val="auto"/>
          <w:lang w:val="de-DE"/>
        </w:rPr>
        <w:t>②</w:t>
      </w:r>
      <w:r>
        <w:rPr>
          <w:rFonts w:hint="default" w:ascii="Times New Roman" w:hAnsi="Times New Roman" w:cs="Times New Roman"/>
          <w:b/>
          <w:bCs/>
          <w:color w:val="auto"/>
        </w:rPr>
        <w:t>污水处理厂排口</w:t>
      </w:r>
    </w:p>
    <w:p>
      <w:pPr>
        <w:adjustRightInd w:val="0"/>
        <w:ind w:firstLine="480"/>
        <w:rPr>
          <w:rFonts w:hint="default" w:ascii="Times New Roman" w:hAnsi="Times New Roman" w:cs="Times New Roman"/>
          <w:color w:val="auto"/>
          <w:lang w:val="de-DE"/>
        </w:rPr>
      </w:pPr>
      <w:r>
        <w:rPr>
          <w:rFonts w:hint="default" w:ascii="Times New Roman" w:hAnsi="Times New Roman" w:cs="Times New Roman"/>
          <w:color w:val="auto"/>
          <w:lang w:val="de-DE"/>
        </w:rPr>
        <w:t>COD：2856m</w:t>
      </w:r>
      <w:r>
        <w:rPr>
          <w:rFonts w:hint="default" w:ascii="Times New Roman" w:hAnsi="Times New Roman" w:cs="Times New Roman"/>
          <w:color w:val="auto"/>
          <w:vertAlign w:val="superscript"/>
          <w:lang w:val="de-DE"/>
        </w:rPr>
        <w:t>3</w:t>
      </w:r>
      <w:r>
        <w:rPr>
          <w:rFonts w:hint="default" w:ascii="Times New Roman" w:hAnsi="Times New Roman" w:cs="Times New Roman"/>
          <w:color w:val="auto"/>
          <w:lang w:val="de-DE"/>
        </w:rPr>
        <w:t>/a×40mg/L×10</w:t>
      </w:r>
      <w:r>
        <w:rPr>
          <w:rFonts w:hint="default" w:ascii="Times New Roman" w:hAnsi="Times New Roman" w:cs="Times New Roman"/>
          <w:color w:val="auto"/>
          <w:vertAlign w:val="superscript"/>
          <w:lang w:val="de-DE"/>
        </w:rPr>
        <w:t>-6</w:t>
      </w:r>
      <w:r>
        <w:rPr>
          <w:rFonts w:hint="default" w:ascii="Times New Roman" w:hAnsi="Times New Roman" w:cs="Times New Roman"/>
          <w:color w:val="auto"/>
          <w:lang w:val="de-DE"/>
        </w:rPr>
        <w:t>=0.114t/a</w:t>
      </w:r>
    </w:p>
    <w:p>
      <w:pPr>
        <w:adjustRightInd w:val="0"/>
        <w:ind w:firstLine="480"/>
        <w:rPr>
          <w:rFonts w:hint="default" w:ascii="Times New Roman" w:hAnsi="Times New Roman" w:cs="Times New Roman"/>
          <w:color w:val="auto"/>
          <w:lang w:val="de-DE"/>
        </w:rPr>
      </w:pPr>
      <w:r>
        <w:rPr>
          <w:rFonts w:hint="default" w:ascii="Times New Roman" w:hAnsi="Times New Roman" w:cs="Times New Roman"/>
          <w:color w:val="auto"/>
        </w:rPr>
        <w:t>氨氮</w:t>
      </w:r>
      <w:r>
        <w:rPr>
          <w:rFonts w:hint="default" w:ascii="Times New Roman" w:hAnsi="Times New Roman" w:cs="Times New Roman"/>
          <w:color w:val="auto"/>
          <w:lang w:val="de-DE"/>
        </w:rPr>
        <w:t>：2856m</w:t>
      </w:r>
      <w:r>
        <w:rPr>
          <w:rFonts w:hint="default" w:ascii="Times New Roman" w:hAnsi="Times New Roman" w:cs="Times New Roman"/>
          <w:color w:val="auto"/>
          <w:vertAlign w:val="superscript"/>
          <w:lang w:val="de-DE"/>
        </w:rPr>
        <w:t>3</w:t>
      </w:r>
      <w:r>
        <w:rPr>
          <w:rFonts w:hint="default" w:ascii="Times New Roman" w:hAnsi="Times New Roman" w:cs="Times New Roman"/>
          <w:color w:val="auto"/>
          <w:lang w:val="de-DE"/>
        </w:rPr>
        <w:t>/a×3mg/L×10</w:t>
      </w:r>
      <w:r>
        <w:rPr>
          <w:rFonts w:hint="default" w:ascii="Times New Roman" w:hAnsi="Times New Roman" w:cs="Times New Roman"/>
          <w:color w:val="auto"/>
          <w:vertAlign w:val="superscript"/>
          <w:lang w:val="de-DE"/>
        </w:rPr>
        <w:t>-6</w:t>
      </w:r>
      <w:r>
        <w:rPr>
          <w:rFonts w:hint="default" w:ascii="Times New Roman" w:hAnsi="Times New Roman" w:cs="Times New Roman"/>
          <w:color w:val="auto"/>
          <w:lang w:val="de-DE"/>
        </w:rPr>
        <w:t>=0.009t/a</w:t>
      </w:r>
    </w:p>
    <w:p>
      <w:pPr>
        <w:overflowPunct w:val="0"/>
        <w:adjustRightInd w:val="0"/>
        <w:ind w:firstLine="480"/>
        <w:rPr>
          <w:rFonts w:hint="default" w:ascii="Times New Roman" w:hAnsi="Times New Roman" w:cs="Times New Roman"/>
          <w:color w:val="auto"/>
          <w:kern w:val="21"/>
          <w:u w:val="single"/>
        </w:rPr>
      </w:pPr>
      <w:r>
        <w:rPr>
          <w:rFonts w:hint="default" w:ascii="Times New Roman" w:hAnsi="Times New Roman" w:cs="Times New Roman"/>
          <w:snapToGrid w:val="0"/>
          <w:color w:val="auto"/>
          <w:kern w:val="21"/>
          <w:szCs w:val="22"/>
        </w:rPr>
        <w:t>综上所述，本项目建议污染物总量为：</w:t>
      </w:r>
    </w:p>
    <w:p>
      <w:pPr>
        <w:pStyle w:val="12"/>
        <w:adjustRightInd w:val="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bCs/>
          <w:snapToGrid w:val="0"/>
          <w:color w:val="auto"/>
          <w:kern w:val="21"/>
          <w:szCs w:val="21"/>
        </w:rPr>
        <w:t>总量控制建议指标单位：t/a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604"/>
        <w:gridCol w:w="3261"/>
        <w:gridCol w:w="2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Header/>
          <w:jc w:val="center"/>
        </w:trPr>
        <w:tc>
          <w:tcPr>
            <w:tcW w:w="641"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类别</w:t>
            </w:r>
          </w:p>
        </w:tc>
        <w:tc>
          <w:tcPr>
            <w:tcW w:w="941"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191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总量控制指标</w:t>
            </w:r>
          </w:p>
        </w:tc>
        <w:tc>
          <w:tcPr>
            <w:tcW w:w="1503" w:type="pct"/>
            <w:vAlign w:val="center"/>
          </w:tcPr>
          <w:p>
            <w:pPr>
              <w:pStyle w:val="65"/>
              <w:spacing w:before="65" w:after="65"/>
              <w:rPr>
                <w:rFonts w:hint="default" w:ascii="Times New Roman" w:hAnsi="Times New Roman" w:cs="Times New Roman"/>
                <w:b/>
                <w:bCs w:val="0"/>
                <w:color w:val="auto"/>
              </w:rPr>
            </w:pPr>
            <w:r>
              <w:rPr>
                <w:rFonts w:hint="default" w:ascii="Times New Roman" w:hAnsi="Times New Roman" w:cs="Times New Roman"/>
                <w:b/>
                <w:bCs w:val="0"/>
                <w:color w:val="auto"/>
              </w:rPr>
              <w:t>双倍替代量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废气</w:t>
            </w:r>
          </w:p>
        </w:tc>
        <w:tc>
          <w:tcPr>
            <w:tcW w:w="94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颗粒物</w:t>
            </w:r>
          </w:p>
        </w:tc>
        <w:tc>
          <w:tcPr>
            <w:tcW w:w="191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0.708</w:t>
            </w:r>
          </w:p>
        </w:tc>
        <w:tc>
          <w:tcPr>
            <w:tcW w:w="15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1.416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 w:type="pct"/>
            <w:vMerge w:val="restar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废水</w:t>
            </w:r>
          </w:p>
        </w:tc>
        <w:tc>
          <w:tcPr>
            <w:tcW w:w="94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COD</w:t>
            </w:r>
          </w:p>
        </w:tc>
        <w:tc>
          <w:tcPr>
            <w:tcW w:w="191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0.857</w:t>
            </w:r>
          </w:p>
        </w:tc>
        <w:tc>
          <w:tcPr>
            <w:tcW w:w="15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1" w:type="pct"/>
            <w:vMerge w:val="continue"/>
            <w:vAlign w:val="center"/>
          </w:tcPr>
          <w:p>
            <w:pPr>
              <w:pStyle w:val="65"/>
              <w:spacing w:before="65" w:after="65"/>
              <w:rPr>
                <w:rFonts w:hint="default" w:ascii="Times New Roman" w:hAnsi="Times New Roman" w:cs="Times New Roman"/>
                <w:color w:val="auto"/>
              </w:rPr>
            </w:pPr>
          </w:p>
        </w:tc>
        <w:tc>
          <w:tcPr>
            <w:tcW w:w="941"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氨氮</w:t>
            </w:r>
          </w:p>
        </w:tc>
        <w:tc>
          <w:tcPr>
            <w:tcW w:w="191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0.071</w:t>
            </w:r>
          </w:p>
        </w:tc>
        <w:tc>
          <w:tcPr>
            <w:tcW w:w="1503" w:type="pct"/>
            <w:vAlign w:val="center"/>
          </w:tcPr>
          <w:p>
            <w:pPr>
              <w:pStyle w:val="65"/>
              <w:spacing w:before="65" w:after="65"/>
              <w:rPr>
                <w:rFonts w:hint="default" w:ascii="Times New Roman" w:hAnsi="Times New Roman" w:cs="Times New Roman"/>
                <w:color w:val="auto"/>
              </w:rPr>
            </w:pPr>
            <w:r>
              <w:rPr>
                <w:rFonts w:hint="default" w:ascii="Times New Roman" w:hAnsi="Times New Roman" w:cs="Times New Roman"/>
                <w:color w:val="auto"/>
              </w:rPr>
              <w:t>0</w:t>
            </w:r>
          </w:p>
        </w:tc>
      </w:tr>
    </w:tbl>
    <w:p>
      <w:pPr>
        <w:pStyle w:val="3"/>
        <w:adjustRightInd w:val="0"/>
        <w:rPr>
          <w:rFonts w:hint="default" w:ascii="Times New Roman" w:hAnsi="Times New Roman" w:cs="Times New Roman"/>
          <w:color w:val="auto"/>
        </w:rPr>
      </w:pPr>
      <w:bookmarkStart w:id="127" w:name="_Toc3432"/>
      <w:r>
        <w:rPr>
          <w:rFonts w:hint="default" w:ascii="Times New Roman" w:hAnsi="Times New Roman" w:cs="Times New Roman"/>
          <w:color w:val="auto"/>
        </w:rPr>
        <w:t>清洁生产水平</w:t>
      </w:r>
      <w:bookmarkEnd w:id="127"/>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清洁生产是将整体预防的环境战</w:t>
      </w:r>
      <w:r>
        <w:rPr>
          <w:rFonts w:hint="eastAsia" w:cs="Times New Roman"/>
          <w:color w:val="auto"/>
          <w:kern w:val="21"/>
          <w:szCs w:val="22"/>
          <w:lang w:eastAsia="zh-CN"/>
        </w:rPr>
        <w:t>本部分涉密</w:t>
      </w:r>
      <w:r>
        <w:rPr>
          <w:rFonts w:hint="default" w:ascii="Times New Roman" w:hAnsi="Times New Roman" w:cs="Times New Roman"/>
          <w:color w:val="auto"/>
          <w:kern w:val="21"/>
          <w:szCs w:val="22"/>
        </w:rPr>
        <w:t>贯穿于整个产品、服务的生命周期中，以期提高生产效率，并减少对社会和环境的风险，通过生产全过程的控制和资源、能源的合理处置，实现经济建设与环境保护协调发展。</w:t>
      </w:r>
    </w:p>
    <w:p>
      <w:pPr>
        <w:pStyle w:val="4"/>
        <w:adjustRightInd w:val="0"/>
        <w:rPr>
          <w:rFonts w:hint="default" w:ascii="Times New Roman" w:hAnsi="Times New Roman" w:cs="Times New Roman"/>
          <w:color w:val="auto"/>
        </w:rPr>
      </w:pPr>
      <w:bookmarkStart w:id="128" w:name="_Toc15645"/>
      <w:r>
        <w:rPr>
          <w:rFonts w:hint="default" w:ascii="Times New Roman" w:hAnsi="Times New Roman" w:cs="Times New Roman"/>
          <w:color w:val="auto"/>
        </w:rPr>
        <w:t>资源综合利用指标分析</w:t>
      </w:r>
      <w:bookmarkEnd w:id="128"/>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一、水资源综合利用</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本项目的生产及污染物的处理工艺过程简单，污染物排放种类少，成份较简单，对本项目而言，采取的水资源综合利用措施如下：</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（1）本项目生产中用水均收集处理，有效节约了水资源。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（2）生产废水经处理设施处理后回用。</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（3）将外排的生活污水进行有效处理利用。</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二、物料综合利用</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加工生产过程</w:t>
      </w:r>
      <w:r>
        <w:rPr>
          <w:rFonts w:hint="eastAsia" w:cs="Times New Roman"/>
          <w:color w:val="auto"/>
          <w:kern w:val="21"/>
          <w:szCs w:val="22"/>
          <w:lang w:eastAsia="zh-CN"/>
        </w:rPr>
        <w:t>采选</w:t>
      </w:r>
      <w:r>
        <w:rPr>
          <w:rFonts w:hint="default" w:ascii="Times New Roman" w:hAnsi="Times New Roman" w:cs="Times New Roman"/>
          <w:color w:val="auto"/>
          <w:kern w:val="21"/>
          <w:szCs w:val="22"/>
        </w:rPr>
        <w:t>的尾矿定期打入浓密池中，再由压滤机进行压滤，作为陶瓷厂原料外售，项目固体废物综合利用率可达100%。本项目采用成熟的生产工艺技术，工艺水全部循环利用，固体废物处理后100%综合利用；同时对各类污染物采取有效的防治措施等，实现了物料消耗的循环利用和减量化、废物回收利用和无害化处理，大大减少了污染排放量，减轻了对区域生态环境的影响，充分体现了循环经济的特点，将为企业的可持续发展创造有利条件。项目有用金属锂矿回收率为80%。</w:t>
      </w:r>
    </w:p>
    <w:p>
      <w:pPr>
        <w:pStyle w:val="4"/>
        <w:adjustRightInd w:val="0"/>
        <w:rPr>
          <w:rFonts w:hint="default" w:ascii="Times New Roman" w:hAnsi="Times New Roman" w:cs="Times New Roman"/>
          <w:color w:val="auto"/>
        </w:rPr>
      </w:pPr>
      <w:bookmarkStart w:id="129" w:name="_Toc12606"/>
      <w:r>
        <w:rPr>
          <w:rFonts w:hint="default" w:ascii="Times New Roman" w:hAnsi="Times New Roman" w:cs="Times New Roman"/>
          <w:color w:val="auto"/>
        </w:rPr>
        <w:t>清洁生产水平分析</w:t>
      </w:r>
      <w:bookmarkEnd w:id="129"/>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为贯彻实施《中华人民共和国清洁生产促进法》，进一步推动信息产业提高清洁生产水平，防治污染，节约资源，增长经济效益，并为行业生产过程中开展清洁生产提供技术支持和导向。清洁生产分析的核心目的是立足于“整体预防，改末端治理为全过程控制”，从生产工艺技术、资源能源利用指标、产品指标、污染物产生指标、废物回收利用指标及环境管理要求八个方面进行比较，综合分析本项目生产的清洁性，分析其存在的问题，提出进一步提高清洁水平的途径和方向。</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一、生产工艺的先进性和可行性</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在选矿加工生产实践中，所加工原料的性质来决定生产工艺，是生产活动的基本条件。选择合适的生产工艺后，高效的工艺设备是生产经营好坏的关键；在项目的可行性研究阶段，应充分考虑企业本身所具备的基本生产条件，在选矿加工厂初步设计阶段就要对全厂设备进行合理选择、计算和匹配，选择高效节能、环保型先进的选矿加工设备，以适应选矿加工生产的机械化和自动化程度越来越高的要求；加工厂设备对生产过程中原材料和动力的消耗也关系很大，会直接影响产品的成本和销售利润、市场竞争力；加工厂设备还是影响生产安全、环境保护的主要因素，并对操作者的劳动情绪有不可忽视的影响。</w:t>
      </w:r>
    </w:p>
    <w:p>
      <w:pPr>
        <w:overflowPunct w:val="0"/>
        <w:adjustRightInd w:val="0"/>
        <w:ind w:firstLine="480"/>
        <w:rPr>
          <w:rFonts w:hint="default" w:ascii="Times New Roman" w:hAnsi="Times New Roman" w:cs="Times New Roman"/>
          <w:color w:val="auto"/>
          <w:kern w:val="21"/>
          <w:szCs w:val="22"/>
        </w:rPr>
      </w:pPr>
      <w:r>
        <w:rPr>
          <w:rFonts w:hint="eastAsia" w:cs="Times New Roman"/>
          <w:color w:val="auto"/>
          <w:kern w:val="21"/>
          <w:szCs w:val="22"/>
          <w:lang w:val="en-US" w:eastAsia="zh-CN"/>
        </w:rPr>
        <w:t>根据《我国锂辉石矿选矿技术研究现状及展望》（李成秀，程仁举，刘星，doi:10.3969/j.issn.1000-6532.2021.05.001），</w:t>
      </w:r>
      <w:r>
        <w:rPr>
          <w:rFonts w:hint="default" w:ascii="Times New Roman" w:hAnsi="Times New Roman" w:cs="Times New Roman"/>
          <w:color w:val="auto"/>
          <w:kern w:val="21"/>
          <w:szCs w:val="22"/>
        </w:rPr>
        <w:t>目前锂辉矿的选矿方法主要有浮选法、重介质选矿法、磁选法、联合选矿法等。本项目选用浮选法及磁选法相结合的生产工艺，该技术能有效地解决原料中存在品位较低和铁含量较高的问题，废水可实现循环利用，产品质量稳定，环境污染可有效减轻，其生产工艺总体达到了国内先进水平，属清洁生产工艺。</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二、原辅材料及产品清洁性分析</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1、原辅材料清洁性分析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项目所需的原辅材料均可在省内购买，由供应方送到厂区内，避免了贮运带来的环境风险。</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项目所需的原、辅材料主要有原料矿、浮选剂等，其清洁生产水平属于国内先进水平。</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2、产品清洁性分析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本项目产品为锂辉石精矿。可广泛用于玻璃、铸造、陶瓷及耐火材料、冶金、建筑、化工、塑料、橡胶、磨料等工业。</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锂辉石精矿作为陶瓷、玻璃等的核心原料在生产与供应中起着不可替代的重要基础作用。它所具有的独特的物理、化学光学特性，使得其在许多高科技产品中发挥着越来越重要的作用，如，IT行业的核心技术产品--计算机芯片，光导纤维，电子产业的谐振器，新型电光源，高绝缘的封接材料，航空航天仪器，军工技术产品，特种光学玻璃，化学分析仪器等等，都离不开这些基础原料。特别是锂长石在玻璃生产制造中，锂的加入可有效提高玻璃生产的节能降耗。本项目生产的锂辉石精矿属清洁产品。</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三、设备及装置清洁生产分析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w:t>
      </w:r>
      <w:r>
        <w:rPr>
          <w:rFonts w:hint="default" w:ascii="Times New Roman" w:hAnsi="Times New Roman" w:cs="Times New Roman"/>
          <w:color w:val="auto"/>
          <w:kern w:val="21"/>
          <w:szCs w:val="24"/>
          <w:lang w:bidi="ar"/>
        </w:rPr>
        <w:t>本项目主要关键设备及设施均根据项目原料、场地等综合因素购买或自行</w:t>
      </w:r>
      <w:r>
        <w:rPr>
          <w:rFonts w:hint="default" w:ascii="Times New Roman" w:hAnsi="Times New Roman" w:cs="Times New Roman"/>
          <w:color w:val="auto"/>
          <w:kern w:val="21"/>
          <w:szCs w:val="22"/>
        </w:rPr>
        <w:t>设</w:t>
      </w:r>
      <w:r>
        <w:rPr>
          <w:rFonts w:hint="default" w:ascii="Times New Roman" w:hAnsi="Times New Roman" w:cs="Times New Roman"/>
          <w:color w:val="auto"/>
          <w:kern w:val="21"/>
          <w:szCs w:val="24"/>
          <w:lang w:bidi="ar"/>
        </w:rPr>
        <w:t>计生产，以提高物料转化成产品的得率，减少单位产量物料消耗量和污染物</w:t>
      </w:r>
      <w:r>
        <w:rPr>
          <w:rFonts w:hint="default" w:ascii="Times New Roman" w:hAnsi="Times New Roman" w:cs="Times New Roman"/>
          <w:color w:val="auto"/>
          <w:kern w:val="21"/>
          <w:szCs w:val="22"/>
        </w:rPr>
        <w:t>产生</w:t>
      </w:r>
      <w:r>
        <w:rPr>
          <w:rFonts w:hint="default" w:ascii="Times New Roman" w:hAnsi="Times New Roman" w:cs="Times New Roman"/>
          <w:color w:val="auto"/>
          <w:kern w:val="21"/>
          <w:szCs w:val="24"/>
          <w:lang w:bidi="ar"/>
        </w:rPr>
        <w:t>量，生产设</w:t>
      </w:r>
      <w:r>
        <w:rPr>
          <w:rFonts w:hint="default" w:ascii="Times New Roman" w:hAnsi="Times New Roman" w:cs="Times New Roman"/>
          <w:color w:val="auto"/>
          <w:kern w:val="21"/>
          <w:szCs w:val="22"/>
        </w:rPr>
        <w:t>备技术性能达到国内先进水平。提高了产品生产效率，降低产品单耗。</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2、本项目采用节能设备降低能耗，所有选矿用水循环使用。</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3、本项目整个生产过程的操作及主要动力设备的状态显示、停止操作均可在操作站上完成，生产过程中的主要工艺参数将在操作点中进行显示、记录、报警，并通过控制系统进行调节，项目自控技术水平较高。</w:t>
      </w:r>
    </w:p>
    <w:p>
      <w:pPr>
        <w:pStyle w:val="4"/>
        <w:adjustRightInd w:val="0"/>
        <w:rPr>
          <w:rFonts w:hint="default" w:ascii="Times New Roman" w:hAnsi="Times New Roman" w:cs="Times New Roman"/>
          <w:color w:val="auto"/>
        </w:rPr>
      </w:pPr>
      <w:bookmarkStart w:id="130" w:name="_Toc3850"/>
      <w:r>
        <w:rPr>
          <w:rFonts w:hint="default" w:ascii="Times New Roman" w:hAnsi="Times New Roman" w:cs="Times New Roman"/>
          <w:color w:val="auto"/>
        </w:rPr>
        <w:t>小结</w:t>
      </w:r>
      <w:bookmarkEnd w:id="130"/>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综上所述，本项目所采用的生产工艺、生产设备先进；原材料消耗指标均达到国内先进水平，能源消耗及污染物产生量指标处于国内先进水平，其它指标均处于国内先进水平，项目清洁生产水平比较高。</w:t>
      </w:r>
    </w:p>
    <w:p>
      <w:pPr>
        <w:pStyle w:val="37"/>
        <w:adjustRightInd w:val="0"/>
        <w:ind w:firstLine="480"/>
        <w:rPr>
          <w:rFonts w:hint="default" w:ascii="Times New Roman" w:hAnsi="Times New Roman" w:cs="Times New Roman"/>
          <w:color w:val="auto"/>
        </w:rPr>
      </w:pPr>
    </w:p>
    <w:p>
      <w:pPr>
        <w:pStyle w:val="37"/>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pPr>
    </w:p>
    <w:p>
      <w:pPr>
        <w:adjustRightInd w:val="0"/>
        <w:ind w:firstLine="480"/>
        <w:rPr>
          <w:rFonts w:hint="default" w:ascii="Times New Roman" w:hAnsi="Times New Roman" w:cs="Times New Roman"/>
          <w:color w:val="auto"/>
        </w:rPr>
        <w:sectPr>
          <w:pgSz w:w="11906" w:h="16838"/>
          <w:pgMar w:top="1440" w:right="1800" w:bottom="1440" w:left="1800" w:header="851" w:footer="992" w:gutter="0"/>
          <w:cols w:space="425" w:num="1"/>
          <w:docGrid w:type="lines" w:linePitch="326" w:charSpace="0"/>
        </w:sectPr>
      </w:pPr>
    </w:p>
    <w:p>
      <w:pPr>
        <w:pStyle w:val="2"/>
        <w:adjustRightInd w:val="0"/>
        <w:rPr>
          <w:rFonts w:hint="default" w:ascii="Times New Roman" w:hAnsi="Times New Roman" w:cs="Times New Roman"/>
          <w:color w:val="auto"/>
        </w:rPr>
      </w:pPr>
      <w:bookmarkStart w:id="131" w:name="_Toc15178"/>
      <w:r>
        <w:rPr>
          <w:rFonts w:hint="default" w:ascii="Times New Roman" w:hAnsi="Times New Roman" w:cs="Times New Roman"/>
          <w:color w:val="auto"/>
        </w:rPr>
        <w:t>区域环境质量概况</w:t>
      </w:r>
      <w:bookmarkEnd w:id="131"/>
    </w:p>
    <w:p>
      <w:pPr>
        <w:pStyle w:val="3"/>
        <w:adjustRightInd w:val="0"/>
        <w:rPr>
          <w:rFonts w:hint="default" w:ascii="Times New Roman" w:hAnsi="Times New Roman" w:cs="Times New Roman"/>
          <w:color w:val="auto"/>
        </w:rPr>
      </w:pPr>
      <w:bookmarkStart w:id="132" w:name="_Toc18708"/>
      <w:r>
        <w:rPr>
          <w:rFonts w:hint="default" w:ascii="Times New Roman" w:hAnsi="Times New Roman" w:cs="Times New Roman"/>
          <w:color w:val="auto"/>
        </w:rPr>
        <w:t>地理位置</w:t>
      </w:r>
      <w:bookmarkEnd w:id="132"/>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沙湾区是乐山市县级市辖区，位于四川盆地西南边缘，地理坐标介于东经103°25′13″至103°44′10″，北纬29°11′18″至29°31′30″之间。周边相邻6个区市县：北连乐山市市中区，南界沐川、峨边两县，东临五通桥区和犍为县，西靠峨眉山市，幅员面积610.89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嘉农镇地处沙湾区西北部，东临大渡河与太平镇隔水相望，北接市中区罗汉镇，南临沙湾镇，西接峨眉山市乐都镇和市中区临江乡，位于东经103°31'30”-103°38'05”，北纬29°25'42”-29°31'30”之间，幅员面积42.07平方公里。从镇政府驻地盐溪口南至沙湾城区，公路里程11公里，北至乐山市中心城区，公路里程28公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本项目位于沙湾区嘉农镇凤凰路1号（乐山（沙湾）不锈钢工业园区内），地势较平坦。项目地理位置见附图1。</w:t>
      </w:r>
    </w:p>
    <w:p>
      <w:pPr>
        <w:pStyle w:val="3"/>
        <w:adjustRightInd w:val="0"/>
        <w:rPr>
          <w:rFonts w:hint="default" w:ascii="Times New Roman" w:hAnsi="Times New Roman" w:cs="Times New Roman"/>
          <w:color w:val="auto"/>
        </w:rPr>
      </w:pPr>
      <w:bookmarkStart w:id="133" w:name="_Toc32201"/>
      <w:r>
        <w:rPr>
          <w:rFonts w:hint="default" w:ascii="Times New Roman" w:hAnsi="Times New Roman" w:cs="Times New Roman"/>
          <w:color w:val="auto"/>
        </w:rPr>
        <w:t>地形、地貌</w:t>
      </w:r>
      <w:bookmarkEnd w:id="133"/>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乐山市沙湾区位于四川盆地西南边缘，是四川盆地向盆周山地两个1级地貌单元的过渡地带，境内地层地质结构为形成多种地貌形态奠定了基础。因新构造运动，形成了东北部丘陵、平坝，西南部盆周山地地貌。东北部丘陵、平坝属相对下沉区，以剥蚀、堆积地貌为主；西部盆周山地为新构造运动强烈上升区，以侵蚀、剥蚀地貌为主。</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地貌形态以岩性控制地貌形态，且多喀斯特地貌为其特征；地形类型既有山地区，又有丘陵区和平坝区，以山地地形为主，地势呈西南高东北低。北连峨（眉）夹（江）平原，西与南接川西南山地，东部与川中丘陵相连。整个地形呈倾斜状，由西南部中山、低中山向东北渐变为中低山、低山直到东北部变为丘陵、平坝。主要分布情况：大渡河以西的三峨山、二峨山一带为中山区，最高海拔2110.27m；大渡河以东沫溪河以南五显埂至铜街子一带为低山区，海拔600～882m；山地面积占总面积的72.7％；丘陵区分布于丰都届、沫溪河以北，面积71km2；平坝区分布于大渡河、沫溪河沿岸，由11级阶地、I级阶地及河漫滩构成，占总面积的13.6％。</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嘉农镇地貌属平原、低丘类型，西南部兼有少量山地地貌，以平原为主，约占幅员面积80%，平原由大渡河沿岸的一级阶地和河漫滩、河心洲坝组成。最大的平原是嘉农平原，北起燎原村，南至新兴村。最大的河心洲坝是魏坝，次之的有沫东坝、王场坝、羊子坝、大冯坝等。西部为低丘区，地势西高东低，最低海拔383.5m，在分场村羊子大坝大渡河漫滩。</w:t>
      </w:r>
    </w:p>
    <w:p>
      <w:pPr>
        <w:pStyle w:val="3"/>
        <w:adjustRightInd w:val="0"/>
        <w:rPr>
          <w:rFonts w:hint="default" w:ascii="Times New Roman" w:hAnsi="Times New Roman" w:cs="Times New Roman"/>
          <w:color w:val="auto"/>
        </w:rPr>
      </w:pPr>
      <w:bookmarkStart w:id="134" w:name="_Toc17505"/>
      <w:r>
        <w:rPr>
          <w:rFonts w:hint="default" w:ascii="Times New Roman" w:hAnsi="Times New Roman" w:cs="Times New Roman"/>
          <w:color w:val="auto"/>
        </w:rPr>
        <w:t>气象气候</w:t>
      </w:r>
      <w:bookmarkEnd w:id="13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沙湾区地处四川盆地西南边缘，属盆周山区，地貌以山地为主。除沿大渡河狭长地段为平坝外，其余均为中山，海拔相对高度为1623m。沙湾区属亚热带季风区，呈湿润性季风气候，气候随海拔高度的变化而变化，其特点是一年四季分明，雨量充沛，夏季降水较多且多暴雨，尤以夜间降雨为主要特征。年平均气温17.3摄氏度。最热在7月，平均月气温26摄氏度；最冷为1月，平均月气温摄氏7.3度。年平均日照数1091.6小时，日极端最高气温摄氏38.1度，日极端最低气温摄氏零下4.3度。自然灾害有干旱、洪涝、暴雨、泥石流、低温、秋绵雨、大风、冰雹等。</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于海拔高度的变化和迎风坡和背风坡的影响，区内坝丘区和山区降雨差异在500毫米以上。坝丘区多年平均年降雨量1200～1400毫米。北少南多，东少西多。二峨山、三峨山等中山顶部降雨量1900毫米以上。四季降雨量分配不均是该区季风气候的显著表现，夏季（6～8月）降雨量782.7毫米，占全年的59%，冬季（12～2月）降雨量54.4毫米，占全年的4～5%，春季降雨量230.7毫米，秋季降雨量267.6毫米。7、8两月降雨最集中，平均雨量分别为314.4、321.7毫米，最少为1月和12月，分别是15.4、14.6毫米。随着海拔高度升高，冬季雨量比例稍有增大，对于山地区域，降雨强度随高度上升而增。全年平均降雨量为1430毫米，降雨日数平均为185天左右，最多年份210天，最少年份150天。平坝、丘陵区域无霜期长，霜雪稀。平均无霜期330天，降雪通常随降随化，年平均积雪时间仅0.3天，连续积雪时间不超过一天，一般是夜间积雪，次日上午消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日照受地形和降水、云雾影响，分布较悬殊。开阔地日照时数随海拔高度每上升100米而下降5～10小时。光照资源的季节分配合理，夏季是黄金时期，每年7、8月是高光照时期，其次是4月。由于有较好的光热条件，坝区和低山区几乎没有高温干旱，没有严寒冰冻，作物四季都能生长，光照资源的有效性好，利用率高。</w:t>
      </w:r>
    </w:p>
    <w:p>
      <w:pPr>
        <w:pStyle w:val="3"/>
        <w:adjustRightInd w:val="0"/>
        <w:rPr>
          <w:rFonts w:hint="default" w:ascii="Times New Roman" w:hAnsi="Times New Roman" w:cs="Times New Roman"/>
          <w:color w:val="auto"/>
        </w:rPr>
      </w:pPr>
      <w:bookmarkStart w:id="135" w:name="_Toc1442"/>
      <w:r>
        <w:rPr>
          <w:rFonts w:hint="default" w:ascii="Times New Roman" w:hAnsi="Times New Roman" w:cs="Times New Roman"/>
          <w:color w:val="auto"/>
        </w:rPr>
        <w:t>水文地质</w:t>
      </w:r>
      <w:bookmarkEnd w:id="135"/>
    </w:p>
    <w:p>
      <w:pPr>
        <w:pStyle w:val="4"/>
        <w:adjustRightInd w:val="0"/>
        <w:rPr>
          <w:rFonts w:hint="default" w:ascii="Times New Roman" w:hAnsi="Times New Roman" w:cs="Times New Roman"/>
          <w:color w:val="auto"/>
        </w:rPr>
      </w:pPr>
      <w:bookmarkStart w:id="136" w:name="_Toc31023"/>
      <w:r>
        <w:rPr>
          <w:rFonts w:hint="default" w:ascii="Times New Roman" w:hAnsi="Times New Roman" w:cs="Times New Roman"/>
          <w:color w:val="auto"/>
        </w:rPr>
        <w:t>水文条件</w:t>
      </w:r>
      <w:bookmarkEnd w:id="136"/>
    </w:p>
    <w:p>
      <w:pPr>
        <w:pStyle w:val="5"/>
        <w:adjustRightInd w:val="0"/>
        <w:rPr>
          <w:rFonts w:hint="default" w:ascii="Times New Roman" w:hAnsi="Times New Roman" w:cs="Times New Roman"/>
          <w:color w:val="auto"/>
        </w:rPr>
      </w:pPr>
      <w:r>
        <w:rPr>
          <w:rFonts w:hint="default" w:ascii="Times New Roman" w:hAnsi="Times New Roman" w:cs="Times New Roman"/>
          <w:color w:val="auto"/>
        </w:rPr>
        <w:t>地表水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（1）地表水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大渡河是嘉农镇境内的主要河流，区域内还有明代水利工程——红猫堰。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①大渡河</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大渡河古称沫水（亦称铜河），发源于青海省巴颜喀拉山南麓，由大金川、小金川在丹巴县城东汇合，经石棉、汉源、峨边自治县于沙湾区范店乡李子坪村入境，经龚嘴、铜街子、福禄、沙湾，于嘉农镇燎原村出境，在乐山注入岷江。区境内流长118km，流域面积369.35km</w:t>
      </w:r>
      <w:r>
        <w:rPr>
          <w:rFonts w:hint="default" w:ascii="Times New Roman" w:hAnsi="Times New Roman" w:cs="Times New Roman"/>
          <w:color w:val="auto"/>
          <w:vertAlign w:val="superscript"/>
        </w:rPr>
        <w:t>2</w:t>
      </w:r>
      <w:r>
        <w:rPr>
          <w:rFonts w:hint="default" w:ascii="Times New Roman" w:hAnsi="Times New Roman" w:cs="Times New Roman"/>
          <w:color w:val="auto"/>
        </w:rPr>
        <w:t>。大渡河福禄水文站记录多年平均流量为每秒1490m</w:t>
      </w:r>
      <w:r>
        <w:rPr>
          <w:rFonts w:hint="default" w:ascii="Times New Roman" w:hAnsi="Times New Roman" w:cs="Times New Roman"/>
          <w:color w:val="auto"/>
          <w:vertAlign w:val="superscript"/>
        </w:rPr>
        <w:t>3</w:t>
      </w:r>
      <w:r>
        <w:rPr>
          <w:rFonts w:hint="default" w:ascii="Times New Roman" w:hAnsi="Times New Roman" w:cs="Times New Roman"/>
          <w:color w:val="auto"/>
        </w:rPr>
        <w:t>，大渡河石棉至铜街子为下游，铜街子至乐山城下注入岷江的河段为河口段。沙湾区境内的大渡河属下游与河口段。大渡河在沙湾区接纳的主要支流有：范店沟、刘沟、斡溪、先村沟、插旗沟、六并沟、余溪，均为小型山地溪河。</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②红猫堰</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嘉农镇境内有明代水利工程——红猫堰，由南向北纵贯沙湾区的嘉农镇，市中区的罗汉镇和水口镇。嘉农镇境内自红猫堰流域灌溉农田面积6000亩，占全镇农田总面积的75%以上。</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红猫堰由园区西南侧沙湾嘉农镇（丰都庙）大渡河左岸花园口引水，由南用地后，从嘉华水泥有限公司的西北侧出园区。红猫堰是一座始建于明朝的以灌溉为主，兼顾防洪，人畜饮水的中型国有水利工程，原取水口位于沙湾镇姚河坝大渡河左岸岩基背。1998年，由于河床变迁，沙湾堤防工程整治，先取水口改至沙湾嘉农镇（丰都庙）大渡河左岸花园口。枢纽工程设有拦河溢流坝313米，设计流量4.5立方米/秒，设计灌面1.76万亩，有效灌面1.52万亩，由于各种企业占地和公益建设占地，实际灌面1.36万亩。控灌沙湾区嘉农镇，市中区罗汉镇和水口镇25个村，灌区内受益人口5.6万人，工程干渠14.06公里，支渠4.2公里，灌区集雨面积45.2平方公里，有泄洪渠8条4.85公里，有泄洪闸8座，节制闸2座，工程有隧洞1座长1260米，渡槽2座长20米，倒虹管1处长27米，跌水4座长45米。以上的钢闸门13座，且有战线长，地质差，山区渠道多，且多为土渠，水利用系数仅为0.3左右，建筑物多，交通不是很方便的特点，渠道面积为337亩。</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地下水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据区域水文地质资料及钻孔揭露，场区地下水为松散堆积层孔隙水，属潜水。主要赋存于③层卵石中，属潜水，其透水性好，含水量丰富，接受大气降雨、地表水、红猫堰水的补给，顺层径流往低处排泄，并与红猫堰水呈相互补排关系。根据访问，拟建场地地下水年变幅2～4m；②层粉质黏土渗透系数约0.5～1m/d；③层卵石渗透系数约35～45m/d。根据调查访问，常年最高地下水位标高约383m，近3～5年最高地下水位标高约384m，历史最高地下水位标高约385m。可见，该层地下水与拟建工程关系密切，施工时应考虑排水措施。</w:t>
      </w:r>
    </w:p>
    <w:p>
      <w:pPr>
        <w:pStyle w:val="4"/>
        <w:adjustRightInd w:val="0"/>
        <w:rPr>
          <w:rFonts w:hint="default" w:ascii="Times New Roman" w:hAnsi="Times New Roman" w:cs="Times New Roman"/>
          <w:color w:val="auto"/>
        </w:rPr>
      </w:pPr>
      <w:bookmarkStart w:id="137" w:name="_Toc21834"/>
      <w:r>
        <w:rPr>
          <w:rFonts w:hint="default" w:ascii="Times New Roman" w:hAnsi="Times New Roman" w:cs="Times New Roman"/>
          <w:color w:val="auto"/>
        </w:rPr>
        <w:t>地层岩性</w:t>
      </w:r>
      <w:bookmarkEnd w:id="137"/>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根据《沙湾区新建50万吨锂矿加工综合利用项目岩土工程详细勘察报告》，场地表层覆盖第四系全新统人工填土层素填土（Q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ml</w:t>
      </w:r>
      <w:r>
        <w:rPr>
          <w:rFonts w:hint="default" w:ascii="Times New Roman" w:hAnsi="Times New Roman" w:cs="Times New Roman"/>
          <w:color w:val="auto"/>
        </w:rPr>
        <w:t>），第四系全新统冲洪积堆积层粉质黏土及卵石土（Q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al+pl</w:t>
      </w:r>
      <w:r>
        <w:rPr>
          <w:rFonts w:hint="default" w:ascii="Times New Roman" w:hAnsi="Times New Roman" w:cs="Times New Roman"/>
          <w:color w:val="auto"/>
        </w:rPr>
        <w:t>），共分为三层，岩土特征</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自上而下简述如下：</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（1）第四系全新统人素填土（Q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ml</w:t>
      </w:r>
      <w:r>
        <w:rPr>
          <w:rFonts w:hint="default" w:ascii="Times New Roman" w:hAnsi="Times New Roman" w:cs="Times New Roman"/>
          <w:color w:val="auto"/>
        </w:rPr>
        <w:t>）</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①层：素填土（Q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ml</w:t>
      </w:r>
      <w:r>
        <w:rPr>
          <w:rFonts w:hint="default" w:ascii="Times New Roman" w:hAnsi="Times New Roman" w:cs="Times New Roman"/>
          <w:color w:val="auto"/>
        </w:rPr>
        <w:t>）人工回填成因，全区分布。呈灰褐色，松散，稍湿，成分主要以卵石、粉质黏土为主，含少量的建筑垃圾。粗颗粒含量约25～35%，回填时间约6～10年。为原厂区及周边项目建设开挖的弃土自然堆积形成，未经碾压夯实，均匀性差，压缩性高，固结性差，无震陷、湿陷现象。固结历史属欠固结，结构性差。部分地段表层为厚度约0.25～0.40m的混凝土路面。超重型动力触探试验（N120）1～6击。岩芯采取率75%～90%，钻孔揭露厚度1.30～2.70m。</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（2）第四系全新统冲洪积堆积层（Q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al+pl</w:t>
      </w:r>
      <w:r>
        <w:rPr>
          <w:rFonts w:hint="default" w:ascii="Times New Roman" w:hAnsi="Times New Roman" w:cs="Times New Roman"/>
          <w:color w:val="auto"/>
        </w:rPr>
        <w:t>）</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②层：粉质黏土（Q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al+pl</w:t>
      </w:r>
      <w:r>
        <w:rPr>
          <w:rFonts w:hint="default" w:ascii="Times New Roman" w:hAnsi="Times New Roman" w:cs="Times New Roman"/>
          <w:color w:val="auto"/>
        </w:rPr>
        <w:t>）</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冲洪积堆积成因，大部分地段分布，局部地段缺失，呈灰褐色，可塑状，在湿条件下可搓成约2～3mm圆条，捻面有砂感，在湿条件下可搓成约2～3mm圆条，粘性、韧性中等，干强度中等，有光泽，絮状结构为主，局部为蜂窝团聚结构，含黑灰色网脉，偶见铁锰质氧化物。岩芯采取率90%～100%，揭露厚度0.50～1.80m，顶板埋深1.30～2.30m，标高383.25～385.25m。标准贯入试验击数4～6击。</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据土工试验成果：天然含水率23.4～30.7%，天然密度1.80～1.97g/cm3，孔隙比0.723～0.908，液限29.0～35.1%，塑限17.1～20.8%，液性指数0.35～0.71，塑性指数10.3～15.3。</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③层：卵石（Q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al+pl</w:t>
      </w:r>
      <w:r>
        <w:rPr>
          <w:rFonts w:hint="default" w:ascii="Times New Roman" w:hAnsi="Times New Roman" w:cs="Times New Roman"/>
          <w:color w:val="auto"/>
        </w:rPr>
        <w:t>）</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冲洪积堆积成因，全区分布，呈杂色，很湿～饱水，成份为灰岩、花岗岩、石英岩、玄武岩等，质硬，未风化，磨圆度较好，卵石呈次圆状～圆状。细砂充填，部分地段充填物富集。含有约15～30%的漂石，漂石最大粒径达500mm以上。据筛分试验：＞20mm占55.5～66.8%，20～2mm占9.2～23.4%，2～0.50mm占1.5～6.4%，0.5～0.25mm占0.8～4.2%，0.25～0.075mm占6.4～17.3%，0.075～0.005mm占1.6～9.9%。据N120动力触探试验及钻探取芯情况，依据《岩土工程勘察规范》（GB50021-2001）（2009年版）第3.3.8条表3.3.8-2，卵石按密实度分为3亚层：③-1稍密卵石（3＜N120≤6击）；③-2中密卵石（6＜N120≤11击）及③-3密实卵石（11＜N120≤14击），分述如下：</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③-1稍密卵石。全区分布，呈层状分布卵石层中部，为细砂充填，含量约占15～20%，含约15～20%的漂石，卵石部分接触，＞20mm占55～60%，密实度以稍密为主。岩芯采取率75%～90%，钻孔揭露厚度0.50～3.20m，顶板埋深2.20～3.80m，顶板标高382.25～382.40m。超重型动力触探试验（N120）3～6击。</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③-2中密卵石。全区分布，呈层状分布卵石层中部，为细砂充填，含量约占10～18%，含约15～25%的漂石，卵石大部分接触，＞20mm占60～70%，密实度以中密为主。岩芯采取率75%～95%，钻孔揭露厚度0.60～2.70m，顶板埋深2.00～6.10m，顶板标高380.60～384.55m。超重型动力触探试验（N120）6～11击。</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③-3密实卵石。全区分布，呈层状分布卵石层中下部，为细砂充填，含量约占8～15%，含约20～30%的漂石，卵石大部分接触，＞20mm占70～85%，密实度以密实为主。岩芯采取率80%～95%，钻孔揭露厚度5.60～17.40m，顶板埋深2.60～8.00m，顶板标高378.370～383.95m。超重型动力触探试验（N120）11～＞14击。</w:t>
      </w:r>
    </w:p>
    <w:p>
      <w:pPr>
        <w:pStyle w:val="3"/>
        <w:adjustRightInd w:val="0"/>
        <w:rPr>
          <w:rFonts w:hint="default" w:ascii="Times New Roman" w:hAnsi="Times New Roman" w:cs="Times New Roman"/>
          <w:color w:val="auto"/>
        </w:rPr>
      </w:pPr>
      <w:bookmarkStart w:id="138" w:name="_Toc18084"/>
      <w:r>
        <w:rPr>
          <w:rFonts w:hint="default" w:ascii="Times New Roman" w:hAnsi="Times New Roman" w:cs="Times New Roman"/>
          <w:color w:val="auto"/>
        </w:rPr>
        <w:t>矿产资源</w:t>
      </w:r>
      <w:bookmarkEnd w:id="138"/>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沙湾区辖内矿产资源种类多，主要以非金属矿产为主，金属矿产较少。全区已发现的矿种有21种（非金属矿产15种，金属矿产和内生矿产6种），矿产地50余处。主要矿产包括煤炭、水泥用灰岩、耐火粘土（陶瓷用硬质粘土矿）、陶瓷用砂岩、伊利石粘土（俗称白泥矿）、石膏、砖瓦用页岩、熔剂白云岩、水泥配料用砂岩、水泥配料用粘土岩、建筑用玄武岩、长石、砖瓦用粘土、铁矿、铜矿、铝土矿、磷矿等。矿床规模小，小型矿多，大中型少。开发的矿山，只有3家中型规模水泥用灰岩矿山，其余均为小型。煤炭、水泥用灰岩、耐火粘土、伊利石粘土、陶瓷用砂岩、砖瓦用页岩、石膏、建筑用玄武岩、长石等矿种已不同程度地开发利用。</w:t>
      </w:r>
    </w:p>
    <w:p>
      <w:pPr>
        <w:pStyle w:val="3"/>
        <w:adjustRightInd w:val="0"/>
        <w:rPr>
          <w:rFonts w:hint="default" w:ascii="Times New Roman" w:hAnsi="Times New Roman" w:cs="Times New Roman"/>
          <w:color w:val="auto"/>
        </w:rPr>
      </w:pPr>
      <w:bookmarkStart w:id="139" w:name="_Toc9158"/>
      <w:r>
        <w:rPr>
          <w:rFonts w:hint="default" w:ascii="Times New Roman" w:hAnsi="Times New Roman" w:cs="Times New Roman"/>
          <w:color w:val="auto"/>
        </w:rPr>
        <w:t>自然资源</w:t>
      </w:r>
      <w:bookmarkEnd w:id="139"/>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（1）土地资源</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截至2021年末，沙湾区耕地为8133.33公顷（其中：水田3553.33公顷，旱地4580公顷），加上现状非耕地类型中即可恢复面积2453.33公顷和工程恢复面积5440公顷，共计16026.67公顷。</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（2）生物资源</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沙湾区境内有各类植物3000多种，共有乔灌木74科、159属、246种。其中裸子植物5科25种，有银杏科1种、松科7种、柏科10种、杉科6种、苏铁科1种。被子植物69科221种，有木兰科5种、樟科14种、蔷薇科25种、苏木科3种、蝶形花科5种、杨柳科6种、桦木科2种、胡桃科8种、榆科3种、桑科5种、大戟科6种、桃金娘科4种、鼠李科4种、柿树科3种、芸香科9种、楝科4种、漆树科8种、木樨科7种、茜草科4种、其它科82种。区内重要的保护植物有桫椤、楠树、大榕树、红豆树、荔枝树等。主要中药材有黄连、白术、天麻、党参、该仁、麦冬、白益、泽泻、薄荷、荆芥、木瓜、积壳、桅子、厚朴、杜仲、何首乌等。</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沙湾区内有陆生动物资源280多种，其中：哺乳类50余种，主要有岩羊、猕猴、小灵猫、野猪、刺猬、狐狸、果子狸、螺丝狸、黄鼬、獾、野兔、水獭、椰子猫、松鼠、家鼠、田鼠、蝙蝠等；鸟类有200余种，属国家二级保护的有鸢、苍鹭、白鹭、秧鸡、大胸鹦鹉、斑头鸺、膺鹇、白腹锦鸡、红腹锦鸡等；爬行类动物30余种，主要有蛇、蜥、壁虎、蜈蚣、大千脚虫等；昆虫类品种繁多，主要有蝴蝶、蜂、枯叶蝶等。</w:t>
      </w:r>
    </w:p>
    <w:p>
      <w:pPr>
        <w:pStyle w:val="37"/>
        <w:adjustRightInd w:val="0"/>
        <w:ind w:firstLine="480"/>
        <w:rPr>
          <w:rFonts w:hint="default" w:ascii="Times New Roman" w:hAnsi="Times New Roman" w:cs="Times New Roman"/>
          <w:color w:val="auto"/>
        </w:rPr>
      </w:pPr>
    </w:p>
    <w:p>
      <w:pPr>
        <w:pStyle w:val="37"/>
        <w:adjustRightInd w:val="0"/>
        <w:ind w:firstLine="480"/>
        <w:rPr>
          <w:rFonts w:hint="default" w:ascii="Times New Roman" w:hAnsi="Times New Roman" w:cs="Times New Roman"/>
          <w:color w:val="auto"/>
        </w:rPr>
        <w:sectPr>
          <w:pgSz w:w="11906" w:h="16838"/>
          <w:pgMar w:top="1440" w:right="1800" w:bottom="1440" w:left="1800" w:header="851" w:footer="992" w:gutter="0"/>
          <w:cols w:space="425" w:num="1"/>
          <w:docGrid w:type="lines" w:linePitch="326" w:charSpace="0"/>
        </w:sectPr>
      </w:pPr>
    </w:p>
    <w:p>
      <w:pPr>
        <w:pStyle w:val="2"/>
        <w:adjustRightInd w:val="0"/>
        <w:rPr>
          <w:rFonts w:hint="default" w:ascii="Times New Roman" w:hAnsi="Times New Roman" w:cs="Times New Roman"/>
          <w:color w:val="auto"/>
        </w:rPr>
      </w:pPr>
      <w:bookmarkStart w:id="140" w:name="_Toc29249"/>
      <w:r>
        <w:rPr>
          <w:rFonts w:hint="default" w:ascii="Times New Roman" w:hAnsi="Times New Roman" w:cs="Times New Roman"/>
          <w:color w:val="auto"/>
        </w:rPr>
        <w:t>环境质量现状评价</w:t>
      </w:r>
      <w:bookmarkEnd w:id="140"/>
    </w:p>
    <w:p>
      <w:pPr>
        <w:pStyle w:val="3"/>
        <w:adjustRightInd w:val="0"/>
        <w:rPr>
          <w:rFonts w:hint="default" w:ascii="Times New Roman" w:hAnsi="Times New Roman" w:cs="Times New Roman"/>
          <w:color w:val="auto"/>
        </w:rPr>
      </w:pPr>
      <w:bookmarkStart w:id="141" w:name="_Toc10459"/>
      <w:r>
        <w:rPr>
          <w:rFonts w:hint="default" w:ascii="Times New Roman" w:hAnsi="Times New Roman" w:cs="Times New Roman"/>
          <w:color w:val="auto"/>
        </w:rPr>
        <w:t>环境空气质量现状与评价</w:t>
      </w:r>
      <w:bookmarkEnd w:id="141"/>
    </w:p>
    <w:p>
      <w:pPr>
        <w:pStyle w:val="4"/>
        <w:adjustRightInd w:val="0"/>
        <w:rPr>
          <w:rFonts w:hint="default" w:ascii="Times New Roman" w:hAnsi="Times New Roman" w:cs="Times New Roman"/>
          <w:color w:val="auto"/>
        </w:rPr>
      </w:pPr>
      <w:bookmarkStart w:id="142" w:name="_Toc25562"/>
      <w:r>
        <w:rPr>
          <w:rFonts w:hint="default" w:ascii="Times New Roman" w:hAnsi="Times New Roman" w:cs="Times New Roman"/>
          <w:color w:val="auto"/>
        </w:rPr>
        <w:t>项目区域环境空气质量现状</w:t>
      </w:r>
      <w:bookmarkEnd w:id="142"/>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位于乐山市沙湾区，根据《环境影响评价导则大气环境》（HJ2.2-2018）中有关基本污染物环境质量现状数据的规定，可优先采用国家或地方生态环境主管部门公布的评价基准年（近3年中1个完整日历年）环境质量公告或环境质量报告中的数据或结论。为了解项目所在区域环境空气质量现状，本次评价引用了乐山市沙湾生态环境监测站于2025年5月发布的《2024年乐山市沙湾区环境质量报告书》进行区域达标评价。</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一、环境质量达标区判定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根据沙湾区《2024年乐山市沙湾区环境质量报告书》中相关数据，结合《环境影响评价技术导则大气环境》（HJ2.2-2018）要求，沙湾区空气质量指标统计见下表。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沙湾区环境空气质量统计表单位：除CO为mg/m</w:t>
      </w:r>
      <w:r>
        <w:rPr>
          <w:rFonts w:hint="default" w:ascii="Times New Roman" w:hAnsi="Times New Roman" w:cs="Times New Roman"/>
          <w:color w:val="auto"/>
          <w:vertAlign w:val="superscript"/>
        </w:rPr>
        <w:t>3</w:t>
      </w:r>
      <w:r>
        <w:rPr>
          <w:rFonts w:hint="default" w:ascii="Times New Roman" w:hAnsi="Times New Roman" w:cs="Times New Roman"/>
          <w:color w:val="auto"/>
        </w:rPr>
        <w:t>，其余μg/m</w:t>
      </w:r>
      <w:r>
        <w:rPr>
          <w:rFonts w:hint="default" w:ascii="Times New Roman" w:hAnsi="Times New Roman" w:cs="Times New Roman"/>
          <w:color w:val="auto"/>
          <w:vertAlign w:val="superscript"/>
        </w:rPr>
        <w:t>3</w:t>
      </w:r>
    </w:p>
    <w:tbl>
      <w:tblPr>
        <w:tblStyle w:val="30"/>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3399"/>
        <w:gridCol w:w="1338"/>
        <w:gridCol w:w="1336"/>
        <w:gridCol w:w="965"/>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1867"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年评价指标</w:t>
            </w:r>
          </w:p>
        </w:tc>
        <w:tc>
          <w:tcPr>
            <w:tcW w:w="73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现状浓度</w:t>
            </w:r>
          </w:p>
        </w:tc>
        <w:tc>
          <w:tcPr>
            <w:tcW w:w="734"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标准值</w:t>
            </w:r>
          </w:p>
        </w:tc>
        <w:tc>
          <w:tcPr>
            <w:tcW w:w="530"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占标率</w:t>
            </w:r>
          </w:p>
        </w:tc>
        <w:tc>
          <w:tcPr>
            <w:tcW w:w="60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186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年均质量浓度</w:t>
            </w:r>
          </w:p>
        </w:tc>
        <w:tc>
          <w:tcPr>
            <w:tcW w:w="73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4</w:t>
            </w:r>
          </w:p>
        </w:tc>
        <w:tc>
          <w:tcPr>
            <w:tcW w:w="7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60</w:t>
            </w:r>
          </w:p>
        </w:tc>
        <w:tc>
          <w:tcPr>
            <w:tcW w:w="965" w:type="dxa"/>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6.67%</w:t>
            </w:r>
          </w:p>
        </w:tc>
        <w:tc>
          <w:tcPr>
            <w:tcW w:w="6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2</w:t>
            </w:r>
          </w:p>
        </w:tc>
        <w:tc>
          <w:tcPr>
            <w:tcW w:w="186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年均质量浓度</w:t>
            </w:r>
          </w:p>
        </w:tc>
        <w:tc>
          <w:tcPr>
            <w:tcW w:w="73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21</w:t>
            </w:r>
          </w:p>
        </w:tc>
        <w:tc>
          <w:tcPr>
            <w:tcW w:w="7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40</w:t>
            </w:r>
          </w:p>
        </w:tc>
        <w:tc>
          <w:tcPr>
            <w:tcW w:w="965" w:type="dxa"/>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52.50%</w:t>
            </w:r>
          </w:p>
        </w:tc>
        <w:tc>
          <w:tcPr>
            <w:tcW w:w="6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2.5</w:t>
            </w:r>
          </w:p>
        </w:tc>
        <w:tc>
          <w:tcPr>
            <w:tcW w:w="186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年均质量浓度</w:t>
            </w:r>
          </w:p>
        </w:tc>
        <w:tc>
          <w:tcPr>
            <w:tcW w:w="73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31</w:t>
            </w:r>
          </w:p>
        </w:tc>
        <w:tc>
          <w:tcPr>
            <w:tcW w:w="7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35</w:t>
            </w:r>
          </w:p>
        </w:tc>
        <w:tc>
          <w:tcPr>
            <w:tcW w:w="965" w:type="dxa"/>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88.57%</w:t>
            </w:r>
          </w:p>
        </w:tc>
        <w:tc>
          <w:tcPr>
            <w:tcW w:w="6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10</w:t>
            </w:r>
          </w:p>
        </w:tc>
        <w:tc>
          <w:tcPr>
            <w:tcW w:w="186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年均质量浓度</w:t>
            </w:r>
          </w:p>
        </w:tc>
        <w:tc>
          <w:tcPr>
            <w:tcW w:w="73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51</w:t>
            </w:r>
          </w:p>
        </w:tc>
        <w:tc>
          <w:tcPr>
            <w:tcW w:w="7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70</w:t>
            </w:r>
          </w:p>
        </w:tc>
        <w:tc>
          <w:tcPr>
            <w:tcW w:w="965" w:type="dxa"/>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72.86%</w:t>
            </w:r>
          </w:p>
        </w:tc>
        <w:tc>
          <w:tcPr>
            <w:tcW w:w="6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O</w:t>
            </w:r>
            <w:r>
              <w:rPr>
                <w:rFonts w:hint="default" w:ascii="Times New Roman" w:hAnsi="Times New Roman" w:cs="Times New Roman"/>
                <w:color w:val="auto"/>
                <w:vertAlign w:val="subscript"/>
              </w:rPr>
              <w:t>3</w:t>
            </w:r>
          </w:p>
        </w:tc>
        <w:tc>
          <w:tcPr>
            <w:tcW w:w="186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日最大8小时均值的第90百分位</w:t>
            </w:r>
          </w:p>
        </w:tc>
        <w:tc>
          <w:tcPr>
            <w:tcW w:w="73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134</w:t>
            </w:r>
          </w:p>
        </w:tc>
        <w:tc>
          <w:tcPr>
            <w:tcW w:w="7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160</w:t>
            </w:r>
          </w:p>
        </w:tc>
        <w:tc>
          <w:tcPr>
            <w:tcW w:w="965" w:type="dxa"/>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83.75%</w:t>
            </w:r>
          </w:p>
        </w:tc>
        <w:tc>
          <w:tcPr>
            <w:tcW w:w="6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CO</w:t>
            </w:r>
          </w:p>
        </w:tc>
        <w:tc>
          <w:tcPr>
            <w:tcW w:w="186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第95百分位数24h平均质量浓度</w:t>
            </w:r>
          </w:p>
        </w:tc>
        <w:tc>
          <w:tcPr>
            <w:tcW w:w="73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1.1</w:t>
            </w:r>
          </w:p>
        </w:tc>
        <w:tc>
          <w:tcPr>
            <w:tcW w:w="7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4</w:t>
            </w:r>
          </w:p>
        </w:tc>
        <w:tc>
          <w:tcPr>
            <w:tcW w:w="965" w:type="dxa"/>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27.50%</w:t>
            </w:r>
          </w:p>
        </w:tc>
        <w:tc>
          <w:tcPr>
            <w:tcW w:w="6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达标</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从上表可以看出，乐山市2024年SO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、CO、PM</w:t>
      </w:r>
      <w:r>
        <w:rPr>
          <w:rFonts w:hint="default" w:ascii="Times New Roman" w:hAnsi="Times New Roman" w:cs="Times New Roman"/>
          <w:color w:val="auto"/>
          <w:vertAlign w:val="subscript"/>
        </w:rPr>
        <w:t>2.5</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均能够达到《环境空气质量标准》（GB3095-2012）二级标准，根据《环境影响评价技术导则大气环境》（HJ2.2-2018），项目所在区域为</w:t>
      </w:r>
      <w:r>
        <w:rPr>
          <w:rFonts w:hint="default" w:ascii="Times New Roman" w:hAnsi="Times New Roman" w:cs="Times New Roman"/>
          <w:b/>
          <w:bCs/>
          <w:color w:val="auto"/>
        </w:rPr>
        <w:t>达标区</w:t>
      </w:r>
      <w:r>
        <w:rPr>
          <w:rFonts w:hint="default" w:ascii="Times New Roman" w:hAnsi="Times New Roman" w:cs="Times New Roman"/>
          <w:color w:val="auto"/>
        </w:rPr>
        <w:t>。</w:t>
      </w:r>
    </w:p>
    <w:p>
      <w:pPr>
        <w:pStyle w:val="4"/>
        <w:adjustRightInd w:val="0"/>
        <w:rPr>
          <w:rFonts w:hint="default" w:ascii="Times New Roman" w:hAnsi="Times New Roman" w:cs="Times New Roman"/>
          <w:color w:val="auto"/>
        </w:rPr>
      </w:pPr>
      <w:bookmarkStart w:id="143" w:name="_Toc16857"/>
      <w:bookmarkStart w:id="144" w:name="_Toc1965"/>
      <w:bookmarkStart w:id="145" w:name="_Toc31781"/>
      <w:bookmarkStart w:id="146" w:name="_Toc28058"/>
      <w:bookmarkStart w:id="147" w:name="_Toc4352"/>
      <w:r>
        <w:rPr>
          <w:rFonts w:hint="default" w:ascii="Times New Roman" w:hAnsi="Times New Roman" w:cs="Times New Roman"/>
          <w:color w:val="auto"/>
        </w:rPr>
        <w:t>项目特征污染物环境空气质量现状</w:t>
      </w:r>
      <w:bookmarkEnd w:id="143"/>
      <w:bookmarkEnd w:id="144"/>
      <w:bookmarkEnd w:id="145"/>
      <w:bookmarkEnd w:id="146"/>
      <w:bookmarkEnd w:id="147"/>
    </w:p>
    <w:p>
      <w:pPr>
        <w:adjustRightInd w:val="0"/>
        <w:ind w:firstLine="482"/>
        <w:rPr>
          <w:rFonts w:hint="eastAsia" w:ascii="Times New Roman" w:hAnsi="Times New Roman" w:eastAsia="宋体" w:cs="Times New Roman"/>
          <w:b/>
          <w:bCs/>
          <w:color w:val="auto"/>
          <w:lang w:val="en-US" w:eastAsia="zh-CN"/>
        </w:rPr>
      </w:pPr>
      <w:r>
        <w:rPr>
          <w:rFonts w:hint="eastAsia" w:cs="Times New Roman"/>
          <w:b/>
          <w:bCs/>
          <w:color w:val="auto"/>
          <w:lang w:val="en-US" w:eastAsia="zh-CN"/>
        </w:rPr>
        <w:t>本部分涉密</w:t>
      </w:r>
    </w:p>
    <w:p>
      <w:pPr>
        <w:pStyle w:val="3"/>
        <w:adjustRightInd w:val="0"/>
        <w:rPr>
          <w:rFonts w:hint="default" w:ascii="Times New Roman" w:hAnsi="Times New Roman" w:cs="Times New Roman"/>
          <w:color w:val="auto"/>
        </w:rPr>
      </w:pPr>
      <w:bookmarkStart w:id="148" w:name="_Toc4638"/>
      <w:bookmarkStart w:id="149" w:name="_Toc5814"/>
      <w:bookmarkStart w:id="150" w:name="_Toc2609"/>
      <w:r>
        <w:rPr>
          <w:rFonts w:hint="default" w:ascii="Times New Roman" w:hAnsi="Times New Roman" w:cs="Times New Roman"/>
          <w:color w:val="auto"/>
        </w:rPr>
        <w:t>地表水环境质量现状与评价</w:t>
      </w:r>
      <w:bookmarkEnd w:id="148"/>
      <w:bookmarkEnd w:id="149"/>
      <w:bookmarkEnd w:id="150"/>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本项目全厂共设置1套生产废水处理设施，为3级沉淀池（一级沉淀池有效容积1460m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、二级沉淀池有效容积1460m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、三级沉淀池有效容积1400m</w:t>
      </w:r>
      <w:r>
        <w:rPr>
          <w:rFonts w:hint="default" w:ascii="Times New Roman" w:hAnsi="Times New Roman" w:cs="Times New Roman"/>
          <w:color w:val="auto"/>
          <w:vertAlign w:val="superscript"/>
        </w:rPr>
        <w:t>3</w:t>
      </w:r>
      <w:r>
        <w:rPr>
          <w:rFonts w:hint="default" w:ascii="Times New Roman" w:hAnsi="Times New Roman" w:cs="Times New Roman"/>
          <w:color w:val="auto"/>
        </w:rPr>
        <w:t>，其中一级沉淀池设计水力停留时间为5.2h、二级沉淀池设计水力停留时间为5.2h，三级沉淀池设计水力停留时间为5h，处理能力280m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/h，处理工艺为絮凝+沉淀），本项目选矿废水经絮凝沉淀处理后回用于选矿，不外排；初期雨水经初期雨水池沉淀处理后回用于喷雾降尘，不外排；生活污水经预处理池（50m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）处理达标后经污水管网排入园区污水处理厂处理。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本项目位于乐山市沙湾区，根据《环境影响评价技术导则地表水环境》（HJ2.3-2018）中有关水环境质量现状调查的规定，应优先采用国务院生态环境保护主管部门统一发布的水环境状况信息。</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最近河流为大渡河，根据乐山市沙湾生态环境监测站于2025年5月发布的《2024年乐山市沙湾区环境质量报告书》：各断面水质均满足《地表水环境质量标准》（GB3838-2002）中III类标准要求，区域地表水环境质量良好。</w:t>
      </w:r>
    </w:p>
    <w:p>
      <w:pPr>
        <w:pStyle w:val="3"/>
        <w:adjustRightInd w:val="0"/>
        <w:rPr>
          <w:rFonts w:hint="default" w:ascii="Times New Roman" w:hAnsi="Times New Roman" w:cs="Times New Roman"/>
          <w:color w:val="auto"/>
        </w:rPr>
      </w:pPr>
      <w:bookmarkStart w:id="151" w:name="_Toc13145"/>
      <w:r>
        <w:rPr>
          <w:rFonts w:hint="default" w:ascii="Times New Roman" w:hAnsi="Times New Roman" w:cs="Times New Roman"/>
          <w:color w:val="auto"/>
        </w:rPr>
        <w:t>声环境质量现状与评价</w:t>
      </w:r>
      <w:bookmarkEnd w:id="151"/>
    </w:p>
    <w:p>
      <w:pPr>
        <w:bidi w:val="0"/>
        <w:rPr>
          <w:rFonts w:hint="eastAsia" w:eastAsia="宋体"/>
          <w:lang w:val="en-US" w:eastAsia="zh-CN"/>
        </w:rPr>
      </w:pPr>
      <w:bookmarkStart w:id="152" w:name="_Toc26064"/>
      <w:bookmarkStart w:id="153" w:name="_Toc14005"/>
      <w:r>
        <w:rPr>
          <w:rFonts w:hint="eastAsia"/>
          <w:lang w:val="en-US" w:eastAsia="zh-CN"/>
        </w:rPr>
        <w:t>本部分涉密</w:t>
      </w:r>
    </w:p>
    <w:p>
      <w:pPr>
        <w:pStyle w:val="3"/>
        <w:adjustRightInd w:val="0"/>
        <w:rPr>
          <w:rFonts w:hint="default" w:ascii="Times New Roman" w:hAnsi="Times New Roman" w:cs="Times New Roman"/>
          <w:color w:val="auto"/>
        </w:rPr>
      </w:pPr>
      <w:bookmarkStart w:id="154" w:name="_Toc17738"/>
      <w:r>
        <w:rPr>
          <w:rFonts w:hint="default" w:ascii="Times New Roman" w:hAnsi="Times New Roman" w:cs="Times New Roman"/>
          <w:color w:val="auto"/>
        </w:rPr>
        <w:t>地下水环境质量现状与评价</w:t>
      </w:r>
      <w:bookmarkEnd w:id="152"/>
      <w:bookmarkEnd w:id="153"/>
      <w:bookmarkEnd w:id="154"/>
    </w:p>
    <w:p>
      <w:pPr>
        <w:bidi w:val="0"/>
        <w:rPr>
          <w:rFonts w:hint="eastAsia" w:eastAsia="宋体"/>
          <w:lang w:val="en-US" w:eastAsia="zh-CN"/>
        </w:rPr>
      </w:pPr>
      <w:bookmarkStart w:id="155" w:name="_Toc12908"/>
      <w:bookmarkStart w:id="156" w:name="_Toc15393"/>
      <w:bookmarkStart w:id="157" w:name="_Toc7640"/>
      <w:r>
        <w:rPr>
          <w:rFonts w:hint="eastAsia"/>
          <w:lang w:val="en-US" w:eastAsia="zh-CN"/>
        </w:rPr>
        <w:t>本部分涉密</w:t>
      </w:r>
    </w:p>
    <w:bookmarkEnd w:id="155"/>
    <w:bookmarkEnd w:id="156"/>
    <w:bookmarkEnd w:id="157"/>
    <w:p>
      <w:pPr>
        <w:pStyle w:val="3"/>
        <w:adjustRightInd w:val="0"/>
        <w:rPr>
          <w:rFonts w:hint="default" w:ascii="Times New Roman" w:hAnsi="Times New Roman" w:cs="Times New Roman"/>
          <w:color w:val="auto"/>
        </w:rPr>
      </w:pPr>
      <w:bookmarkStart w:id="158" w:name="_Toc5177"/>
      <w:bookmarkStart w:id="159" w:name="_Toc24121"/>
      <w:bookmarkStart w:id="160" w:name="_Toc6410"/>
      <w:bookmarkStart w:id="161" w:name="_Toc25083"/>
      <w:r>
        <w:rPr>
          <w:rFonts w:hint="default" w:ascii="Times New Roman" w:hAnsi="Times New Roman" w:cs="Times New Roman"/>
          <w:color w:val="auto"/>
        </w:rPr>
        <w:t>生态环境质量现状</w:t>
      </w:r>
      <w:bookmarkEnd w:id="158"/>
      <w:bookmarkEnd w:id="159"/>
      <w:bookmarkEnd w:id="160"/>
      <w:bookmarkEnd w:id="16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选址于乐山市沙湾区嘉农镇凤凰路1号（乐山（沙湾）不锈钢产业园区内），项目所占地为工业用地，根据现场踏勘，项目区域为工业园区，现场主要为杂草与灌木丛，无珍稀植物，无古树名木等；区域内动物主要为各类鸡、各类鸭、鹅、蜂、蚕、犬、猫、各类兔等，无国家重点保护与珍稀野生动物；无国家公园、自然保护区、世界自然遗产、自然公园、天然林、公益林等重要保护单位，生态环境质量良好。</w:t>
      </w:r>
    </w:p>
    <w:p>
      <w:pPr>
        <w:adjustRightInd w:val="0"/>
        <w:ind w:firstLine="482"/>
        <w:rPr>
          <w:rFonts w:hint="default" w:ascii="Times New Roman" w:hAnsi="Times New Roman" w:cs="Times New Roman"/>
          <w:b/>
          <w:bCs/>
          <w:color w:val="auto"/>
        </w:rPr>
        <w:sectPr>
          <w:pgSz w:w="11906" w:h="16838"/>
          <w:pgMar w:top="1134" w:right="1531" w:bottom="1134" w:left="1531" w:header="851" w:footer="907" w:gutter="0"/>
          <w:cols w:space="425" w:num="1"/>
          <w:docGrid w:type="lines" w:linePitch="312" w:charSpace="0"/>
        </w:sectPr>
      </w:pPr>
      <w:r>
        <w:rPr>
          <w:rFonts w:hint="default" w:ascii="Times New Roman" w:hAnsi="Times New Roman" w:cs="Times New Roman"/>
          <w:b/>
          <w:bCs/>
          <w:color w:val="auto"/>
        </w:rPr>
        <w:t>经调查，本项目评价区域范围内无自然保护区、风景名胜区、无列入国家及地方保护名录的珍稀濒危动植物及古、大、珍、奇树木分布，也无社会关注的具有历史、科学、民族、文化意义的保护地。</w:t>
      </w:r>
    </w:p>
    <w:p>
      <w:pPr>
        <w:pStyle w:val="2"/>
        <w:adjustRightInd w:val="0"/>
        <w:rPr>
          <w:rFonts w:hint="default" w:ascii="Times New Roman" w:hAnsi="Times New Roman" w:cs="Times New Roman"/>
          <w:color w:val="auto"/>
        </w:rPr>
      </w:pPr>
      <w:bookmarkStart w:id="162" w:name="_Toc15198"/>
      <w:r>
        <w:rPr>
          <w:rFonts w:hint="default" w:ascii="Times New Roman" w:hAnsi="Times New Roman" w:cs="Times New Roman"/>
          <w:color w:val="auto"/>
        </w:rPr>
        <w:t>环境影响分析</w:t>
      </w:r>
      <w:bookmarkEnd w:id="162"/>
    </w:p>
    <w:p>
      <w:pPr>
        <w:pStyle w:val="3"/>
        <w:adjustRightInd w:val="0"/>
        <w:rPr>
          <w:rFonts w:hint="default" w:ascii="Times New Roman" w:hAnsi="Times New Roman" w:cs="Times New Roman"/>
          <w:color w:val="auto"/>
        </w:rPr>
      </w:pPr>
      <w:bookmarkStart w:id="163" w:name="_Toc127483574"/>
      <w:bookmarkStart w:id="164" w:name="_Toc27587"/>
      <w:r>
        <w:rPr>
          <w:rFonts w:hint="default" w:ascii="Times New Roman" w:hAnsi="Times New Roman" w:cs="Times New Roman"/>
          <w:color w:val="auto"/>
        </w:rPr>
        <w:t>施工期环境影响分析</w:t>
      </w:r>
      <w:bookmarkEnd w:id="163"/>
      <w:bookmarkEnd w:id="164"/>
    </w:p>
    <w:p>
      <w:pPr>
        <w:pStyle w:val="4"/>
        <w:adjustRightInd w:val="0"/>
        <w:rPr>
          <w:rFonts w:hint="default" w:ascii="Times New Roman" w:hAnsi="Times New Roman" w:cs="Times New Roman"/>
          <w:color w:val="auto"/>
        </w:rPr>
      </w:pPr>
      <w:bookmarkStart w:id="165" w:name="_Toc1048"/>
      <w:r>
        <w:rPr>
          <w:rFonts w:hint="default" w:ascii="Times New Roman" w:hAnsi="Times New Roman" w:cs="Times New Roman"/>
          <w:color w:val="auto"/>
        </w:rPr>
        <w:t>施工期大气环境影响分析</w:t>
      </w:r>
      <w:bookmarkEnd w:id="165"/>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施工期大气污染主要来源于施工扬尘和施工废气。</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（1）施工扬尘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扬尘按起尘原因可以分为风力扬尘和动力扬尘。</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①风力扬尘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风力起尘主要是由于露天堆放的建材（如砂料、水泥等）及裸露的施工区表层浮尘因天气干燥及大风，产生风尘扬尘。由于本项目污水处理厂施工的需要，一些建材需露天堆放，一些施工点表层土壤需人工开挖、堆放，在气候干燥又有风的情况下，就会产生扬尘，其扬尘可按堆场起尘的经验公式计算：</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009140" cy="380365"/>
            <wp:effectExtent l="0" t="0" r="1016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009140" cy="380365"/>
                    </a:xfrm>
                    <a:prstGeom prst="rect">
                      <a:avLst/>
                    </a:prstGeom>
                  </pic:spPr>
                </pic:pic>
              </a:graphicData>
            </a:graphic>
          </wp:inline>
        </w:drawing>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其中：</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Q——起尘量，kg/吨·年；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V</w:t>
      </w:r>
      <w:r>
        <w:rPr>
          <w:rFonts w:hint="default" w:ascii="Times New Roman" w:hAnsi="Times New Roman" w:cs="Times New Roman"/>
          <w:color w:val="auto"/>
          <w:vertAlign w:val="subscript"/>
        </w:rPr>
        <w:t>50</w:t>
      </w:r>
      <w:r>
        <w:rPr>
          <w:rFonts w:hint="default" w:ascii="Times New Roman" w:hAnsi="Times New Roman" w:cs="Times New Roman"/>
          <w:color w:val="auto"/>
        </w:rPr>
        <w:t>——距地面50m处风速，m/s；</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V</w:t>
      </w:r>
      <w:r>
        <w:rPr>
          <w:rFonts w:hint="default" w:ascii="Times New Roman" w:hAnsi="Times New Roman" w:cs="Times New Roman"/>
          <w:color w:val="auto"/>
          <w:vertAlign w:val="subscript"/>
        </w:rPr>
        <w:t>0</w:t>
      </w:r>
      <w:r>
        <w:rPr>
          <w:rFonts w:hint="default" w:ascii="Times New Roman" w:hAnsi="Times New Roman" w:cs="Times New Roman"/>
          <w:color w:val="auto"/>
        </w:rPr>
        <w:t>——起尘风速，m/s；</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W——尘粒的含水率，%。</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V</w:t>
      </w:r>
      <w:r>
        <w:rPr>
          <w:rFonts w:hint="default" w:ascii="Times New Roman" w:hAnsi="Times New Roman" w:cs="Times New Roman"/>
          <w:color w:val="auto"/>
          <w:vertAlign w:val="subscript"/>
        </w:rPr>
        <w:t>0</w:t>
      </w:r>
      <w:r>
        <w:rPr>
          <w:rFonts w:hint="default" w:ascii="Times New Roman" w:hAnsi="Times New Roman" w:cs="Times New Roman"/>
          <w:color w:val="auto"/>
        </w:rPr>
        <w:t>与粒径和含水率有关，因此，减少露天堆放和保证一定的含水率及减少裸露地面是减少风力起尘的有效手段。</w:t>
      </w:r>
    </w:p>
    <w:p>
      <w:pPr>
        <w:adjustRightInd w:val="0"/>
        <w:ind w:firstLine="480"/>
        <w:rPr>
          <w:rFonts w:hint="default" w:ascii="Times New Roman" w:hAnsi="Times New Roman" w:cs="Times New Roman"/>
          <w:color w:val="auto"/>
          <w:szCs w:val="22"/>
        </w:rPr>
      </w:pPr>
      <w:r>
        <w:rPr>
          <w:rFonts w:hint="default" w:ascii="Times New Roman" w:hAnsi="Times New Roman" w:cs="Times New Roman"/>
          <w:color w:val="auto"/>
          <w:szCs w:val="22"/>
        </w:rPr>
        <w:t>尘粒在空气中的传播扩散情况与风速等气象条件有关，也与尘粒本身的沉降速度有关。以沙尘为例，不同粒径的尘粒的沉降速度见下表。</w:t>
      </w:r>
    </w:p>
    <w:p>
      <w:pPr>
        <w:pStyle w:val="12"/>
        <w:adjustRightInd w:val="0"/>
        <w:ind w:left="630" w:firstLine="422"/>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不同粒径尘粒的沉降速度</w:t>
      </w:r>
    </w:p>
    <w:tbl>
      <w:tblPr>
        <w:tblStyle w:val="7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10"/>
        <w:gridCol w:w="992"/>
        <w:gridCol w:w="992"/>
        <w:gridCol w:w="992"/>
        <w:gridCol w:w="992"/>
        <w:gridCol w:w="992"/>
        <w:gridCol w:w="849"/>
        <w:gridCol w:w="9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062"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bidi w:val="0"/>
              <w:rPr>
                <w:rFonts w:hint="default"/>
                <w:b/>
                <w:bCs/>
                <w:color w:val="auto"/>
              </w:rPr>
            </w:pPr>
            <w:r>
              <w:rPr>
                <w:rFonts w:hint="default"/>
                <w:b/>
                <w:bCs/>
                <w:color w:val="auto"/>
              </w:rPr>
              <w:t>粒径,μm</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10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20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30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40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50</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60</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沉降速度,m/s</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0.003</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0.012</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0.027</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0.048</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0.075</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0.108</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粒径,μm</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80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90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100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200</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250</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沉降速度,m/s</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0.158</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0.170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0.182</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0.239</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0.804</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1.005</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1.829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粒径,μm</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450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750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850</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950</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沉降速度,m/s</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2.211</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2.614</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3.016</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3.418</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3.820</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4.222</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4.624</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表6-1可知，尘粒的沉降速度随粒径的增大而迅速增大。当粒径为250μm时，沉降速度为1.005m/s，因此可以认为当尘粒大于250μm时，主要影响范围在扬尘点下风向50m范围内居民点，而真正对外环境产生影响的是一些微小尘粒。</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②动力扬尘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动力起尘，主要是在建材的装卸、搅拌过程中，由于外力而产生的尘粒再悬浮而造成，其中施工及装卸车辆造成的扬尘最为严重。据有关文献资料介绍，车辆行驶产生的扬尘占总扬尘的60%以上。车辆行驶产生的扬尘，在完全干燥情况下，可按下列经验公式计算：</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47315" cy="2851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647315" cy="285115"/>
                    </a:xfrm>
                    <a:prstGeom prst="rect">
                      <a:avLst/>
                    </a:prstGeom>
                  </pic:spPr>
                </pic:pic>
              </a:graphicData>
            </a:graphic>
          </wp:inline>
        </w:drawing>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式中：</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Q——汽车行驶的扬尘，kg/km·辆；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V——汽车速度，km/hr；</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W——汽车载重量，吨；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P——道路表面粉尘量，kg/m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表6-2为一辆10吨卡车，通过一段长度为1km的路面时，不同路面清洁程度，不同行驶速度情况下的扬尘量。</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在不同车速和地面清洁程度的汽车扬尘单位：kg/辆·km</w:t>
      </w:r>
    </w:p>
    <w:tbl>
      <w:tblPr>
        <w:tblStyle w:val="7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5"/>
        <w:gridCol w:w="1224"/>
        <w:gridCol w:w="1224"/>
        <w:gridCol w:w="1224"/>
        <w:gridCol w:w="1224"/>
        <w:gridCol w:w="1224"/>
        <w:gridCol w:w="12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blHeader/>
        </w:trPr>
        <w:tc>
          <w:tcPr>
            <w:tcW w:w="689"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bidi w:val="0"/>
              <w:rPr>
                <w:rFonts w:hint="default"/>
                <w:b/>
                <w:bCs/>
                <w:color w:val="auto"/>
              </w:rPr>
            </w:pPr>
            <w:r>
              <w:rPr>
                <w:rFonts w:hint="default"/>
                <w:b/>
                <w:bCs/>
                <w:color w:val="auto"/>
              </w:rPr>
              <w:t>车速</w:t>
            </w:r>
          </w:p>
          <w:p>
            <w:pPr>
              <w:pStyle w:val="36"/>
              <w:bidi w:val="0"/>
              <w:rPr>
                <w:rFonts w:hint="default"/>
                <w:b/>
                <w:bCs/>
                <w:color w:val="auto"/>
              </w:rPr>
            </w:pPr>
            <w:r>
              <w:rPr>
                <w:rFonts w:hint="default"/>
                <w:b/>
                <w:bCs/>
                <w:color w:val="auto"/>
              </w:rPr>
              <w:t>P</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0.1</w:t>
            </w:r>
          </w:p>
          <w:p>
            <w:pPr>
              <w:pStyle w:val="36"/>
              <w:bidi w:val="0"/>
              <w:rPr>
                <w:rFonts w:hint="default"/>
                <w:b/>
                <w:bCs/>
                <w:color w:val="auto"/>
              </w:rPr>
            </w:pPr>
            <w:r>
              <w:rPr>
                <w:rFonts w:hint="default"/>
                <w:b/>
                <w:bCs/>
                <w:color w:val="auto"/>
              </w:rPr>
              <w:t>（kg/m</w:t>
            </w:r>
            <w:r>
              <w:rPr>
                <w:rFonts w:hint="default"/>
                <w:b/>
                <w:bCs/>
                <w:color w:val="auto"/>
                <w:vertAlign w:val="superscript"/>
              </w:rPr>
              <w:t>2</w:t>
            </w:r>
            <w:r>
              <w:rPr>
                <w:rFonts w:hint="default"/>
                <w:b/>
                <w:bCs/>
                <w:color w:val="auto"/>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0.2</w:t>
            </w:r>
          </w:p>
          <w:p>
            <w:pPr>
              <w:pStyle w:val="36"/>
              <w:bidi w:val="0"/>
              <w:rPr>
                <w:rFonts w:hint="default"/>
                <w:b/>
                <w:bCs/>
                <w:color w:val="auto"/>
              </w:rPr>
            </w:pPr>
            <w:r>
              <w:rPr>
                <w:rFonts w:hint="default"/>
                <w:b/>
                <w:bCs/>
                <w:color w:val="auto"/>
              </w:rPr>
              <w:t>（kg/m</w:t>
            </w:r>
            <w:r>
              <w:rPr>
                <w:rFonts w:hint="default"/>
                <w:b/>
                <w:bCs/>
                <w:color w:val="auto"/>
                <w:vertAlign w:val="superscript"/>
              </w:rPr>
              <w:t>2</w:t>
            </w:r>
            <w:r>
              <w:rPr>
                <w:rFonts w:hint="default"/>
                <w:b/>
                <w:bCs/>
                <w:color w:val="auto"/>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0.3</w:t>
            </w:r>
          </w:p>
          <w:p>
            <w:pPr>
              <w:pStyle w:val="36"/>
              <w:bidi w:val="0"/>
              <w:rPr>
                <w:rFonts w:hint="default"/>
                <w:b/>
                <w:bCs/>
                <w:color w:val="auto"/>
              </w:rPr>
            </w:pPr>
            <w:r>
              <w:rPr>
                <w:rFonts w:hint="default"/>
                <w:b/>
                <w:bCs/>
                <w:color w:val="auto"/>
              </w:rPr>
              <w:t>（kg/m</w:t>
            </w:r>
            <w:r>
              <w:rPr>
                <w:rFonts w:hint="default"/>
                <w:b/>
                <w:bCs/>
                <w:color w:val="auto"/>
                <w:vertAlign w:val="superscript"/>
              </w:rPr>
              <w:t>2</w:t>
            </w:r>
            <w:r>
              <w:rPr>
                <w:rFonts w:hint="default"/>
                <w:b/>
                <w:bCs/>
                <w:color w:val="auto"/>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0.4</w:t>
            </w:r>
          </w:p>
          <w:p>
            <w:pPr>
              <w:pStyle w:val="36"/>
              <w:bidi w:val="0"/>
              <w:rPr>
                <w:rFonts w:hint="default"/>
                <w:b/>
                <w:bCs/>
                <w:color w:val="auto"/>
              </w:rPr>
            </w:pPr>
            <w:r>
              <w:rPr>
                <w:rFonts w:hint="default"/>
                <w:b/>
                <w:bCs/>
                <w:color w:val="auto"/>
              </w:rPr>
              <w:t>（kg/m</w:t>
            </w:r>
            <w:r>
              <w:rPr>
                <w:rFonts w:hint="default"/>
                <w:b/>
                <w:bCs/>
                <w:color w:val="auto"/>
                <w:vertAlign w:val="superscript"/>
              </w:rPr>
              <w:t>2</w:t>
            </w:r>
            <w:r>
              <w:rPr>
                <w:rFonts w:hint="default"/>
                <w:b/>
                <w:bCs/>
                <w:color w:val="auto"/>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0.5</w:t>
            </w:r>
          </w:p>
          <w:p>
            <w:pPr>
              <w:pStyle w:val="36"/>
              <w:bidi w:val="0"/>
              <w:rPr>
                <w:rFonts w:hint="default"/>
                <w:b/>
                <w:bCs/>
                <w:color w:val="auto"/>
              </w:rPr>
            </w:pPr>
            <w:r>
              <w:rPr>
                <w:rFonts w:hint="default"/>
                <w:b/>
                <w:bCs/>
                <w:color w:val="auto"/>
              </w:rPr>
              <w:t>（kg/m</w:t>
            </w:r>
            <w:r>
              <w:rPr>
                <w:rFonts w:hint="default"/>
                <w:b/>
                <w:bCs/>
                <w:color w:val="auto"/>
                <w:vertAlign w:val="superscript"/>
              </w:rPr>
              <w:t>2</w:t>
            </w:r>
            <w:r>
              <w:rPr>
                <w:rFonts w:hint="default"/>
                <w:b/>
                <w:bCs/>
                <w:color w:val="auto"/>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1.0</w:t>
            </w:r>
          </w:p>
          <w:p>
            <w:pPr>
              <w:pStyle w:val="36"/>
              <w:bidi w:val="0"/>
              <w:rPr>
                <w:rFonts w:hint="default"/>
                <w:b/>
                <w:bCs/>
                <w:color w:val="auto"/>
              </w:rPr>
            </w:pPr>
            <w:r>
              <w:rPr>
                <w:rFonts w:hint="default"/>
                <w:b/>
                <w:bCs/>
                <w:color w:val="auto"/>
              </w:rPr>
              <w:t>（kg/m</w:t>
            </w:r>
            <w:r>
              <w:rPr>
                <w:rFonts w:hint="default"/>
                <w:b/>
                <w:bCs/>
                <w:color w:val="auto"/>
                <w:vertAlign w:val="superscript"/>
              </w:rPr>
              <w:t>2</w:t>
            </w:r>
            <w:r>
              <w:rPr>
                <w:rFonts w:hint="default"/>
                <w:b/>
                <w:bCs/>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5(km/hr)</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0.051056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0.085865</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0.116382</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0.144408</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0.170715</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0.28710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10(km/hr)</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0.102112</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0.171731</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0.232764</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0.288815</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0.341431</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0.574216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15(km/hr)</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0.153167</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0.257596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0.349146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0.433223</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0.512146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0.861323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20(km/hr)</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0.255279</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0.429326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0.58191</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0.722038</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0.853577</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1.435539</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由此可见，在同样路面清洁程度条件下，车速越快，扬尘量越大；而在同样车速情况下，路面越脏，则扬尘量越大。</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防治措施：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施工时应参照扬尘整治“六必须”（必须湿法作业、必须打围作业、必须硬化场地、必须设置冲洗设施（设备）、必须配齐保洁人员、必须清扫施工现场）与“六不准”（不准车辆带泥出门、不准运渣车辆超载、不准高空抛洒建渣、不准现场搅拌混凝土、不准场地积水、不准现场焚烧废弃物）来防治施工扬尘。针对本项目，本环评要求采取的具体防治扬尘措施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a在施工过程中，采取围挡、围护以减少扬尘扩散，围挡、围护对减少扬尘对环境的污染有明显作用，在施工现场周围，连续设置不低于1.5m高的彩钢板挡墙。</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b在施工场地安排员工定期对施工场地洒水以减少扬尘量，洒水次数根据天气状况而定，一般每天洒水1~2次，若遇到大风或干燥天气可适当增加洒水次数。施工场地洒水与否对扬尘的影响较大，类比同类项目施工场地，场地洒水后，扬尘量将减低28%~75%，大大减少了其对环境的影响，测试数据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洒水降尘测试效果</w:t>
      </w:r>
    </w:p>
    <w:tbl>
      <w:tblPr>
        <w:tblStyle w:val="77"/>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5"/>
        <w:gridCol w:w="1184"/>
        <w:gridCol w:w="1194"/>
        <w:gridCol w:w="1191"/>
        <w:gridCol w:w="1191"/>
        <w:gridCol w:w="1196"/>
        <w:gridCol w:w="11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 w:hRule="atLeast"/>
          <w:tblHeader/>
        </w:trPr>
        <w:tc>
          <w:tcPr>
            <w:tcW w:w="1496" w:type="pct"/>
            <w:gridSpan w:val="2"/>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bidi w:val="0"/>
              <w:rPr>
                <w:rFonts w:hint="default"/>
                <w:b/>
                <w:bCs/>
                <w:color w:val="auto"/>
              </w:rPr>
            </w:pPr>
            <w:r>
              <w:rPr>
                <w:rFonts w:hint="default"/>
                <w:b/>
                <w:bCs/>
                <w:color w:val="auto"/>
              </w:rPr>
              <w:t>距离（m）</w:t>
            </w:r>
          </w:p>
        </w:tc>
        <w:tc>
          <w:tcPr>
            <w:tcW w:w="7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0</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20</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50</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100</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0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TSP（mg/m3）</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不洒水</w:t>
            </w:r>
          </w:p>
        </w:tc>
        <w:tc>
          <w:tcPr>
            <w:tcW w:w="7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11.03</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2.89</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1.15</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0.86</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0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洒水</w:t>
            </w:r>
          </w:p>
        </w:tc>
        <w:tc>
          <w:tcPr>
            <w:tcW w:w="7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2.11</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1.40</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0.68</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0.40</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0.29</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c针对施工任务和施工场地环境状况，制定合理的施工计划，采取集中力量逐段施工方法，缩短施工周期，减少施工现场的工作面，减轻施工扬尘对环境的影响。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d为了减少工程扬尘对周围环境的影响，建议施工中遇到天气起风的情况下，对弃土表面洒水，防止扬尘。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e施工车辆采取篷布加盖措施。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f施工车辆及运输车辆在驶出施工区前，轮胎需作清泥除尘处理，不得将泥土尘土带出工地。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g在施工场地上设置专人负责弃土、建筑垃圾、建筑材料的处置、清运和堆放，堆放场地加盖篷布或洒水，防止二次扬尘。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h对建筑垃圾及弃土应及时处理、清运、以减少占地，防止扬尘污染，改善施工场地的环境。</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（2）汽车运输和施工机具尾气</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运输车辆和燃油施工机具在运输过程和施工过程中会排放一定数量的废气，污染物以NOx、CO和烃类为主。本项目汽车运输和施工机具尾气主要对作业点周围和运输路线两侧局部范围产生影响。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防治措施：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a加强施工机械的保养维护，提高机械的正常使用率。</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b加强对机械、车辆的维修保养，禁止以柴油为燃料的施工机械超负荷工作，减少烟度和颗粒物排放。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c动力机械多选择使用电动工具，严格控制内燃机械的使用，场内施工内燃机械(如铲车、挖掘机、发电机等)安置有效的空气滤清装置，并定期清理。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d禁止使用废气排放超标的车辆。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项目施工期将会对项目所在地以及周边的敏感点环境空气质量造成一定影响，扬尘主要影响范围在扬尘点下风向50m范围内，根据现场勘查，本项目200m范围内无居民等敏感点分布，本环评同时要求加强洒水降尘方式以减小对周边环境影响，随着施工期的结束扬尘对周边环境影响也会结束。</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因此，项目施工期不会对项目所在地环境空气质量造成明显影响。</w:t>
      </w:r>
    </w:p>
    <w:p>
      <w:pPr>
        <w:pStyle w:val="4"/>
        <w:adjustRightInd w:val="0"/>
        <w:rPr>
          <w:rFonts w:hint="default" w:ascii="Times New Roman" w:hAnsi="Times New Roman" w:cs="Times New Roman"/>
          <w:color w:val="auto"/>
        </w:rPr>
      </w:pPr>
      <w:bookmarkStart w:id="166" w:name="_Toc24823"/>
      <w:r>
        <w:rPr>
          <w:rFonts w:hint="default" w:ascii="Times New Roman" w:hAnsi="Times New Roman" w:cs="Times New Roman"/>
          <w:color w:val="auto"/>
        </w:rPr>
        <w:t>施工期地表水环境影响分析</w:t>
      </w:r>
      <w:bookmarkEnd w:id="166"/>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施工期产生的废水主要包括施工废水和施工人员的生活废水。</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（1）施工废水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废水主要来自于施工机械冲刷、冲洗地面、墙角以及桩基础施工中排出的泥浆，该类废水含大量泥沙，悬浮物浓度较高，pH值呈碱性，并带有少量的油污；另外雨季作业场地的地面径流水含有一定的泥土和高浓度的悬浮物。针对本项目施工废水特点，环评要求施工单位在施工现场设置废水收集池、沉淀池等处理设施，废水经沉淀处理后回用，不排放。</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（2）生活污水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项目不设置施工营地，利用附近农户住房作为临时办公室，施工人员均为当地人员，不在项目区食宿。施工期生活污水依托当地农户化粪池处理后用于农田施肥，严禁随意排放，以免污染附近水体。</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因此，施工期间加强管理，使施工废水和生活污水均得到妥善处理，废水不会对区域地表水造成环境影响。</w:t>
      </w:r>
    </w:p>
    <w:p>
      <w:pPr>
        <w:pStyle w:val="4"/>
        <w:adjustRightInd w:val="0"/>
        <w:rPr>
          <w:rFonts w:hint="default" w:ascii="Times New Roman" w:hAnsi="Times New Roman" w:cs="Times New Roman"/>
          <w:color w:val="auto"/>
        </w:rPr>
      </w:pPr>
      <w:bookmarkStart w:id="167" w:name="_Toc12655"/>
      <w:r>
        <w:rPr>
          <w:rFonts w:hint="default" w:ascii="Times New Roman" w:hAnsi="Times New Roman" w:cs="Times New Roman"/>
          <w:color w:val="auto"/>
        </w:rPr>
        <w:t>施工期声环境影响分析</w:t>
      </w:r>
      <w:bookmarkEnd w:id="167"/>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（1）主要声源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间，施工用机械设备有：摇臂式起重机、推土机、挖掘机、打桩机、空压机、电锤、电锯以及运送建材、渣土的载重汽车等，均属强噪声源，这些设备的噪声对周围环境影响较大，其中打桩机等产噪设备影响范围可达100～170m。另外，运输建材、渣土的重型卡车也将增大周围道路的交通噪声，这类卡车进场声级达90dB(A)以上，特别是在夜间运输时，如无严格的控制管理措施，将严重影响周围的声环境。部分施工机械噪声影响程度及范围详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部分施工机械噪声影响程度及范围</w:t>
      </w:r>
    </w:p>
    <w:tbl>
      <w:tblPr>
        <w:tblStyle w:val="77"/>
        <w:tblW w:w="512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24"/>
        <w:gridCol w:w="1280"/>
        <w:gridCol w:w="1424"/>
        <w:gridCol w:w="1566"/>
        <w:gridCol w:w="1566"/>
        <w:gridCol w:w="15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659"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bidi w:val="0"/>
              <w:rPr>
                <w:rFonts w:hint="default"/>
                <w:b/>
                <w:bCs/>
                <w:color w:val="auto"/>
              </w:rPr>
            </w:pPr>
            <w:r>
              <w:rPr>
                <w:rFonts w:hint="default"/>
                <w:b/>
                <w:bCs/>
                <w:color w:val="auto"/>
              </w:rPr>
              <w:t>设备名称</w:t>
            </w:r>
          </w:p>
        </w:tc>
        <w:tc>
          <w:tcPr>
            <w:tcW w:w="4341"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平均A声级dB(A)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距声源5m处</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距声源50m处</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距声源100m处</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距声源150m处</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距声源250m处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挖掘机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100</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66</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60</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56</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打桩机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105</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71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61</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摇臂式起重机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100</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66</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60</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56</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推土机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95</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51</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载重汽车</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80</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46</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40</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36.5</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空压机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95</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51</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电锤、电锯</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61</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47</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35</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（2）噪声预测模式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噪声源声级按自由声场衰减方式传播，主要考虑距离衰减，忽</w:t>
      </w:r>
      <w:r>
        <w:rPr>
          <w:rFonts w:hint="eastAsia" w:cs="Times New Roman"/>
          <w:color w:val="auto"/>
          <w:lang w:eastAsia="zh-CN"/>
        </w:rPr>
        <w:t>本部分涉密</w:t>
      </w:r>
      <w:r>
        <w:rPr>
          <w:rFonts w:hint="default" w:ascii="Times New Roman" w:hAnsi="Times New Roman" w:cs="Times New Roman"/>
          <w:color w:val="auto"/>
        </w:rPr>
        <w:t>大气吸收、障碍物屏障等因素，其衰减模式为：</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742440" cy="466090"/>
            <wp:effectExtent l="0" t="0" r="10160"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42440" cy="466090"/>
                    </a:xfrm>
                    <a:prstGeom prst="rect">
                      <a:avLst/>
                    </a:prstGeom>
                  </pic:spPr>
                </pic:pic>
              </a:graphicData>
            </a:graphic>
          </wp:inline>
        </w:drawing>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式中：</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LA（r）—距声源r米处的声级值，dB(A)；</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LA（r0）—距声源r0米处的声级值，dB(A)；</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r—距声源的距离，m。</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施工期噪声源声级值随距离衰减预测结果见下表。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施工期噪声影响预测结果单位：dB(A)</w:t>
      </w:r>
    </w:p>
    <w:tbl>
      <w:tblPr>
        <w:tblStyle w:val="7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8"/>
        <w:gridCol w:w="700"/>
        <w:gridCol w:w="538"/>
        <w:gridCol w:w="561"/>
        <w:gridCol w:w="561"/>
        <w:gridCol w:w="561"/>
        <w:gridCol w:w="561"/>
        <w:gridCol w:w="561"/>
        <w:gridCol w:w="573"/>
        <w:gridCol w:w="602"/>
        <w:gridCol w:w="707"/>
        <w:gridCol w:w="18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blHeader/>
        </w:trPr>
        <w:tc>
          <w:tcPr>
            <w:tcW w:w="410"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6"/>
              <w:bidi w:val="0"/>
              <w:rPr>
                <w:rFonts w:hint="default"/>
                <w:b/>
                <w:bCs/>
                <w:color w:val="auto"/>
              </w:rPr>
            </w:pPr>
            <w:r>
              <w:rPr>
                <w:rFonts w:hint="default"/>
                <w:b/>
                <w:bCs/>
                <w:color w:val="auto"/>
              </w:rPr>
              <w:t>噪声源</w:t>
            </w:r>
          </w:p>
        </w:tc>
        <w:tc>
          <w:tcPr>
            <w:tcW w:w="41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声源噪声值</w:t>
            </w:r>
          </w:p>
        </w:tc>
        <w:tc>
          <w:tcPr>
            <w:tcW w:w="3065" w:type="pct"/>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预测距离（m）</w:t>
            </w:r>
          </w:p>
        </w:tc>
        <w:tc>
          <w:tcPr>
            <w:tcW w:w="111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p>
        </w:tc>
        <w:tc>
          <w:tcPr>
            <w:tcW w:w="41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p>
        </w:tc>
        <w:tc>
          <w:tcPr>
            <w:tcW w:w="3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5</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10</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15</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20</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25</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50</w:t>
            </w:r>
          </w:p>
        </w:tc>
        <w:tc>
          <w:tcPr>
            <w:tcW w:w="3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100</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150</w:t>
            </w:r>
          </w:p>
        </w:tc>
        <w:tc>
          <w:tcPr>
            <w:tcW w:w="4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b/>
                <w:bCs/>
                <w:color w:val="auto"/>
              </w:rPr>
            </w:pPr>
            <w:r>
              <w:rPr>
                <w:rFonts w:hint="default"/>
                <w:b/>
                <w:bCs/>
                <w:color w:val="auto"/>
              </w:rPr>
              <w:t>200</w:t>
            </w:r>
          </w:p>
        </w:tc>
        <w:tc>
          <w:tcPr>
            <w:tcW w:w="111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工程建设</w:t>
            </w:r>
          </w:p>
        </w:tc>
        <w:tc>
          <w:tcPr>
            <w:tcW w:w="4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95</w:t>
            </w:r>
          </w:p>
        </w:tc>
        <w:tc>
          <w:tcPr>
            <w:tcW w:w="3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81</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75</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73</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69</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67</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61</w:t>
            </w:r>
          </w:p>
        </w:tc>
        <w:tc>
          <w:tcPr>
            <w:tcW w:w="3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55</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51.5</w:t>
            </w:r>
          </w:p>
        </w:tc>
        <w:tc>
          <w:tcPr>
            <w:tcW w:w="41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49</w:t>
            </w:r>
          </w:p>
        </w:tc>
        <w:tc>
          <w:tcPr>
            <w:tcW w:w="11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以施工期最强声级来预测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1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6"/>
              <w:bidi w:val="0"/>
              <w:rPr>
                <w:rFonts w:hint="default"/>
                <w:color w:val="auto"/>
              </w:rPr>
            </w:pPr>
            <w:r>
              <w:rPr>
                <w:rFonts w:hint="default"/>
                <w:color w:val="auto"/>
              </w:rPr>
              <w:t>《建筑施工场界环境噪声排放标准》（GB12523-2011）：昼间70夜间55</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（3）施工期声影响分析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由上表施工期噪声影响预测结果可看出：由于施工使用了推土机、振捣棒等强噪声源设备，对照环境噪声执行《建筑施工场界环境噪声排放标准》(GB12523-2011)标准，施工期昼夜间噪声将对本项目100m范围以内造成一定的影响。</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（4）施工期噪声保护措施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施工期的噪声影响是短期的，项目建成后，施工期噪声的影响也就此结束。但是由于施工机械均为强噪声源，施工期间噪声影响范围较大，因此必须采取以下措施，严格管理：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根据《中华人民共和国环境噪声污染防治法》第二十九条规定：施工单位必须在工程开工15日以前向工程所在地县级以上地方人民政府环境保护行政主管部门申报工程项目名称、施工场所和期限、建筑施工机械可能产生的环境噪声值以及所采取的环境噪声污染防治措施情况。提前向项目区周边居民说明项目概况及施工期可能带来的影响，取得周围居民的谅解。</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②严格执行《建筑施工场界环境噪声排放标准》（GB12523-2011）对施工阶段的场界限值的规定。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③施工单位应对施工总平面进行合理布局，将高噪声设备尽可能布置于远离居民区。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④施工车辆特别是重型运载车辆的运行线路和时间，应尽量避开噪声敏感区域和噪声敏感时段。进出车辆要合理调度，明确线路，使行驶道路保持平坦，减弱车辆的颠簸噪声和产生振动。加强施工区域交通管理，避免因交通堵塞增加车辆鸣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⑤在保证施工进度的前提下，合理安排作业时间，限制夜间进行强噪声污染的施工作业。教育工人文明施工，尤其是夜间施工时，不要大声喧哗，尽量减小机具和材料的撞击，以降低人为噪声的影响。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⑥如需在夜间使用机械、设备施工，必须提前十日向区政府提出申请，未经批准不得从事夜间施工作业。一般只批准因混凝土浇筑和钻孔灌注桩成型等建筑工艺特殊需要，必须连续作业的，且只准使用商品混凝土。批准夜间施工后应与可能受影响的村民联系，将环保部门意见通告居民，接受公众监督。</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⑦在高噪声设备附近，加设可移动的简易隔声屏。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⑧限制打桩机、空压机、电锤、电锯、电刨以等高噪声机械在夜间工作。</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⑨按照《关于严格限制夜间施工作业防治环境污染的通告》实施施工操作，杜绝野蛮装卸和车辆鸣号。</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评价认为施工期噪声会对区域声环境造成一定的影响，噪声属非残留污染，随工程结束而消失，采取有效措施对施工噪声进行控制后，会将本项目施工噪声对周围敏感点影响控制在最低水平，项目施工不会对评价范围内声环境产生较大的不利影响。</w:t>
      </w:r>
    </w:p>
    <w:p>
      <w:pPr>
        <w:pStyle w:val="4"/>
        <w:adjustRightInd w:val="0"/>
        <w:rPr>
          <w:rFonts w:hint="default" w:ascii="Times New Roman" w:hAnsi="Times New Roman" w:cs="Times New Roman"/>
          <w:color w:val="auto"/>
        </w:rPr>
      </w:pPr>
      <w:bookmarkStart w:id="168" w:name="_Toc16569"/>
      <w:r>
        <w:rPr>
          <w:rFonts w:hint="default" w:ascii="Times New Roman" w:hAnsi="Times New Roman" w:cs="Times New Roman"/>
          <w:color w:val="auto"/>
        </w:rPr>
        <w:t>施工期固体废物的影响分析</w:t>
      </w:r>
      <w:bookmarkEnd w:id="168"/>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根据工程分析，该项目施工期产生的固体废弃物包括土石方开挖工程产生的弃渣、施工过程中产生的建筑垃圾、施工材料的废包装材料以及施工人员的生活垃圾等。</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（1）土石方</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施工过程施工场地开挖，设过程裸露土地未能全部及时硬化或采取绿化措施恢复，均会使场地内表土松散，从而减弱土层的稳定性，在暴雨较集中的时段容易形成小范围的水土流失。</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该项目在施工过程中应采取以下防治措施：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建设项目在施工场地开挖过程中实施“分层开挖、分层堆放和分层回填”的措施，开挖过程中生熟土分开堆放，表层土用作绿化覆土，下层土用作填方，控制和减轻地基开挖及施工建设对地表植被和土壤的破坏而造成的水土流失，控制施工期水土流失对周围环境的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②同时要求施工单位合理安排时间，优化施工方案，尽量避开雨季开挖土石方，及时回填，避免土石方长时间堆放；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③在施工场地建排水沟和沉砂池，防止雨水冲刷场地，使雨水经沉砂池沉清后再外排；</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④实行局部施工，采取挡土墙等措施对边坡、斜坡等处进行防护，对预留的绿化用土专门堆放；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⑤本环评要求在临时堆土场周边设置排水沟、挡护设施，并对其进行遮盖，做好水土保持措施，减少水土流失，在本项目施工完成后，尽快采取绿化措施进行迹地恢复。</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（2）建筑垃圾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筑垃圾主要为施工中废弃的路面碎块、混凝土块、废钢筋头、废砂石、废砂浆、碎砖瓦等杂物。在施工期要加强对废弃物的收集和管理，将建筑垃圾和能回收的废材料、废包装袋分别收集堆放，废材料、废包装袋及时出售给废品回收公司处理，不能回收的建筑垃圾由施工方统一清运。</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（3）生活垃圾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施工期施工人员产生的生活垃圾经集中收集后，由环卫部门统一清运，严禁随意丢弃或堆放。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本工程施工过程产生的固体废物都得到了合理有效的处置，不会造成二次污染。</w:t>
      </w:r>
    </w:p>
    <w:p>
      <w:pPr>
        <w:pStyle w:val="4"/>
        <w:adjustRightInd w:val="0"/>
        <w:rPr>
          <w:rFonts w:hint="default" w:ascii="Times New Roman" w:hAnsi="Times New Roman" w:cs="Times New Roman"/>
          <w:color w:val="auto"/>
        </w:rPr>
      </w:pPr>
      <w:bookmarkStart w:id="169" w:name="_Toc12023"/>
      <w:r>
        <w:rPr>
          <w:rFonts w:hint="default" w:ascii="Times New Roman" w:hAnsi="Times New Roman" w:cs="Times New Roman"/>
          <w:color w:val="auto"/>
        </w:rPr>
        <w:t>施工期生态环境影响分析</w:t>
      </w:r>
      <w:bookmarkEnd w:id="169"/>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本项目利用乐山（沙湾）不锈钢产业园区工业用地82.79亩进行建设，只要施工完成后及时采取相应的生态保护和恢复措施，强化施工期的生态保护，则本项目的建设对生态影响较小。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（1）水土流失</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工程施工期对生态环境的影响主要是由于施工清除现场、土石方开挖、填筑、机械碾压等施工活动破坏了工程区域原有地貌，扰动了表土结构，导致土壤抗蚀能力降低，损坏了原有的水土保持设施，导致地表裸露，在地表径流作用下，造成水土流失，加大水土流失量。通过采取动土前在项目周边建临时导洪沟、挡土墙、及时夯实回填。施工道路采用硬化路面，在施工场地建排水沟，防止雨水冲刷场地，并在排水沟出口设沉淀池，使雨水经沉砂池沉淀后用地场地洒水降尘使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水土保持及生态保护措施：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①科学规划，合理安排。挖填方配套作业，要求分区分片开挖和填压，及时运输弃土方、及时压实填方，防止暴雨径流对开挖面积填方区的冲刷，从根本上减少水土流失量。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②施工中采取临时防护措施，如在场地基坑周围设临时排水沟，并用草席、沙袋等对坡面进行护理，确保下雨时不出现大量水土流失。</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③施工时必须同时建设基坑护墙等辅助工程以稳定边坡，防止坡面崩塌。</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④应在施工期间，搞好项目的生态保护和建设，缩短施工工期。在项目建设的同时应及时搞好厂区的植树、绿化及地面硬化，工程建成后，场地内应无裸露地面，使区域水土保持功能得到加强。建筑渣土在施工场地内设置的堆放场，应当及时采取绿化覆盖等措施。</w:t>
      </w:r>
    </w:p>
    <w:p>
      <w:pPr>
        <w:pStyle w:val="3"/>
        <w:adjustRightInd w:val="0"/>
        <w:rPr>
          <w:rFonts w:hint="default" w:ascii="Times New Roman" w:hAnsi="Times New Roman" w:cs="Times New Roman"/>
          <w:color w:val="auto"/>
        </w:rPr>
      </w:pPr>
      <w:bookmarkStart w:id="170" w:name="_Toc30046"/>
      <w:bookmarkStart w:id="171" w:name="_Toc127483575"/>
      <w:r>
        <w:rPr>
          <w:rFonts w:hint="default" w:ascii="Times New Roman" w:hAnsi="Times New Roman" w:cs="Times New Roman"/>
          <w:color w:val="auto"/>
        </w:rPr>
        <w:t>营运期环境影响分析</w:t>
      </w:r>
      <w:bookmarkEnd w:id="170"/>
      <w:bookmarkEnd w:id="171"/>
    </w:p>
    <w:p>
      <w:pPr>
        <w:pStyle w:val="4"/>
        <w:adjustRightInd w:val="0"/>
        <w:rPr>
          <w:rFonts w:hint="default" w:ascii="Times New Roman" w:hAnsi="Times New Roman" w:cs="Times New Roman"/>
          <w:color w:val="auto"/>
        </w:rPr>
      </w:pPr>
      <w:bookmarkStart w:id="172" w:name="_Toc32375"/>
      <w:r>
        <w:rPr>
          <w:rFonts w:hint="default" w:ascii="Times New Roman" w:hAnsi="Times New Roman" w:cs="Times New Roman"/>
          <w:color w:val="auto"/>
        </w:rPr>
        <w:t>运营期大气环境影响分析</w:t>
      </w:r>
      <w:bookmarkEnd w:id="172"/>
    </w:p>
    <w:p>
      <w:pPr>
        <w:bidi w:val="0"/>
        <w:rPr>
          <w:rFonts w:hint="eastAsia" w:eastAsia="宋体"/>
          <w:lang w:val="en-US" w:eastAsia="zh-CN"/>
        </w:rPr>
      </w:pPr>
      <w:r>
        <w:rPr>
          <w:rFonts w:hint="eastAsia"/>
          <w:lang w:val="en-US" w:eastAsia="zh-CN"/>
        </w:rPr>
        <w:t>本部分涉密</w:t>
      </w:r>
    </w:p>
    <w:p>
      <w:pPr>
        <w:pStyle w:val="4"/>
        <w:adjustRightInd w:val="0"/>
        <w:rPr>
          <w:rFonts w:hint="default" w:ascii="Times New Roman" w:hAnsi="Times New Roman" w:cs="Times New Roman"/>
          <w:color w:val="auto"/>
        </w:rPr>
      </w:pPr>
      <w:bookmarkStart w:id="173" w:name="_Toc24365"/>
      <w:r>
        <w:rPr>
          <w:rFonts w:hint="default" w:ascii="Times New Roman" w:hAnsi="Times New Roman" w:cs="Times New Roman"/>
          <w:color w:val="auto"/>
        </w:rPr>
        <w:t>运营期地表水环境影响分析</w:t>
      </w:r>
      <w:bookmarkEnd w:id="173"/>
    </w:p>
    <w:p>
      <w:pPr>
        <w:rPr>
          <w:rFonts w:hint="eastAsia" w:eastAsia="宋体"/>
          <w:lang w:val="en-US" w:eastAsia="zh-CN"/>
        </w:rPr>
      </w:pPr>
      <w:r>
        <w:rPr>
          <w:rFonts w:hint="eastAsia" w:cs="Times New Roman"/>
          <w:color w:val="auto"/>
          <w:lang w:val="en-US" w:eastAsia="zh-CN"/>
        </w:rPr>
        <w:t>本部分涉密</w:t>
      </w:r>
    </w:p>
    <w:p>
      <w:pPr>
        <w:pStyle w:val="4"/>
        <w:adjustRightInd w:val="0"/>
        <w:rPr>
          <w:rFonts w:hint="default" w:ascii="Times New Roman" w:hAnsi="Times New Roman" w:cs="Times New Roman"/>
          <w:color w:val="auto"/>
        </w:rPr>
      </w:pPr>
      <w:bookmarkStart w:id="174" w:name="_Toc22070"/>
      <w:r>
        <w:rPr>
          <w:rFonts w:hint="default" w:ascii="Times New Roman" w:hAnsi="Times New Roman" w:cs="Times New Roman"/>
          <w:color w:val="auto"/>
        </w:rPr>
        <w:t>运营期声环境影响分析</w:t>
      </w:r>
      <w:bookmarkEnd w:id="174"/>
    </w:p>
    <w:p>
      <w:pPr>
        <w:pStyle w:val="37"/>
        <w:adjustRightInd w:val="0"/>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本部分涉密</w:t>
      </w:r>
    </w:p>
    <w:p>
      <w:pPr>
        <w:pStyle w:val="4"/>
        <w:adjustRightInd w:val="0"/>
        <w:rPr>
          <w:rFonts w:hint="default" w:ascii="Times New Roman" w:hAnsi="Times New Roman" w:cs="Times New Roman"/>
          <w:color w:val="auto"/>
        </w:rPr>
      </w:pPr>
      <w:bookmarkStart w:id="175" w:name="_Toc15882"/>
      <w:r>
        <w:rPr>
          <w:rFonts w:hint="default" w:ascii="Times New Roman" w:hAnsi="Times New Roman" w:cs="Times New Roman"/>
          <w:color w:val="auto"/>
        </w:rPr>
        <w:t>运营期固体废物环境影响分析</w:t>
      </w:r>
      <w:bookmarkEnd w:id="175"/>
    </w:p>
    <w:p>
      <w:pPr>
        <w:bidi w:val="0"/>
        <w:rPr>
          <w:rFonts w:hint="eastAsia" w:eastAsia="宋体"/>
          <w:lang w:val="en-US" w:eastAsia="zh-CN"/>
        </w:rPr>
      </w:pPr>
      <w:r>
        <w:rPr>
          <w:rFonts w:hint="eastAsia"/>
          <w:lang w:val="en-US" w:eastAsia="zh-CN"/>
        </w:rPr>
        <w:t>本部分涉密</w:t>
      </w:r>
    </w:p>
    <w:p>
      <w:pPr>
        <w:pStyle w:val="4"/>
        <w:adjustRightInd w:val="0"/>
        <w:rPr>
          <w:rFonts w:hint="default" w:ascii="Times New Roman" w:hAnsi="Times New Roman" w:cs="Times New Roman"/>
          <w:color w:val="auto"/>
        </w:rPr>
      </w:pPr>
      <w:bookmarkStart w:id="176" w:name="_Toc5748"/>
      <w:r>
        <w:rPr>
          <w:rFonts w:hint="default" w:ascii="Times New Roman" w:hAnsi="Times New Roman" w:cs="Times New Roman"/>
          <w:color w:val="auto"/>
        </w:rPr>
        <w:t>运营期地下水环境影响分析</w:t>
      </w:r>
      <w:bookmarkEnd w:id="176"/>
    </w:p>
    <w:p>
      <w:pPr>
        <w:pStyle w:val="37"/>
        <w:adjustRightInd w:val="0"/>
        <w:ind w:firstLine="480"/>
        <w:rPr>
          <w:rFonts w:hint="default" w:ascii="Times New Roman" w:hAnsi="Times New Roman" w:cs="Times New Roman"/>
          <w:color w:val="auto"/>
        </w:rPr>
      </w:pPr>
      <w:r>
        <w:rPr>
          <w:rFonts w:hint="eastAsia" w:cs="Times New Roman"/>
          <w:color w:val="auto"/>
          <w:lang w:eastAsia="zh-CN"/>
        </w:rPr>
        <w:t>本部分涉密</w:t>
      </w:r>
    </w:p>
    <w:p>
      <w:pPr>
        <w:pStyle w:val="4"/>
        <w:adjustRightInd w:val="0"/>
        <w:rPr>
          <w:rFonts w:hint="default" w:ascii="Times New Roman" w:hAnsi="Times New Roman" w:cs="Times New Roman"/>
          <w:color w:val="auto"/>
        </w:rPr>
      </w:pPr>
      <w:bookmarkStart w:id="177" w:name="_Toc14706"/>
      <w:r>
        <w:rPr>
          <w:rFonts w:hint="default" w:ascii="Times New Roman" w:hAnsi="Times New Roman" w:cs="Times New Roman"/>
          <w:color w:val="auto"/>
        </w:rPr>
        <w:t>土壤环境影响分析</w:t>
      </w:r>
      <w:bookmarkEnd w:id="177"/>
    </w:p>
    <w:p>
      <w:pPr>
        <w:pStyle w:val="37"/>
        <w:adjustRightInd w:val="0"/>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本部分涉密</w:t>
      </w:r>
    </w:p>
    <w:p>
      <w:pPr>
        <w:pStyle w:val="37"/>
        <w:adjustRightInd w:val="0"/>
        <w:ind w:firstLine="480"/>
        <w:rPr>
          <w:rFonts w:hint="default" w:ascii="Times New Roman" w:hAnsi="Times New Roman" w:cs="Times New Roman"/>
          <w:color w:val="auto"/>
        </w:rPr>
      </w:pPr>
    </w:p>
    <w:p>
      <w:pPr>
        <w:pStyle w:val="37"/>
        <w:adjustRightInd w:val="0"/>
        <w:ind w:firstLine="480"/>
        <w:rPr>
          <w:rFonts w:hint="default" w:ascii="Times New Roman" w:hAnsi="Times New Roman" w:cs="Times New Roman"/>
          <w:color w:val="auto"/>
        </w:rPr>
      </w:pPr>
    </w:p>
    <w:p>
      <w:pPr>
        <w:pStyle w:val="37"/>
        <w:adjustRightInd w:val="0"/>
        <w:ind w:firstLine="480"/>
        <w:rPr>
          <w:rFonts w:hint="default" w:ascii="Times New Roman" w:hAnsi="Times New Roman" w:cs="Times New Roman"/>
          <w:color w:val="auto"/>
        </w:rPr>
      </w:pPr>
    </w:p>
    <w:p>
      <w:pPr>
        <w:pStyle w:val="37"/>
        <w:adjustRightInd w:val="0"/>
        <w:ind w:firstLine="480"/>
        <w:rPr>
          <w:rFonts w:hint="default" w:ascii="Times New Roman" w:hAnsi="Times New Roman" w:cs="Times New Roman"/>
          <w:color w:val="auto"/>
        </w:rPr>
        <w:sectPr>
          <w:pgSz w:w="11906" w:h="16838"/>
          <w:pgMar w:top="1440" w:right="1800" w:bottom="1440" w:left="1800" w:header="851" w:footer="992" w:gutter="0"/>
          <w:cols w:space="425" w:num="1"/>
          <w:docGrid w:type="lines" w:linePitch="326" w:charSpace="0"/>
        </w:sectPr>
      </w:pPr>
    </w:p>
    <w:p>
      <w:pPr>
        <w:pStyle w:val="2"/>
        <w:adjustRightInd w:val="0"/>
        <w:rPr>
          <w:rFonts w:hint="default" w:ascii="Times New Roman" w:hAnsi="Times New Roman" w:cs="Times New Roman"/>
          <w:color w:val="auto"/>
        </w:rPr>
      </w:pPr>
      <w:bookmarkStart w:id="178" w:name="_Toc27453"/>
      <w:bookmarkStart w:id="179" w:name="_Toc30705"/>
      <w:bookmarkStart w:id="180" w:name="_Toc7582"/>
      <w:r>
        <w:rPr>
          <w:rFonts w:hint="default" w:ascii="Times New Roman" w:hAnsi="Times New Roman" w:cs="Times New Roman"/>
          <w:color w:val="auto"/>
        </w:rPr>
        <w:t>环境风险分析</w:t>
      </w:r>
      <w:bookmarkEnd w:id="178"/>
      <w:bookmarkEnd w:id="179"/>
      <w:bookmarkEnd w:id="180"/>
    </w:p>
    <w:p>
      <w:pPr>
        <w:pStyle w:val="3"/>
        <w:adjustRightInd w:val="0"/>
        <w:rPr>
          <w:rFonts w:hint="default" w:ascii="Times New Roman" w:hAnsi="Times New Roman" w:cs="Times New Roman"/>
          <w:color w:val="auto"/>
        </w:rPr>
      </w:pPr>
      <w:bookmarkStart w:id="181" w:name="_Toc16190092"/>
      <w:bookmarkStart w:id="182" w:name="_Toc22982"/>
      <w:bookmarkStart w:id="183" w:name="_Toc381"/>
      <w:bookmarkStart w:id="184" w:name="_Toc17737"/>
      <w:r>
        <w:rPr>
          <w:rFonts w:hint="default" w:ascii="Times New Roman" w:hAnsi="Times New Roman" w:cs="Times New Roman"/>
          <w:color w:val="auto"/>
        </w:rPr>
        <w:t>环境风险评价目</w:t>
      </w:r>
      <w:bookmarkEnd w:id="181"/>
      <w:r>
        <w:rPr>
          <w:rFonts w:hint="default" w:ascii="Times New Roman" w:hAnsi="Times New Roman" w:cs="Times New Roman"/>
          <w:color w:val="auto"/>
        </w:rPr>
        <w:t>的</w:t>
      </w:r>
      <w:bookmarkEnd w:id="182"/>
      <w:bookmarkEnd w:id="183"/>
      <w:bookmarkEnd w:id="18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在项目的建设和实施过程中，由于人为原因或者自然因素引起有毒、易燃易爆的物质发生泄漏、火灾、爆炸等突发性事故，造成生命财产的伤害和损失被称为环境风险事故。</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环境风险评价的目的是分析和预测建设项目存在的潜在危险、有害因素，建设项目建设和运营期间可能发生的突发性事故，引起有毒有害、易燃易爆等物质泄漏、爆炸和火灾等，所造成的人身安全和环境影响损害程度，提出合理可行的防范、应急与减缓措施，以使建设项目事故频率、损失和环境影响达到可以接受水平。</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按照《建设项目环境风险评价技术导则》（HJ169-2018）的要求，采用对项目风险调查、风险识别、环境风险分析等进行环境风险评价，了解其环境风险的可接受程度，提出减少风险的事故应急措施及应急预案，为企业运行和环境风险管理提供资料和依据，以期达到防止环境风险发生的可能性及其危害的目的。</w:t>
      </w:r>
    </w:p>
    <w:p>
      <w:pPr>
        <w:pStyle w:val="3"/>
        <w:adjustRightInd w:val="0"/>
        <w:rPr>
          <w:rFonts w:hint="default" w:ascii="Times New Roman" w:hAnsi="Times New Roman" w:cs="Times New Roman"/>
          <w:color w:val="auto"/>
        </w:rPr>
      </w:pPr>
      <w:bookmarkStart w:id="185" w:name="_Toc9073"/>
      <w:bookmarkStart w:id="186" w:name="_Toc29911"/>
      <w:bookmarkStart w:id="187" w:name="_Toc25173"/>
      <w:bookmarkStart w:id="188" w:name="_Toc25417"/>
      <w:r>
        <w:rPr>
          <w:rFonts w:hint="default" w:ascii="Times New Roman" w:hAnsi="Times New Roman" w:cs="Times New Roman"/>
          <w:color w:val="auto"/>
        </w:rPr>
        <w:t>环境风险评价依据</w:t>
      </w:r>
      <w:bookmarkEnd w:id="185"/>
      <w:bookmarkEnd w:id="186"/>
      <w:bookmarkEnd w:id="187"/>
      <w:bookmarkEnd w:id="188"/>
    </w:p>
    <w:p>
      <w:pPr>
        <w:pStyle w:val="4"/>
        <w:adjustRightInd w:val="0"/>
        <w:rPr>
          <w:rFonts w:hint="default" w:ascii="Times New Roman" w:hAnsi="Times New Roman" w:cs="Times New Roman"/>
          <w:color w:val="auto"/>
        </w:rPr>
      </w:pPr>
      <w:bookmarkStart w:id="189" w:name="_Toc24919"/>
      <w:bookmarkStart w:id="190" w:name="_Toc6331"/>
      <w:bookmarkStart w:id="191" w:name="_Toc24875"/>
      <w:bookmarkStart w:id="192" w:name="_Toc16421"/>
      <w:bookmarkStart w:id="193" w:name="_Toc493"/>
      <w:bookmarkStart w:id="194" w:name="_Toc24020"/>
      <w:r>
        <w:rPr>
          <w:rFonts w:hint="default" w:ascii="Times New Roman" w:hAnsi="Times New Roman" w:cs="Times New Roman"/>
          <w:color w:val="auto"/>
        </w:rPr>
        <w:t>风险物质识别</w:t>
      </w:r>
      <w:bookmarkEnd w:id="189"/>
      <w:bookmarkEnd w:id="190"/>
      <w:bookmarkEnd w:id="191"/>
      <w:bookmarkEnd w:id="192"/>
      <w:bookmarkEnd w:id="193"/>
      <w:bookmarkEnd w:id="19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根据项目的特点，本项目所涉及的风险物质主要为机油、废机油。</w:t>
      </w:r>
    </w:p>
    <w:p>
      <w:pPr>
        <w:pStyle w:val="4"/>
        <w:adjustRightInd w:val="0"/>
        <w:rPr>
          <w:rFonts w:hint="default" w:ascii="Times New Roman" w:hAnsi="Times New Roman" w:cs="Times New Roman"/>
          <w:color w:val="auto"/>
        </w:rPr>
      </w:pPr>
      <w:bookmarkStart w:id="195" w:name="_Toc2459"/>
      <w:bookmarkStart w:id="196" w:name="_Toc11174"/>
      <w:bookmarkStart w:id="197" w:name="_Toc17148"/>
      <w:bookmarkStart w:id="198" w:name="_Toc18939"/>
      <w:bookmarkStart w:id="199" w:name="_Toc8861"/>
      <w:r>
        <w:rPr>
          <w:rFonts w:hint="default" w:ascii="Times New Roman" w:hAnsi="Times New Roman" w:cs="Times New Roman"/>
          <w:color w:val="auto"/>
        </w:rPr>
        <w:t>风险潜势初判</w:t>
      </w:r>
      <w:bookmarkEnd w:id="195"/>
      <w:bookmarkEnd w:id="196"/>
      <w:bookmarkEnd w:id="197"/>
      <w:bookmarkEnd w:id="198"/>
      <w:bookmarkEnd w:id="199"/>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根据《建设项目环境风险评价技术导则》（HJ169-2018），根据建设项目涉及的物质及工艺系统危险性和所在地的环境敏感性确定环境风险潜势。</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评价工作等级划分</w:t>
      </w:r>
    </w:p>
    <w:tbl>
      <w:tblPr>
        <w:tblStyle w:val="30"/>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1695"/>
        <w:gridCol w:w="1597"/>
        <w:gridCol w:w="1840"/>
        <w:gridCol w:w="1840"/>
        <w:gridCol w:w="2084"/>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36"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环境风险潜势</w:t>
            </w:r>
          </w:p>
        </w:tc>
        <w:tc>
          <w:tcPr>
            <w:tcW w:w="882"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Ⅳ、Ⅳ+</w:t>
            </w:r>
          </w:p>
        </w:tc>
        <w:tc>
          <w:tcPr>
            <w:tcW w:w="1016"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Ⅲ</w:t>
            </w:r>
          </w:p>
        </w:tc>
        <w:tc>
          <w:tcPr>
            <w:tcW w:w="1016"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Ⅱ</w:t>
            </w:r>
          </w:p>
        </w:tc>
        <w:tc>
          <w:tcPr>
            <w:tcW w:w="1148"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93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评价工作等级</w:t>
            </w:r>
          </w:p>
        </w:tc>
        <w:tc>
          <w:tcPr>
            <w:tcW w:w="882"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一</w:t>
            </w:r>
          </w:p>
        </w:tc>
        <w:tc>
          <w:tcPr>
            <w:tcW w:w="10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二</w:t>
            </w:r>
          </w:p>
        </w:tc>
        <w:tc>
          <w:tcPr>
            <w:tcW w:w="10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三</w:t>
            </w:r>
          </w:p>
        </w:tc>
        <w:tc>
          <w:tcPr>
            <w:tcW w:w="1148"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简单分析a</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5000" w:type="pct"/>
            <w:gridSpan w:val="5"/>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a是相对于详细评价工作内容而言，在描述危险物质、环境影响途径、环境危害后果、风险防范措施等方面给出定性的说明。见附录A。</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设项目环境风险潜势划分为Ⅰ、Ⅱ、Ⅲ、Ⅳ/Ⅳ+级。根据建设项目涉及的物质和工艺系统的危险性及其所在地的环境敏感程度，结合事故情形下环境影响途径，对建设项目潜在环境危害程度进行概化分析，按照下表确定环境风险潜势。</w:t>
      </w:r>
    </w:p>
    <w:p>
      <w:pPr>
        <w:pStyle w:val="12"/>
        <w:adjustRightInd w:val="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建设项目环境风险潜势划分</w:t>
      </w:r>
    </w:p>
    <w:tbl>
      <w:tblPr>
        <w:tblStyle w:val="30"/>
        <w:tblW w:w="4999"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065"/>
        <w:gridCol w:w="1746"/>
        <w:gridCol w:w="1746"/>
        <w:gridCol w:w="1746"/>
        <w:gridCol w:w="1755"/>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140" w:type="pct"/>
            <w:vMerge w:val="restar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环境敏感程度（E）</w:t>
            </w:r>
          </w:p>
        </w:tc>
        <w:tc>
          <w:tcPr>
            <w:tcW w:w="3859" w:type="pct"/>
            <w:gridSpan w:val="4"/>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危险物质及工艺系统危险性（P）</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trHeight w:val="90" w:hRule="atLeast"/>
          <w:tblHeader/>
          <w:jc w:val="center"/>
        </w:trPr>
        <w:tc>
          <w:tcPr>
            <w:tcW w:w="1140" w:type="pct"/>
            <w:vMerge w:val="continue"/>
            <w:vAlign w:val="center"/>
          </w:tcPr>
          <w:p>
            <w:pPr>
              <w:pStyle w:val="65"/>
              <w:spacing w:before="62" w:after="62"/>
              <w:rPr>
                <w:rFonts w:hint="default" w:ascii="Times New Roman" w:hAnsi="Times New Roman" w:cs="Times New Roman"/>
                <w:b/>
                <w:bCs w:val="0"/>
                <w:color w:val="auto"/>
              </w:rPr>
            </w:pPr>
          </w:p>
        </w:tc>
        <w:tc>
          <w:tcPr>
            <w:tcW w:w="964"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极高危害（P1）</w:t>
            </w:r>
          </w:p>
        </w:tc>
        <w:tc>
          <w:tcPr>
            <w:tcW w:w="964"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高度危害（P2）</w:t>
            </w:r>
          </w:p>
        </w:tc>
        <w:tc>
          <w:tcPr>
            <w:tcW w:w="964"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中度危害（P3）</w:t>
            </w:r>
          </w:p>
        </w:tc>
        <w:tc>
          <w:tcPr>
            <w:tcW w:w="966"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轻度危害（P4）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4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环境高度敏感（E1）</w:t>
            </w:r>
          </w:p>
        </w:tc>
        <w:tc>
          <w:tcPr>
            <w:tcW w:w="96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Ⅳ+</w:t>
            </w:r>
          </w:p>
        </w:tc>
        <w:tc>
          <w:tcPr>
            <w:tcW w:w="96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Ⅳ</w:t>
            </w:r>
          </w:p>
        </w:tc>
        <w:tc>
          <w:tcPr>
            <w:tcW w:w="96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Ⅲ</w:t>
            </w:r>
          </w:p>
        </w:tc>
        <w:tc>
          <w:tcPr>
            <w:tcW w:w="96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Ⅲ</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4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环境中度敏感（E2）</w:t>
            </w:r>
          </w:p>
        </w:tc>
        <w:tc>
          <w:tcPr>
            <w:tcW w:w="96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Ⅳ</w:t>
            </w:r>
          </w:p>
        </w:tc>
        <w:tc>
          <w:tcPr>
            <w:tcW w:w="96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Ⅲ</w:t>
            </w:r>
          </w:p>
        </w:tc>
        <w:tc>
          <w:tcPr>
            <w:tcW w:w="96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Ⅲ</w:t>
            </w:r>
          </w:p>
        </w:tc>
        <w:tc>
          <w:tcPr>
            <w:tcW w:w="96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Ⅱ</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14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环境低度敏感（E3）</w:t>
            </w:r>
          </w:p>
        </w:tc>
        <w:tc>
          <w:tcPr>
            <w:tcW w:w="96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Ⅲ</w:t>
            </w:r>
          </w:p>
        </w:tc>
        <w:tc>
          <w:tcPr>
            <w:tcW w:w="96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Ⅲ</w:t>
            </w:r>
          </w:p>
        </w:tc>
        <w:tc>
          <w:tcPr>
            <w:tcW w:w="96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Ⅱ</w:t>
            </w:r>
          </w:p>
        </w:tc>
        <w:tc>
          <w:tcPr>
            <w:tcW w:w="96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5000" w:type="pct"/>
            <w:gridSpan w:val="5"/>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注：Ⅳ+为极高环境风险。</w:t>
            </w:r>
          </w:p>
        </w:tc>
      </w:tr>
    </w:tbl>
    <w:p>
      <w:pPr>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rPr>
        <w:t>分析建设项目生产、使用、储存过程中涉及的有毒有害、易燃易爆物质，参见《建设项目环境风险评价技术导则》（HJ/T169-2018）附录B确定危险物质的临界量。定量分析危险物质数量与临界量的比值（Q）和所属行业及生产工艺特点（M），对危险物质及工艺系统危险性（P）等级进行判断。</w:t>
      </w:r>
    </w:p>
    <w:p>
      <w:pPr>
        <w:pStyle w:val="12"/>
        <w:adjustRightInd w:val="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建设项目环境风险潜势划分</w:t>
      </w:r>
    </w:p>
    <w:tbl>
      <w:tblPr>
        <w:tblStyle w:val="30"/>
        <w:tblW w:w="4999"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207"/>
        <w:gridCol w:w="1712"/>
        <w:gridCol w:w="1712"/>
        <w:gridCol w:w="1714"/>
        <w:gridCol w:w="1713"/>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1218" w:type="pct"/>
            <w:vMerge w:val="restar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危险物质数量与临界量比值（Q）</w:t>
            </w:r>
          </w:p>
        </w:tc>
        <w:tc>
          <w:tcPr>
            <w:tcW w:w="3781" w:type="pct"/>
            <w:gridSpan w:val="4"/>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行业及生产工艺（M）</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1218" w:type="pct"/>
            <w:vMerge w:val="continue"/>
            <w:vAlign w:val="center"/>
          </w:tcPr>
          <w:p>
            <w:pPr>
              <w:pStyle w:val="65"/>
              <w:spacing w:before="62" w:after="62"/>
              <w:rPr>
                <w:rFonts w:hint="default" w:ascii="Times New Roman" w:hAnsi="Times New Roman" w:cs="Times New Roman"/>
                <w:b/>
                <w:bCs w:val="0"/>
                <w:color w:val="auto"/>
              </w:rPr>
            </w:pPr>
          </w:p>
        </w:tc>
        <w:tc>
          <w:tcPr>
            <w:tcW w:w="94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M1</w:t>
            </w:r>
          </w:p>
        </w:tc>
        <w:tc>
          <w:tcPr>
            <w:tcW w:w="94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M2</w:t>
            </w:r>
          </w:p>
        </w:tc>
        <w:tc>
          <w:tcPr>
            <w:tcW w:w="946"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M3</w:t>
            </w:r>
          </w:p>
        </w:tc>
        <w:tc>
          <w:tcPr>
            <w:tcW w:w="944"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M4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218"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Q≥100</w:t>
            </w:r>
          </w:p>
        </w:tc>
        <w:tc>
          <w:tcPr>
            <w:tcW w:w="94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P1</w:t>
            </w:r>
          </w:p>
        </w:tc>
        <w:tc>
          <w:tcPr>
            <w:tcW w:w="94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P1</w:t>
            </w:r>
          </w:p>
        </w:tc>
        <w:tc>
          <w:tcPr>
            <w:tcW w:w="94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P2</w:t>
            </w:r>
          </w:p>
        </w:tc>
        <w:tc>
          <w:tcPr>
            <w:tcW w:w="94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P3</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218"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10≤Q&lt;100</w:t>
            </w:r>
          </w:p>
        </w:tc>
        <w:tc>
          <w:tcPr>
            <w:tcW w:w="94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P1</w:t>
            </w:r>
          </w:p>
        </w:tc>
        <w:tc>
          <w:tcPr>
            <w:tcW w:w="94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P2</w:t>
            </w:r>
          </w:p>
        </w:tc>
        <w:tc>
          <w:tcPr>
            <w:tcW w:w="94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P3</w:t>
            </w:r>
          </w:p>
        </w:tc>
        <w:tc>
          <w:tcPr>
            <w:tcW w:w="94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218"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1≤Q&lt;10</w:t>
            </w:r>
          </w:p>
        </w:tc>
        <w:tc>
          <w:tcPr>
            <w:tcW w:w="94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P2</w:t>
            </w:r>
          </w:p>
        </w:tc>
        <w:tc>
          <w:tcPr>
            <w:tcW w:w="94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P3</w:t>
            </w:r>
          </w:p>
        </w:tc>
        <w:tc>
          <w:tcPr>
            <w:tcW w:w="94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P4</w:t>
            </w:r>
          </w:p>
        </w:tc>
        <w:tc>
          <w:tcPr>
            <w:tcW w:w="94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P4</w:t>
            </w:r>
          </w:p>
        </w:tc>
      </w:tr>
    </w:tbl>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危险物质数量与临界量的比值（Q）：</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计算所涉及的每种危险物质在厂界内的最大存在总量与其在对应《建设项目环境风险评价技术导则》（HJ/T169-2018）附录B中临界量的比值Q。在不同厂区的同一种物质，按其在厂界内的最大存在总量计算。当只涉及一种危险物质时，计算该物质的总量与其临界量比值，即为Q；当存在多种危险物质时，则按下式计算物质总量与其临界量比值（Q）：</w:t>
      </w:r>
    </w:p>
    <w:p>
      <w:pPr>
        <w:overflowPunct w:val="0"/>
        <w:adjustRightInd w:val="0"/>
        <w:spacing w:before="31" w:beforeLines="10" w:after="31" w:afterLines="10" w:line="240" w:lineRule="auto"/>
        <w:ind w:firstLine="0" w:firstLineChars="0"/>
        <w:jc w:val="center"/>
        <w:rPr>
          <w:rFonts w:hint="default" w:ascii="Times New Roman" w:hAnsi="Times New Roman" w:cs="Times New Roman"/>
          <w:color w:val="auto"/>
          <w:kern w:val="21"/>
          <w:sz w:val="21"/>
          <w:szCs w:val="22"/>
        </w:rPr>
      </w:pPr>
      <w:r>
        <w:rPr>
          <w:rFonts w:hint="default" w:ascii="Times New Roman" w:hAnsi="Times New Roman" w:cs="Times New Roman"/>
          <w:color w:val="auto"/>
          <w:kern w:val="21"/>
          <w:sz w:val="21"/>
          <w:szCs w:val="22"/>
        </w:rPr>
        <w:object>
          <v:shape id="_x0000_i1036" o:spt="75" type="#_x0000_t75" style="height:33.75pt;width:110.25pt;" o:ole="t" filled="f" o:preferrelative="t" stroked="f" coordsize="21600,21600">
            <v:path/>
            <v:fill on="f" focussize="0,0"/>
            <v:stroke on="f" joinstyle="miter"/>
            <v:imagedata r:id="rId48" o:title=""/>
            <o:lock v:ext="edit" aspectratio="t"/>
            <w10:wrap type="none"/>
            <w10:anchorlock/>
          </v:shape>
          <o:OLEObject Type="Embed" ProgID="Equation.3" ShapeID="_x0000_i1036" DrawAspect="Content" ObjectID="_1468075736" r:id="rId47">
            <o:LockedField>false</o:LockedField>
          </o:OLEObject>
        </w:object>
      </w:r>
    </w:p>
    <w:p>
      <w:pPr>
        <w:overflowPunct w:val="0"/>
        <w:adjustRightInd w:val="0"/>
        <w:ind w:firstLine="480"/>
        <w:rPr>
          <w:rFonts w:hint="default" w:ascii="Times New Roman" w:hAnsi="Times New Roman" w:cs="Times New Roman"/>
          <w:color w:val="auto"/>
          <w:kern w:val="21"/>
          <w:szCs w:val="20"/>
        </w:rPr>
      </w:pPr>
      <w:r>
        <w:rPr>
          <w:rFonts w:hint="default" w:ascii="Times New Roman" w:hAnsi="Times New Roman" w:cs="Times New Roman"/>
          <w:color w:val="auto"/>
          <w:kern w:val="21"/>
          <w:szCs w:val="20"/>
        </w:rPr>
        <w:t>式中：</w:t>
      </w:r>
    </w:p>
    <w:p>
      <w:pPr>
        <w:overflowPunct w:val="0"/>
        <w:adjustRightInd w:val="0"/>
        <w:ind w:firstLine="480"/>
        <w:rPr>
          <w:rFonts w:hint="default" w:ascii="Times New Roman" w:hAnsi="Times New Roman" w:cs="Times New Roman"/>
          <w:color w:val="auto"/>
          <w:kern w:val="21"/>
          <w:szCs w:val="20"/>
        </w:rPr>
      </w:pPr>
      <w:r>
        <w:rPr>
          <w:rFonts w:hint="default" w:ascii="Times New Roman" w:hAnsi="Times New Roman" w:cs="Times New Roman"/>
          <w:color w:val="auto"/>
          <w:kern w:val="21"/>
          <w:szCs w:val="20"/>
        </w:rPr>
        <w:t>q</w:t>
      </w:r>
      <w:r>
        <w:rPr>
          <w:rFonts w:hint="default" w:ascii="Times New Roman" w:hAnsi="Times New Roman" w:cs="Times New Roman"/>
          <w:color w:val="auto"/>
          <w:kern w:val="21"/>
          <w:szCs w:val="20"/>
          <w:vertAlign w:val="subscript"/>
        </w:rPr>
        <w:t>1</w:t>
      </w:r>
      <w:r>
        <w:rPr>
          <w:rFonts w:hint="default" w:ascii="Times New Roman" w:hAnsi="Times New Roman" w:cs="Times New Roman"/>
          <w:color w:val="auto"/>
          <w:kern w:val="21"/>
          <w:szCs w:val="20"/>
        </w:rPr>
        <w:t>，q</w:t>
      </w:r>
      <w:r>
        <w:rPr>
          <w:rFonts w:hint="default" w:ascii="Times New Roman" w:hAnsi="Times New Roman" w:cs="Times New Roman"/>
          <w:color w:val="auto"/>
          <w:kern w:val="21"/>
          <w:szCs w:val="20"/>
          <w:vertAlign w:val="subscript"/>
        </w:rPr>
        <w:t>2</w:t>
      </w:r>
      <w:r>
        <w:rPr>
          <w:rFonts w:hint="default" w:ascii="Times New Roman" w:hAnsi="Times New Roman" w:cs="Times New Roman"/>
          <w:color w:val="auto"/>
          <w:kern w:val="21"/>
          <w:szCs w:val="20"/>
        </w:rPr>
        <w:t>，…q</w:t>
      </w:r>
      <w:r>
        <w:rPr>
          <w:rFonts w:hint="default" w:ascii="Times New Roman" w:hAnsi="Times New Roman" w:cs="Times New Roman"/>
          <w:color w:val="auto"/>
          <w:kern w:val="21"/>
          <w:szCs w:val="20"/>
          <w:vertAlign w:val="subscript"/>
        </w:rPr>
        <w:t>n</w:t>
      </w:r>
      <w:r>
        <w:rPr>
          <w:rFonts w:hint="default" w:ascii="Times New Roman" w:hAnsi="Times New Roman" w:cs="Times New Roman"/>
          <w:color w:val="auto"/>
          <w:kern w:val="21"/>
          <w:szCs w:val="20"/>
        </w:rPr>
        <w:t>——</w:t>
      </w:r>
      <w:r>
        <w:rPr>
          <w:rFonts w:hint="default" w:ascii="Times New Roman" w:hAnsi="Times New Roman" w:cs="Times New Roman"/>
          <w:color w:val="auto"/>
          <w:kern w:val="21"/>
          <w:szCs w:val="24"/>
        </w:rPr>
        <w:t>每种</w:t>
      </w:r>
      <w:r>
        <w:rPr>
          <w:rFonts w:hint="default" w:ascii="Times New Roman" w:hAnsi="Times New Roman" w:cs="Times New Roman"/>
          <w:color w:val="auto"/>
          <w:kern w:val="21"/>
          <w:szCs w:val="20"/>
        </w:rPr>
        <w:t>危险物质的最大存在总量，t；</w:t>
      </w:r>
    </w:p>
    <w:p>
      <w:pPr>
        <w:overflowPunct w:val="0"/>
        <w:adjustRightInd w:val="0"/>
        <w:ind w:firstLine="480"/>
        <w:rPr>
          <w:rFonts w:hint="default" w:ascii="Times New Roman" w:hAnsi="Times New Roman" w:cs="Times New Roman"/>
          <w:color w:val="auto"/>
          <w:kern w:val="21"/>
          <w:szCs w:val="20"/>
        </w:rPr>
      </w:pPr>
      <w:r>
        <w:rPr>
          <w:rFonts w:hint="default" w:ascii="Times New Roman" w:hAnsi="Times New Roman" w:cs="Times New Roman"/>
          <w:color w:val="auto"/>
          <w:kern w:val="21"/>
          <w:szCs w:val="20"/>
        </w:rPr>
        <w:t>Q</w:t>
      </w:r>
      <w:r>
        <w:rPr>
          <w:rFonts w:hint="default" w:ascii="Times New Roman" w:hAnsi="Times New Roman" w:cs="Times New Roman"/>
          <w:color w:val="auto"/>
          <w:kern w:val="21"/>
          <w:szCs w:val="20"/>
          <w:vertAlign w:val="subscript"/>
        </w:rPr>
        <w:t>1</w:t>
      </w:r>
      <w:r>
        <w:rPr>
          <w:rFonts w:hint="default" w:ascii="Times New Roman" w:hAnsi="Times New Roman" w:cs="Times New Roman"/>
          <w:color w:val="auto"/>
          <w:kern w:val="21"/>
          <w:szCs w:val="20"/>
        </w:rPr>
        <w:t>，Q</w:t>
      </w:r>
      <w:r>
        <w:rPr>
          <w:rFonts w:hint="default" w:ascii="Times New Roman" w:hAnsi="Times New Roman" w:cs="Times New Roman"/>
          <w:color w:val="auto"/>
          <w:kern w:val="21"/>
          <w:szCs w:val="20"/>
          <w:vertAlign w:val="subscript"/>
        </w:rPr>
        <w:t>2</w:t>
      </w:r>
      <w:r>
        <w:rPr>
          <w:rFonts w:hint="default" w:ascii="Times New Roman" w:hAnsi="Times New Roman" w:cs="Times New Roman"/>
          <w:color w:val="auto"/>
          <w:kern w:val="21"/>
          <w:szCs w:val="20"/>
        </w:rPr>
        <w:t>，…Q</w:t>
      </w:r>
      <w:r>
        <w:rPr>
          <w:rFonts w:hint="default" w:ascii="Times New Roman" w:hAnsi="Times New Roman" w:cs="Times New Roman"/>
          <w:color w:val="auto"/>
          <w:kern w:val="21"/>
          <w:szCs w:val="20"/>
          <w:vertAlign w:val="subscript"/>
        </w:rPr>
        <w:t>n</w:t>
      </w:r>
      <w:r>
        <w:rPr>
          <w:rFonts w:hint="default" w:ascii="Times New Roman" w:hAnsi="Times New Roman" w:cs="Times New Roman"/>
          <w:color w:val="auto"/>
          <w:kern w:val="21"/>
          <w:szCs w:val="20"/>
        </w:rPr>
        <w:t>——每种危险物质的临界量，t。</w:t>
      </w:r>
    </w:p>
    <w:p>
      <w:pPr>
        <w:overflowPunct w:val="0"/>
        <w:adjustRightInd w:val="0"/>
        <w:ind w:firstLine="480"/>
        <w:rPr>
          <w:rFonts w:hint="default" w:ascii="Times New Roman" w:hAnsi="Times New Roman" w:cs="Times New Roman"/>
          <w:color w:val="auto"/>
          <w:kern w:val="21"/>
          <w:szCs w:val="20"/>
        </w:rPr>
      </w:pPr>
      <w:r>
        <w:rPr>
          <w:rFonts w:hint="default" w:ascii="Times New Roman" w:hAnsi="Times New Roman" w:cs="Times New Roman"/>
          <w:color w:val="auto"/>
          <w:kern w:val="21"/>
          <w:szCs w:val="20"/>
        </w:rPr>
        <w:t>当Q＜1时，该项目环境风险潜势为Ⅰ。</w:t>
      </w:r>
    </w:p>
    <w:p>
      <w:pPr>
        <w:overflowPunct w:val="0"/>
        <w:adjustRightInd w:val="0"/>
        <w:ind w:firstLine="480"/>
        <w:rPr>
          <w:rFonts w:hint="default" w:ascii="Times New Roman" w:hAnsi="Times New Roman" w:cs="Times New Roman"/>
          <w:color w:val="auto"/>
          <w:kern w:val="21"/>
          <w:szCs w:val="20"/>
        </w:rPr>
      </w:pPr>
      <w:r>
        <w:rPr>
          <w:rFonts w:hint="default" w:ascii="Times New Roman" w:hAnsi="Times New Roman" w:cs="Times New Roman"/>
          <w:color w:val="auto"/>
          <w:kern w:val="21"/>
          <w:szCs w:val="20"/>
        </w:rPr>
        <w:t>当Q≥1时，将Q值划分为：</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0"/>
        </w:rPr>
        <w:t>（1）1≤Q＜10；（2）10≤Q＜100；（3）Q≥100。</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本项目涉及的主要化学品为碳酸钠、氢氧化钠、捕收剂（氧化石蜡皂）、活化剂（氯化镁），不涉及《建设项目环境风险评价技术导则》（HJ169-2018）所列风险物质。</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本项目所涉及风险物质其临时储存量见下表。</w:t>
      </w:r>
    </w:p>
    <w:p>
      <w:pPr>
        <w:pStyle w:val="12"/>
        <w:overflowPunct w:val="0"/>
        <w:adjustRightInd w:val="0"/>
        <w:spacing w:before="62" w:beforeLines="20" w:after="62" w:afterLines="20"/>
        <w:ind w:left="425"/>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建设项目Q值确定表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720"/>
        <w:gridCol w:w="1247"/>
        <w:gridCol w:w="1649"/>
        <w:gridCol w:w="1113"/>
        <w:gridCol w:w="1270"/>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jc w:val="center"/>
        </w:trPr>
        <w:tc>
          <w:tcPr>
            <w:tcW w:w="550"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序号</w:t>
            </w:r>
          </w:p>
        </w:tc>
        <w:tc>
          <w:tcPr>
            <w:tcW w:w="949"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危化品名称</w:t>
            </w:r>
          </w:p>
        </w:tc>
        <w:tc>
          <w:tcPr>
            <w:tcW w:w="688"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临界量（t）</w:t>
            </w:r>
          </w:p>
        </w:tc>
        <w:tc>
          <w:tcPr>
            <w:tcW w:w="910"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最大存储量（t）</w:t>
            </w:r>
          </w:p>
        </w:tc>
        <w:tc>
          <w:tcPr>
            <w:tcW w:w="614"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qi/Qi</w:t>
            </w:r>
          </w:p>
        </w:tc>
        <w:tc>
          <w:tcPr>
            <w:tcW w:w="700"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∑qi/Qi</w:t>
            </w:r>
          </w:p>
        </w:tc>
        <w:tc>
          <w:tcPr>
            <w:tcW w:w="587"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50"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1</w:t>
            </w:r>
          </w:p>
        </w:tc>
        <w:tc>
          <w:tcPr>
            <w:tcW w:w="949"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机油</w:t>
            </w:r>
          </w:p>
        </w:tc>
        <w:tc>
          <w:tcPr>
            <w:tcW w:w="688"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2500</w:t>
            </w:r>
          </w:p>
        </w:tc>
        <w:tc>
          <w:tcPr>
            <w:tcW w:w="910"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0.1</w:t>
            </w:r>
          </w:p>
        </w:tc>
        <w:tc>
          <w:tcPr>
            <w:tcW w:w="614"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0.00004</w:t>
            </w:r>
          </w:p>
        </w:tc>
        <w:tc>
          <w:tcPr>
            <w:tcW w:w="700"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0.00004</w:t>
            </w:r>
          </w:p>
        </w:tc>
        <w:tc>
          <w:tcPr>
            <w:tcW w:w="587"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w:t>
            </w:r>
          </w:p>
        </w:tc>
        <w:tc>
          <w:tcPr>
            <w:tcW w:w="949"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废机油</w:t>
            </w:r>
          </w:p>
        </w:tc>
        <w:tc>
          <w:tcPr>
            <w:tcW w:w="688"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2500</w:t>
            </w:r>
          </w:p>
        </w:tc>
        <w:tc>
          <w:tcPr>
            <w:tcW w:w="910"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0.12</w:t>
            </w:r>
          </w:p>
        </w:tc>
        <w:tc>
          <w:tcPr>
            <w:tcW w:w="614"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0.00005</w:t>
            </w:r>
          </w:p>
        </w:tc>
        <w:tc>
          <w:tcPr>
            <w:tcW w:w="700"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0.00005</w:t>
            </w:r>
          </w:p>
        </w:tc>
        <w:tc>
          <w:tcPr>
            <w:tcW w:w="587"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2" w:type="pct"/>
            <w:gridSpan w:val="6"/>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合计</w:t>
            </w:r>
          </w:p>
        </w:tc>
        <w:tc>
          <w:tcPr>
            <w:tcW w:w="587" w:type="pct"/>
            <w:vAlign w:val="center"/>
          </w:tcPr>
          <w:p>
            <w:pPr>
              <w:widowControl/>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0.00009</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本项目危险物质临界量Q值为0.00009＜1，因此本项目全厂环境风险潜势为I。《建设项目环境风险评价技术导则》（HJ169-2018）中“4.3评价工作等级划分中明确：风险潜势为I，可开展简单分析。”。</w:t>
      </w:r>
    </w:p>
    <w:p>
      <w:pPr>
        <w:pStyle w:val="3"/>
        <w:adjustRightInd w:val="0"/>
        <w:rPr>
          <w:rFonts w:hint="default" w:ascii="Times New Roman" w:hAnsi="Times New Roman" w:cs="Times New Roman"/>
          <w:color w:val="auto"/>
        </w:rPr>
      </w:pPr>
      <w:bookmarkStart w:id="200" w:name="_Toc27217"/>
      <w:bookmarkStart w:id="201" w:name="_Toc4859"/>
      <w:bookmarkStart w:id="202" w:name="_Toc5669"/>
      <w:r>
        <w:rPr>
          <w:rFonts w:hint="default" w:ascii="Times New Roman" w:hAnsi="Times New Roman" w:cs="Times New Roman"/>
          <w:color w:val="auto"/>
        </w:rPr>
        <w:t>环境风险识别</w:t>
      </w:r>
      <w:bookmarkEnd w:id="200"/>
      <w:bookmarkEnd w:id="201"/>
      <w:bookmarkEnd w:id="202"/>
    </w:p>
    <w:p>
      <w:pPr>
        <w:pStyle w:val="4"/>
        <w:adjustRightInd w:val="0"/>
        <w:rPr>
          <w:rFonts w:hint="default" w:ascii="Times New Roman" w:hAnsi="Times New Roman" w:cs="Times New Roman"/>
          <w:color w:val="auto"/>
        </w:rPr>
      </w:pPr>
      <w:bookmarkStart w:id="203" w:name="_Toc29700"/>
      <w:bookmarkStart w:id="204" w:name="_Toc23732"/>
      <w:bookmarkStart w:id="205" w:name="_Toc1883"/>
      <w:r>
        <w:rPr>
          <w:rFonts w:hint="default" w:ascii="Times New Roman" w:hAnsi="Times New Roman" w:cs="Times New Roman"/>
          <w:color w:val="auto"/>
        </w:rPr>
        <w:t>物质风险性识别</w:t>
      </w:r>
      <w:bookmarkEnd w:id="203"/>
      <w:bookmarkEnd w:id="204"/>
      <w:bookmarkEnd w:id="205"/>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根据《建设项目环境风险评价技术导则》（HJ/T169-2018）附录B.1、附录B.2和《化学品分类和标签规范》（GB30000.28-2013），本项目运行过程中涉及的风险物质为机油，其理化性质和危险特性如下。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机油理化性质表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3119"/>
        <w:gridCol w:w="2588"/>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理化性质</w:t>
            </w:r>
          </w:p>
        </w:tc>
        <w:tc>
          <w:tcPr>
            <w:tcW w:w="1721"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淡黄色粘稠液体</w:t>
            </w:r>
          </w:p>
        </w:tc>
        <w:tc>
          <w:tcPr>
            <w:tcW w:w="1428"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闪点：120~340℃</w:t>
            </w:r>
          </w:p>
        </w:tc>
        <w:tc>
          <w:tcPr>
            <w:tcW w:w="1250"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沸点：-252.8℃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1721"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相对密度（水=1）：934.8</w:t>
            </w:r>
          </w:p>
        </w:tc>
        <w:tc>
          <w:tcPr>
            <w:tcW w:w="1428"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相对密度（空气=1）：0.85</w:t>
            </w:r>
          </w:p>
        </w:tc>
        <w:tc>
          <w:tcPr>
            <w:tcW w:w="1250"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自燃点：300~350℃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4401" w:type="pct"/>
            <w:gridSpan w:val="3"/>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溶解性：溶于苯、乙醇、乙醚、氯仿、丙酮等多数有机溶剂。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燃烧爆炸危险</w:t>
            </w:r>
          </w:p>
        </w:tc>
        <w:tc>
          <w:tcPr>
            <w:tcW w:w="4401" w:type="pct"/>
            <w:gridSpan w:val="3"/>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危险特性：可燃液体，火灾危险性为丙B类；遇明火、高热可燃燃烧</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分解产物：CO、CO</w:t>
            </w:r>
            <w:r>
              <w:rPr>
                <w:rFonts w:hint="default" w:ascii="Times New Roman" w:hAnsi="Times New Roman" w:cs="Times New Roman"/>
                <w:color w:val="auto"/>
                <w:kern w:val="21"/>
                <w:sz w:val="21"/>
                <w:vertAlign w:val="subscript"/>
              </w:rPr>
              <w:t>2</w:t>
            </w:r>
            <w:r>
              <w:rPr>
                <w:rFonts w:hint="default" w:ascii="Times New Roman" w:hAnsi="Times New Roman" w:cs="Times New Roman"/>
                <w:color w:val="auto"/>
                <w:kern w:val="21"/>
                <w:sz w:val="21"/>
              </w:rPr>
              <w:t>等有毒有害气体</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稳定性：稳定</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禁忌物：硝酸等强氧化剂</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灭火方法：消防人员需佩戴防毒面具、穿全身消防服，在上风向灭火。尽可能将容器从火场移至空旷处。喷水保持火场容器冷却，直至灭火结束。处在火场中的容器若已变色或从安全泄压装置中产生声音，必须立即撤离。</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健康危害</w:t>
            </w:r>
          </w:p>
        </w:tc>
        <w:tc>
          <w:tcPr>
            <w:tcW w:w="4401" w:type="pct"/>
            <w:gridSpan w:val="3"/>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急性吸入，可出现乏力、头晕、头痛、恶心，严重者可引起油脂性肺炎。慢接触者，暴露部位可发生油性痤疮和接触性皮炎。可引发神经衰弱综合症，呼吸道和眼刺激症状及慢性油脂性肺炎。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急救措施</w:t>
            </w:r>
          </w:p>
        </w:tc>
        <w:tc>
          <w:tcPr>
            <w:tcW w:w="4401" w:type="pct"/>
            <w:gridSpan w:val="3"/>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皮肤接触：脱去污染的衣着，用大量流动清水清洗。就医。</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眼接触：提起眼睑，用流动清水或生理盐水冲洗。就医。</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吸入：迅速脱离现场至空气新鲜处，保持呼吸畅通。如呼吸困难，给输氧。如呼吸停止，立即进行人工呼吸。就医。</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食用：饮适量温水，催吐。就医。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泄漏处理</w:t>
            </w:r>
          </w:p>
        </w:tc>
        <w:tc>
          <w:tcPr>
            <w:tcW w:w="4401" w:type="pct"/>
            <w:gridSpan w:val="3"/>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迅速撤离污染区人员至安全区，并进行隔离，严格限制出入。切断火源。建议应急处理人员戴自给正压式呼吸器，穿防毒服，不要直接接触泄漏物。尽可能切断泄漏源，防止进入下水道、排洪沟等限制性空间。</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小量泄漏：用砂土或其它不燃材料吸附或吸收。</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储存要求</w:t>
            </w:r>
          </w:p>
        </w:tc>
        <w:tc>
          <w:tcPr>
            <w:tcW w:w="4401" w:type="pct"/>
            <w:gridSpan w:val="3"/>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储存于阴凉、通风的库房。远离火种、热源。应与氧化剂分开存放，切忌混储。配备相应品种和数量的消防器材。储存区应备有泄漏应急处理设备和合适的收容材料</w:t>
            </w:r>
          </w:p>
        </w:tc>
      </w:tr>
    </w:tbl>
    <w:p>
      <w:pPr>
        <w:pStyle w:val="4"/>
        <w:adjustRightInd w:val="0"/>
        <w:rPr>
          <w:rFonts w:hint="default" w:ascii="Times New Roman" w:hAnsi="Times New Roman" w:cs="Times New Roman"/>
          <w:color w:val="auto"/>
        </w:rPr>
      </w:pPr>
      <w:bookmarkStart w:id="206" w:name="_Toc26496"/>
      <w:bookmarkStart w:id="207" w:name="_Toc3679"/>
      <w:r>
        <w:rPr>
          <w:rFonts w:hint="default" w:ascii="Times New Roman" w:hAnsi="Times New Roman" w:cs="Times New Roman"/>
          <w:color w:val="auto"/>
        </w:rPr>
        <w:t>生产系统风险性识别</w:t>
      </w:r>
      <w:bookmarkEnd w:id="206"/>
      <w:bookmarkEnd w:id="207"/>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项目工程在生产和贮存过程中存在的主要环境风险为事故排放、生产废水泄漏等。生产过程中因人为因素可能发生的风险事故见下表。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建设项目环境风险识别表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1586"/>
        <w:gridCol w:w="1717"/>
        <w:gridCol w:w="1235"/>
        <w:gridCol w:w="1071"/>
        <w:gridCol w:w="1512"/>
        <w:gridCol w:w="14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52"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87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危险单元</w:t>
            </w:r>
          </w:p>
        </w:tc>
        <w:tc>
          <w:tcPr>
            <w:tcW w:w="947"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风险源</w:t>
            </w:r>
          </w:p>
        </w:tc>
        <w:tc>
          <w:tcPr>
            <w:tcW w:w="681"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主要危险物质</w:t>
            </w:r>
          </w:p>
        </w:tc>
        <w:tc>
          <w:tcPr>
            <w:tcW w:w="591"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环境风险类别</w:t>
            </w:r>
          </w:p>
        </w:tc>
        <w:tc>
          <w:tcPr>
            <w:tcW w:w="834"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环境影响途径</w:t>
            </w:r>
          </w:p>
        </w:tc>
        <w:tc>
          <w:tcPr>
            <w:tcW w:w="817"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252"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w:t>
            </w:r>
          </w:p>
        </w:tc>
        <w:tc>
          <w:tcPr>
            <w:tcW w:w="87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脱水车间</w:t>
            </w:r>
          </w:p>
        </w:tc>
        <w:tc>
          <w:tcPr>
            <w:tcW w:w="94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废水泄漏</w:t>
            </w:r>
          </w:p>
        </w:tc>
        <w:tc>
          <w:tcPr>
            <w:tcW w:w="68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COD、氨氮</w:t>
            </w:r>
          </w:p>
        </w:tc>
        <w:tc>
          <w:tcPr>
            <w:tcW w:w="59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泄漏</w:t>
            </w:r>
          </w:p>
        </w:tc>
        <w:tc>
          <w:tcPr>
            <w:tcW w:w="8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扩散、漫流、渗透、吸收</w:t>
            </w:r>
          </w:p>
        </w:tc>
        <w:tc>
          <w:tcPr>
            <w:tcW w:w="81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地表水、土壤、地下水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2"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2</w:t>
            </w:r>
          </w:p>
        </w:tc>
        <w:tc>
          <w:tcPr>
            <w:tcW w:w="87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污水处理设施</w:t>
            </w:r>
          </w:p>
        </w:tc>
        <w:tc>
          <w:tcPr>
            <w:tcW w:w="94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污水处理构筑物</w:t>
            </w:r>
          </w:p>
        </w:tc>
        <w:tc>
          <w:tcPr>
            <w:tcW w:w="68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COD、氨氮</w:t>
            </w:r>
          </w:p>
        </w:tc>
        <w:tc>
          <w:tcPr>
            <w:tcW w:w="59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废水事故排放</w:t>
            </w:r>
          </w:p>
        </w:tc>
        <w:tc>
          <w:tcPr>
            <w:tcW w:w="8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扩散、漫流、渗透、吸收</w:t>
            </w:r>
          </w:p>
        </w:tc>
        <w:tc>
          <w:tcPr>
            <w:tcW w:w="81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地表水、土壤、地下水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2"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3</w:t>
            </w:r>
          </w:p>
        </w:tc>
        <w:tc>
          <w:tcPr>
            <w:tcW w:w="87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废气处理设施</w:t>
            </w:r>
          </w:p>
        </w:tc>
        <w:tc>
          <w:tcPr>
            <w:tcW w:w="94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布袋除尘器</w:t>
            </w:r>
          </w:p>
        </w:tc>
        <w:tc>
          <w:tcPr>
            <w:tcW w:w="68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颗粒物</w:t>
            </w:r>
          </w:p>
        </w:tc>
        <w:tc>
          <w:tcPr>
            <w:tcW w:w="59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废气事故排放</w:t>
            </w:r>
          </w:p>
        </w:tc>
        <w:tc>
          <w:tcPr>
            <w:tcW w:w="8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扩散</w:t>
            </w:r>
          </w:p>
        </w:tc>
        <w:tc>
          <w:tcPr>
            <w:tcW w:w="81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大气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2"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4</w:t>
            </w:r>
          </w:p>
        </w:tc>
        <w:tc>
          <w:tcPr>
            <w:tcW w:w="87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危废暂存间</w:t>
            </w:r>
          </w:p>
        </w:tc>
        <w:tc>
          <w:tcPr>
            <w:tcW w:w="94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危废暂存间</w:t>
            </w:r>
          </w:p>
        </w:tc>
        <w:tc>
          <w:tcPr>
            <w:tcW w:w="68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废机油</w:t>
            </w:r>
          </w:p>
        </w:tc>
        <w:tc>
          <w:tcPr>
            <w:tcW w:w="59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泄漏</w:t>
            </w:r>
          </w:p>
        </w:tc>
        <w:tc>
          <w:tcPr>
            <w:tcW w:w="834"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渗透、吸收</w:t>
            </w:r>
          </w:p>
        </w:tc>
        <w:tc>
          <w:tcPr>
            <w:tcW w:w="817"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土壤、地下水</w:t>
            </w:r>
          </w:p>
        </w:tc>
      </w:tr>
    </w:tbl>
    <w:p>
      <w:pPr>
        <w:pStyle w:val="4"/>
        <w:adjustRightInd w:val="0"/>
        <w:rPr>
          <w:rFonts w:hint="default" w:ascii="Times New Roman" w:hAnsi="Times New Roman" w:cs="Times New Roman"/>
          <w:color w:val="auto"/>
        </w:rPr>
      </w:pPr>
      <w:bookmarkStart w:id="208" w:name="_Toc2703"/>
      <w:bookmarkStart w:id="209" w:name="_Toc10265"/>
      <w:bookmarkStart w:id="210" w:name="_Toc9697"/>
      <w:r>
        <w:rPr>
          <w:rFonts w:hint="default" w:ascii="Times New Roman" w:hAnsi="Times New Roman" w:cs="Times New Roman"/>
          <w:color w:val="auto"/>
        </w:rPr>
        <w:t>环境风险事故类型</w:t>
      </w:r>
      <w:bookmarkEnd w:id="208"/>
      <w:bookmarkEnd w:id="209"/>
      <w:bookmarkEnd w:id="210"/>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一、机油、废机油泄漏风险分析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涉及机油的使用以及废机油的储存，在机油、废机油的贮存、使用、输送过程中，主要存在的风险类型为油类物质泄漏以及火灾、爆炸引发的伴生/次生污染物排放，通过采取加强管理，仓库进行重点防渗等措施后，泄漏环境风险可控。</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二、废水事故排放风险分析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废水主要包括生活污水和选矿废水。生活污水经预处理池处理装置处理后排入园区污水管网。当污水处理设施故障、停电等情况时可能造成生活污水事故排放。选矿废水经处理后回用，选矿废水处理系统主要设备为：三级絮凝沉淀池、脱水过滤机、压滤机系统，当以上设备发生故障，可能造成项目选矿废水事故排放。</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三、管道输送过程风险分析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本工程矿浆输送采用管道输送，主要存在的风险类型为矿浆泄漏，一旦管道堵塞或破裂，将会对管道沿线环境造成污染影响，通过定期维护、加强管理、设置备用管道等措施，管道输送过程中风险可控。</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四、废气事故排放风险分析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本项目破碎筛分废气经布袋除尘器处理后达标排放，主要存在的风险类型为布袋除尘器发生糊袋等现象时，造成布袋除尘器除尘效率下降，未经处理的废气直接排入大气环境中。</w:t>
      </w:r>
    </w:p>
    <w:p>
      <w:pPr>
        <w:pStyle w:val="3"/>
        <w:adjustRightInd w:val="0"/>
        <w:rPr>
          <w:rFonts w:hint="default" w:ascii="Times New Roman" w:hAnsi="Times New Roman" w:cs="Times New Roman"/>
          <w:color w:val="auto"/>
        </w:rPr>
      </w:pPr>
      <w:bookmarkStart w:id="211" w:name="_Toc8159"/>
      <w:bookmarkStart w:id="212" w:name="_Toc31992"/>
      <w:bookmarkStart w:id="213" w:name="_Toc13178"/>
      <w:r>
        <w:rPr>
          <w:rFonts w:hint="default" w:ascii="Times New Roman" w:hAnsi="Times New Roman" w:cs="Times New Roman"/>
          <w:color w:val="auto"/>
        </w:rPr>
        <w:t>环境风险敏感目标</w:t>
      </w:r>
      <w:bookmarkEnd w:id="211"/>
      <w:bookmarkEnd w:id="212"/>
      <w:bookmarkEnd w:id="213"/>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见1.9.2主要保护目标章节。</w:t>
      </w:r>
    </w:p>
    <w:p>
      <w:pPr>
        <w:pStyle w:val="3"/>
        <w:adjustRightInd w:val="0"/>
        <w:rPr>
          <w:rFonts w:hint="default" w:ascii="Times New Roman" w:hAnsi="Times New Roman" w:cs="Times New Roman"/>
          <w:color w:val="auto"/>
        </w:rPr>
      </w:pPr>
      <w:bookmarkStart w:id="214" w:name="_Toc15123"/>
      <w:bookmarkStart w:id="215" w:name="_Toc24120"/>
      <w:bookmarkStart w:id="216" w:name="_Toc17130"/>
      <w:r>
        <w:rPr>
          <w:rFonts w:hint="default" w:ascii="Times New Roman" w:hAnsi="Times New Roman" w:cs="Times New Roman"/>
          <w:color w:val="auto"/>
        </w:rPr>
        <w:t>环境影响途径</w:t>
      </w:r>
      <w:bookmarkEnd w:id="214"/>
      <w:bookmarkEnd w:id="215"/>
      <w:bookmarkEnd w:id="216"/>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根据项目可能存在的风险类型分析可知项目向环境转移的可能途径具体情况如下：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b/>
          <w:bCs/>
          <w:color w:val="auto"/>
        </w:rPr>
        <w:t>大气转移途径</w:t>
      </w:r>
      <w:r>
        <w:rPr>
          <w:rFonts w:hint="default" w:ascii="Times New Roman" w:hAnsi="Times New Roman" w:cs="Times New Roman"/>
          <w:color w:val="auto"/>
        </w:rPr>
        <w:t>：当油类物质贮存区爆炸、燃烧事故发生后产生NO</w:t>
      </w:r>
      <w:r>
        <w:rPr>
          <w:rFonts w:hint="default" w:ascii="Times New Roman" w:hAnsi="Times New Roman" w:cs="Times New Roman"/>
          <w:color w:val="auto"/>
          <w:vertAlign w:val="subscript"/>
        </w:rPr>
        <w:t>2</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、CO、TSP等污染物，会直接进入环境空气，影响大气环境质量；当布袋除尘器发生故障后，破碎筛分产生的颗粒物会直接进入环境空气，影响大气环境质量。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b/>
          <w:bCs/>
          <w:color w:val="auto"/>
        </w:rPr>
        <w:t>地表水转移途径</w:t>
      </w:r>
      <w:r>
        <w:rPr>
          <w:rFonts w:hint="default" w:ascii="Times New Roman" w:hAnsi="Times New Roman" w:cs="Times New Roman"/>
          <w:color w:val="auto"/>
        </w:rPr>
        <w:t>：在爆炸、燃烧下产生的飞灰，经消防水直接带入水体，主要污染表现为水体SS含量增高；预处理池处理装置故障，污水事故排放至地表水体，主要污染表现为水体COD、NH</w:t>
      </w:r>
      <w:r>
        <w:rPr>
          <w:rFonts w:hint="default" w:ascii="Times New Roman" w:hAnsi="Times New Roman" w:cs="Times New Roman"/>
          <w:color w:val="auto"/>
          <w:vertAlign w:val="subscript"/>
        </w:rPr>
        <w:t>3</w:t>
      </w:r>
      <w:r>
        <w:rPr>
          <w:rFonts w:hint="default" w:ascii="Times New Roman" w:hAnsi="Times New Roman" w:cs="Times New Roman"/>
          <w:color w:val="auto"/>
        </w:rPr>
        <w:t>-N等污染物含量增高；矿浆、废水泄漏经雨水冲刷等直接进入周边地表水体，主要污染表现为水体SS等污染物含量增高。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b/>
          <w:bCs/>
          <w:color w:val="auto"/>
        </w:rPr>
        <w:t>地下水转移途径</w:t>
      </w:r>
      <w:r>
        <w:rPr>
          <w:rFonts w:hint="default" w:ascii="Times New Roman" w:hAnsi="Times New Roman" w:cs="Times New Roman"/>
          <w:color w:val="auto"/>
        </w:rPr>
        <w:t>：机油、废机油等风险物质泄漏，下渗影响地下水水质，主要污染表现为石油类、COD含量增大，影响pH。</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b/>
          <w:bCs/>
          <w:color w:val="auto"/>
        </w:rPr>
        <w:t>土壤转移途径</w:t>
      </w:r>
      <w:r>
        <w:rPr>
          <w:rFonts w:hint="default" w:ascii="Times New Roman" w:hAnsi="Times New Roman" w:cs="Times New Roman"/>
          <w:color w:val="auto"/>
        </w:rPr>
        <w:t>：机油、矿浆、废水等物质泄漏，垂直下渗影响土壤环境，生产过程中粉尘超标排放，经大气沉降影响土壤环境。</w:t>
      </w:r>
    </w:p>
    <w:p>
      <w:pPr>
        <w:pStyle w:val="3"/>
        <w:adjustRightInd w:val="0"/>
        <w:rPr>
          <w:rFonts w:hint="default" w:ascii="Times New Roman" w:hAnsi="Times New Roman" w:cs="Times New Roman"/>
          <w:color w:val="auto"/>
        </w:rPr>
      </w:pPr>
      <w:bookmarkStart w:id="217" w:name="_Toc25430"/>
      <w:bookmarkStart w:id="218" w:name="_Toc11839"/>
      <w:bookmarkStart w:id="219" w:name="_Toc31524"/>
      <w:r>
        <w:rPr>
          <w:rFonts w:hint="default" w:ascii="Times New Roman" w:hAnsi="Times New Roman" w:cs="Times New Roman"/>
          <w:color w:val="auto"/>
        </w:rPr>
        <w:t>环境风险分析</w:t>
      </w:r>
      <w:bookmarkEnd w:id="217"/>
      <w:bookmarkEnd w:id="218"/>
      <w:bookmarkEnd w:id="219"/>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（1）废气处理设施风险分析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本项目除尘设施停运事故排污的情况下，根据预测正常及非正常排放均不会导致区域及各关心点大气环境质量超标，不会因项目建设造成区域大气环境功能的改变。但会导致超标排放。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因此必须杜绝除尘设施故障事故排污。项目投入运行后，公司一定要加强管理，易常出现故障的设备要有备用，并且要定期检修或更换设备。</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（2）事故状态废水排放分析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事故状态废水排放分析主要是废水处理设施发生故障时出现的不正常排放。当选厂设备异常时，选矿废水可能排入地表水，项目选矿废水含有大量的SS，如果任其不经处理直接外排至地表水，不仅会严重恶化水质，导致水体中SS过多淤积水体，还可能引起附近土壤的理化性质改变，进而造成不良影响。</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（3）危险废物（废机油）泄漏事故排放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本项目危废暂存间暂存废机油，暂存过程中存在废机油泄漏事故导致下渗影响地下水、土壤环境。</w:t>
      </w:r>
    </w:p>
    <w:p>
      <w:pPr>
        <w:pStyle w:val="3"/>
        <w:adjustRightInd w:val="0"/>
        <w:rPr>
          <w:rFonts w:hint="default" w:ascii="Times New Roman" w:hAnsi="Times New Roman" w:cs="Times New Roman"/>
          <w:color w:val="auto"/>
        </w:rPr>
      </w:pPr>
      <w:bookmarkStart w:id="220" w:name="_Toc11132"/>
      <w:bookmarkStart w:id="221" w:name="_Toc23878"/>
      <w:bookmarkStart w:id="222" w:name="_Toc17831"/>
      <w:r>
        <w:rPr>
          <w:rFonts w:hint="default" w:ascii="Times New Roman" w:hAnsi="Times New Roman" w:cs="Times New Roman"/>
          <w:color w:val="auto"/>
        </w:rPr>
        <w:t>环境风险防范措施及应急要求</w:t>
      </w:r>
      <w:bookmarkEnd w:id="220"/>
      <w:bookmarkEnd w:id="221"/>
      <w:bookmarkEnd w:id="222"/>
    </w:p>
    <w:p>
      <w:pPr>
        <w:pStyle w:val="4"/>
        <w:adjustRightInd w:val="0"/>
        <w:rPr>
          <w:rFonts w:hint="default" w:ascii="Times New Roman" w:hAnsi="Times New Roman" w:cs="Times New Roman"/>
          <w:color w:val="auto"/>
        </w:rPr>
      </w:pPr>
      <w:bookmarkStart w:id="223" w:name="_Toc5694"/>
      <w:bookmarkStart w:id="224" w:name="_Toc32517"/>
      <w:bookmarkStart w:id="225" w:name="_Toc829"/>
      <w:bookmarkStart w:id="226" w:name="_Toc18105"/>
      <w:r>
        <w:rPr>
          <w:rFonts w:hint="default" w:ascii="Times New Roman" w:hAnsi="Times New Roman" w:cs="Times New Roman"/>
          <w:color w:val="auto"/>
        </w:rPr>
        <w:t>环境风险防范措施</w:t>
      </w:r>
      <w:bookmarkEnd w:id="223"/>
      <w:bookmarkEnd w:id="224"/>
      <w:bookmarkEnd w:id="225"/>
      <w:bookmarkEnd w:id="226"/>
    </w:p>
    <w:p>
      <w:pPr>
        <w:pStyle w:val="5"/>
        <w:adjustRightInd w:val="0"/>
        <w:rPr>
          <w:rFonts w:hint="default" w:ascii="Times New Roman" w:hAnsi="Times New Roman" w:cs="Times New Roman"/>
          <w:color w:val="auto"/>
        </w:rPr>
      </w:pPr>
      <w:r>
        <w:rPr>
          <w:rFonts w:hint="default" w:ascii="Times New Roman" w:hAnsi="Times New Roman" w:cs="Times New Roman"/>
          <w:color w:val="auto"/>
        </w:rPr>
        <w:t>机油风险防范措施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（1）设置机油暂存区，禁止随意放置油桶，机油暂存区地面采取防渗措施，机油暂存区并设置托盘，配备吸油毡等应急物资，定期检查储油桶，避免应油桶老化发生泄漏。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（2）机油在保管和使用时，应建立严格的管理和规章制度，油品装卸、使用时，全过程应有人在现场监督，一旦发生事故，立即采取防范措施。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发现机油储存及运输容器、设备发生泄漏等异常情况时，岗位操作人员应及时汇报。相关负责人到场，并有当班人员或岗位主要操作人员组成临时指挥组。相关负责人到场后，组成抢险指挥组，指挥抢险救援工作，视情况需要及时向有关部门求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（4）在装卸危险物品时，禁止吸烟、禁止明火，必须保持现场空气流通。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（5）晚间作业应用防爆式或封闭式的安全照明。</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（6）在每年的雷雨季节到来之前，对库区各处的防雷、防静电的接地装置进行检测检查，如有不合格，必须进行整改。</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（7）经常检查各种装置的运行情况。对油桶作定期操作检查及时发现隐患，是预防事故发生重要措施。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8）若发现机油泄漏，应迅速查明泄漏部位和原因，用抹布包扎漏点并采取堵漏或抢修措施；泄漏少量油时可用抹布进行吸附，泄漏量较多时采用泥沙进行吸附，并将沾有油的抹布或泥沙收集后送至合作的设备维修单位进行贮存、由其进行委托处理。</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选矿废水事故排放防范措施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事故废水环境风险防范应明确“单元—厂区—园区/区域”的环境风险防控体系要求，设置事故废水收集（尽可能以非动力自流方式）和应急储存设施，以满足事故状态下收集泄漏物料、污染消防水和污染雨水的需要，明确并图示防止事故废水进入外环境的控制、封堵系统。应急储存设施应根据发生事故的设备容量、事故时消防用水量及可能进入应急储存设施的雨水量等因素综合确定。应急储存设施内的事故废水，应及时进行有效处置，做到回用或达标排放。</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（1）生产厂房</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当生产过程中因为槽体破裂发生事故，导致槽液泄漏而未及时收集，则会对建设项目场地的土壤和地下水环境产生严重影响；废水输送管道破裂、断裂发生废水泄漏事故而未及时处理，则会对沿线地下水环境产生影响。因此，必须采取严格措施防止泄漏事故对周边环境造成不利影响。</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①万一发生危害性事故，应立即通知有关部门，组织附近居民、工厂工人疏散、抢险和应急监测等善后处理事宜。</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②生产线须离地架空建设，生产线周边设置托盘或围堰（防腐、防渗处理）、收集与引流设施。既可以分类收集跑、冒、滴、漏的废水，还可以防止发生意外破裂时槽液不流失到外环境。设备用槽，出现泄漏事故，槽液泵入备用。</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③在厂区内醒目处应设置大型风标，便于情况紧急时指示撤离方向，平时需制定抢险预案。</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④事件处理过程中产生的消防水、事故废水进入车间内的收集池；关闭污水排放口和雨水排放口阀门，防止污染物通过排口流入场外，造成污染，待事故现场污染物得到控制并消除已产生的污染物后方可启动正常排放口。</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⑤废水输送管道架空建设且必须满足防腐、防渗漏要求，管道连接处必须采取措施密封牢固，不能渗漏。</w:t>
      </w:r>
    </w:p>
    <w:p>
      <w:pPr>
        <w:overflowPunct w:val="0"/>
        <w:adjustRightInd w:val="0"/>
        <w:ind w:firstLine="482"/>
        <w:rPr>
          <w:rFonts w:hint="default" w:ascii="Times New Roman" w:hAnsi="Times New Roman" w:cs="Times New Roman"/>
          <w:color w:val="auto"/>
          <w:kern w:val="21"/>
          <w:szCs w:val="24"/>
        </w:rPr>
      </w:pPr>
      <w:r>
        <w:rPr>
          <w:rFonts w:hint="default" w:ascii="Times New Roman" w:hAnsi="Times New Roman" w:cs="Times New Roman"/>
          <w:b/>
          <w:bCs/>
          <w:color w:val="auto"/>
          <w:kern w:val="21"/>
          <w:szCs w:val="24"/>
        </w:rPr>
        <w:t>（2）全厂事故池</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项目生产过程中含易引发水体污染的物质，因此评价建议在厂内设置事故池，避免发生火灾等事故时引发水体污染。</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参考《化工建设项目环境保护设计规范》（GB50483-2009），事故储池总有效容积按下式计算：</w:t>
      </w:r>
    </w:p>
    <w:p>
      <w:pPr>
        <w:overflowPunct w:val="0"/>
        <w:adjustRightInd w:val="0"/>
        <w:ind w:firstLine="480" w:firstLineChars="0"/>
        <w:jc w:val="center"/>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V=(V</w:t>
      </w:r>
      <w:r>
        <w:rPr>
          <w:rFonts w:hint="default" w:ascii="Times New Roman" w:hAnsi="Times New Roman" w:cs="Times New Roman"/>
          <w:color w:val="auto"/>
          <w:kern w:val="21"/>
          <w:szCs w:val="22"/>
          <w:vertAlign w:val="subscript"/>
        </w:rPr>
        <w:t>1</w:t>
      </w: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2</w:t>
      </w: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雨</w:t>
      </w:r>
      <w:r>
        <w:rPr>
          <w:rFonts w:hint="default" w:ascii="Times New Roman" w:hAnsi="Times New Roman" w:cs="Times New Roman"/>
          <w:color w:val="auto"/>
          <w:kern w:val="21"/>
          <w:szCs w:val="22"/>
        </w:rPr>
        <w:t>)</w:t>
      </w:r>
      <w:r>
        <w:rPr>
          <w:rFonts w:hint="default" w:ascii="Times New Roman" w:hAnsi="Times New Roman" w:cs="Times New Roman"/>
          <w:color w:val="auto"/>
          <w:kern w:val="21"/>
          <w:szCs w:val="22"/>
          <w:vertAlign w:val="subscript"/>
        </w:rPr>
        <w:t>max</w:t>
      </w: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3</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式中：</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1</w:t>
      </w: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2</w:t>
      </w: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雨</w:t>
      </w:r>
      <w:r>
        <w:rPr>
          <w:rFonts w:hint="default" w:ascii="Times New Roman" w:hAnsi="Times New Roman" w:cs="Times New Roman"/>
          <w:color w:val="auto"/>
          <w:kern w:val="21"/>
          <w:szCs w:val="22"/>
        </w:rPr>
        <w:t>)</w:t>
      </w:r>
      <w:r>
        <w:rPr>
          <w:rFonts w:hint="default" w:ascii="Times New Roman" w:hAnsi="Times New Roman" w:cs="Times New Roman"/>
          <w:color w:val="auto"/>
          <w:kern w:val="21"/>
          <w:szCs w:val="22"/>
          <w:vertAlign w:val="subscript"/>
        </w:rPr>
        <w:t>max</w:t>
      </w:r>
      <w:r>
        <w:rPr>
          <w:rFonts w:hint="default" w:ascii="Times New Roman" w:hAnsi="Times New Roman" w:cs="Times New Roman"/>
          <w:color w:val="auto"/>
          <w:kern w:val="21"/>
          <w:szCs w:val="22"/>
        </w:rPr>
        <w:t>——</w:t>
      </w:r>
      <w:r>
        <w:rPr>
          <w:rFonts w:hint="default" w:ascii="Times New Roman" w:hAnsi="Times New Roman" w:cs="Times New Roman"/>
          <w:color w:val="auto"/>
          <w:kern w:val="21"/>
          <w:szCs w:val="24"/>
        </w:rPr>
        <w:t>应急事故废水最大计算量，</w:t>
      </w:r>
      <w:r>
        <w:rPr>
          <w:rFonts w:hint="default" w:ascii="Times New Roman" w:hAnsi="Times New Roman" w:cs="Times New Roman"/>
          <w:color w:val="auto"/>
          <w:kern w:val="21"/>
          <w:szCs w:val="22"/>
        </w:rPr>
        <w:t>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1</w:t>
      </w:r>
      <w:r>
        <w:rPr>
          <w:rFonts w:hint="default" w:ascii="Times New Roman" w:hAnsi="Times New Roman" w:cs="Times New Roman"/>
          <w:color w:val="auto"/>
          <w:kern w:val="21"/>
          <w:szCs w:val="22"/>
        </w:rPr>
        <w:t>——</w:t>
      </w:r>
      <w:r>
        <w:rPr>
          <w:rFonts w:hint="default" w:ascii="Times New Roman" w:hAnsi="Times New Roman" w:cs="Times New Roman"/>
          <w:color w:val="auto"/>
          <w:kern w:val="21"/>
          <w:szCs w:val="24"/>
        </w:rPr>
        <w:t>为最大一个容器的设备（装置），选厂废水收集池均为地上式，因此选厂外排事故废水以发生事故时反应时间内产生的废水计算，为1152.72m</w:t>
      </w:r>
      <w:r>
        <w:rPr>
          <w:rFonts w:hint="default" w:ascii="Times New Roman" w:hAnsi="Times New Roman" w:cs="Times New Roman"/>
          <w:color w:val="auto"/>
          <w:kern w:val="21"/>
          <w:szCs w:val="24"/>
          <w:vertAlign w:val="superscript"/>
        </w:rPr>
        <w:t>3</w:t>
      </w:r>
      <w:r>
        <w:rPr>
          <w:rFonts w:hint="default" w:ascii="Times New Roman" w:hAnsi="Times New Roman" w:cs="Times New Roman"/>
          <w:color w:val="auto"/>
          <w:kern w:val="21"/>
          <w:szCs w:val="24"/>
        </w:rPr>
        <w:t>（事故废水考虑4h相应时间的产生量），</w:t>
      </w:r>
      <w:r>
        <w:rPr>
          <w:rFonts w:hint="default" w:ascii="Times New Roman" w:hAnsi="Times New Roman" w:cs="Times New Roman"/>
          <w:color w:val="auto"/>
          <w:kern w:val="21"/>
          <w:szCs w:val="22"/>
        </w:rPr>
        <w:t>当发生故障后，存在废水泄漏危险，按事故应急响应时间4小时计，一旦发生事故，应立即停止生产，在查明原因、实施污染防治措施后才可继续生产；</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2</w:t>
      </w:r>
      <w:r>
        <w:rPr>
          <w:rFonts w:hint="default" w:ascii="Times New Roman" w:hAnsi="Times New Roman" w:cs="Times New Roman"/>
          <w:color w:val="auto"/>
          <w:kern w:val="21"/>
          <w:szCs w:val="22"/>
        </w:rPr>
        <w:t>——</w:t>
      </w:r>
      <w:r>
        <w:rPr>
          <w:rFonts w:hint="default" w:ascii="Times New Roman" w:hAnsi="Times New Roman" w:cs="Times New Roman"/>
          <w:color w:val="auto"/>
          <w:kern w:val="21"/>
          <w:szCs w:val="24"/>
        </w:rPr>
        <w:t>发生火灾时的最大消防水水量</w:t>
      </w:r>
      <w:r>
        <w:rPr>
          <w:rFonts w:hint="default" w:ascii="Times New Roman" w:hAnsi="Times New Roman" w:cs="Times New Roman"/>
          <w:color w:val="auto"/>
          <w:kern w:val="21"/>
          <w:szCs w:val="22"/>
        </w:rPr>
        <w:t>，m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w:t>
      </w:r>
      <w:r>
        <w:rPr>
          <w:rFonts w:hint="default" w:ascii="Times New Roman" w:hAnsi="Times New Roman" w:cs="Times New Roman"/>
          <w:color w:val="auto"/>
          <w:kern w:val="21"/>
          <w:szCs w:val="24"/>
        </w:rPr>
        <w:t>根据《建筑设计防火规范》（GB50016-2014，2018年版）中的相关要求进行计算</w:t>
      </w:r>
      <w:r>
        <w:rPr>
          <w:rFonts w:hint="default" w:ascii="Times New Roman" w:hAnsi="Times New Roman" w:cs="Times New Roman"/>
          <w:color w:val="auto"/>
          <w:kern w:val="21"/>
          <w:szCs w:val="22"/>
        </w:rPr>
        <w:t>室外消火栓设计流量为15L/s，火灾持续时间2小时，则消防水量为1</w:t>
      </w:r>
      <w:r>
        <w:rPr>
          <w:rFonts w:hint="default" w:ascii="Times New Roman" w:hAnsi="Times New Roman" w:cs="Times New Roman"/>
          <w:color w:val="auto"/>
          <w:kern w:val="21"/>
          <w:szCs w:val="24"/>
        </w:rPr>
        <w:t>08m</w:t>
      </w:r>
      <w:r>
        <w:rPr>
          <w:rFonts w:hint="default" w:ascii="Times New Roman" w:hAnsi="Times New Roman" w:cs="Times New Roman"/>
          <w:color w:val="auto"/>
          <w:kern w:val="21"/>
          <w:szCs w:val="24"/>
          <w:vertAlign w:val="superscript"/>
        </w:rPr>
        <w:t>3</w:t>
      </w:r>
      <w:r>
        <w:rPr>
          <w:rFonts w:hint="default" w:ascii="Times New Roman" w:hAnsi="Times New Roman" w:cs="Times New Roman"/>
          <w:color w:val="auto"/>
          <w:kern w:val="21"/>
          <w:szCs w:val="22"/>
        </w:rPr>
        <w:t>；</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雨</w:t>
      </w:r>
      <w:r>
        <w:rPr>
          <w:rFonts w:hint="default" w:ascii="Times New Roman" w:hAnsi="Times New Roman" w:cs="Times New Roman"/>
          <w:color w:val="auto"/>
          <w:kern w:val="21"/>
          <w:szCs w:val="22"/>
        </w:rPr>
        <w:t>——为发生事故时可能进入该废水收集系统的当地最大降雨量，m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，本项目已设计初期雨水池收集初期雨水，因此为0；</w:t>
      </w:r>
    </w:p>
    <w:p>
      <w:pPr>
        <w:overflowPunct w:val="0"/>
        <w:adjustRightInd w:val="0"/>
        <w:ind w:firstLine="480"/>
        <w:rPr>
          <w:rFonts w:hint="default" w:ascii="Times New Roman" w:hAnsi="Times New Roman" w:cs="Times New Roman"/>
          <w:b/>
          <w:bCs/>
          <w:color w:val="auto"/>
          <w:kern w:val="21"/>
          <w:szCs w:val="24"/>
        </w:rPr>
      </w:pPr>
      <w:r>
        <w:rPr>
          <w:rFonts w:hint="default" w:ascii="Times New Roman" w:hAnsi="Times New Roman" w:cs="Times New Roman"/>
          <w:color w:val="auto"/>
          <w:kern w:val="21"/>
          <w:szCs w:val="22"/>
        </w:rPr>
        <w:t>V</w:t>
      </w:r>
      <w:r>
        <w:rPr>
          <w:rFonts w:hint="default" w:ascii="Times New Roman" w:hAnsi="Times New Roman" w:cs="Times New Roman"/>
          <w:color w:val="auto"/>
          <w:kern w:val="21"/>
          <w:szCs w:val="22"/>
          <w:vertAlign w:val="subscript"/>
        </w:rPr>
        <w:t>3</w:t>
      </w:r>
      <w:r>
        <w:rPr>
          <w:rFonts w:hint="default" w:ascii="Times New Roman" w:hAnsi="Times New Roman" w:cs="Times New Roman"/>
          <w:color w:val="auto"/>
          <w:kern w:val="21"/>
          <w:szCs w:val="22"/>
        </w:rPr>
        <w:t>——为事故废水收集系统的装置或罐区围堰、防火堤内净空容量，m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，本项目无罐区围堰、防火堤，因此为0。</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经计算，项目需设置108+1152.72=1260.72m</w:t>
      </w:r>
      <w:r>
        <w:rPr>
          <w:rFonts w:hint="default" w:ascii="Times New Roman" w:hAnsi="Times New Roman" w:cs="Times New Roman"/>
          <w:color w:val="auto"/>
          <w:kern w:val="21"/>
          <w:szCs w:val="24"/>
          <w:vertAlign w:val="superscript"/>
        </w:rPr>
        <w:t>3</w:t>
      </w:r>
      <w:r>
        <w:rPr>
          <w:rFonts w:hint="default" w:ascii="Times New Roman" w:hAnsi="Times New Roman" w:cs="Times New Roman"/>
          <w:color w:val="auto"/>
          <w:kern w:val="21"/>
          <w:szCs w:val="24"/>
        </w:rPr>
        <w:t>。本次建设2座容积为650m</w:t>
      </w:r>
      <w:r>
        <w:rPr>
          <w:rFonts w:hint="default" w:ascii="Times New Roman" w:hAnsi="Times New Roman" w:cs="Times New Roman"/>
          <w:color w:val="auto"/>
          <w:kern w:val="21"/>
          <w:szCs w:val="24"/>
          <w:vertAlign w:val="superscript"/>
        </w:rPr>
        <w:t>3</w:t>
      </w:r>
      <w:r>
        <w:rPr>
          <w:rFonts w:hint="default" w:ascii="Times New Roman" w:hAnsi="Times New Roman" w:cs="Times New Roman"/>
          <w:color w:val="auto"/>
          <w:kern w:val="21"/>
          <w:szCs w:val="24"/>
        </w:rPr>
        <w:t>的事故池（共1300m</w:t>
      </w:r>
      <w:r>
        <w:rPr>
          <w:rFonts w:hint="default" w:ascii="Times New Roman" w:hAnsi="Times New Roman" w:cs="Times New Roman"/>
          <w:color w:val="auto"/>
          <w:kern w:val="21"/>
          <w:szCs w:val="24"/>
          <w:vertAlign w:val="superscript"/>
        </w:rPr>
        <w:t>3</w:t>
      </w:r>
      <w:r>
        <w:rPr>
          <w:rFonts w:hint="default" w:ascii="Times New Roman" w:hAnsi="Times New Roman" w:cs="Times New Roman"/>
          <w:color w:val="auto"/>
          <w:kern w:val="21"/>
          <w:szCs w:val="24"/>
        </w:rPr>
        <w:t>），可满足应急暂存要求。</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废水处理设施一旦发生故障，应将产生的废水储存于事故池中，不得外排，并及时检修，尽快使其恢复运行；若调节池蓄满水时，废水处理设施仍未修复，应立即停产检修。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厂区应按清污分流、雨污分流的原则建立一个完善的排水系统，确保各类废水得到有效收集、监测监督和处理。生产区、装卸区、储存区等涉及化学品和废料的场所的初期雨水均应排入污水管道，由厂内废水处理设施处理达标后方可排入污水管网。如污水处理站无处理能力的，需外运至相关有处理能力的单位代为处置</w:t>
      </w:r>
      <w:r>
        <w:rPr>
          <w:rFonts w:hint="default" w:ascii="Times New Roman" w:hAnsi="Times New Roman" w:cs="Times New Roman"/>
          <w:color w:val="auto"/>
          <w:kern w:val="21"/>
          <w:szCs w:val="22"/>
        </w:rPr>
        <w:t>。建设单位应定期对应急水泵和事故废水管道进行巡检，保证事故发生时可以及时收集事故废水。</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事故池内日常情况下应保持空置。应采取的措施还包括：</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①一旦废水污染处理设施发生故障，相应生产车间必须立即停止生产，且将废水暂时贮存于事故应急水池中，待故障排除、治理设施修复且可以正常运转后方可投入生产，且将原废水重新回到废水处理站处理，严禁废水不经处理直接排入附近水体环境中。</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②一旦发现跑、冒、滴、漏，应采取措施，切断进、出料阀门，防止废水外泄。并将泄漏物质收集至事故池（可用水冲洗），并泵入废水处理系统，重新进行处理。</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③建立处理紧急事故的组织机构，规范事故处理人员的职责、任务，组织抢险队伍，保障运输、物质、通讯、宣传等应急措施顺利实施。</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④成立应急救援小组，明确负责人及联系电话。加强平时培训，确保在事故发生时能快速作出反应。做好风险防范措施，杜绝事故性废水外排。</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废气粉尘事故排放防范措施</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①在厂区原料破碎、筛分产尘点设置喷雾降尘措施，在车间发生废气事故排放时，排放的粉尘量较大，则停止生产，同时立即关闭车间窗户和大门，对厂内大量的洒水降尘，将粉尘控制在车间内，尽量不泄漏至车间外，降尘产生的含尘废水要进行收集处理。</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②厂区生产物料严格按要求单独堆存，一旦发生物料泄漏，及时采取应急措施，启动应急预案，将环境影响控制到最小。</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③定期开启除尘器底阀，排净灰斗内全部积尘；定期检查喷嘴、清理溢流槽内和除尘管道内污泥。</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④定期委托环境监测站或第三方监测单位对废气排放口采样监测，确保各污染因子达标排放。</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管道泄漏风险防范措施</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①矿浆输送过程中，矿浆会对管壁产生一定的磨损，若运行过程中疏于对管道的检修，可能出现管道磨穿，矿浆外泄的现象，评价要求企业日常工作中加强巡视，一旦发生爆管事故应急处理领导小组应立即派人到现场，组织指挥进行抢险工作，及时停止输送尾矿。</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②设置有备用输送管道，发生泄漏时及时更换输送管道，输送管线沿线设置一定数量的截止阀，确保污水不外泄。</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③项目采取的主要防范措施以工程措施为主，采用管道支架，材料采用地埋式钢橡复合管。</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④各类输送管线应设标识牌明确，划定沿线警示区。</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⑤在矿浆出口处设置流量计监测，发现流量异常，马上采取停泵措施。</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物料影响分析及防范措施</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（1）原料堆存防范措施</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原料矿应在专门的建筑设施内存放。贮存设施应避免建在易遭受严重自然灾害如洪水、滑坡、泥石流等影响的地区，应远离易燃、易爆等危险品仓库。原料矿存放的设施应该具有防风、防雨、防晒的措施。</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（2）原料、产品、浮选剂贮运防范措施</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原料、产品、浮选药剂在装运过程中，要确保运输设备的安全。与此同时，在原料的收集、运送过程应采取必要的措施，防止原料、产品、浮选药剂外泄。为减小贮运风险，选厂应制定原料贮存、运输过程中的安全管理制度。</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所有车辆均应按车辆允许载重量装车，严禁超载运输。保持车辆完好状况，不驾故障车。保持厂区内道路顺畅，禁止在道路上装卸货物，不准乱停乱放，堵塞厂内交通。</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合理地规划运输路线及时间，危险品的运输单位，事先需做出周密的运输计划和行驶线路，尽可能穿越人口密集区，并制定危险品泄漏的应急措施。被装运的危险物品必须在其外包装的明显部位按规定粘贴《危险货物包装标志》规定的危险物品标志，包装标志的粘贴要正确、牢固。</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处理设施风险防范措施</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（1）提高事故缓冲能力</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为了保证事故状态下迅速恢复处理工程的正常运行，主要水工构筑物必须留有足够的缓冲余地，并配备相应的处理设备（如回流泵、回流管道、仪表及阀门等）。考虑污水处理装置发生故障，设置事故收集池，用来暂存事故废水，待故障消除后，再经处理达标后排放。</w:t>
      </w:r>
    </w:p>
    <w:p>
      <w:pPr>
        <w:overflowPunct w:val="0"/>
        <w:adjustRightInd w:val="0"/>
        <w:ind w:firstLine="482"/>
        <w:rPr>
          <w:rFonts w:hint="default" w:ascii="Times New Roman" w:hAnsi="Times New Roman" w:cs="Times New Roman"/>
          <w:color w:val="auto"/>
          <w:kern w:val="21"/>
          <w:szCs w:val="24"/>
        </w:rPr>
      </w:pPr>
      <w:r>
        <w:rPr>
          <w:rFonts w:hint="default" w:ascii="Times New Roman" w:hAnsi="Times New Roman" w:cs="Times New Roman"/>
          <w:b/>
          <w:bCs/>
          <w:color w:val="auto"/>
          <w:kern w:val="21"/>
          <w:szCs w:val="24"/>
        </w:rPr>
        <w:t>（2）配备流量、水质自动分析监测仪器</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操作人员及时调整运行参数，使设备处于最佳工况，确保处理效果最佳。</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（3）选用优质设备</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污水处理工程各种机械电器、仪表，必须选择质量优良、故障率低、便于维修的产品。关键设备一备一用，易损配件应有备用，保证在出现故障时尽快更换。</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（4）加强事故苗头监控</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主要操作人员上岗前严格进行理论和实际操作培训，定期巡查、调节、保养、维修，及时发现有可能引起的事故异常运行苗头。</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物料运输过程中风险防范措施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本项目外部运输主要包括原矿运输、精矿运输、尾矿运输，其中原矿运输、精矿运输由四川德鑫矿业资源有限公司负责，尾矿运输由购买单位负责。</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本项目精矿运输、尾矿运输、采用载重卡车，运输过程中主要环境风险为精矿、尾矿的遗失掉落及雨水淋溶污染，评价针对提出以下风险防范措施：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（1）运输车辆需设置遮雨篷布，防止雨水淋溶及精矿等物料掉落。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（2）发货方及收货方需完善运输精矿、尾矿台账，出发前及收货后需称重核对运输精矿重量是否一致。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（3）严禁运输货车超速、超载等行为。</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（4）发现精矿、尾矿遗失后需向当地有关部门汇报，并委派车辆原路返回寻找。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5）运输车辆在途经河流、湖库时，应谨慎慢速行驶，运输车辆合理安排运输时间，避免夜间（22:00~6:00）运输，运输车辆加强保养，禁止超载，路经敏感路段时，应降低车速、严禁超车、超速，保持安全运输距离。</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尾矿无法消纳的风险防范措施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本项目尾矿拟外售瓷砖厂作为原料，尾矿产生后暂存于选厂内尾矿仓，运输至xx等公司。</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评价针对提出以下风险防范措施：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（1）选厂尾矿应定期联系xx有限公司等单位进行物料的转运，防止尾矿长时间存储在厂区内，最长暂存时间为21天。</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（2）若尾矿处置单位均因特殊情况暂时无法消纳尾矿，则紧急停产，不再产生尾矿直至瓷砖厂可正常消纳。</w:t>
      </w:r>
    </w:p>
    <w:p>
      <w:pPr>
        <w:pStyle w:val="4"/>
        <w:adjustRightInd w:val="0"/>
        <w:rPr>
          <w:rFonts w:hint="default" w:ascii="Times New Roman" w:hAnsi="Times New Roman" w:cs="Times New Roman"/>
          <w:color w:val="auto"/>
        </w:rPr>
      </w:pPr>
      <w:bookmarkStart w:id="227" w:name="_Toc26815"/>
      <w:bookmarkStart w:id="228" w:name="_Toc643"/>
      <w:bookmarkStart w:id="229" w:name="_Toc3593"/>
      <w:bookmarkStart w:id="230" w:name="_Toc5214"/>
      <w:bookmarkStart w:id="231" w:name="_Toc18598"/>
      <w:bookmarkStart w:id="232" w:name="_Toc21023"/>
      <w:r>
        <w:rPr>
          <w:rFonts w:hint="default" w:ascii="Times New Roman" w:hAnsi="Times New Roman" w:cs="Times New Roman"/>
          <w:color w:val="auto"/>
        </w:rPr>
        <w:t>风险事故应急预案</w:t>
      </w:r>
      <w:bookmarkEnd w:id="227"/>
      <w:bookmarkEnd w:id="228"/>
      <w:bookmarkEnd w:id="229"/>
      <w:bookmarkEnd w:id="230"/>
      <w:bookmarkEnd w:id="231"/>
      <w:bookmarkEnd w:id="232"/>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本项目建设单位应按照《四川省突发环境事件应急预案备案管理暂行办法》，组织编制环境事故应急预案，并组织人员定期进行应急预案演练，防范突发环境事故对周围环境造成不良影响。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制定风险事故应急预案的目的是在发生风险事故时，能以最快的速度发挥最大的效能，有序地实施救援，尽快控制事态的发展，降低事故造成的危害，减少事故造成的损失。</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风险事故应急预案的基本要求包括：科学性、实用性和权威性。风险事故的应急预案必须进行科学分析和论证；应急预案应符合项目的客观情况，具有实用、简单、易掌握等特性，便于实施；对事故处置过程中职责、权限、任务、工作标准、奖励与处罚等做出明确规定，使之成为企业的一项制度，确保其权威性。</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事故应急指挥机构的组成、职责和分工</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（1）指挥机构的组成</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公司成立事故应急指挥领导小组，发生污染事故时，指挥小组组长任总指挥，副组长任副总指挥，负责公司应急处理污染事故的组织和指挥，指挥小组成员都是现场临时指挥部成员，组长和副组长不在时，由值班人员或组员担任临时总指挥，全权负责污染处理事故。</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（2）职责和分工</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总指挥：组织指挥全公司的应急处理；发布和解除应急处理命令；向上级汇报事故情况。</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副总指挥：协助总指挥负责应急处理的具体工作。</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指挥部成员：负责技术分析及指导、数据分析与现场污水收集后的储存处理工作，由环保管理人员、仓库人员协助对现场污水堵截、收集工作，由辅助车间人员、行政人员协助提供现场物资和电力的供应工作。</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环境应急指挥部根据突发性环境污染事故的情况通知有关部门及其应急机构、救援队伍和市、区两级人民政府应急救援指挥机构。各应急机构接到事故信息通报后，应立即派出有关人员和队伍赶赴事发现场，在现场救援指挥部统一指挥下，按照各自的预案和处置规程，相互协同，密切配合，共同实施环境应急和紧急处置行动，迅速地实施先期处置，果断控制或切断污染源，全力控制事件态势，严防二次污染和次生、衍生事件发生。</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应急状态时，专家组组织有关专家迅速对事件信息进行分析、评估，提出应急处置方案和建议，供指挥部领导决策参考。根据事件进展情况和形势动态，提出相应的对策和意见；对突发性环境污染事故的危害范围、发展趋势做出科学预测，为环境应急领导机构的决策和指挥提供科学依据；参与污染程度、危害范围、事件等级的判定，对污染区域的隔离与解禁、人员撤离与返回等重大防护措施的决策提供技术依据；指导各应急分队进行应急处理与处置；指导环境应急工作的评价，进行事件的中长期环境影响评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发生环境事故的有关部门要及时、主动向环境应急指挥部提供应急救援有关的基础资料。</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应急救援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企业应依据自身条件和可能发生的突发环境污染事故的类型建立应急救援专业队伍，包括通讯联络队、抢险抢修队、侦检抢救队、医疗救护队、应急消防队、治安队、物资供应队和应急环境监测组等专业救援队伍，明确各专业救援队伍的具体职责和任务，以便在发生环境污染事故时，在指挥部的统一指挥下，快速、有序、有效地开展应急救援行动，以尽快处置事故，使事故的危害降到最低。</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应急设施与物资</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突发环境污染事故应急救援设施包括医疗救护仪器药品、个人防护装备器材、消防设施、堵漏器材、废水收集池、应急监测仪器设备和应急交通工具等。应建立应急物资、应急装备设施的维护和保养的台账和领用记录等相关的规章制度。</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用于应急救援的物资，特别是处理泄漏物、消解和吸收污染物的化学品物资，如活性炭、木屑和石灰等，生产经营单位要采用就近原则，备足、备齐，定置明确，能保证现场应急处理（置）的人员在第一时间内启用。用于应急救援的物资，尤其是活性炭、木屑和石灰要明确调用单位的联系方式，且调用方便、迅速。</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应急预案内容</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应急预案基本内容见下表。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应急预案基本内容</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396"/>
        <w:gridCol w:w="6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6"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序号</w:t>
            </w:r>
          </w:p>
        </w:tc>
        <w:tc>
          <w:tcPr>
            <w:tcW w:w="770"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项目</w:t>
            </w:r>
          </w:p>
        </w:tc>
        <w:tc>
          <w:tcPr>
            <w:tcW w:w="3813"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应急计划区</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危险目标主要包括危废间、废水处理设施；环境保护目标主要为厂区内的员工及厂外的办公区、附近水体。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2</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应急组织机构、人员</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项目应成立环境风险事故应急救援“指挥领导小组”，由总经理、副总经理及厂房工程（环保）、人力资源及行政（安全保卫）、财务、采购等部门经理组成。下设应急救援办公室，日常工作由人力资源及行政部（安全保卫）和厂房工程部（环保）共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3</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预案分级响应条件</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项目应急响应分为三级响应：一级响应：项目内部响应；二级响应：与镇级共同响应；三级响应：与市级主管部门共同响应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4</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应急救援保障</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针对危险目标，事先将抢险抢修、个体防护、医疗救援、通讯联络等装备器材配备齐全。平时要专人维护、保管、检验，确保器材始终处于完好状态，保证能有效使用。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5</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报警、通讯联络方式</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根据公司突发环境污染事故“公司应急指挥中心”组成以及政府、社会各外部救援单位的主要联系电话，印发“突发事故应急通讯名录”并定期更新。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6</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突发事故应急措施及应急监测</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由专业队伍负责对事故现场进行侦察监测，对事故性质、参数后果进行评估，为指挥部门提供决策依据。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7</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事故应急救援关闭程序与恢复措施</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应急终止的程序：</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①现场应急救援指挥中心确认终止时机。</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②应急救援指挥中心向应急救援队伍下达终止命令。</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③继续进行环境监测和评价工作，直至其他补救措施无需继续进行为止。</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恢复生产的条件：</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①事故现场清理、洗刷、消毒完毕，不存在危险源；</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②防止事故再次发生的安全防范措施已落实到位，受伤人员得到治疗，情况基本稳定；</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③设备设施检测符合运行要求，可恢复运行。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8</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应急培训计划</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根据公司的风险防范措施及事故应急计划，制定相应的培训计划，对公司应急小组成员及一般员工进行定期培训。对于环保管理人员和有关操作人员应建立“先培训、后上岗”、“定期培训安全和环保法规、知识以及突发性事故应急处理技术”的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9</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公众教育和信息</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利用企业对外宣传栏、周边村委会的公众宣传栏，以墙报、传单等形式对公司周边居民、工作人员进行危险化学品辨析、事故防范常识、应急处理措施等内容的宣传。向居民开设环境风险防范座谈会，邀请专业技术人员宣讲风险防范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10</w:t>
            </w:r>
          </w:p>
        </w:tc>
        <w:tc>
          <w:tcPr>
            <w:tcW w:w="77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记录和报告</w:t>
            </w:r>
          </w:p>
        </w:tc>
        <w:tc>
          <w:tcPr>
            <w:tcW w:w="3813" w:type="pct"/>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设置应急事故专门记录，建立档案和专门报告制度，设专门部门负责管理。</w:t>
            </w: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应急救援程序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（1）当事故或紧急情况发生时，事故当事人或发现人立即向值班班长和应急事故处理小组报告，并采取应急措施，防止事故扩大。</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（2）值班长接到报告后，应立即通知环保部门，协助环保部门赶赴事故现场处理环境事故或紧急情况。</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（3）污水事故排放处置。</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①应立即启动应急预案。</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②收集事故废水。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③分析事故原因，及时向上级有关部门汇报。</w:t>
      </w:r>
    </w:p>
    <w:p>
      <w:pPr>
        <w:pStyle w:val="54"/>
        <w:adjustRightInd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636135" cy="3677920"/>
            <wp:effectExtent l="0" t="0" r="12065" b="1778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49"/>
                    <a:stretch>
                      <a:fillRect/>
                    </a:stretch>
                  </pic:blipFill>
                  <pic:spPr>
                    <a:xfrm>
                      <a:off x="0" y="0"/>
                      <a:ext cx="4636135" cy="3677920"/>
                    </a:xfrm>
                    <a:prstGeom prst="rect">
                      <a:avLst/>
                    </a:prstGeom>
                    <a:noFill/>
                    <a:ln>
                      <a:noFill/>
                    </a:ln>
                  </pic:spPr>
                </pic:pic>
              </a:graphicData>
            </a:graphic>
          </wp:inline>
        </w:drawing>
      </w:r>
    </w:p>
    <w:p>
      <w:pPr>
        <w:pStyle w:val="12"/>
        <w:keepNext w:val="0"/>
        <w:overflowPunct w:val="0"/>
        <w:adjustRightInd w:val="0"/>
        <w:spacing w:before="62" w:beforeLines="20" w:after="62" w:afterLines="20"/>
        <w:ind w:left="425"/>
        <w:rPr>
          <w:rFonts w:hint="default" w:ascii="Times New Roman" w:hAnsi="Times New Roman" w:cs="Times New Roman"/>
          <w:bCs/>
          <w:color w:val="auto"/>
          <w:kern w:val="21"/>
          <w:szCs w:val="21"/>
        </w:rPr>
      </w:pPr>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应急救援程序图</w:t>
      </w:r>
    </w:p>
    <w:p>
      <w:pPr>
        <w:pStyle w:val="4"/>
        <w:adjustRightInd w:val="0"/>
        <w:rPr>
          <w:rFonts w:hint="default" w:ascii="Times New Roman" w:hAnsi="Times New Roman" w:cs="Times New Roman"/>
          <w:color w:val="auto"/>
        </w:rPr>
      </w:pPr>
      <w:bookmarkStart w:id="233" w:name="_Toc14691"/>
      <w:bookmarkStart w:id="234" w:name="_Toc21846"/>
      <w:bookmarkStart w:id="235" w:name="_Toc8404"/>
      <w:r>
        <w:rPr>
          <w:rFonts w:hint="default" w:ascii="Times New Roman" w:hAnsi="Times New Roman" w:cs="Times New Roman"/>
          <w:color w:val="auto"/>
        </w:rPr>
        <w:t>重污染天气应急预案</w:t>
      </w:r>
      <w:bookmarkEnd w:id="233"/>
      <w:bookmarkEnd w:id="234"/>
      <w:bookmarkEnd w:id="235"/>
    </w:p>
    <w:p>
      <w:pPr>
        <w:pStyle w:val="5"/>
        <w:adjustRightInd w:val="0"/>
        <w:rPr>
          <w:rFonts w:hint="default" w:ascii="Times New Roman" w:hAnsi="Times New Roman" w:cs="Times New Roman"/>
          <w:color w:val="auto"/>
        </w:rPr>
      </w:pPr>
      <w:r>
        <w:rPr>
          <w:rFonts w:hint="default" w:ascii="Times New Roman" w:hAnsi="Times New Roman" w:cs="Times New Roman"/>
          <w:color w:val="auto"/>
        </w:rPr>
        <w:t>绩效分级指标</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将按照四川省生态环境厅关于《四川省重污染天气金属表面处理及热处理加工等10个行业应急减排措施制定技术指南》（2024年修订版）中“二、矿石采选与石材加工”的B级要求执行重污染天气应急减排措施。</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矿石采选行业绩效分级指标如下：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t>矿石采选行业绩效分级指标（选矿）</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2450"/>
        <w:gridCol w:w="2838"/>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31"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差异化指标</w:t>
            </w:r>
          </w:p>
        </w:tc>
        <w:tc>
          <w:tcPr>
            <w:tcW w:w="1352"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A级企业</w:t>
            </w:r>
          </w:p>
        </w:tc>
        <w:tc>
          <w:tcPr>
            <w:tcW w:w="1566"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B级企业</w:t>
            </w:r>
          </w:p>
        </w:tc>
        <w:tc>
          <w:tcPr>
            <w:tcW w:w="1250"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C级企业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能源类型</w:t>
            </w:r>
          </w:p>
        </w:tc>
        <w:tc>
          <w:tcPr>
            <w:tcW w:w="2918" w:type="pct"/>
            <w:gridSpan w:val="2"/>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采用电、天然气等能源</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未达到A、B级要求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装备水平</w:t>
            </w:r>
          </w:p>
        </w:tc>
        <w:tc>
          <w:tcPr>
            <w:tcW w:w="1352"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自动化采装及自动化封闭式输送设备。</w:t>
            </w:r>
          </w:p>
        </w:tc>
        <w:tc>
          <w:tcPr>
            <w:tcW w:w="156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采用带苫盖且封闭良好的车辆运输。</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未达到A、B级要求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污染治理技术</w:t>
            </w:r>
          </w:p>
        </w:tc>
        <w:tc>
          <w:tcPr>
            <w:tcW w:w="1352"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除尘采用覆膜滤袋、滤筒、湿电等高效除尘技术。</w:t>
            </w:r>
          </w:p>
        </w:tc>
        <w:tc>
          <w:tcPr>
            <w:tcW w:w="156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除尘采用袋式除尘、电袋复合除尘等技术</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未达到B级要求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无组织管控</w:t>
            </w:r>
          </w:p>
        </w:tc>
        <w:tc>
          <w:tcPr>
            <w:tcW w:w="2918" w:type="pct"/>
            <w:gridSpan w:val="2"/>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露天采矿采取自上而下水平分层开采，并配备洒水或喷雾等抑尘措施。</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2、矿山矿石装载配备有效抑尘措施；矿石卸载应在封闭厂房内作业，并配备有效抑尘措施；破碎、筛分等产尘工序应在封闭厂房内作业，产尘点设置集尘罩及除尘设施；生产车间无可见粉尘外逸。</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3、粉状物料全部采取储罐、筒仓或覆膜吨袋等密闭储存；粒状、块状物料全部封闭或密闭储存，封闭料场内配置喷雾抑尘装置，料场货物进出大门设置自动感应门，在确保安全的情况下，所有门窗保持常闭状态。</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4、各工序粒状、块状物料输送环节采取密封式输送机（加封闭廊道）、地下密闭廊道或其他清洁运输方式；粉状物料采取管状带式输送机、气力输送；物料装载、转移、下料口等产尘点应采取收集除尘措施，配套的除尘设施不与其他工序混用。</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5、厂区出口、各料场出口处配备高压清洗装置对所有车辆车轮、底盘进行冲洗，洗车平台四周应设置洗车废水收集治理设施。</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6、采矿企业尾矿库、废石场、排土场应采取防尘网等抑尘措施，矿区工业广场、废石场、矿区专用道路，路面应硬化，并采取定期清扫、洒水等抑尘措施；企业厂区内道路、堆场等路面应硬化，保持清洁，路面保持湿润且无明显可见扬尘，道路两侧区域实施绿化或覆盖。</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7、除尘器应设置密闭灰仓，除尘灰应采用气力输送、密闭罐车、覆膜吨袋等密闭方式卸灰和运输，不得直接卸落到地面。</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8、采矿企业矿山开采面、作业平台干净整洁，无明显扬尘，开采面在停产期间需用防尘网全覆盖；选矿企业地面全部硬化或绿化，无物料散落，破碎、筛分二次封闭空间及物料运输廊道无可见粉尘外逸。</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未达到A、B级要求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排放限值</w:t>
            </w:r>
          </w:p>
        </w:tc>
        <w:tc>
          <w:tcPr>
            <w:tcW w:w="2918" w:type="pct"/>
            <w:gridSpan w:val="2"/>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所有工序有组织PM排放浓度不超过10mg/m</w:t>
            </w:r>
            <w:r>
              <w:rPr>
                <w:rFonts w:hint="default" w:ascii="Times New Roman" w:hAnsi="Times New Roman" w:cs="Times New Roman"/>
                <w:color w:val="auto"/>
                <w:vertAlign w:val="superscript"/>
              </w:rPr>
              <w:t>3</w:t>
            </w:r>
            <w:r>
              <w:rPr>
                <w:rFonts w:hint="default" w:ascii="Times New Roman" w:hAnsi="Times New Roman" w:cs="Times New Roman"/>
                <w:color w:val="auto"/>
              </w:rPr>
              <w:t>，厂界无组织PM排放浓度不超过0.5mg/m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未达到A、B级要求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监测监控水平</w:t>
            </w:r>
          </w:p>
        </w:tc>
        <w:tc>
          <w:tcPr>
            <w:tcW w:w="2918" w:type="pct"/>
            <w:gridSpan w:val="2"/>
            <w:vAlign w:val="center"/>
          </w:tcPr>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重点排污单位及排污许可重点管理单位主要排口应当安装污染物排放自动监测设备（CEMS），并与生态环境主管部门的监控设备联网，数据保存一年以上（投产或安装时间不满一年以上的企业，以现有数据为准）。</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按照排污许可证、行业自行监测指南或排污单位自行监测技术指南等相关要求开展自行监测。</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装卸点、破碎、筛分车间主要涉气工序、生产装置及污染治理设施，按要求安装用电监管设备，用电监管数据按要求与省、市生态环境部门用电监管平台联网。</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厂区货运进出口、无组织排放重点管控点位和在线监测站房安装高清视频监控系统，视频监控数据保存3个月以上。</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企业主要环保设施及生产设施安装分布式控制系统（DCS）或可保存和查看历史数据的可编程控制系统（PLC），记录企业环保设施运行及相关生产过程主要参数，数据保存一年以上。</w:t>
            </w:r>
          </w:p>
          <w:p>
            <w:pPr>
              <w:pStyle w:val="65"/>
              <w:spacing w:before="62" w:after="62"/>
              <w:jc w:val="both"/>
              <w:rPr>
                <w:rFonts w:hint="default" w:ascii="Times New Roman" w:hAnsi="Times New Roman" w:cs="Times New Roman"/>
                <w:color w:val="auto"/>
              </w:rPr>
            </w:pPr>
            <w:r>
              <w:rPr>
                <w:rFonts w:hint="default" w:ascii="Times New Roman" w:hAnsi="Times New Roman" w:cs="Times New Roman"/>
                <w:color w:val="auto"/>
              </w:rPr>
              <w:t>厂界需安装颗粒物（PM2.5和PM10）无组织自动监控设施。</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未达到A、B级要求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Merge w:val="restar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环境管理水平</w:t>
            </w:r>
          </w:p>
        </w:tc>
        <w:tc>
          <w:tcPr>
            <w:tcW w:w="4168" w:type="pct"/>
            <w:gridSpan w:val="3"/>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环保档案：1、环评批复文件和竣工环保验收文件或者环境现状评估备案证明；2、排污许可证或固定污染源排污登记回执；3、环境管理制度（有组织、无组织排放长效管理机制，主要包括岗位责任制度、达标公示制度和定期巡查维护制度等）；4、废气治理设施运行管理规程；5、一年内废气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Merge w:val="continue"/>
            <w:vAlign w:val="center"/>
          </w:tcPr>
          <w:p>
            <w:pPr>
              <w:pStyle w:val="65"/>
              <w:spacing w:before="62" w:after="62"/>
              <w:rPr>
                <w:rFonts w:hint="default" w:ascii="Times New Roman" w:hAnsi="Times New Roman" w:cs="Times New Roman"/>
                <w:color w:val="auto"/>
              </w:rPr>
            </w:pPr>
          </w:p>
        </w:tc>
        <w:tc>
          <w:tcPr>
            <w:tcW w:w="2918" w:type="pct"/>
            <w:gridSpan w:val="2"/>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台账记录：1、生产设施运行管理信息（生产时间、运行负荷、产品产量等）；2、废气污染治理设施运行管理信息；3、监测记录信息（主要污染排放口废气排放记录等）；4、主要原辅材料消耗记录；5、燃料消耗记录；6、固废、危废处理记录；7、运输车辆、厂内车辆、非道路移动机械电子台账（进出场时间、车辆或非道路移动机械信息、运送货物名称及运量等）。</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未达到A、B级要求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Merge w:val="continue"/>
            <w:vAlign w:val="center"/>
          </w:tcPr>
          <w:p>
            <w:pPr>
              <w:pStyle w:val="65"/>
              <w:spacing w:before="62" w:after="62"/>
              <w:rPr>
                <w:rFonts w:hint="default" w:ascii="Times New Roman" w:hAnsi="Times New Roman" w:cs="Times New Roman"/>
                <w:color w:val="auto"/>
              </w:rPr>
            </w:pPr>
          </w:p>
        </w:tc>
        <w:tc>
          <w:tcPr>
            <w:tcW w:w="2918" w:type="pct"/>
            <w:gridSpan w:val="2"/>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人员配置：配备专职环保人员，并具备相应的环境管理能力（学历、培训、从业经验等）</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未达到A、B级要求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运输方式</w:t>
            </w:r>
          </w:p>
        </w:tc>
        <w:tc>
          <w:tcPr>
            <w:tcW w:w="1352"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1、矿石采选运输车辆全部采用国五及以上排放标准重型载货车辆（含燃气）或新能源车辆等清洁运输方式。</w:t>
            </w:r>
          </w:p>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2、厂内运输车辆全部达到国五及以上排放标准（含燃气）或使用新能源车辆。</w:t>
            </w:r>
          </w:p>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3、厂内非道路移动机械全部达到国三及以上排放标准或使用新能源机械。</w:t>
            </w:r>
          </w:p>
        </w:tc>
        <w:tc>
          <w:tcPr>
            <w:tcW w:w="1566"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1、矿石采选运输车辆采用国五及以上排放标准重型载货车辆（含燃气）或新能源车辆等清洁运输方式的比例不低于80%。</w:t>
            </w:r>
          </w:p>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2、厂内运输车辆达到国五及以上排放标准（含燃气）或使用新能源车辆比例不低于80%。</w:t>
            </w:r>
          </w:p>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3、厂内非道路移动机械达到国三及以上排放标准或使用新能源机械比例不低于80%。</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未达到B级要求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运输监管</w:t>
            </w:r>
          </w:p>
        </w:tc>
        <w:tc>
          <w:tcPr>
            <w:tcW w:w="2918" w:type="pct"/>
            <w:gridSpan w:val="2"/>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建立门禁系统和电子台账，创建要求参照《重点行业移动源监管与核查技术指南》（HJ1321）。</w:t>
            </w:r>
          </w:p>
        </w:tc>
        <w:tc>
          <w:tcPr>
            <w:tcW w:w="125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未达到A、B级要求</w:t>
            </w: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减排措施</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（1）A级企业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鼓励结合实际，自主采取减排措施。</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（2）B级企业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黄色预警期间：停止使用国四及以下重型载货车辆（含燃气）进行物料运输。</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橙色预警期间：选矿行业破碎、筛分、锯解、磨抛、裁切等涉气工序限产50%，以相关工序设备计；停止使用国四及以下重型载货车辆（含燃气）进行物料运输。</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红色预警期间：选矿行业破碎、筛分、锯解、磨抛、裁切等涉气工序停产；停止使用国四及以下重型载货车辆（含燃气）进行物料运输。</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（3）C级企业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黄色及以上预警期间：选矿行业破碎、筛分、锯解、磨抛、裁切等涉气工序停产；停止使用国四及以下重型载货车辆（含燃气）进行物料运输。</w:t>
      </w:r>
    </w:p>
    <w:p>
      <w:pPr>
        <w:pStyle w:val="3"/>
        <w:adjustRightInd w:val="0"/>
        <w:rPr>
          <w:rFonts w:hint="default" w:ascii="Times New Roman" w:hAnsi="Times New Roman" w:cs="Times New Roman"/>
          <w:color w:val="auto"/>
        </w:rPr>
      </w:pPr>
      <w:bookmarkStart w:id="236" w:name="_Toc3669"/>
      <w:bookmarkStart w:id="237" w:name="_Toc9076"/>
      <w:r>
        <w:rPr>
          <w:rFonts w:hint="default" w:ascii="Times New Roman" w:hAnsi="Times New Roman" w:cs="Times New Roman"/>
          <w:color w:val="auto"/>
        </w:rPr>
        <w:t>风险事故投资</w:t>
      </w:r>
      <w:bookmarkEnd w:id="236"/>
      <w:bookmarkEnd w:id="237"/>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本项目风险防范措施及其投资情况详见下表。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t>风险防范措施投资估算一览表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5841"/>
        <w:gridCol w:w="1066"/>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名称</w:t>
            </w:r>
          </w:p>
        </w:tc>
        <w:tc>
          <w:tcPr>
            <w:tcW w:w="3223"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风险防范措施</w:t>
            </w:r>
          </w:p>
        </w:tc>
        <w:tc>
          <w:tcPr>
            <w:tcW w:w="588"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投资（万元）</w:t>
            </w:r>
          </w:p>
        </w:tc>
        <w:tc>
          <w:tcPr>
            <w:tcW w:w="363"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分区防渗措施</w:t>
            </w:r>
          </w:p>
        </w:tc>
        <w:tc>
          <w:tcPr>
            <w:tcW w:w="322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重点防渗区：等效粘土防渗层Mb≥1.0m，K≤1×10</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p>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一般防渗区：采用防渗混凝土层硬化，使等效黏土防渗层Mb≥1.5m，K≤1.0×10</w:t>
            </w:r>
            <w:r>
              <w:rPr>
                <w:rFonts w:hint="default" w:ascii="Times New Roman" w:hAnsi="Times New Roman" w:cs="Times New Roman"/>
                <w:color w:val="auto"/>
                <w:vertAlign w:val="superscript"/>
              </w:rPr>
              <w:t>-7</w:t>
            </w:r>
            <w:r>
              <w:rPr>
                <w:rFonts w:hint="default" w:ascii="Times New Roman" w:hAnsi="Times New Roman" w:cs="Times New Roman"/>
                <w:color w:val="auto"/>
              </w:rPr>
              <w:t>cm/s；或参照GB16889执行；</w:t>
            </w:r>
          </w:p>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简单防渗区：硬化、固化。</w:t>
            </w:r>
          </w:p>
        </w:tc>
        <w:tc>
          <w:tcPr>
            <w:tcW w:w="588" w:type="pct"/>
            <w:vMerge w:val="restar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计入工程投资</w:t>
            </w:r>
          </w:p>
        </w:tc>
        <w:tc>
          <w:tcPr>
            <w:tcW w:w="36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废水截断系统</w:t>
            </w:r>
          </w:p>
        </w:tc>
        <w:tc>
          <w:tcPr>
            <w:tcW w:w="322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厂区的雨水收集系统末端设事故自动控制水阀，一旦厂区有事故废水进入雨水排放系统，应立即关闭水阀（即关闭雨水排放口），将事故废水引入应急池暂存，避免废水外排进入雨水系统，可确保事故废水截留在厂区内。</w:t>
            </w:r>
          </w:p>
        </w:tc>
        <w:tc>
          <w:tcPr>
            <w:tcW w:w="588" w:type="pct"/>
            <w:vMerge w:val="continue"/>
            <w:vAlign w:val="center"/>
          </w:tcPr>
          <w:p>
            <w:pPr>
              <w:pStyle w:val="65"/>
              <w:spacing w:before="62" w:after="62"/>
              <w:rPr>
                <w:rFonts w:hint="default" w:ascii="Times New Roman" w:hAnsi="Times New Roman" w:cs="Times New Roman"/>
                <w:color w:val="auto"/>
              </w:rPr>
            </w:pPr>
          </w:p>
        </w:tc>
        <w:tc>
          <w:tcPr>
            <w:tcW w:w="36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8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应急事故池</w:t>
            </w:r>
          </w:p>
        </w:tc>
        <w:tc>
          <w:tcPr>
            <w:tcW w:w="322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2个事故应急水池，合计容积450m</w:t>
            </w:r>
            <w:r>
              <w:rPr>
                <w:rFonts w:hint="default" w:ascii="Times New Roman" w:hAnsi="Times New Roman" w:cs="Times New Roman"/>
                <w:color w:val="auto"/>
                <w:vertAlign w:val="superscript"/>
              </w:rPr>
              <w:t>3</w:t>
            </w:r>
          </w:p>
        </w:tc>
        <w:tc>
          <w:tcPr>
            <w:tcW w:w="588" w:type="pct"/>
            <w:vMerge w:val="continue"/>
            <w:vAlign w:val="center"/>
          </w:tcPr>
          <w:p>
            <w:pPr>
              <w:pStyle w:val="65"/>
              <w:spacing w:before="62" w:after="62"/>
              <w:rPr>
                <w:rFonts w:hint="default" w:ascii="Times New Roman" w:hAnsi="Times New Roman" w:cs="Times New Roman"/>
                <w:color w:val="auto"/>
              </w:rPr>
            </w:pPr>
          </w:p>
        </w:tc>
        <w:tc>
          <w:tcPr>
            <w:tcW w:w="36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应急预案</w:t>
            </w:r>
          </w:p>
        </w:tc>
        <w:tc>
          <w:tcPr>
            <w:tcW w:w="322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制定应急预案，加强环境管理，区域、部门联动</w:t>
            </w:r>
          </w:p>
        </w:tc>
        <w:tc>
          <w:tcPr>
            <w:tcW w:w="588" w:type="pct"/>
            <w:vMerge w:val="continue"/>
            <w:vAlign w:val="center"/>
          </w:tcPr>
          <w:p>
            <w:pPr>
              <w:pStyle w:val="65"/>
              <w:spacing w:before="62" w:after="62"/>
              <w:rPr>
                <w:rFonts w:hint="default" w:ascii="Times New Roman" w:hAnsi="Times New Roman" w:cs="Times New Roman"/>
                <w:color w:val="auto"/>
              </w:rPr>
            </w:pPr>
          </w:p>
        </w:tc>
        <w:tc>
          <w:tcPr>
            <w:tcW w:w="36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w:t>
            </w:r>
          </w:p>
        </w:tc>
      </w:tr>
    </w:tbl>
    <w:p>
      <w:pPr>
        <w:pStyle w:val="3"/>
        <w:adjustRightInd w:val="0"/>
        <w:rPr>
          <w:rFonts w:hint="default" w:ascii="Times New Roman" w:hAnsi="Times New Roman" w:cs="Times New Roman"/>
          <w:color w:val="auto"/>
        </w:rPr>
      </w:pPr>
      <w:bookmarkStart w:id="238" w:name="_Toc19196"/>
      <w:bookmarkStart w:id="239" w:name="_Toc10490"/>
      <w:bookmarkStart w:id="240" w:name="_Toc9615"/>
      <w:bookmarkStart w:id="241" w:name="_Toc7403"/>
      <w:r>
        <w:rPr>
          <w:rFonts w:hint="default" w:ascii="Times New Roman" w:hAnsi="Times New Roman" w:cs="Times New Roman"/>
          <w:color w:val="auto"/>
        </w:rPr>
        <w:t>风险分析结论</w:t>
      </w:r>
      <w:bookmarkEnd w:id="238"/>
      <w:bookmarkEnd w:id="239"/>
      <w:bookmarkEnd w:id="240"/>
      <w:bookmarkEnd w:id="24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通过加强员工的技术水平培训，同时做好日常检查工作，可从源头上减少事故发生的概率。若事故发生，可按照应急预案紧急处理所发生事故，各应急小组紧密配合，可将风险及损失控制在最低，同时，通过以上分析可知，事故发生后各应对措施可使环境风险事故对环境空气、地表水、地下水的影响较小。</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本项目在切实落实评价中提出的事故防范与减缓、应急措施与提高风险管理水平的前提下，环境污染影响均可降至最低限度，降至可接受水平的范围之内，达到安全、平稳与持续健康生产与发展的目的。</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综上所述，本项目发生突发环境事件的可能性较小，环境风险程度是可以接受的。建设项目环境风险简单分析内容见下表。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建设项目环境风险简单分析内容表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489"/>
        <w:gridCol w:w="1526"/>
        <w:gridCol w:w="1359"/>
        <w:gridCol w:w="1085"/>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建设项目名称</w:t>
            </w:r>
          </w:p>
        </w:tc>
        <w:tc>
          <w:tcPr>
            <w:tcW w:w="4181" w:type="pct"/>
            <w:gridSpan w:val="5"/>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乐山市沙湾区豪沐科技有限公司沙湾区新建50万吨锂矿加工综合利用项目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建设地点</w:t>
            </w:r>
          </w:p>
        </w:tc>
        <w:tc>
          <w:tcPr>
            <w:tcW w:w="82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（四川）省</w:t>
            </w:r>
          </w:p>
        </w:tc>
        <w:tc>
          <w:tcPr>
            <w:tcW w:w="84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（乐山）市</w:t>
            </w:r>
          </w:p>
        </w:tc>
        <w:tc>
          <w:tcPr>
            <w:tcW w:w="75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（沙湾）区</w:t>
            </w:r>
          </w:p>
        </w:tc>
        <w:tc>
          <w:tcPr>
            <w:tcW w:w="599"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（）县</w:t>
            </w:r>
          </w:p>
        </w:tc>
        <w:tc>
          <w:tcPr>
            <w:tcW w:w="116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乐山（沙湾）不锈钢产业园区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地理坐标</w:t>
            </w:r>
          </w:p>
        </w:tc>
        <w:tc>
          <w:tcPr>
            <w:tcW w:w="82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经度</w:t>
            </w:r>
          </w:p>
        </w:tc>
        <w:tc>
          <w:tcPr>
            <w:tcW w:w="84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color w:val="auto"/>
                <w:kern w:val="21"/>
                <w:sz w:val="21"/>
              </w:rPr>
              <w:t>E103.632834°</w:t>
            </w:r>
          </w:p>
        </w:tc>
        <w:tc>
          <w:tcPr>
            <w:tcW w:w="75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纬度</w:t>
            </w:r>
          </w:p>
        </w:tc>
        <w:tc>
          <w:tcPr>
            <w:tcW w:w="1765" w:type="pct"/>
            <w:gridSpan w:val="2"/>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color w:val="auto"/>
                <w:kern w:val="21"/>
                <w:sz w:val="21"/>
              </w:rPr>
              <w:t>N29.784329°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主要危险物质及分布</w:t>
            </w:r>
          </w:p>
        </w:tc>
        <w:tc>
          <w:tcPr>
            <w:tcW w:w="4181" w:type="pct"/>
            <w:gridSpan w:val="5"/>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bCs/>
                <w:color w:val="auto"/>
                <w:kern w:val="21"/>
                <w:sz w:val="21"/>
              </w:rPr>
            </w:pPr>
            <w:r>
              <w:rPr>
                <w:rFonts w:hint="default" w:ascii="Times New Roman" w:hAnsi="Times New Roman" w:cs="Times New Roman"/>
                <w:color w:val="auto"/>
                <w:kern w:val="21"/>
                <w:sz w:val="21"/>
              </w:rPr>
              <w:t>项目主要风险物质为机油、废机油。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环境影响途径及危害后果（大气、地表水、地下水等）</w:t>
            </w:r>
          </w:p>
        </w:tc>
        <w:tc>
          <w:tcPr>
            <w:tcW w:w="4181" w:type="pct"/>
            <w:gridSpan w:val="5"/>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大气：本项目发生环境风险事件后对环境空气的影响主要来源于风险物质发生火灾、爆炸事件后产生的大气污染物，主要污染物为一氧化碳、二氧化碳等有毒、有害气体，因此本项目风险物质若发生火灾、爆炸，对环境空气的主要影响为项目所在区域环境空气中一氧化碳、二氧化碳等有毒、有害气体浓度升高。但发生此类事故的可能性很小。</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地表水：本项目突发环境事件后对地表水的影响主要为发生火灾时消防水，主要污染物为SS，发生火灾时消防废水的收集处理，不会直接排入地表水中，对地表水环境影响较小。</w:t>
            </w:r>
          </w:p>
          <w:p>
            <w:pPr>
              <w:overflowPunct w:val="0"/>
              <w:adjustRightInd w:val="0"/>
              <w:spacing w:before="62" w:beforeLines="20" w:after="62" w:afterLines="20" w:line="240" w:lineRule="auto"/>
              <w:ind w:firstLine="0" w:firstLineChars="0"/>
              <w:rPr>
                <w:rFonts w:hint="default" w:ascii="Times New Roman" w:hAnsi="Times New Roman" w:cs="Times New Roman"/>
                <w:bCs/>
                <w:color w:val="auto"/>
                <w:kern w:val="21"/>
                <w:sz w:val="21"/>
              </w:rPr>
            </w:pPr>
            <w:r>
              <w:rPr>
                <w:rFonts w:hint="default" w:ascii="Times New Roman" w:hAnsi="Times New Roman" w:cs="Times New Roman"/>
                <w:color w:val="auto"/>
                <w:kern w:val="21"/>
                <w:sz w:val="21"/>
              </w:rPr>
              <w:t>地下水：项目采取了分区防渗措施，废水排放不会直接渗入地下对地下水产生影响。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Cs/>
                <w:color w:val="auto"/>
                <w:kern w:val="21"/>
                <w:sz w:val="21"/>
              </w:rPr>
              <w:t>风险防范措施要求</w:t>
            </w:r>
          </w:p>
        </w:tc>
        <w:tc>
          <w:tcPr>
            <w:tcW w:w="4181" w:type="pct"/>
            <w:gridSpan w:val="5"/>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（1）制定火灾和爆炸事故的防范措施</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（2）制定废水和废气处理装置事故防范措施规范</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（3）制定管理上的防范措施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填表说明（列出项目相关信息及评价说明）</w:t>
            </w:r>
          </w:p>
          <w:p>
            <w:pPr>
              <w:overflowPunct w:val="0"/>
              <w:adjustRightInd w:val="0"/>
              <w:spacing w:before="62" w:beforeLines="20" w:after="62" w:afterLines="20" w:line="240" w:lineRule="auto"/>
              <w:ind w:firstLine="42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根据《建设项目环境风险评价技术导则》（HJ169-2018），建设项目环境风险潜势划分为Ⅰ、Ⅱ、Ⅲ、Ⅳ/Ⅳ+级。查阅《建设项目环境风险评价技术导则》（HJ169-2018）附录B，本工程涉及的主要物料为机油、废机油，经计算，Q＜1，该项目环境风险潜势为Ⅰ。根据《建设项目环境风险评价技术导则》（HJ169-2018）当危险物质数量与临界量比值Q＜1时，该项目环境风险潜势为Ⅰ。由此确定本项目环境风险评价工作等级为简单分析。</w:t>
            </w:r>
          </w:p>
          <w:p>
            <w:pPr>
              <w:overflowPunct w:val="0"/>
              <w:adjustRightInd w:val="0"/>
              <w:spacing w:before="62" w:beforeLines="20" w:after="62" w:afterLines="20" w:line="240" w:lineRule="auto"/>
              <w:ind w:firstLine="42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本项目在切实落实评价中提出的事故防范与减缓、应急措施与提高风险管理水平的前提下，环境污染影响均可降至最低限度，降至可接受水平的范围之内，达到安全、平稳与持续健康生产与发展的目的。</w:t>
            </w:r>
          </w:p>
        </w:tc>
      </w:tr>
    </w:tbl>
    <w:p>
      <w:pPr>
        <w:overflowPunct w:val="0"/>
        <w:adjustRightInd w:val="0"/>
        <w:ind w:firstLine="420"/>
        <w:rPr>
          <w:rFonts w:hint="default" w:ascii="Times New Roman" w:hAnsi="Times New Roman" w:cs="Times New Roman"/>
          <w:color w:val="auto"/>
          <w:kern w:val="21"/>
          <w:sz w:val="21"/>
        </w:rPr>
        <w:sectPr>
          <w:pgSz w:w="11906" w:h="16838"/>
          <w:pgMar w:top="1134" w:right="1531" w:bottom="1134" w:left="1531" w:header="851" w:footer="907" w:gutter="0"/>
          <w:cols w:space="425" w:num="1"/>
          <w:docGrid w:type="lines" w:linePitch="312" w:charSpace="0"/>
        </w:sectPr>
      </w:pPr>
    </w:p>
    <w:p>
      <w:pPr>
        <w:pStyle w:val="2"/>
        <w:adjustRightInd w:val="0"/>
        <w:rPr>
          <w:rFonts w:hint="default" w:ascii="Times New Roman" w:hAnsi="Times New Roman" w:cs="Times New Roman"/>
          <w:color w:val="auto"/>
        </w:rPr>
      </w:pPr>
      <w:bookmarkStart w:id="242" w:name="_Toc4063"/>
      <w:bookmarkStart w:id="243" w:name="_Toc20891"/>
      <w:bookmarkStart w:id="244" w:name="_Toc27996"/>
      <w:r>
        <w:rPr>
          <w:rFonts w:hint="default" w:ascii="Times New Roman" w:hAnsi="Times New Roman" w:cs="Times New Roman"/>
          <w:color w:val="auto"/>
        </w:rPr>
        <w:t>污染防治措施及其经济技术论证</w:t>
      </w:r>
      <w:bookmarkEnd w:id="242"/>
      <w:bookmarkEnd w:id="243"/>
      <w:bookmarkEnd w:id="244"/>
    </w:p>
    <w:p>
      <w:pPr>
        <w:pStyle w:val="3"/>
        <w:adjustRightInd w:val="0"/>
        <w:rPr>
          <w:rFonts w:hint="default" w:ascii="Times New Roman" w:hAnsi="Times New Roman" w:cs="Times New Roman"/>
          <w:color w:val="auto"/>
        </w:rPr>
      </w:pPr>
      <w:bookmarkStart w:id="245" w:name="_Toc14376"/>
      <w:bookmarkStart w:id="246" w:name="_Toc29106"/>
      <w:bookmarkStart w:id="247" w:name="_Toc20342"/>
      <w:r>
        <w:rPr>
          <w:rFonts w:hint="default" w:ascii="Times New Roman" w:hAnsi="Times New Roman" w:cs="Times New Roman"/>
          <w:color w:val="auto"/>
        </w:rPr>
        <w:t>施工期污染防治措施分析</w:t>
      </w:r>
      <w:bookmarkEnd w:id="245"/>
      <w:bookmarkEnd w:id="246"/>
      <w:bookmarkEnd w:id="247"/>
    </w:p>
    <w:p>
      <w:pPr>
        <w:pStyle w:val="4"/>
        <w:adjustRightInd w:val="0"/>
        <w:rPr>
          <w:rFonts w:hint="default" w:ascii="Times New Roman" w:hAnsi="Times New Roman" w:cs="Times New Roman"/>
          <w:color w:val="auto"/>
        </w:rPr>
      </w:pPr>
      <w:bookmarkStart w:id="248" w:name="_Toc2533"/>
      <w:bookmarkStart w:id="249" w:name="_Toc20980"/>
      <w:bookmarkStart w:id="250" w:name="_Toc17622"/>
      <w:r>
        <w:rPr>
          <w:rFonts w:hint="default" w:ascii="Times New Roman" w:hAnsi="Times New Roman" w:cs="Times New Roman"/>
          <w:color w:val="auto"/>
        </w:rPr>
        <w:t>施工期</w:t>
      </w:r>
      <w:bookmarkStart w:id="251" w:name="_Toc29095"/>
      <w:r>
        <w:rPr>
          <w:rFonts w:hint="default" w:ascii="Times New Roman" w:hAnsi="Times New Roman" w:cs="Times New Roman"/>
          <w:color w:val="auto"/>
        </w:rPr>
        <w:t>废气治理措施分析</w:t>
      </w:r>
      <w:bookmarkEnd w:id="248"/>
      <w:bookmarkEnd w:id="249"/>
      <w:bookmarkEnd w:id="250"/>
      <w:bookmarkEnd w:id="25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施工工地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项目在施工过程中应采取的废气治理措施如下：</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①在施工过程中，采取围挡、围护以减少扬尘扩散，围挡、围护对减少扬尘对环境的污染有明显作用，在施工现场周围，连续设置不低于1.5m高的彩钢板挡墙。</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②在施工场地安排员工定期对施工场地洒水以减少扬尘量，洒水次数根据天气状况而定，一般每天洒水1~2次，若遇到大风或干燥天气可适当增加洒水次数。施工场地洒水与否对扬尘的影响较大，类比同类项目施工场地，场地洒水后，扬尘量将减低28%~75%，大大减少了其对环境的影响。</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③针对施工任务和施工场地环境状况，制定合理的施工计划，采取集中力量逐段施工方法，缩短施工周期，减少施工现场的工作面，减轻施工扬尘对环境的影响。</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④为了减少工程扬尘对周围环境的影响，建议施工中遇到天气起风的情况下，对弃土表面洒水，防止扬尘。</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⑤施工车辆采取篷布加盖措施，施工车辆及运输车辆在驶出施工区前，轮胎需做清泥除尘处理，不得将泥土尘土带出工地。</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⑥在施工场地上设置专人负责建筑垃圾、建筑材料的处置、清运和堆放，堆放场地加盖篷布或洒水，防止二次扬尘，建筑垃圾应及时处理、清运、以减少占地，防止扬尘污染，改善施工场地的环境。</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⑦加强对施工人员的环保教育，增强全体施工人员的环保意识，坚持文明施工、科学施工，减少施工期的大气污染。</w:t>
      </w:r>
    </w:p>
    <w:p>
      <w:pPr>
        <w:pStyle w:val="37"/>
        <w:adjustRightInd w:val="0"/>
        <w:ind w:firstLine="480"/>
        <w:rPr>
          <w:rFonts w:hint="default" w:ascii="Times New Roman" w:hAnsi="Times New Roman" w:cs="Times New Roman"/>
          <w:color w:val="auto"/>
        </w:rPr>
      </w:pPr>
      <w:r>
        <w:rPr>
          <w:rFonts w:hint="default" w:ascii="Times New Roman" w:hAnsi="Times New Roman" w:cs="Times New Roman"/>
          <w:color w:val="auto"/>
        </w:rPr>
        <w:t>综上所述，本项目采取的施工期废气治理措施为施工场地常用的废气治理措施，可确保项目施工废气合理有效处置，故项目施工废气处理措施技术合理可行。</w:t>
      </w:r>
    </w:p>
    <w:p>
      <w:pPr>
        <w:pStyle w:val="4"/>
        <w:adjustRightInd w:val="0"/>
        <w:rPr>
          <w:rFonts w:hint="default" w:ascii="Times New Roman" w:hAnsi="Times New Roman" w:cs="Times New Roman"/>
          <w:color w:val="auto"/>
        </w:rPr>
      </w:pPr>
      <w:bookmarkStart w:id="252" w:name="_Toc8982"/>
      <w:bookmarkStart w:id="253" w:name="_Toc13112"/>
      <w:bookmarkStart w:id="254" w:name="_Toc6762"/>
      <w:r>
        <w:rPr>
          <w:rFonts w:hint="default" w:ascii="Times New Roman" w:hAnsi="Times New Roman" w:cs="Times New Roman"/>
          <w:color w:val="auto"/>
        </w:rPr>
        <w:t>施工废水污染防治措施</w:t>
      </w:r>
      <w:bookmarkEnd w:id="252"/>
      <w:bookmarkEnd w:id="253"/>
      <w:bookmarkEnd w:id="25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施工期产生的废水主要为施工人员的生活污水。</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施工期主要为厂房改造及设备安装，施工期间高峰时施工人数合计约20人，施工人员生活主要依托当地生活设施，不在场内食宿，工人生活用水主要为洗手、上厕所等杂用水等，员工用水量按50L/人·d计，用水量为1m</w:t>
      </w:r>
      <w:r>
        <w:rPr>
          <w:rFonts w:hint="default" w:ascii="Times New Roman" w:hAnsi="Times New Roman" w:cs="Times New Roman"/>
          <w:color w:val="auto"/>
          <w:vertAlign w:val="superscript"/>
        </w:rPr>
        <w:t>3</w:t>
      </w:r>
      <w:r>
        <w:rPr>
          <w:rFonts w:hint="default" w:ascii="Times New Roman" w:hAnsi="Times New Roman" w:cs="Times New Roman"/>
          <w:color w:val="auto"/>
        </w:rPr>
        <w:t>/d，排污系数按0.85计，废水排水量为0.85m</w:t>
      </w:r>
      <w:r>
        <w:rPr>
          <w:rFonts w:hint="default" w:ascii="Times New Roman" w:hAnsi="Times New Roman" w:cs="Times New Roman"/>
          <w:color w:val="auto"/>
          <w:vertAlign w:val="superscript"/>
        </w:rPr>
        <w:t>3</w:t>
      </w:r>
      <w:r>
        <w:rPr>
          <w:rFonts w:hint="default" w:ascii="Times New Roman" w:hAnsi="Times New Roman" w:cs="Times New Roman"/>
          <w:color w:val="auto"/>
        </w:rPr>
        <w:t>/d。生活污水经预处理池（50m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）处理后依托园区污水管网排入园区污水处理厂进一步处理。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采取上述治理措施后，施工期产生的废水不会对地表水环境产生明显影响。</w:t>
      </w:r>
    </w:p>
    <w:p>
      <w:pPr>
        <w:pStyle w:val="4"/>
        <w:adjustRightInd w:val="0"/>
        <w:rPr>
          <w:rFonts w:hint="default" w:ascii="Times New Roman" w:hAnsi="Times New Roman" w:cs="Times New Roman"/>
          <w:color w:val="auto"/>
        </w:rPr>
      </w:pPr>
      <w:bookmarkStart w:id="255" w:name="_Toc32244"/>
      <w:bookmarkStart w:id="256" w:name="_Toc27261"/>
      <w:bookmarkStart w:id="257" w:name="_Toc22021"/>
      <w:r>
        <w:rPr>
          <w:rFonts w:hint="default" w:ascii="Times New Roman" w:hAnsi="Times New Roman" w:cs="Times New Roman"/>
          <w:color w:val="auto"/>
        </w:rPr>
        <w:t>施工噪声治理措施分析</w:t>
      </w:r>
      <w:bookmarkEnd w:id="255"/>
      <w:bookmarkEnd w:id="256"/>
      <w:bookmarkEnd w:id="257"/>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项目在施工过程中应采取的噪声治理措施如下：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①根据《中华人民共和国环境噪声污染防治法》第二十九条规定：施工单位必须在工程开工15日以前向工程所在地县级以上地方人民政府环境保护行政主管部门申报工程项目名称、施工场所和期限、建筑施工机械可能产生的环境噪声值以及所采取的环境噪声污染防治措施情况；</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②合理安排施工时间，高噪声工种禁止午休（12:00~14:00）和夜间（22:00~06:00）施工，避免在同一时间内集中使用大量的动力机械设备。如夜间需进行施工工艺要求必须连续作业的强噪声施工，建设单位应首先征得项目所在地环保、建委、城管等主管部门同意。同时，要求施工单位严格执行《建筑施工场界环境噪声排放标准》（GB12523-2011）中的相关规定，施工期间的场界噪声必须满足《建筑施工场界环境噪声排放标准》（GB12523-2011）各阶段标准限值要求；</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③文明施工，施工单位要加强声源噪声控制，应使用低噪声机械或采取消声器、消声管或声障等措施进行控制，使噪声的排放符合国家规定的施工场界环境噪声排放标准。在装卸、搬运木材、模具、钢材等材料时应轻拿轻放，严禁抛掷。运输车辆进出施工现场时应有专人指挥并限速，场内运输车辆禁止鸣笛，减少交通噪声；</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④施工车辆特别是重型运载车辆的运行线路和时间，应尽量避开噪声敏感区域和噪声敏感时段。进出车辆要合理调度，明确线路，使行驶道路保持平坦，减弱车辆的颠簸噪声和产生振动。加强施工区域交通管理，避免因交通堵塞增加车辆鸣号。</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⑤限制切割机、电锯、电刨等高噪声建筑机械在夜间工作，在高噪声设备附近，加设可移动的简易隔声屏。</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⑥工程设计应当包含施工期间噪声污染的防治措施，编制工程预算应当包含施工期间噪声污染防治措施专项费用。建设单位和施工单位应当根据建设项目工程施工需要，安排噪声污染的防治费用，建设单位应当督促施工</w:t>
      </w:r>
      <w:r>
        <w:rPr>
          <w:rFonts w:hint="default" w:ascii="Times New Roman" w:hAnsi="Times New Roman" w:cs="Times New Roman"/>
          <w:color w:val="auto"/>
          <w:kern w:val="21"/>
          <w:szCs w:val="22"/>
        </w:rPr>
        <w:t>单位</w:t>
      </w:r>
      <w:r>
        <w:rPr>
          <w:rFonts w:hint="default" w:ascii="Times New Roman" w:hAnsi="Times New Roman" w:cs="Times New Roman"/>
          <w:color w:val="auto"/>
          <w:kern w:val="21"/>
          <w:szCs w:val="24"/>
        </w:rPr>
        <w:t>达标排放施工噪声。</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本项目采取的施工期噪声治理措施为施工场地常用的处置措施，可确保项目施工噪声对周围环境影响较小，故项目施工噪声治理措施技术合理可行。</w:t>
      </w:r>
    </w:p>
    <w:p>
      <w:pPr>
        <w:pStyle w:val="4"/>
        <w:adjustRightInd w:val="0"/>
        <w:rPr>
          <w:rFonts w:hint="default" w:ascii="Times New Roman" w:hAnsi="Times New Roman" w:cs="Times New Roman"/>
          <w:color w:val="auto"/>
        </w:rPr>
      </w:pPr>
      <w:bookmarkStart w:id="258" w:name="_Toc15965"/>
      <w:bookmarkStart w:id="259" w:name="_Toc14900"/>
      <w:bookmarkStart w:id="260" w:name="_Toc12851"/>
      <w:r>
        <w:rPr>
          <w:rFonts w:hint="default" w:ascii="Times New Roman" w:hAnsi="Times New Roman" w:cs="Times New Roman"/>
          <w:color w:val="auto"/>
        </w:rPr>
        <w:t>施工</w:t>
      </w:r>
      <w:bookmarkStart w:id="261" w:name="_Toc8650"/>
      <w:r>
        <w:rPr>
          <w:rFonts w:hint="default" w:ascii="Times New Roman" w:hAnsi="Times New Roman" w:cs="Times New Roman"/>
          <w:color w:val="auto"/>
        </w:rPr>
        <w:t>固体废物治理措施分析</w:t>
      </w:r>
      <w:bookmarkEnd w:id="258"/>
      <w:bookmarkEnd w:id="259"/>
      <w:bookmarkEnd w:id="260"/>
      <w:bookmarkEnd w:id="261"/>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项目在施工过程中应采取的固体废物防治措施如下：</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建筑垃圾中，钢筋、钢板、木材等下脚料可分类回收，交废物收购站处理；装修垃圾，如废油漆桶、废涂料桶等，建筑垃圾中可回收利用的出售给废品回收站，不能回收的运往政府指定堆放点；废油漆桶、废涂料桶等装修垃圾交由有相应危废处理资质的单位处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（2）施工人员产生的生活垃圾由市政环卫部门统一清运处理。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本项目采取的固体废物处置措施为施工场地常用的固废处置措施，可确保项目固体废物得到合理有效的处置，故项目施工期固体废物处置措施可行。</w:t>
      </w:r>
    </w:p>
    <w:p>
      <w:pPr>
        <w:pStyle w:val="3"/>
        <w:adjustRightInd w:val="0"/>
        <w:rPr>
          <w:rFonts w:hint="default" w:ascii="Times New Roman" w:hAnsi="Times New Roman" w:cs="Times New Roman"/>
          <w:color w:val="auto"/>
        </w:rPr>
      </w:pPr>
      <w:bookmarkStart w:id="262" w:name="_Toc7769"/>
      <w:bookmarkStart w:id="263" w:name="_Toc18138"/>
      <w:bookmarkStart w:id="264" w:name="_Toc4837"/>
      <w:r>
        <w:rPr>
          <w:rFonts w:hint="default" w:ascii="Times New Roman" w:hAnsi="Times New Roman" w:cs="Times New Roman"/>
          <w:color w:val="auto"/>
        </w:rPr>
        <w:t>运营期污染防治措施论证</w:t>
      </w:r>
      <w:bookmarkEnd w:id="262"/>
      <w:bookmarkEnd w:id="263"/>
      <w:bookmarkEnd w:id="26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根据本工程的排污特点及本地区的环境特征，通过类比调查和资料分析，对本工程提出的废气、废水、噪声、固体废物治理方案进行分析评述，为本项目的污染治理设计提供决策依据。</w:t>
      </w:r>
    </w:p>
    <w:p>
      <w:pPr>
        <w:pStyle w:val="4"/>
        <w:adjustRightInd w:val="0"/>
        <w:rPr>
          <w:rFonts w:hint="default" w:ascii="Times New Roman" w:hAnsi="Times New Roman" w:cs="Times New Roman"/>
          <w:color w:val="auto"/>
        </w:rPr>
      </w:pPr>
      <w:bookmarkStart w:id="265" w:name="_Toc26859"/>
      <w:bookmarkStart w:id="266" w:name="_Toc11591"/>
      <w:bookmarkStart w:id="267" w:name="_Toc19140"/>
      <w:r>
        <w:rPr>
          <w:rFonts w:hint="default" w:ascii="Times New Roman" w:hAnsi="Times New Roman" w:cs="Times New Roman"/>
          <w:color w:val="auto"/>
        </w:rPr>
        <w:t>废气污染防治措施论证</w:t>
      </w:r>
      <w:bookmarkEnd w:id="265"/>
      <w:bookmarkEnd w:id="266"/>
      <w:bookmarkEnd w:id="267"/>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设置1个碎矿车间，车间作业时保持门窗关闭，保持其密闭性，同时在项目碎矿车间设喷雾装置进行喷雾降尘，项目破碎、筛分等产尘点采用集气设施收集粉尘，收集的粉尘选用布袋除尘装置进行除尘，项目破碎、筛分废气经收集后统一经1套袋式除尘装置处理后经一根15m排气筒（DA001）排放。</w:t>
      </w:r>
    </w:p>
    <w:p>
      <w:pPr>
        <w:overflowPunct w:val="0"/>
        <w:adjustRightInd w:val="0"/>
        <w:ind w:firstLine="482"/>
        <w:rPr>
          <w:rFonts w:hint="default" w:ascii="Times New Roman" w:hAnsi="Times New Roman" w:cs="Times New Roman"/>
          <w:b/>
          <w:color w:val="auto"/>
          <w:kern w:val="21"/>
          <w:szCs w:val="22"/>
        </w:rPr>
      </w:pPr>
      <w:r>
        <w:rPr>
          <w:rFonts w:hint="default" w:ascii="Times New Roman" w:hAnsi="Times New Roman" w:cs="Times New Roman"/>
          <w:b/>
          <w:color w:val="auto"/>
          <w:kern w:val="21"/>
          <w:szCs w:val="22"/>
        </w:rPr>
        <w:t>除尘工艺的选择：</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袋布除尘器是一种干式滤尘装置。滤料使用一段时间后，由于筛滤、碰撞、滞留、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的增加，当滤料两侧的压力差很大时，会把有些已附着在滤料上的细小尘粒挤压过去，使除尘器效率下降。另外，除尘器的阻力过高会使除尘系统的风量显著下降。因此，除尘器的阻力达到一定数值后，要及时清灰。清灰时不能破坏初层，以免效率下降。</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本项目破碎、筛分工序颗粒物经袋式除尘器处理后可满足《乐山市打赢蓝天保卫战实施方案》相关要求（排放浓度＜10mg/m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能确保废气保持长期稳定达标排放。袋式除尘器除尘效率较高，设备运行稳定、可靠，运行维护成本较低，已在国内得到广泛应用并取得较好的使用效果。袋式除尘器在国内应用较广泛，技术成熟，可满足本项目要求，实现达标排放。</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参考《排污许可证申请与核发技术规范陶瓷砖瓦工业》（HJ954-2018）中砖瓦行业生产过程中原料制备、成型、包装机等对应排放口可行技术为袋式除尘。</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参照其他制品类原料破碎、搅拌、成型等过程产生的粉尘，可行处理技术为湿法作业或袋式除尘，本项目对原矿仓库、尾矿仓库生产车间进行密闭处理，并设置喷雾设施进行湿法作业，为可行技术。</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因此，本项目采取的废气治理措施可行。</w:t>
      </w:r>
    </w:p>
    <w:p>
      <w:pPr>
        <w:pStyle w:val="4"/>
        <w:adjustRightInd w:val="0"/>
        <w:rPr>
          <w:rFonts w:hint="default" w:ascii="Times New Roman" w:hAnsi="Times New Roman" w:cs="Times New Roman"/>
          <w:color w:val="auto"/>
        </w:rPr>
      </w:pPr>
      <w:bookmarkStart w:id="268" w:name="_Toc15587"/>
      <w:bookmarkStart w:id="269" w:name="_Toc7969"/>
      <w:bookmarkStart w:id="270" w:name="_Toc283"/>
      <w:r>
        <w:rPr>
          <w:rFonts w:hint="default" w:ascii="Times New Roman" w:hAnsi="Times New Roman" w:cs="Times New Roman"/>
          <w:color w:val="auto"/>
        </w:rPr>
        <w:t>地表水污染防治措施论证</w:t>
      </w:r>
      <w:bookmarkEnd w:id="268"/>
      <w:bookmarkEnd w:id="269"/>
      <w:bookmarkEnd w:id="270"/>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本项目选矿废水经絮凝沉淀处理后回用于选矿，不外排；车辆冲洗废水经沉淀池处理后回用于车辆冲洗，不外排；生活污水经预处理池（50m</w:t>
      </w:r>
      <w:r>
        <w:rPr>
          <w:rFonts w:hint="default" w:ascii="Times New Roman" w:hAnsi="Times New Roman" w:cs="Times New Roman"/>
          <w:color w:val="auto"/>
          <w:vertAlign w:val="superscript"/>
        </w:rPr>
        <w:t>3</w:t>
      </w:r>
      <w:r>
        <w:rPr>
          <w:rFonts w:hint="default" w:ascii="Times New Roman" w:hAnsi="Times New Roman" w:cs="Times New Roman"/>
          <w:color w:val="auto"/>
        </w:rPr>
        <w:t>）处理达标后经污水管网排入园区污水处理厂处理；初期雨水经初期雨水池沉淀处理后排入园区污水管网。</w:t>
      </w:r>
    </w:p>
    <w:p>
      <w:pPr>
        <w:overflowPunct w:val="0"/>
        <w:adjustRightInd w:val="0"/>
        <w:ind w:firstLine="482"/>
        <w:rPr>
          <w:rFonts w:hint="default" w:ascii="Times New Roman" w:hAnsi="Times New Roman" w:cs="Times New Roman"/>
          <w:b/>
          <w:color w:val="auto"/>
          <w:kern w:val="21"/>
          <w:szCs w:val="22"/>
        </w:rPr>
      </w:pPr>
      <w:r>
        <w:rPr>
          <w:rFonts w:hint="default" w:ascii="Times New Roman" w:hAnsi="Times New Roman" w:cs="Times New Roman"/>
          <w:b/>
          <w:color w:val="auto"/>
          <w:kern w:val="21"/>
          <w:szCs w:val="22"/>
        </w:rPr>
        <w:t>（1）生产废水治理措施可行性</w:t>
      </w:r>
    </w:p>
    <w:p>
      <w:pPr>
        <w:overflowPunct w:val="0"/>
        <w:adjustRightInd w:val="0"/>
        <w:ind w:firstLine="480"/>
        <w:rPr>
          <w:rFonts w:hint="default" w:ascii="Times New Roman" w:hAnsi="Times New Roman" w:cs="Times New Roman"/>
          <w:color w:val="auto"/>
          <w:kern w:val="21"/>
          <w:sz w:val="40"/>
          <w:szCs w:val="22"/>
        </w:rPr>
      </w:pPr>
      <w:r>
        <w:rPr>
          <w:rFonts w:hint="default" w:ascii="Times New Roman" w:hAnsi="Times New Roman" w:cs="Times New Roman"/>
          <w:color w:val="auto"/>
          <w:kern w:val="21"/>
          <w:szCs w:val="22"/>
        </w:rPr>
        <w:t>全厂共设置1套生产废水处理设施，为3级沉淀池（</w:t>
      </w:r>
      <w:r>
        <w:rPr>
          <w:rFonts w:hint="default" w:ascii="Times New Roman" w:hAnsi="Times New Roman" w:cs="Times New Roman"/>
          <w:color w:val="auto"/>
        </w:rPr>
        <w:t>一级沉淀池有效容积1460m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、二级沉淀池有效容积1460m</w:t>
      </w:r>
      <w:r>
        <w:rPr>
          <w:rFonts w:hint="default" w:ascii="Times New Roman" w:hAnsi="Times New Roman" w:cs="Times New Roman"/>
          <w:color w:val="auto"/>
          <w:vertAlign w:val="superscript"/>
        </w:rPr>
        <w:t>3</w:t>
      </w:r>
      <w:r>
        <w:rPr>
          <w:rFonts w:hint="default" w:ascii="Times New Roman" w:hAnsi="Times New Roman" w:cs="Times New Roman"/>
          <w:color w:val="auto"/>
        </w:rPr>
        <w:t>、三级沉淀池有效容积1400m</w:t>
      </w:r>
      <w:r>
        <w:rPr>
          <w:rFonts w:hint="default" w:ascii="Times New Roman" w:hAnsi="Times New Roman" w:cs="Times New Roman"/>
          <w:color w:val="auto"/>
          <w:vertAlign w:val="superscript"/>
        </w:rPr>
        <w:t>3</w:t>
      </w:r>
      <w:r>
        <w:rPr>
          <w:rFonts w:hint="default" w:ascii="Times New Roman" w:hAnsi="Times New Roman" w:cs="Times New Roman"/>
          <w:color w:val="auto"/>
        </w:rPr>
        <w:t>，其中一级沉淀池设计水力停留时间为5.2h、二级沉淀池设计水力停留时间为5.2h，三级沉淀池设计水力停留时间为5h，处理能力280m</w:t>
      </w:r>
      <w:r>
        <w:rPr>
          <w:rFonts w:hint="default" w:ascii="Times New Roman" w:hAnsi="Times New Roman" w:cs="Times New Roman"/>
          <w:color w:val="auto"/>
          <w:vertAlign w:val="superscript"/>
        </w:rPr>
        <w:t>3</w:t>
      </w:r>
      <w:r>
        <w:rPr>
          <w:rFonts w:hint="default" w:ascii="Times New Roman" w:hAnsi="Times New Roman" w:cs="Times New Roman"/>
          <w:color w:val="auto"/>
        </w:rPr>
        <w:t>/h，处理工艺为絮凝+沉淀</w:t>
      </w:r>
      <w:r>
        <w:rPr>
          <w:rFonts w:hint="default" w:ascii="Times New Roman" w:hAnsi="Times New Roman" w:cs="Times New Roman"/>
          <w:color w:val="auto"/>
          <w:kern w:val="21"/>
          <w:szCs w:val="22"/>
        </w:rPr>
        <w:t>），选矿废水经絮凝沉淀后回用于生产</w:t>
      </w:r>
      <w:r>
        <w:rPr>
          <w:rFonts w:hint="default" w:ascii="Times New Roman" w:hAnsi="Times New Roman" w:cs="Times New Roman"/>
          <w:color w:val="auto"/>
          <w:kern w:val="21"/>
          <w:szCs w:val="24"/>
        </w:rPr>
        <w:t>。</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选矿废水采用絮凝沉淀法处理，絮凝沉淀法是目前应用最多的选矿废水处理方法，其处理的对象主要为选矿废水中呈胶体或微小悬浮状态存在的矿物颗粒等。在絮凝沉淀过程中，需要加入絮凝剂和聚凝剂，常见的絮凝剂有无机类的三硫酸铝、聚合氯化铝、氯化铁、硫酸亚铁以及有机类的高分子等，常见的聚凝剂有聚丙烯酰胺等。采用絮凝沉淀工艺处理选矿废水时，要通过试验确定絮凝剂、絮凝剂种类和用量、沉淀时间等参数，以保证投入药剂量适宜和获得最佳的处理效果。絮凝沉淀法处理选矿废水，工艺简单，效果稳定，由于其能够去除选矿废水中大量悬浮物，其在实践中的应用较多。选矿废水主要在浓缩脱水过程中产生，选厂采用以聚丙烯酰胺和聚合氯化铝为主要成分的高效絮凝剂絮凝沉淀处理选矿废水后回用于选矿，该方法能够获得较好较稳定的选矿指标。该方法在处理选矿废水上工艺成熟，从技术和长期有效性上分析是可行的。</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采用湿法选矿，球磨及浮选工序需要加入大量的水以便形成矿浆，废水产生环节为浓缩絮凝沉淀后的废水、脱水、压榨产生的废水，这部分废水中含有高浓度的SS，但根据本项目特性，项目破碎、球磨及浮选等环节对用水水质要求不高，其中絮凝沉淀处理后的浓缩桶上清液完全可直接回用于破碎、球磨及浮选等工序，且对选矿工艺不会产生大的影响；根据企业描述，项目浮选剂用途为选出锂精矿，选出过程中主要附着于锂精矿上，另尾矿可带走少部分浮选剂，只有少部分浮选药剂存在于循环水系统中，同时考虑循环水系统中存在浮选剂，建设单位后期浮选药剂添加量相比原投加量会相应减少，再根据项目浮选剂投加量与项目循环水量，水中浮选药剂浓度较小，故项目循环水系统中的浮选剂不会对项目回用水水质产生影响，对选矿工艺不会产生大的影响。</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参考《金川县业隆沟锂辉石矿尾水循环利用技术研究报告》（中国地质科学院矿产综合利用研究所，2017年2月），对选矿废水采用“絮凝沉淀”工艺，处理后回水水质情况见下表。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选矿回水的水质分析单位：mg/L</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1004"/>
        <w:gridCol w:w="1004"/>
        <w:gridCol w:w="1006"/>
        <w:gridCol w:w="1006"/>
        <w:gridCol w:w="1008"/>
        <w:gridCol w:w="1008"/>
        <w:gridCol w:w="1008"/>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项目</w:t>
            </w:r>
          </w:p>
        </w:tc>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Fe</w:t>
            </w:r>
            <w:r>
              <w:rPr>
                <w:rFonts w:hint="default" w:ascii="Times New Roman" w:hAnsi="Times New Roman" w:cs="Times New Roman"/>
                <w:color w:val="auto"/>
                <w:kern w:val="21"/>
                <w:sz w:val="21"/>
                <w:vertAlign w:val="superscript"/>
              </w:rPr>
              <w:t>2+</w:t>
            </w:r>
          </w:p>
        </w:tc>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Fe</w:t>
            </w:r>
            <w:r>
              <w:rPr>
                <w:rFonts w:hint="default" w:ascii="Times New Roman" w:hAnsi="Times New Roman" w:cs="Times New Roman"/>
                <w:color w:val="auto"/>
                <w:kern w:val="21"/>
                <w:sz w:val="21"/>
                <w:vertAlign w:val="superscript"/>
              </w:rPr>
              <w:t>3+</w:t>
            </w:r>
          </w:p>
        </w:tc>
        <w:tc>
          <w:tcPr>
            <w:tcW w:w="55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Al</w:t>
            </w:r>
            <w:r>
              <w:rPr>
                <w:rFonts w:hint="default" w:ascii="Times New Roman" w:hAnsi="Times New Roman" w:cs="Times New Roman"/>
                <w:color w:val="auto"/>
                <w:kern w:val="21"/>
                <w:sz w:val="21"/>
                <w:vertAlign w:val="superscript"/>
              </w:rPr>
              <w:t>3+</w:t>
            </w:r>
          </w:p>
        </w:tc>
        <w:tc>
          <w:tcPr>
            <w:tcW w:w="55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Ca</w:t>
            </w:r>
            <w:r>
              <w:rPr>
                <w:rFonts w:hint="default" w:ascii="Times New Roman" w:hAnsi="Times New Roman" w:cs="Times New Roman"/>
                <w:color w:val="auto"/>
                <w:kern w:val="21"/>
                <w:sz w:val="21"/>
                <w:vertAlign w:val="superscript"/>
              </w:rPr>
              <w:t>2+</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SO</w:t>
            </w:r>
            <w:r>
              <w:rPr>
                <w:rFonts w:hint="default" w:ascii="Times New Roman" w:hAnsi="Times New Roman" w:cs="Times New Roman"/>
                <w:color w:val="auto"/>
                <w:kern w:val="21"/>
                <w:sz w:val="21"/>
                <w:vertAlign w:val="subscript"/>
              </w:rPr>
              <w:t>4</w:t>
            </w:r>
            <w:r>
              <w:rPr>
                <w:rFonts w:hint="default" w:ascii="Times New Roman" w:hAnsi="Times New Roman" w:cs="Times New Roman"/>
                <w:color w:val="auto"/>
                <w:kern w:val="21"/>
                <w:sz w:val="21"/>
                <w:vertAlign w:val="superscript"/>
              </w:rPr>
              <w:t>2-</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Cl</w:t>
            </w:r>
            <w:r>
              <w:rPr>
                <w:rFonts w:hint="default" w:ascii="Times New Roman" w:hAnsi="Times New Roman" w:cs="Times New Roman"/>
                <w:color w:val="auto"/>
                <w:kern w:val="21"/>
                <w:sz w:val="21"/>
                <w:vertAlign w:val="superscript"/>
              </w:rPr>
              <w:t>-</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Cu</w:t>
            </w:r>
            <w:r>
              <w:rPr>
                <w:rFonts w:hint="default" w:ascii="Times New Roman" w:hAnsi="Times New Roman" w:cs="Times New Roman"/>
                <w:color w:val="auto"/>
                <w:kern w:val="21"/>
                <w:sz w:val="21"/>
                <w:vertAlign w:val="superscript"/>
              </w:rPr>
              <w:t>2+</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Pb</w:t>
            </w:r>
            <w:r>
              <w:rPr>
                <w:rFonts w:hint="default" w:ascii="Times New Roman" w:hAnsi="Times New Roman" w:cs="Times New Roman"/>
                <w:color w:val="auto"/>
                <w:kern w:val="21"/>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浓度</w:t>
            </w:r>
          </w:p>
        </w:tc>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＜0.05</w:t>
            </w:r>
          </w:p>
        </w:tc>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0.058</w:t>
            </w:r>
          </w:p>
        </w:tc>
        <w:tc>
          <w:tcPr>
            <w:tcW w:w="55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＜0.05</w:t>
            </w:r>
          </w:p>
        </w:tc>
        <w:tc>
          <w:tcPr>
            <w:tcW w:w="55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2.2</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15.0</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45.3</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＜0.05</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项目</w:t>
            </w:r>
          </w:p>
        </w:tc>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Zn</w:t>
            </w:r>
            <w:r>
              <w:rPr>
                <w:rFonts w:hint="default" w:ascii="Times New Roman" w:hAnsi="Times New Roman" w:cs="Times New Roman"/>
                <w:color w:val="auto"/>
                <w:kern w:val="21"/>
                <w:sz w:val="21"/>
                <w:vertAlign w:val="superscript"/>
              </w:rPr>
              <w:t>2+</w:t>
            </w:r>
          </w:p>
        </w:tc>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Cd</w:t>
            </w:r>
            <w:r>
              <w:rPr>
                <w:rFonts w:hint="default" w:ascii="Times New Roman" w:hAnsi="Times New Roman" w:cs="Times New Roman"/>
                <w:color w:val="auto"/>
                <w:kern w:val="21"/>
                <w:sz w:val="21"/>
                <w:vertAlign w:val="superscript"/>
              </w:rPr>
              <w:t>2+</w:t>
            </w:r>
          </w:p>
        </w:tc>
        <w:tc>
          <w:tcPr>
            <w:tcW w:w="55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Cr</w:t>
            </w:r>
            <w:r>
              <w:rPr>
                <w:rFonts w:hint="default" w:ascii="Times New Roman" w:hAnsi="Times New Roman" w:cs="Times New Roman"/>
                <w:color w:val="auto"/>
                <w:kern w:val="21"/>
                <w:sz w:val="21"/>
                <w:vertAlign w:val="superscript"/>
              </w:rPr>
              <w:t>6+</w:t>
            </w:r>
          </w:p>
        </w:tc>
        <w:tc>
          <w:tcPr>
            <w:tcW w:w="55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As*</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Hg*</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氟化物</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SS</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浓度</w:t>
            </w:r>
          </w:p>
        </w:tc>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＜0.01</w:t>
            </w:r>
          </w:p>
        </w:tc>
        <w:tc>
          <w:tcPr>
            <w:tcW w:w="55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＜0.01</w:t>
            </w:r>
          </w:p>
        </w:tc>
        <w:tc>
          <w:tcPr>
            <w:tcW w:w="55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＜0.05</w:t>
            </w:r>
          </w:p>
        </w:tc>
        <w:tc>
          <w:tcPr>
            <w:tcW w:w="55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＜1.0</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＜0.1</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4.52</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7.0</w:t>
            </w:r>
          </w:p>
        </w:tc>
        <w:tc>
          <w:tcPr>
            <w:tcW w:w="55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5.68</w:t>
            </w:r>
          </w:p>
        </w:tc>
      </w:tr>
    </w:tbl>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注：As和Hg的单位为μg/L。</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由上表回水的水质分析结果可知，回水中的重金属离子含量均为未检出，引入离子Fe</w:t>
      </w:r>
      <w:r>
        <w:rPr>
          <w:rFonts w:hint="default" w:ascii="Times New Roman" w:hAnsi="Times New Roman" w:cs="Times New Roman"/>
          <w:color w:val="auto"/>
          <w:kern w:val="21"/>
          <w:szCs w:val="24"/>
          <w:vertAlign w:val="superscript"/>
        </w:rPr>
        <w:t>2+</w:t>
      </w:r>
      <w:r>
        <w:rPr>
          <w:rFonts w:hint="default" w:ascii="Times New Roman" w:hAnsi="Times New Roman" w:cs="Times New Roman"/>
          <w:color w:val="auto"/>
          <w:kern w:val="21"/>
          <w:szCs w:val="24"/>
        </w:rPr>
        <w:t>/Fe</w:t>
      </w:r>
      <w:r>
        <w:rPr>
          <w:rFonts w:hint="default" w:ascii="Times New Roman" w:hAnsi="Times New Roman" w:cs="Times New Roman"/>
          <w:color w:val="auto"/>
          <w:kern w:val="21"/>
          <w:szCs w:val="24"/>
          <w:vertAlign w:val="superscript"/>
        </w:rPr>
        <w:t>3+</w:t>
      </w:r>
      <w:r>
        <w:rPr>
          <w:rFonts w:hint="default" w:ascii="Times New Roman" w:hAnsi="Times New Roman" w:cs="Times New Roman"/>
          <w:color w:val="auto"/>
          <w:kern w:val="21"/>
          <w:szCs w:val="24"/>
        </w:rPr>
        <w:t>＜0.1mg/L，Al</w:t>
      </w:r>
      <w:r>
        <w:rPr>
          <w:rFonts w:hint="default" w:ascii="Times New Roman" w:hAnsi="Times New Roman" w:cs="Times New Roman"/>
          <w:color w:val="auto"/>
          <w:kern w:val="21"/>
          <w:szCs w:val="24"/>
          <w:vertAlign w:val="superscript"/>
        </w:rPr>
        <w:t>3+</w:t>
      </w:r>
      <w:r>
        <w:rPr>
          <w:rFonts w:hint="default" w:ascii="Times New Roman" w:hAnsi="Times New Roman" w:cs="Times New Roman"/>
          <w:color w:val="auto"/>
          <w:kern w:val="21"/>
          <w:szCs w:val="24"/>
        </w:rPr>
        <w:t>离子含量＜0.05mg/L，Ca</w:t>
      </w:r>
      <w:r>
        <w:rPr>
          <w:rFonts w:hint="default" w:ascii="Times New Roman" w:hAnsi="Times New Roman" w:cs="Times New Roman"/>
          <w:color w:val="auto"/>
          <w:kern w:val="21"/>
          <w:szCs w:val="24"/>
          <w:vertAlign w:val="superscript"/>
        </w:rPr>
        <w:t>2+</w:t>
      </w:r>
      <w:r>
        <w:rPr>
          <w:rFonts w:hint="default" w:ascii="Times New Roman" w:hAnsi="Times New Roman" w:cs="Times New Roman"/>
          <w:color w:val="auto"/>
          <w:kern w:val="21"/>
          <w:szCs w:val="24"/>
        </w:rPr>
        <w:t>离子含量仅为2.2mg/L，该回水返回利用较理想。本项目为锂矿</w:t>
      </w:r>
      <w:r>
        <w:rPr>
          <w:rFonts w:hint="eastAsia" w:cs="Times New Roman"/>
          <w:color w:val="auto"/>
          <w:kern w:val="21"/>
          <w:szCs w:val="24"/>
          <w:lang w:eastAsia="zh-CN"/>
        </w:rPr>
        <w:t>采选</w:t>
      </w:r>
      <w:r>
        <w:rPr>
          <w:rFonts w:hint="default" w:ascii="Times New Roman" w:hAnsi="Times New Roman" w:cs="Times New Roman"/>
          <w:color w:val="auto"/>
          <w:kern w:val="21"/>
          <w:szCs w:val="24"/>
        </w:rPr>
        <w:t>项目，选矿废水水质类比该研究报告可行。因此，本项目仅絮凝沉淀后的选矿废水回用于选矿可行。</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本项目单级沉淀水池有效容积为350m</w:t>
      </w:r>
      <w:r>
        <w:rPr>
          <w:rFonts w:hint="default" w:ascii="Times New Roman" w:hAnsi="Times New Roman" w:cs="Times New Roman"/>
          <w:color w:val="auto"/>
          <w:kern w:val="21"/>
          <w:szCs w:val="24"/>
          <w:vertAlign w:val="superscript"/>
        </w:rPr>
        <w:t>3</w:t>
      </w:r>
      <w:r>
        <w:rPr>
          <w:rFonts w:hint="default" w:ascii="Times New Roman" w:hAnsi="Times New Roman" w:cs="Times New Roman"/>
          <w:color w:val="auto"/>
          <w:kern w:val="21"/>
          <w:szCs w:val="24"/>
        </w:rPr>
        <w:t>，进入循环沉淀水池的循环水量为</w:t>
      </w:r>
      <w:r>
        <w:rPr>
          <w:rFonts w:hint="default" w:ascii="Times New Roman" w:hAnsi="Times New Roman" w:cs="Times New Roman"/>
          <w:color w:val="auto"/>
          <w:kern w:val="21"/>
          <w:szCs w:val="22"/>
        </w:rPr>
        <w:t>1734.48m</w:t>
      </w:r>
      <w:r>
        <w:rPr>
          <w:rFonts w:hint="default" w:ascii="Times New Roman" w:hAnsi="Times New Roman" w:cs="Times New Roman"/>
          <w:color w:val="auto"/>
          <w:kern w:val="21"/>
          <w:szCs w:val="22"/>
          <w:vertAlign w:val="superscript"/>
        </w:rPr>
        <w:t>3</w:t>
      </w:r>
      <w:r>
        <w:rPr>
          <w:rFonts w:hint="default" w:ascii="Times New Roman" w:hAnsi="Times New Roman" w:cs="Times New Roman"/>
          <w:color w:val="auto"/>
          <w:kern w:val="21"/>
          <w:szCs w:val="22"/>
        </w:rPr>
        <w:t>/d，</w:t>
      </w:r>
      <w:r>
        <w:rPr>
          <w:rFonts w:hint="default" w:ascii="Times New Roman" w:hAnsi="Times New Roman" w:cs="Times New Roman"/>
          <w:color w:val="auto"/>
          <w:kern w:val="21"/>
          <w:szCs w:val="24"/>
        </w:rPr>
        <w:t>单级循环沉淀水池水力停留时间为3.5h，具有足够的废水停留时间，废水经循环沉淀水池沉淀后，上清液排放至清水池，措施可行。</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综上，项目选矿废水治理措施可行，选矿废水循环使用可行。</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工艺废水零排放的可行性分析：</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①本项目在实际运营过程中应加强对各种废水处理设施的运行管理，一旦发现隐患应当及时报告和排除，当出现废水事故排放时，立即停产将废水抽送至事故应急池，组织人力抢修，排除故障，避免废水事故外排；</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②本项目各个池子的输水泵及清水池的回水泵均为“一开一备”，一旦水泵出现损坏，立即启用备用水泵，确保各个水池不因水泵损坏而溢流；</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③本项目各废水收集池均为钢混结构，地下式，具有足够的稳固性，不易垮塌；雨季加强对废水沉淀池的巡检，若发生开裂变形需及时加固维修。</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④经常检查排洪设施，如排洪斜槽、涵洞、溢水塔、排水明沟等，有无变形、位移、损毁、淤堵、裂缝、渗漏；进水口水面有无漂浮物等。选厂应对制定的相应防洪防汛事故应急救援预案，并定期进行演练，备足应急物资。防止废水收集池泄漏导致废水外排。</w:t>
      </w:r>
    </w:p>
    <w:p>
      <w:pPr>
        <w:overflowPunct w:val="0"/>
        <w:adjustRightInd w:val="0"/>
        <w:ind w:firstLine="482"/>
        <w:rPr>
          <w:rFonts w:hint="default" w:ascii="Times New Roman" w:hAnsi="Times New Roman" w:cs="Times New Roman"/>
          <w:b/>
          <w:color w:val="auto"/>
          <w:kern w:val="21"/>
          <w:szCs w:val="22"/>
        </w:rPr>
      </w:pPr>
      <w:r>
        <w:rPr>
          <w:rFonts w:hint="default" w:ascii="Times New Roman" w:hAnsi="Times New Roman" w:cs="Times New Roman"/>
          <w:b/>
          <w:color w:val="auto"/>
          <w:kern w:val="21"/>
          <w:szCs w:val="22"/>
        </w:rPr>
        <w:t>（2）生活污水治理措施可行性</w:t>
      </w:r>
    </w:p>
    <w:p>
      <w:pPr>
        <w:overflowPunct w:val="0"/>
        <w:adjustRightInd w:val="0"/>
        <w:ind w:firstLine="480"/>
        <w:rPr>
          <w:rFonts w:hint="default" w:ascii="Times New Roman" w:hAnsi="Times New Roman" w:cs="Times New Roman"/>
          <w:bCs/>
          <w:color w:val="auto"/>
          <w:kern w:val="21"/>
          <w:szCs w:val="22"/>
        </w:rPr>
      </w:pPr>
      <w:r>
        <w:rPr>
          <w:rFonts w:hint="default" w:ascii="Times New Roman" w:hAnsi="Times New Roman" w:cs="Times New Roman"/>
          <w:bCs/>
          <w:color w:val="auto"/>
          <w:kern w:val="21"/>
          <w:szCs w:val="22"/>
        </w:rPr>
        <w:t>本项目运营期仅生活污水外排，生活污水预处理后达“乐山沙湾经济开发区污水处理厂设计进水水质标准”后，排入乐山沙湾经济开发区污水处理厂。《排污许可证申请与核发技术规范总则》（HJ942-2018）未明确生活污水可行性技术。本项目生活污水产生量9.52m</w:t>
      </w:r>
      <w:r>
        <w:rPr>
          <w:rFonts w:hint="default" w:ascii="Times New Roman" w:hAnsi="Times New Roman" w:cs="Times New Roman"/>
          <w:bCs/>
          <w:color w:val="auto"/>
          <w:kern w:val="21"/>
          <w:szCs w:val="22"/>
          <w:vertAlign w:val="superscript"/>
        </w:rPr>
        <w:t>3</w:t>
      </w:r>
      <w:r>
        <w:rPr>
          <w:rFonts w:hint="default" w:ascii="Times New Roman" w:hAnsi="Times New Roman" w:cs="Times New Roman"/>
          <w:bCs/>
          <w:color w:val="auto"/>
          <w:kern w:val="21"/>
          <w:szCs w:val="22"/>
        </w:rPr>
        <w:t>/d，可生化性较强。本项目生活污水经预处理池预处理后的水质可稳定达到“乐山沙湾经济开发区污水处理厂设计进水水质标准”，生活污水预处理措施可行。</w:t>
      </w:r>
    </w:p>
    <w:p>
      <w:pPr>
        <w:overflowPunct w:val="0"/>
        <w:adjustRightInd w:val="0"/>
        <w:ind w:firstLine="482"/>
        <w:rPr>
          <w:rFonts w:hint="default" w:ascii="Times New Roman" w:hAnsi="Times New Roman" w:cs="Times New Roman"/>
          <w:color w:val="auto"/>
          <w:kern w:val="21"/>
          <w:szCs w:val="32"/>
        </w:rPr>
      </w:pPr>
      <w:r>
        <w:rPr>
          <w:rFonts w:hint="default" w:ascii="Times New Roman" w:hAnsi="Times New Roman" w:cs="Times New Roman"/>
          <w:b/>
          <w:color w:val="auto"/>
          <w:kern w:val="21"/>
          <w:szCs w:val="32"/>
        </w:rPr>
        <w:t>乐山沙湾经济开发区污水处理厂简介：</w:t>
      </w:r>
      <w:r>
        <w:rPr>
          <w:rFonts w:hint="default" w:ascii="Times New Roman" w:hAnsi="Times New Roman" w:cs="Times New Roman"/>
          <w:color w:val="auto"/>
          <w:kern w:val="21"/>
          <w:szCs w:val="32"/>
        </w:rPr>
        <w:t>乐山沙湾经济开发区污水处理厂建于乐山市沙湾区嘉农镇（乐山（沙湾）不锈钢产业园区内），占地面积约28065m</w:t>
      </w:r>
      <w:r>
        <w:rPr>
          <w:rFonts w:hint="default" w:ascii="Times New Roman" w:hAnsi="Times New Roman" w:cs="Times New Roman"/>
          <w:color w:val="auto"/>
          <w:kern w:val="21"/>
          <w:szCs w:val="32"/>
          <w:vertAlign w:val="superscript"/>
        </w:rPr>
        <w:t>2</w:t>
      </w:r>
      <w:r>
        <w:rPr>
          <w:rFonts w:hint="default" w:ascii="Times New Roman" w:hAnsi="Times New Roman" w:cs="Times New Roman"/>
          <w:color w:val="auto"/>
          <w:kern w:val="21"/>
          <w:szCs w:val="32"/>
        </w:rPr>
        <w:t>，服务范围为沙湾不锈钢产业园区工业废水及嘉农社区、嘉华、燎原村、新兴村、王场村等居民的生活污水。尾水最终汇入大渡河。污水处理厂采用“预处理+物化处理+A</w:t>
      </w:r>
      <w:r>
        <w:rPr>
          <w:rFonts w:hint="default" w:ascii="Times New Roman" w:hAnsi="Times New Roman" w:cs="Times New Roman"/>
          <w:color w:val="auto"/>
          <w:kern w:val="21"/>
          <w:szCs w:val="32"/>
          <w:vertAlign w:val="superscript"/>
        </w:rPr>
        <w:t>2</w:t>
      </w:r>
      <w:r>
        <w:rPr>
          <w:rFonts w:hint="default" w:ascii="Times New Roman" w:hAnsi="Times New Roman" w:cs="Times New Roman"/>
          <w:color w:val="auto"/>
          <w:kern w:val="21"/>
          <w:szCs w:val="32"/>
        </w:rPr>
        <w:t>O/AO处理+深度处理”工艺，出水水质执行《四川省岷江、沱江流域水污染物排放标准》（DB51/2311-2016）表1中的工业园区集中式污水处理厂排放限值，表1中未列入的污染物，执行《城镇污水处理厂污染物排放标准》（GB18918-2002）中的一级A标准。目前，已建成规模为10000立方米/日。根据其验收报告，乐山沙湾经济开发区污水处理厂为80%（处理规模为8000立方米/日）。</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32"/>
        </w:rPr>
        <w:t>本项目拟建于乐山（沙湾）不锈钢产业园区内，位于乐山沙湾经济开发区污水处理厂服务范围，且本项目废水排放量为9.52m</w:t>
      </w:r>
      <w:r>
        <w:rPr>
          <w:rFonts w:hint="default" w:ascii="Times New Roman" w:hAnsi="Times New Roman" w:cs="Times New Roman"/>
          <w:color w:val="auto"/>
          <w:kern w:val="21"/>
          <w:szCs w:val="32"/>
          <w:vertAlign w:val="superscript"/>
        </w:rPr>
        <w:t>3</w:t>
      </w:r>
      <w:r>
        <w:rPr>
          <w:rFonts w:hint="default" w:ascii="Times New Roman" w:hAnsi="Times New Roman" w:cs="Times New Roman"/>
          <w:color w:val="auto"/>
          <w:kern w:val="21"/>
          <w:szCs w:val="32"/>
        </w:rPr>
        <w:t>/d，乐山沙湾经济开发区污水处理厂有能力接收并处理本项目生活污水。</w:t>
      </w:r>
    </w:p>
    <w:p>
      <w:pPr>
        <w:pStyle w:val="4"/>
        <w:adjustRightInd w:val="0"/>
        <w:rPr>
          <w:rFonts w:hint="default" w:ascii="Times New Roman" w:hAnsi="Times New Roman" w:cs="Times New Roman"/>
          <w:color w:val="auto"/>
        </w:rPr>
      </w:pPr>
      <w:bookmarkStart w:id="271" w:name="_Toc2546"/>
      <w:bookmarkStart w:id="272" w:name="_Toc15799"/>
      <w:bookmarkStart w:id="273" w:name="_Toc16581"/>
      <w:r>
        <w:rPr>
          <w:rFonts w:hint="default" w:ascii="Times New Roman" w:hAnsi="Times New Roman" w:cs="Times New Roman"/>
          <w:color w:val="auto"/>
        </w:rPr>
        <w:t>噪声污染控制措施论证</w:t>
      </w:r>
      <w:bookmarkEnd w:id="271"/>
      <w:bookmarkEnd w:id="272"/>
      <w:bookmarkEnd w:id="273"/>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主要噪声源为设备运行时产生的噪声。这些设备噪声防治原则应首先考虑选用低噪声设备，其次是采用消声、减震和使用隔声罩等措施，降低其噪声对周围环境的影响。为增强噪声防治效果，建议采用如下措施：</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（1）从声源上降噪</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根据本项目噪声源特征，建议在设计和设备采购阶段，在满足工艺设计的前提下，优先选用低噪声、低振动型号的设备，如低噪的设备、各种泵等，从而从声源上降低设备本身的噪声。</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为防止振动产生的噪声污染，本项目各类泵、风机均设置单独基础，并加设减振垫，以防止振动产生噪声。各种泵的进、出口均采用减振软接头，以减少泵的振动和噪声经管道传播。</w:t>
      </w:r>
    </w:p>
    <w:p>
      <w:pPr>
        <w:adjustRightInd w:val="0"/>
        <w:ind w:firstLine="482"/>
        <w:rPr>
          <w:rFonts w:hint="default" w:ascii="Times New Roman" w:hAnsi="Times New Roman" w:cs="Times New Roman"/>
          <w:b/>
          <w:bCs/>
          <w:color w:val="auto"/>
        </w:rPr>
      </w:pPr>
      <w:r>
        <w:rPr>
          <w:rFonts w:hint="default" w:ascii="Times New Roman" w:hAnsi="Times New Roman" w:cs="Times New Roman"/>
          <w:b/>
          <w:bCs/>
          <w:color w:val="auto"/>
        </w:rPr>
        <w:t>（2）从传播途径上降噪</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车间通风、空调和排气系统的综合降噪措施：除选择低噪声设备外，在安装上注意到风机本身应带减振底座，安装位置具有减振台基础，主排风管在风气出口要配置消声器，排风管道进出口加柔性软接头。对于设置在屋顶的风机或排气口考虑加设风机隔声罩，以降低风机噪声对周围环境的影响。设备之间应保持相应的间距，避免噪声叠加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建筑物隔声：本项目所有生产设备均在车间内，按照《隔声窗》（HJ/T17-1996）标准，车间隔声窗的隔声量大于25dB（A）。</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当然安装在房屋上后由于受到墙体本身存在孔隙等隔声薄弱环节的牵制，实际隔声效果要相应标准降低，但通过建筑物封闭隔声措施并在房屋内壁铺设吸声材料，应至少可以降低噪声20dB（A）以上。</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（3）合理布局</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建议将主要高噪声生产设备布置在厂区中部。采用“闹静分开”和合理布局的设置原则，尽量将高噪声源远离噪声敏感区域或厂界。在车间、厂区周围建设一定高度的隔声屏障，如围墙，减少对车间外或厂区外声环境的影响。</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（4）加强管理</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平时加强对各噪声设备的保养、检修与润滑，保证设备良好运转，减轻运行噪声强度，杜绝因设备不正常运转时产生的高噪声现象。在厂界四周设置尽可能宽的绿化带，同时做好对运输车辆的管理和维护。本项目建成后，机动车辆在项目内行驶距离短，采用规范行车路线、限速、禁鸣等防噪措施后，不会对周围环境造成噪声影响。定期对各车间工人发放耳塞和耳帽等物品进行佩戴，以减轻各设备噪声对车间工人的影响。</w:t>
      </w:r>
    </w:p>
    <w:p>
      <w:pPr>
        <w:overflowPunct w:val="0"/>
        <w:adjustRightInd w:val="0"/>
        <w:ind w:firstLine="482"/>
        <w:rPr>
          <w:rFonts w:hint="default" w:ascii="Times New Roman" w:hAnsi="Times New Roman" w:cs="Times New Roman"/>
          <w:color w:val="auto"/>
          <w:kern w:val="21"/>
          <w:szCs w:val="22"/>
        </w:rPr>
      </w:pPr>
      <w:r>
        <w:rPr>
          <w:rFonts w:hint="default" w:ascii="Times New Roman" w:hAnsi="Times New Roman" w:cs="Times New Roman"/>
          <w:b/>
          <w:color w:val="auto"/>
          <w:kern w:val="21"/>
          <w:szCs w:val="22"/>
        </w:rPr>
        <w:t>综上所述，本项目采取的降噪措施是国内通常采用的有效措施，措施是可行的。</w:t>
      </w:r>
    </w:p>
    <w:p>
      <w:pPr>
        <w:pStyle w:val="4"/>
        <w:adjustRightInd w:val="0"/>
        <w:rPr>
          <w:rFonts w:hint="default" w:ascii="Times New Roman" w:hAnsi="Times New Roman" w:cs="Times New Roman"/>
          <w:color w:val="auto"/>
        </w:rPr>
      </w:pPr>
      <w:bookmarkStart w:id="274" w:name="_Toc32739"/>
      <w:bookmarkStart w:id="275" w:name="_Toc2159"/>
      <w:bookmarkStart w:id="276" w:name="_Toc7911"/>
      <w:bookmarkStart w:id="277" w:name="_Toc29593"/>
      <w:r>
        <w:rPr>
          <w:rFonts w:hint="default" w:ascii="Times New Roman" w:hAnsi="Times New Roman" w:cs="Times New Roman"/>
          <w:color w:val="auto"/>
        </w:rPr>
        <w:t>固体废物处置措施及可行性分析</w:t>
      </w:r>
      <w:bookmarkEnd w:id="274"/>
      <w:bookmarkEnd w:id="275"/>
      <w:bookmarkEnd w:id="276"/>
      <w:bookmarkEnd w:id="277"/>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运营期产生的固体废物分为一般固废、危险废物，其中一般固废主要为尾矿、尾砂、黑砂、沉淀池沉渣、废滤袋、废布袋、布袋收尘、生活垃圾；危险废物主要为废机油、废机油桶、含油抹布及手套、废氢氧化钠包装袋、废碳酸钠包装袋、废氯化镁包装袋、废捕收剂桶。</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一、一般固废暂存处置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尾矿、尾砂、黑砂暂存于尾矿仓库，外售陶瓷生产厂家综合利用；废滤袋、废布袋由供货厂家回收；布袋收尘回用于生产；沉淀池沉砂暂存于一般固废间，回用于生产；废包装材料定期外售废品回收站。</w:t>
      </w:r>
    </w:p>
    <w:p>
      <w:pPr>
        <w:overflowPunct w:val="0"/>
        <w:adjustRightInd w:val="0"/>
        <w:ind w:firstLine="482"/>
        <w:rPr>
          <w:rFonts w:hint="default" w:ascii="Times New Roman" w:hAnsi="Times New Roman" w:cs="Times New Roman"/>
          <w:color w:val="auto"/>
          <w:kern w:val="21"/>
          <w:szCs w:val="24"/>
        </w:rPr>
      </w:pPr>
      <w:r>
        <w:rPr>
          <w:rFonts w:hint="default" w:ascii="Times New Roman" w:hAnsi="Times New Roman" w:cs="Times New Roman"/>
          <w:b/>
          <w:bCs/>
          <w:color w:val="auto"/>
          <w:kern w:val="21"/>
          <w:szCs w:val="24"/>
        </w:rPr>
        <w:t>二、危废处置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本项目产生的危险废物（废机油、废机油桶、含油抹布及手套、废氢氧化钠包装袋、废碳酸钠包装袋、废氯化镁包装袋、废捕收剂桶等）</w:t>
      </w:r>
      <w:r>
        <w:rPr>
          <w:rFonts w:hint="default" w:ascii="Times New Roman" w:hAnsi="Times New Roman" w:cs="Times New Roman"/>
          <w:color w:val="auto"/>
          <w:kern w:val="21"/>
          <w:szCs w:val="22"/>
        </w:rPr>
        <w:t>分类收集暂存厂区设置的危废暂存间，定期交有资质单位处置。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经采取以上措施，项目建成后，所产生的固废均得到妥善处置，不会带来二次污染，项目固废排放对周围环境影响不明显。</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三、危废暂存区</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项目拟在项目北侧设置1处占地面积约50m</w:t>
      </w:r>
      <w:r>
        <w:rPr>
          <w:rFonts w:hint="default" w:ascii="Times New Roman" w:hAnsi="Times New Roman" w:cs="Times New Roman"/>
          <w:color w:val="auto"/>
          <w:kern w:val="21"/>
          <w:szCs w:val="24"/>
          <w:vertAlign w:val="superscript"/>
        </w:rPr>
        <w:t>2</w:t>
      </w:r>
      <w:r>
        <w:rPr>
          <w:rFonts w:hint="default" w:ascii="Times New Roman" w:hAnsi="Times New Roman" w:cs="Times New Roman"/>
          <w:color w:val="auto"/>
          <w:kern w:val="21"/>
          <w:szCs w:val="24"/>
        </w:rPr>
        <w:t>的危险废物暂存间，专门用于分类暂存本项目产生的废机油、废机油桶、含油抹布及手套、废氢氧化钠包装袋、废碳酸钠包装袋、废氯化镁包装袋、废捕收剂桶等危险废物。</w:t>
      </w:r>
    </w:p>
    <w:p>
      <w:pPr>
        <w:overflowPunct w:val="0"/>
        <w:adjustRightInd w:val="0"/>
        <w:ind w:firstLine="482"/>
        <w:rPr>
          <w:rFonts w:hint="default" w:ascii="Times New Roman" w:hAnsi="Times New Roman" w:cs="Times New Roman"/>
          <w:color w:val="auto"/>
          <w:kern w:val="21"/>
          <w:szCs w:val="24"/>
        </w:rPr>
      </w:pPr>
      <w:r>
        <w:rPr>
          <w:rFonts w:hint="default" w:ascii="Times New Roman" w:hAnsi="Times New Roman" w:cs="Times New Roman"/>
          <w:b/>
          <w:bCs/>
          <w:color w:val="auto"/>
          <w:kern w:val="21"/>
          <w:szCs w:val="24"/>
        </w:rPr>
        <w:t>（1）贮存场所</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危废暂存场地的设置应按《危险废物贮存污染控制标准》（GB18597-2023）等要求设置，设置标志牌，地面与裙角均采用防渗材料建造。危险暂存区要做到“六防”（防风、防雨、防晒、防漏、防渗、防腐）。车间内的危废暂存间做到以上措施后，危险废物不会对区域环境造成影响。</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（2）运输</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危险废物定期用专用运输车辆分类外运至有相关处理资质的处置单位进行处理。危险废物处置公司将委派专人负责，各种废弃物的储存容器都有很好的密封性，安全可靠，不会受到风雨侵蚀，可有效地防止临时存放过程中的二次污染。</w:t>
      </w:r>
    </w:p>
    <w:p>
      <w:pPr>
        <w:overflowPunct w:val="0"/>
        <w:adjustRightInd w:val="0"/>
        <w:ind w:firstLine="482"/>
        <w:rPr>
          <w:rFonts w:hint="default" w:ascii="Times New Roman" w:hAnsi="Times New Roman" w:cs="Times New Roman"/>
          <w:color w:val="auto"/>
          <w:kern w:val="21"/>
          <w:szCs w:val="24"/>
        </w:rPr>
      </w:pPr>
      <w:r>
        <w:rPr>
          <w:rFonts w:hint="default" w:ascii="Times New Roman" w:hAnsi="Times New Roman" w:cs="Times New Roman"/>
          <w:b/>
          <w:bCs/>
          <w:color w:val="auto"/>
          <w:kern w:val="21"/>
          <w:szCs w:val="24"/>
        </w:rPr>
        <w:t>（3）日常管理要求</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A.加强废包装容器的运输及使用，避免“跑冒滴漏”。制定操作规范，严格管理机制，加强职工的宣传教育。</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B.危险暂存区要做到“六防”（防风、防雨、防晒、防漏、防渗、防腐）。收集装于密闭的包装容器，包装容器应选用与装盛物相容的材料制成，容器或包装袋表面应粘贴危险废物标识，禁止将一般工业固体废物和生活垃圾混合其内。</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C.贮存区地面与裙脚要用坚固、防渗的材料建造，建筑材料必须与危险废物相容，建议采用环氧树脂地坪或玻璃钢。</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D.不相容的危险废物必须分开存放，并设有隔离间隔断。</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E.危险废物贮存设施必须按GB15562.2的规定设置警示标志。</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F.建立危险废物台账管理，危险废物转移应按照转移联单登记制度进行。</w:t>
      </w:r>
    </w:p>
    <w:p>
      <w:pPr>
        <w:overflowPunct w:val="0"/>
        <w:adjustRightInd w:val="0"/>
        <w:ind w:firstLine="480"/>
        <w:rPr>
          <w:rFonts w:hint="default" w:ascii="Times New Roman" w:hAnsi="Times New Roman" w:cs="Times New Roman"/>
          <w:bCs/>
          <w:color w:val="auto"/>
          <w:kern w:val="21"/>
          <w:szCs w:val="22"/>
        </w:rPr>
      </w:pPr>
      <w:r>
        <w:rPr>
          <w:rFonts w:hint="default" w:ascii="Times New Roman" w:hAnsi="Times New Roman" w:cs="Times New Roman"/>
          <w:color w:val="auto"/>
          <w:kern w:val="21"/>
          <w:szCs w:val="24"/>
        </w:rPr>
        <w:t>G.根据企业运行情况定期转移危险废物，贮存期限一般不超过1年，超过1年需补办延期转移批复。</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bCs/>
          <w:color w:val="auto"/>
          <w:kern w:val="21"/>
          <w:szCs w:val="22"/>
        </w:rPr>
        <w:t>本项目固体废物均根据不同的性质、种类采取了不同的处置方式，处置去向明确，可有效防止固体废物的逸散和对环境的二次污染，不会对周围环境造成影响。因此，项目固废处置措施技术、经济合理可行</w:t>
      </w:r>
      <w:r>
        <w:rPr>
          <w:rFonts w:hint="default" w:ascii="Times New Roman" w:hAnsi="Times New Roman" w:cs="Times New Roman"/>
          <w:color w:val="auto"/>
          <w:kern w:val="21"/>
          <w:szCs w:val="22"/>
        </w:rPr>
        <w:t>。</w:t>
      </w:r>
    </w:p>
    <w:p>
      <w:pPr>
        <w:pStyle w:val="4"/>
        <w:adjustRightInd w:val="0"/>
        <w:rPr>
          <w:rFonts w:hint="default" w:ascii="Times New Roman" w:hAnsi="Times New Roman" w:cs="Times New Roman"/>
          <w:color w:val="auto"/>
        </w:rPr>
      </w:pPr>
      <w:bookmarkStart w:id="278" w:name="_Toc20642"/>
      <w:bookmarkStart w:id="279" w:name="_Toc27676"/>
      <w:bookmarkStart w:id="280" w:name="_Toc260"/>
      <w:bookmarkStart w:id="281" w:name="_Toc7567"/>
      <w:r>
        <w:rPr>
          <w:rFonts w:hint="default" w:ascii="Times New Roman" w:hAnsi="Times New Roman" w:cs="Times New Roman"/>
          <w:color w:val="auto"/>
        </w:rPr>
        <w:t>地下水污染防治措施及可行性分析</w:t>
      </w:r>
      <w:bookmarkEnd w:id="278"/>
      <w:bookmarkEnd w:id="279"/>
      <w:bookmarkEnd w:id="280"/>
      <w:bookmarkEnd w:id="281"/>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针对厂区可能发生的地下水污染，地下水污染防治措施应按照“源头控制、末端防治、污染监控、应急响应”相结合的原则，从污染物的产生、入渗、扩散、应急响应全阶段进行控制。本厂区应以主动防渗漏措施为主，被动防渗漏措施为辅，人工防渗措施和自然防渗条件保护相结合，防止地下水受到污染。</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①防渗方案设计非污染区不进行防渗处理，只进行水泥硬化；重点污染源除了水泥铺设外，还应采取其他措施进行防渗处理。</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②工程防渗措施本项目针对不同生产环节的污染防治要求有针对性的采取不同的防渗工程措施。</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③防渗防腐施工管理混凝土施工过程中要特别加强含水量、施工缝密实质的质量控制，在回填时注意按规范施工、配比、错层设置，加强养护管理，及时取样检验压路机碾压或夯实密度，若有问题及时整改。在项目运营时，加强现场巡查，下雨地面水量较大时，重点检查有无渗漏情况，若发现问题，及时分析原因，找到渗漏点制定整改措施，尽快修补，确保防腐防渗层的完整性。</w:t>
      </w:r>
    </w:p>
    <w:p>
      <w:pPr>
        <w:overflowPunct w:val="0"/>
        <w:adjustRightInd w:val="0"/>
        <w:ind w:firstLine="482"/>
        <w:rPr>
          <w:rFonts w:hint="default" w:ascii="Times New Roman" w:hAnsi="Times New Roman" w:cs="Times New Roman"/>
          <w:color w:val="auto"/>
          <w:kern w:val="21"/>
          <w:szCs w:val="32"/>
        </w:rPr>
      </w:pPr>
      <w:r>
        <w:rPr>
          <w:rFonts w:hint="default" w:ascii="Times New Roman" w:hAnsi="Times New Roman" w:cs="Times New Roman"/>
          <w:b/>
          <w:color w:val="auto"/>
          <w:kern w:val="21"/>
          <w:szCs w:val="32"/>
        </w:rPr>
        <w:t>重点防渗区：</w:t>
      </w:r>
      <w:r>
        <w:rPr>
          <w:rFonts w:hint="default" w:ascii="Times New Roman" w:hAnsi="Times New Roman" w:cs="Times New Roman"/>
          <w:color w:val="auto"/>
          <w:kern w:val="21"/>
          <w:szCs w:val="24"/>
        </w:rPr>
        <w:t>是指位于地下或半地下的生产功能单元，污染地下水环境的物料或污染物泄漏后，不易及时发现和处理的区域。生产废水处理区、危废间、事故应急池、药剂库进行重点防渗，采用P8抗渗混凝土+2mm环氧树脂膜，危废间和药剂库增设不锈钢金属托盘，Mb≥6.0m、K≤</w:t>
      </w:r>
      <w:r>
        <w:rPr>
          <w:rFonts w:hint="default" w:ascii="Times New Roman" w:hAnsi="Times New Roman" w:cs="Times New Roman"/>
          <w:color w:val="auto"/>
          <w:kern w:val="21"/>
          <w:szCs w:val="24"/>
          <w:lang w:bidi="ar"/>
        </w:rPr>
        <w:t>1×</w:t>
      </w:r>
      <w:r>
        <w:rPr>
          <w:rFonts w:hint="default" w:ascii="Times New Roman" w:hAnsi="Times New Roman" w:cs="Times New Roman"/>
          <w:color w:val="auto"/>
          <w:kern w:val="21"/>
          <w:szCs w:val="24"/>
        </w:rPr>
        <w:t>10</w:t>
      </w:r>
      <w:r>
        <w:rPr>
          <w:rFonts w:hint="default" w:ascii="Times New Roman" w:hAnsi="Times New Roman" w:cs="Times New Roman"/>
          <w:color w:val="auto"/>
          <w:kern w:val="21"/>
          <w:szCs w:val="24"/>
          <w:vertAlign w:val="superscript"/>
        </w:rPr>
        <w:t>-7</w:t>
      </w:r>
      <w:r>
        <w:rPr>
          <w:rFonts w:hint="default" w:ascii="Times New Roman" w:hAnsi="Times New Roman" w:cs="Times New Roman"/>
          <w:color w:val="auto"/>
          <w:kern w:val="21"/>
          <w:szCs w:val="24"/>
        </w:rPr>
        <w:t>cm/s（其中危险废物暂存间渗透系数K≤</w:t>
      </w:r>
      <w:r>
        <w:rPr>
          <w:rFonts w:hint="default" w:ascii="Times New Roman" w:hAnsi="Times New Roman" w:cs="Times New Roman"/>
          <w:color w:val="auto"/>
          <w:kern w:val="21"/>
          <w:szCs w:val="24"/>
          <w:lang w:bidi="ar"/>
        </w:rPr>
        <w:t>1×</w:t>
      </w:r>
      <w:r>
        <w:rPr>
          <w:rFonts w:hint="default" w:ascii="Times New Roman" w:hAnsi="Times New Roman" w:cs="Times New Roman"/>
          <w:color w:val="auto"/>
          <w:kern w:val="21"/>
          <w:szCs w:val="24"/>
        </w:rPr>
        <w:t>10</w:t>
      </w:r>
      <w:r>
        <w:rPr>
          <w:rFonts w:hint="default" w:ascii="Times New Roman" w:hAnsi="Times New Roman" w:cs="Times New Roman"/>
          <w:color w:val="auto"/>
          <w:kern w:val="21"/>
          <w:szCs w:val="24"/>
          <w:vertAlign w:val="superscript"/>
        </w:rPr>
        <w:t>-10</w:t>
      </w:r>
      <w:r>
        <w:rPr>
          <w:rFonts w:hint="default" w:ascii="Times New Roman" w:hAnsi="Times New Roman" w:cs="Times New Roman"/>
          <w:color w:val="auto"/>
          <w:kern w:val="21"/>
          <w:szCs w:val="24"/>
        </w:rPr>
        <w:t>cm/s）的要求；污水输送管道采用高强度防腐材质；池体采用P8抗渗混凝土。</w:t>
      </w:r>
    </w:p>
    <w:p>
      <w:pPr>
        <w:overflowPunct w:val="0"/>
        <w:adjustRightInd w:val="0"/>
        <w:ind w:firstLine="482"/>
        <w:rPr>
          <w:rFonts w:hint="default" w:ascii="Times New Roman" w:hAnsi="Times New Roman" w:cs="Times New Roman"/>
          <w:color w:val="auto"/>
          <w:kern w:val="21"/>
          <w:szCs w:val="32"/>
        </w:rPr>
      </w:pPr>
      <w:r>
        <w:rPr>
          <w:rFonts w:hint="default" w:ascii="Times New Roman" w:hAnsi="Times New Roman" w:cs="Times New Roman"/>
          <w:b/>
          <w:color w:val="auto"/>
          <w:kern w:val="21"/>
          <w:szCs w:val="32"/>
        </w:rPr>
        <w:t>一般防渗区：</w:t>
      </w:r>
      <w:r>
        <w:rPr>
          <w:rFonts w:hint="default" w:ascii="Times New Roman" w:hAnsi="Times New Roman" w:cs="Times New Roman"/>
          <w:color w:val="auto"/>
          <w:kern w:val="21"/>
          <w:szCs w:val="24"/>
        </w:rPr>
        <w:t>是指裸露于地面的生产功能单元，污染地下水环境的物料或污染物泄漏后，可及时发现和处理的区域。一般固废暂存间、碎矿车间、磨浮车间、脱水车间、精矿仓库、尾矿仓库、预处理池、初期雨水池采用P6抗渗混凝土进行防渗，保证渗透系数K≤</w:t>
      </w:r>
      <w:r>
        <w:rPr>
          <w:rFonts w:hint="default" w:ascii="Times New Roman" w:hAnsi="Times New Roman" w:cs="Times New Roman"/>
          <w:color w:val="auto"/>
          <w:kern w:val="21"/>
          <w:szCs w:val="24"/>
          <w:lang w:bidi="ar"/>
        </w:rPr>
        <w:t>1×</w:t>
      </w:r>
      <w:r>
        <w:rPr>
          <w:rFonts w:hint="default" w:ascii="Times New Roman" w:hAnsi="Times New Roman" w:cs="Times New Roman"/>
          <w:color w:val="auto"/>
          <w:kern w:val="21"/>
          <w:szCs w:val="24"/>
        </w:rPr>
        <w:t>10</w:t>
      </w:r>
      <w:r>
        <w:rPr>
          <w:rFonts w:hint="default" w:ascii="Times New Roman" w:hAnsi="Times New Roman" w:cs="Times New Roman"/>
          <w:color w:val="auto"/>
          <w:kern w:val="21"/>
          <w:szCs w:val="24"/>
          <w:vertAlign w:val="superscript"/>
        </w:rPr>
        <w:t>-7</w:t>
      </w:r>
      <w:r>
        <w:rPr>
          <w:rFonts w:hint="default" w:ascii="Times New Roman" w:hAnsi="Times New Roman" w:cs="Times New Roman"/>
          <w:color w:val="auto"/>
          <w:kern w:val="21"/>
          <w:szCs w:val="24"/>
        </w:rPr>
        <w:t>cm/s。</w:t>
      </w:r>
    </w:p>
    <w:p>
      <w:pPr>
        <w:overflowPunct w:val="0"/>
        <w:adjustRightInd w:val="0"/>
        <w:ind w:firstLine="482"/>
        <w:rPr>
          <w:rFonts w:hint="default" w:ascii="Times New Roman" w:hAnsi="Times New Roman" w:cs="Times New Roman"/>
          <w:color w:val="auto"/>
          <w:kern w:val="21"/>
          <w:szCs w:val="24"/>
        </w:rPr>
      </w:pPr>
      <w:r>
        <w:rPr>
          <w:rFonts w:hint="default" w:ascii="Times New Roman" w:hAnsi="Times New Roman" w:cs="Times New Roman"/>
          <w:b/>
          <w:color w:val="auto"/>
          <w:kern w:val="21"/>
          <w:szCs w:val="32"/>
        </w:rPr>
        <w:t>简单防渗区：</w:t>
      </w:r>
      <w:r>
        <w:rPr>
          <w:rFonts w:hint="default" w:ascii="Times New Roman" w:hAnsi="Times New Roman" w:cs="Times New Roman"/>
          <w:color w:val="auto"/>
          <w:kern w:val="21"/>
          <w:szCs w:val="24"/>
        </w:rPr>
        <w:t>指不会对地下水环境造成污染的区域。厂区道路、办公区等场内其他区域采用一般地面硬化。</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本项目全场防渗工程污染防治措施分区情况见下表。</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本项目全厂防渗措施一览表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2032"/>
        <w:gridCol w:w="3184"/>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分类</w:t>
            </w:r>
          </w:p>
        </w:tc>
        <w:tc>
          <w:tcPr>
            <w:tcW w:w="112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内容</w:t>
            </w:r>
          </w:p>
        </w:tc>
        <w:tc>
          <w:tcPr>
            <w:tcW w:w="1757"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防渗措施及要求</w:t>
            </w:r>
          </w:p>
        </w:tc>
        <w:tc>
          <w:tcPr>
            <w:tcW w:w="13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重点防渗区</w:t>
            </w:r>
          </w:p>
        </w:tc>
        <w:tc>
          <w:tcPr>
            <w:tcW w:w="2032" w:type="dxa"/>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生产废水处理区、危废间、事故应急池、药剂库</w:t>
            </w:r>
          </w:p>
        </w:tc>
        <w:tc>
          <w:tcPr>
            <w:tcW w:w="1757"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P8抗渗混凝土+2mm环氧树脂膜，危废间和药剂库增设不锈钢金属托盘</w:t>
            </w:r>
          </w:p>
        </w:tc>
        <w:tc>
          <w:tcPr>
            <w:tcW w:w="13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等效黏土防渗层Mb≥6.0m，K≤1×10</w:t>
            </w:r>
            <w:r>
              <w:rPr>
                <w:rFonts w:hint="default" w:ascii="Times New Roman" w:hAnsi="Times New Roman" w:cs="Times New Roman"/>
                <w:color w:val="auto"/>
                <w:kern w:val="21"/>
                <w:sz w:val="21"/>
                <w:vertAlign w:val="superscript"/>
              </w:rPr>
              <w:t>-7</w:t>
            </w:r>
            <w:r>
              <w:rPr>
                <w:rFonts w:hint="default" w:ascii="Times New Roman" w:hAnsi="Times New Roman" w:cs="Times New Roman"/>
                <w:color w:val="auto"/>
                <w:kern w:val="21"/>
                <w:sz w:val="21"/>
              </w:rPr>
              <w:t>cm/s；（危废暂存间满足K≤1.0×10</w:t>
            </w:r>
            <w:r>
              <w:rPr>
                <w:rFonts w:hint="default" w:ascii="Times New Roman" w:hAnsi="Times New Roman" w:cs="Times New Roman"/>
                <w:color w:val="auto"/>
                <w:kern w:val="21"/>
                <w:sz w:val="21"/>
                <w:vertAlign w:val="superscript"/>
              </w:rPr>
              <w:t>-10</w:t>
            </w:r>
            <w:r>
              <w:rPr>
                <w:rFonts w:hint="default" w:ascii="Times New Roman" w:hAnsi="Times New Roman" w:cs="Times New Roman"/>
                <w:color w:val="auto"/>
                <w:kern w:val="21"/>
                <w:sz w:val="21"/>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一般防渗区</w:t>
            </w:r>
          </w:p>
        </w:tc>
        <w:tc>
          <w:tcPr>
            <w:tcW w:w="2032" w:type="dxa"/>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一般固废暂存间、碎矿车间、磨浮车间、脱水车间、精矿仓库、尾矿仓库、预处理池、初期雨水池</w:t>
            </w:r>
          </w:p>
        </w:tc>
        <w:tc>
          <w:tcPr>
            <w:tcW w:w="1757"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Mb≥1.5m等效环氧树脂膜</w:t>
            </w:r>
          </w:p>
        </w:tc>
        <w:tc>
          <w:tcPr>
            <w:tcW w:w="13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等效黏土防渗层Mb&gt;1.5m，K≤1×10</w:t>
            </w:r>
            <w:r>
              <w:rPr>
                <w:rFonts w:hint="default" w:ascii="Times New Roman" w:hAnsi="Times New Roman" w:cs="Times New Roman"/>
                <w:color w:val="auto"/>
                <w:kern w:val="21"/>
                <w:sz w:val="21"/>
                <w:vertAlign w:val="superscript"/>
              </w:rPr>
              <w:t>-7</w:t>
            </w:r>
            <w:r>
              <w:rPr>
                <w:rFonts w:hint="default" w:ascii="Times New Roman" w:hAnsi="Times New Roman" w:cs="Times New Roman"/>
                <w:color w:val="auto"/>
                <w:kern w:val="21"/>
                <w:sz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简单防渗区</w:t>
            </w:r>
          </w:p>
        </w:tc>
        <w:tc>
          <w:tcPr>
            <w:tcW w:w="2032" w:type="dxa"/>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厂区道路、办公区等厂内其他区域</w:t>
            </w:r>
          </w:p>
        </w:tc>
        <w:tc>
          <w:tcPr>
            <w:tcW w:w="1757"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一般地面硬化</w:t>
            </w:r>
          </w:p>
        </w:tc>
        <w:tc>
          <w:tcPr>
            <w:tcW w:w="13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一般地面硬化</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此外，为预防地下水体污染，应建立地下水污染预警系统，在本项目厂区内设置监控井，定期对地下水进行监测，防止本项目对地下水产生不利影响。</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采取上述措施后，可有效防止地下水污染，不会对区域地下水造成明显影响。项目地下水污染防治措施有效，经济技术可行。</w:t>
      </w:r>
    </w:p>
    <w:p>
      <w:pPr>
        <w:pStyle w:val="3"/>
        <w:adjustRightInd w:val="0"/>
        <w:rPr>
          <w:rFonts w:hint="default" w:ascii="Times New Roman" w:hAnsi="Times New Roman" w:cs="Times New Roman"/>
          <w:color w:val="auto"/>
        </w:rPr>
      </w:pPr>
      <w:bookmarkStart w:id="282" w:name="_Toc17698"/>
      <w:bookmarkStart w:id="283" w:name="_Toc88579308"/>
      <w:bookmarkStart w:id="284" w:name="_Toc13131"/>
      <w:bookmarkStart w:id="285" w:name="_Toc24465"/>
      <w:r>
        <w:rPr>
          <w:rFonts w:hint="default" w:ascii="Times New Roman" w:hAnsi="Times New Roman" w:cs="Times New Roman"/>
          <w:color w:val="auto"/>
        </w:rPr>
        <w:t>环保投资</w:t>
      </w:r>
      <w:bookmarkEnd w:id="282"/>
      <w:bookmarkEnd w:id="283"/>
      <w:bookmarkEnd w:id="284"/>
      <w:bookmarkEnd w:id="285"/>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本项目总投资13000万元，其中环保措施投资为812.5万元，占总投资的6.25%，环保措施投资估算见下表。</w:t>
      </w:r>
    </w:p>
    <w:p>
      <w:pPr>
        <w:keepNext/>
        <w:overflowPunct w:val="0"/>
        <w:adjustRightInd w:val="0"/>
        <w:spacing w:before="62" w:beforeLines="20" w:after="62" w:afterLines="20" w:line="240" w:lineRule="auto"/>
        <w:ind w:left="425" w:hanging="425" w:firstLineChars="0"/>
        <w:jc w:val="center"/>
        <w:rPr>
          <w:rFonts w:hint="default" w:ascii="Times New Roman" w:hAnsi="Times New Roman" w:cs="Times New Roman"/>
          <w:b/>
          <w:color w:val="auto"/>
          <w:kern w:val="21"/>
          <w:szCs w:val="22"/>
        </w:rPr>
      </w:pPr>
      <w:r>
        <w:rPr>
          <w:rFonts w:hint="default" w:ascii="Times New Roman" w:hAnsi="Times New Roman" w:cs="Times New Roman"/>
          <w:b/>
          <w:bCs/>
          <w:color w:val="auto"/>
          <w:kern w:val="21"/>
          <w:sz w:val="21"/>
        </w:rPr>
        <w:t>表8-3环境保护措施投资估算表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115"/>
        <w:gridCol w:w="1736"/>
        <w:gridCol w:w="3059"/>
        <w:gridCol w:w="1182"/>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类别</w:t>
            </w:r>
          </w:p>
        </w:tc>
        <w:tc>
          <w:tcPr>
            <w:tcW w:w="61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项目</w:t>
            </w:r>
          </w:p>
        </w:tc>
        <w:tc>
          <w:tcPr>
            <w:tcW w:w="2645" w:type="pct"/>
            <w:gridSpan w:val="2"/>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内容</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color w:val="auto"/>
                <w:kern w:val="21"/>
                <w:sz w:val="21"/>
              </w:rPr>
              <w:t>投资估算</w:t>
            </w:r>
            <w:r>
              <w:rPr>
                <w:rFonts w:hint="default" w:ascii="Times New Roman" w:hAnsi="Times New Roman" w:cs="Times New Roman"/>
                <w:b/>
                <w:bCs/>
                <w:color w:val="auto"/>
                <w:kern w:val="21"/>
                <w:sz w:val="21"/>
              </w:rPr>
              <w:t>（万元）</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施工期</w:t>
            </w:r>
          </w:p>
        </w:tc>
        <w:tc>
          <w:tcPr>
            <w:tcW w:w="61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废水治理</w:t>
            </w: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本项目施工期生活污水依托当地农户化粪池处理后用于农田施肥。</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废气治理</w:t>
            </w: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洒水降尘，及时清扫路面尘土、硬化道路、保持路面清洁、控制车速等。</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固体废物</w:t>
            </w: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施工场地设置垃圾桶，生活垃圾收集后统一清运，建筑垃圾及时外运。</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0.5</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噪声控制</w:t>
            </w: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选用低噪声设备，合理布局，合理安排施工时间，高噪设备设置隔声棚。</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运营期</w:t>
            </w:r>
          </w:p>
        </w:tc>
        <w:tc>
          <w:tcPr>
            <w:tcW w:w="615"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废气治理</w:t>
            </w: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rPr>
              <w:t>破碎筛分粉尘：</w:t>
            </w:r>
            <w:r>
              <w:rPr>
                <w:rFonts w:hint="default" w:ascii="Times New Roman" w:hAnsi="Times New Roman" w:cs="Times New Roman"/>
                <w:color w:val="auto"/>
                <w:kern w:val="21"/>
                <w:sz w:val="21"/>
              </w:rPr>
              <w:t>经集气罩收集，布袋除尘器处理后通过15m高排气筒（DA001）达标外排。</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16</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rPr>
              <w:t>装卸及堆场粉尘：</w:t>
            </w:r>
            <w:r>
              <w:rPr>
                <w:rFonts w:hint="default" w:ascii="Times New Roman" w:hAnsi="Times New Roman" w:cs="Times New Roman"/>
                <w:color w:val="auto"/>
                <w:kern w:val="21"/>
                <w:sz w:val="21"/>
              </w:rPr>
              <w:t>原矿仓库设置为封闭厂房，在原矿仓库四周以及仓库顶部四周设置喷雾降尘装置。</w:t>
            </w:r>
          </w:p>
        </w:tc>
        <w:tc>
          <w:tcPr>
            <w:tcW w:w="652"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30</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rPr>
              <w:t>给料粉尘：</w:t>
            </w:r>
            <w:r>
              <w:rPr>
                <w:rFonts w:hint="default" w:ascii="Times New Roman" w:hAnsi="Times New Roman" w:cs="Times New Roman"/>
                <w:color w:val="auto"/>
                <w:kern w:val="21"/>
                <w:sz w:val="21"/>
              </w:rPr>
              <w:t>原矿仓库设置为封闭厂房，在原矿仓库四周以及仓库顶部四周设置喷雾降尘装置。</w:t>
            </w:r>
          </w:p>
        </w:tc>
        <w:tc>
          <w:tcPr>
            <w:tcW w:w="652"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车辆运输扬尘：</w:t>
            </w:r>
            <w:r>
              <w:rPr>
                <w:rFonts w:hint="default" w:ascii="Times New Roman" w:hAnsi="Times New Roman" w:cs="Times New Roman"/>
                <w:color w:val="auto"/>
                <w:kern w:val="21"/>
                <w:sz w:val="21"/>
              </w:rPr>
              <w:t>加强车辆管理，设置洗车池、运输车辆车轮清洗，降低车速，洒水车定期洒水降尘，加盖防尘网，密闭运输。</w:t>
            </w:r>
          </w:p>
        </w:tc>
        <w:tc>
          <w:tcPr>
            <w:tcW w:w="652"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废水治理</w:t>
            </w: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b/>
                <w:bCs/>
                <w:color w:val="auto"/>
                <w:kern w:val="21"/>
                <w:sz w:val="21"/>
              </w:rPr>
              <w:t>生活污水：</w:t>
            </w:r>
            <w:r>
              <w:rPr>
                <w:rFonts w:hint="default" w:ascii="Times New Roman" w:hAnsi="Times New Roman" w:cs="Times New Roman"/>
                <w:color w:val="auto"/>
                <w:kern w:val="21"/>
                <w:sz w:val="21"/>
              </w:rPr>
              <w:t>经新建的预处理池（50m</w:t>
            </w:r>
            <w:r>
              <w:rPr>
                <w:rFonts w:hint="default" w:ascii="Times New Roman" w:hAnsi="Times New Roman" w:cs="Times New Roman"/>
                <w:color w:val="auto"/>
                <w:kern w:val="21"/>
                <w:sz w:val="21"/>
                <w:vertAlign w:val="superscript"/>
              </w:rPr>
              <w:t>3</w:t>
            </w:r>
            <w:r>
              <w:rPr>
                <w:rFonts w:hint="default" w:ascii="Times New Roman" w:hAnsi="Times New Roman" w:cs="Times New Roman"/>
                <w:color w:val="auto"/>
                <w:kern w:val="21"/>
                <w:sz w:val="21"/>
              </w:rPr>
              <w:t>）处理后通过园区污水管网进入乐山沙湾经济开发区污水处理厂进一步处理。</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5</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选矿废水：</w:t>
            </w:r>
            <w:r>
              <w:rPr>
                <w:rFonts w:hint="default" w:ascii="Times New Roman" w:hAnsi="Times New Roman" w:cs="Times New Roman"/>
                <w:color w:val="auto"/>
                <w:kern w:val="21"/>
                <w:sz w:val="21"/>
              </w:rPr>
              <w:t>经1套废水处理设施（处理能力280m</w:t>
            </w:r>
            <w:r>
              <w:rPr>
                <w:rFonts w:hint="default" w:ascii="Times New Roman" w:hAnsi="Times New Roman" w:cs="Times New Roman"/>
                <w:color w:val="auto"/>
                <w:kern w:val="21"/>
                <w:sz w:val="21"/>
                <w:vertAlign w:val="superscript"/>
              </w:rPr>
              <w:t>3</w:t>
            </w:r>
            <w:r>
              <w:rPr>
                <w:rFonts w:hint="default" w:ascii="Times New Roman" w:hAnsi="Times New Roman" w:cs="Times New Roman"/>
                <w:color w:val="auto"/>
                <w:kern w:val="21"/>
                <w:sz w:val="21"/>
              </w:rPr>
              <w:t>/h）絮凝沉淀处理后回用于选矿工序</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600</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初期雨水：</w:t>
            </w:r>
            <w:r>
              <w:rPr>
                <w:rFonts w:hint="default" w:ascii="Times New Roman" w:hAnsi="Times New Roman" w:cs="Times New Roman"/>
                <w:color w:val="auto"/>
                <w:kern w:val="21"/>
                <w:sz w:val="21"/>
              </w:rPr>
              <w:t>经雨水管道收集后汇入厂区初期雨水池（600m</w:t>
            </w:r>
            <w:r>
              <w:rPr>
                <w:rFonts w:hint="default" w:ascii="Times New Roman" w:hAnsi="Times New Roman" w:cs="Times New Roman"/>
                <w:color w:val="auto"/>
                <w:kern w:val="21"/>
                <w:sz w:val="21"/>
                <w:vertAlign w:val="superscript"/>
              </w:rPr>
              <w:t>3</w:t>
            </w:r>
            <w:r>
              <w:rPr>
                <w:rFonts w:hint="default" w:ascii="Times New Roman" w:hAnsi="Times New Roman" w:cs="Times New Roman"/>
                <w:color w:val="auto"/>
                <w:kern w:val="21"/>
                <w:sz w:val="21"/>
              </w:rPr>
              <w:t>），经沉淀处理后回用于喷雾降尘，不外排。</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20</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车辆冲洗废水：</w:t>
            </w:r>
            <w:r>
              <w:rPr>
                <w:rFonts w:hint="default" w:ascii="Times New Roman" w:hAnsi="Times New Roman" w:cs="Times New Roman"/>
                <w:color w:val="auto"/>
                <w:kern w:val="21"/>
                <w:sz w:val="21"/>
              </w:rPr>
              <w:t>经沉淀池（5m</w:t>
            </w:r>
            <w:r>
              <w:rPr>
                <w:rFonts w:hint="default" w:ascii="Times New Roman" w:hAnsi="Times New Roman" w:cs="Times New Roman"/>
                <w:color w:val="auto"/>
                <w:kern w:val="21"/>
                <w:sz w:val="21"/>
                <w:vertAlign w:val="superscript"/>
              </w:rPr>
              <w:t>3</w:t>
            </w:r>
            <w:r>
              <w:rPr>
                <w:rFonts w:hint="default" w:ascii="Times New Roman" w:hAnsi="Times New Roman" w:cs="Times New Roman"/>
                <w:color w:val="auto"/>
                <w:kern w:val="21"/>
                <w:sz w:val="21"/>
              </w:rPr>
              <w:t>）处理后回用于车辆冲洗，不外排。</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噪声控制</w:t>
            </w: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项目采用合理布局、低噪声设备、基础减震、柔性连接、风机消声、厂房隔声等减震降噪措施。</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5</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固废处置</w:t>
            </w: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bCs/>
                <w:color w:val="auto"/>
                <w:kern w:val="21"/>
                <w:sz w:val="21"/>
              </w:rPr>
              <w:t>尾矿、尾砂、黑砂暂存于尾矿仓库，外售</w:t>
            </w:r>
            <w:r>
              <w:rPr>
                <w:rFonts w:hint="default" w:ascii="Times New Roman" w:hAnsi="Times New Roman" w:cs="Times New Roman"/>
                <w:color w:val="auto"/>
                <w:kern w:val="21"/>
                <w:sz w:val="21"/>
              </w:rPr>
              <w:t>陶瓷生产厂家综合利用</w:t>
            </w:r>
            <w:r>
              <w:rPr>
                <w:rFonts w:hint="default" w:ascii="Times New Roman" w:hAnsi="Times New Roman" w:cs="Times New Roman"/>
                <w:bCs/>
                <w:color w:val="auto"/>
                <w:kern w:val="21"/>
                <w:sz w:val="21"/>
              </w:rPr>
              <w:t>；废滤袋、废布袋由供货厂家回收；布袋收尘回用于生产；沉淀池沉砂暂存于一般固废间，回用于生产；废包装材料定期外售</w:t>
            </w:r>
            <w:r>
              <w:rPr>
                <w:rFonts w:hint="default" w:ascii="Times New Roman" w:hAnsi="Times New Roman" w:cs="Times New Roman"/>
                <w:color w:val="auto"/>
                <w:kern w:val="21"/>
                <w:sz w:val="21"/>
              </w:rPr>
              <w:t>废品回收站</w:t>
            </w:r>
            <w:r>
              <w:rPr>
                <w:rFonts w:hint="default" w:ascii="Times New Roman" w:hAnsi="Times New Roman" w:cs="Times New Roman"/>
                <w:color w:val="auto"/>
                <w:kern w:val="21"/>
                <w:sz w:val="21"/>
                <w:szCs w:val="22"/>
              </w:rPr>
              <w:t>。</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废氢氧化钠包装袋、废机油、废机油桶、含油抹布及手套暂存于危废暂存间（50m</w:t>
            </w:r>
            <w:r>
              <w:rPr>
                <w:rFonts w:hint="default" w:ascii="Times New Roman" w:hAnsi="Times New Roman" w:cs="Times New Roman"/>
                <w:color w:val="auto"/>
                <w:kern w:val="21"/>
                <w:sz w:val="21"/>
                <w:vertAlign w:val="superscript"/>
              </w:rPr>
              <w:t>2</w:t>
            </w:r>
            <w:r>
              <w:rPr>
                <w:rFonts w:hint="default" w:ascii="Times New Roman" w:hAnsi="Times New Roman" w:cs="Times New Roman"/>
                <w:color w:val="auto"/>
                <w:kern w:val="21"/>
                <w:sz w:val="21"/>
              </w:rPr>
              <w:t>），定期交由有危废处理资质的单位进行处置。</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20</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生活垃圾经厂区内垃圾桶统一收集后委托环卫部门清运处置。</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地下水及土壤</w:t>
            </w:r>
          </w:p>
        </w:tc>
        <w:tc>
          <w:tcPr>
            <w:tcW w:w="2645" w:type="pct"/>
            <w:gridSpan w:val="2"/>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b/>
                <w:color w:val="auto"/>
                <w:kern w:val="21"/>
                <w:sz w:val="21"/>
              </w:rPr>
              <w:t>重点防渗区：</w:t>
            </w:r>
            <w:r>
              <w:rPr>
                <w:rFonts w:hint="default" w:ascii="Times New Roman" w:hAnsi="Times New Roman" w:cs="Times New Roman"/>
                <w:color w:val="auto"/>
                <w:kern w:val="21"/>
                <w:sz w:val="21"/>
              </w:rPr>
              <w:t>生产废水处理区、危废间、事故应急池、药剂库进行重点防渗，采用P8抗渗混凝土+2mm环氧树脂膜，危废间和药剂库库增设不锈钢金属托盘，Mb≥6.0m、K≤</w:t>
            </w:r>
            <w:r>
              <w:rPr>
                <w:rFonts w:hint="default" w:ascii="Times New Roman" w:hAnsi="Times New Roman" w:cs="Times New Roman"/>
                <w:color w:val="auto"/>
                <w:kern w:val="21"/>
                <w:sz w:val="21"/>
                <w:lang w:bidi="ar"/>
              </w:rPr>
              <w:t>1×</w:t>
            </w:r>
            <w:r>
              <w:rPr>
                <w:rFonts w:hint="default" w:ascii="Times New Roman" w:hAnsi="Times New Roman" w:cs="Times New Roman"/>
                <w:color w:val="auto"/>
                <w:kern w:val="21"/>
                <w:sz w:val="21"/>
              </w:rPr>
              <w:t>10</w:t>
            </w:r>
            <w:r>
              <w:rPr>
                <w:rFonts w:hint="default" w:ascii="Times New Roman" w:hAnsi="Times New Roman" w:cs="Times New Roman"/>
                <w:color w:val="auto"/>
                <w:kern w:val="21"/>
                <w:sz w:val="21"/>
                <w:vertAlign w:val="superscript"/>
              </w:rPr>
              <w:t>-7</w:t>
            </w:r>
            <w:r>
              <w:rPr>
                <w:rFonts w:hint="default" w:ascii="Times New Roman" w:hAnsi="Times New Roman" w:cs="Times New Roman"/>
                <w:color w:val="auto"/>
                <w:kern w:val="21"/>
                <w:sz w:val="21"/>
              </w:rPr>
              <w:t>cm/s（其中危险废物暂存间渗透系数K≤</w:t>
            </w:r>
            <w:r>
              <w:rPr>
                <w:rFonts w:hint="default" w:ascii="Times New Roman" w:hAnsi="Times New Roman" w:cs="Times New Roman"/>
                <w:color w:val="auto"/>
                <w:kern w:val="21"/>
                <w:sz w:val="21"/>
                <w:lang w:bidi="ar"/>
              </w:rPr>
              <w:t>1×</w:t>
            </w:r>
            <w:r>
              <w:rPr>
                <w:rFonts w:hint="default" w:ascii="Times New Roman" w:hAnsi="Times New Roman" w:cs="Times New Roman"/>
                <w:color w:val="auto"/>
                <w:kern w:val="21"/>
                <w:sz w:val="21"/>
              </w:rPr>
              <w:t>10</w:t>
            </w:r>
            <w:r>
              <w:rPr>
                <w:rFonts w:hint="default" w:ascii="Times New Roman" w:hAnsi="Times New Roman" w:cs="Times New Roman"/>
                <w:color w:val="auto"/>
                <w:kern w:val="21"/>
                <w:sz w:val="21"/>
                <w:vertAlign w:val="superscript"/>
              </w:rPr>
              <w:t>-10</w:t>
            </w:r>
            <w:r>
              <w:rPr>
                <w:rFonts w:hint="default" w:ascii="Times New Roman" w:hAnsi="Times New Roman" w:cs="Times New Roman"/>
                <w:color w:val="auto"/>
                <w:kern w:val="21"/>
                <w:sz w:val="21"/>
              </w:rPr>
              <w:t>cm/s）的要求；污水输送管道采用高强度防腐材质；池体采用P8抗渗混凝土。</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b/>
                <w:color w:val="auto"/>
                <w:kern w:val="21"/>
                <w:sz w:val="21"/>
              </w:rPr>
              <w:t>一般防渗区：</w:t>
            </w:r>
            <w:r>
              <w:rPr>
                <w:rFonts w:hint="default" w:ascii="Times New Roman" w:hAnsi="Times New Roman" w:cs="Times New Roman"/>
                <w:color w:val="auto"/>
                <w:kern w:val="21"/>
                <w:sz w:val="21"/>
              </w:rPr>
              <w:t>一般固废暂存间、碎矿车间、磨浮车间、脱水车间、精矿仓库、尾矿仓库、预处理池、初期雨水池、初期雨水池采用P6抗渗混凝土进行防渗，保证渗透系数K≤</w:t>
            </w:r>
            <w:r>
              <w:rPr>
                <w:rFonts w:hint="default" w:ascii="Times New Roman" w:hAnsi="Times New Roman" w:cs="Times New Roman"/>
                <w:color w:val="auto"/>
                <w:kern w:val="21"/>
                <w:sz w:val="21"/>
                <w:lang w:bidi="ar"/>
              </w:rPr>
              <w:t>1×</w:t>
            </w:r>
            <w:r>
              <w:rPr>
                <w:rFonts w:hint="default" w:ascii="Times New Roman" w:hAnsi="Times New Roman" w:cs="Times New Roman"/>
                <w:color w:val="auto"/>
                <w:kern w:val="21"/>
                <w:sz w:val="21"/>
              </w:rPr>
              <w:t>10</w:t>
            </w:r>
            <w:r>
              <w:rPr>
                <w:rFonts w:hint="default" w:ascii="Times New Roman" w:hAnsi="Times New Roman" w:cs="Times New Roman"/>
                <w:color w:val="auto"/>
                <w:kern w:val="21"/>
                <w:sz w:val="21"/>
                <w:vertAlign w:val="superscript"/>
              </w:rPr>
              <w:t>-7</w:t>
            </w:r>
            <w:r>
              <w:rPr>
                <w:rFonts w:hint="default" w:ascii="Times New Roman" w:hAnsi="Times New Roman" w:cs="Times New Roman"/>
                <w:color w:val="auto"/>
                <w:kern w:val="21"/>
                <w:sz w:val="21"/>
              </w:rPr>
              <w:t>cm/s。</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b/>
                <w:color w:val="auto"/>
                <w:kern w:val="21"/>
                <w:sz w:val="21"/>
              </w:rPr>
              <w:t>简单防渗区：</w:t>
            </w:r>
            <w:r>
              <w:rPr>
                <w:rFonts w:hint="default" w:ascii="Times New Roman" w:hAnsi="Times New Roman" w:cs="Times New Roman"/>
                <w:color w:val="auto"/>
                <w:kern w:val="21"/>
                <w:sz w:val="21"/>
              </w:rPr>
              <w:t>厂区道路、办公区等场内其他区域采用一般地面硬化。</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100</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风险防范措施</w:t>
            </w:r>
          </w:p>
        </w:tc>
        <w:tc>
          <w:tcPr>
            <w:tcW w:w="95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消防器材</w:t>
            </w:r>
          </w:p>
        </w:tc>
        <w:tc>
          <w:tcPr>
            <w:tcW w:w="1687"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场区设置消防灭火系统</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95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风险管理措施</w:t>
            </w:r>
          </w:p>
        </w:tc>
        <w:tc>
          <w:tcPr>
            <w:tcW w:w="1687"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编制应急预案，加强操作人员的技术培训和岗位责任制教育</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15"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95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环境管理及监测</w:t>
            </w:r>
          </w:p>
        </w:tc>
        <w:tc>
          <w:tcPr>
            <w:tcW w:w="1687"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定期开展环境监测工作，加强环境保护管理工作</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5</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7" w:type="pct"/>
            <w:gridSpan w:val="4"/>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合计</w:t>
            </w:r>
          </w:p>
        </w:tc>
        <w:tc>
          <w:tcPr>
            <w:tcW w:w="65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812.5</w:t>
            </w:r>
          </w:p>
        </w:tc>
        <w:tc>
          <w:tcPr>
            <w:tcW w:w="4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w:t>
            </w:r>
          </w:p>
        </w:tc>
      </w:tr>
    </w:tbl>
    <w:p>
      <w:pPr>
        <w:pStyle w:val="3"/>
        <w:adjustRightInd w:val="0"/>
        <w:rPr>
          <w:rFonts w:hint="default" w:ascii="Times New Roman" w:hAnsi="Times New Roman" w:cs="Times New Roman"/>
          <w:color w:val="auto"/>
        </w:rPr>
      </w:pPr>
      <w:bookmarkStart w:id="286" w:name="_Toc22454"/>
      <w:bookmarkStart w:id="287" w:name="_Toc3599"/>
      <w:bookmarkStart w:id="288" w:name="_Toc15792"/>
      <w:bookmarkStart w:id="289" w:name="_Toc31228"/>
      <w:r>
        <w:rPr>
          <w:rFonts w:hint="default" w:ascii="Times New Roman" w:hAnsi="Times New Roman" w:cs="Times New Roman"/>
          <w:color w:val="auto"/>
        </w:rPr>
        <w:t>环保治理措施技术、经济评述结论</w:t>
      </w:r>
      <w:bookmarkEnd w:id="286"/>
      <w:bookmarkEnd w:id="287"/>
      <w:bookmarkEnd w:id="288"/>
      <w:bookmarkEnd w:id="289"/>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在经过对建设单位提出的三废治理措施进行技术经济分析之后，建设单位提出的三废治理措施总体上是可行的。</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环保治理设施的总建设费用为812.5万元人民币，占项目总投资的6.25%，在经济上是可行的。</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总结前面各章节的分析结果，可以认为，本项目所采取的“三废”污染源治理措施，从同类型污水处理厂的长期运行效果看，其“三废”治理措施技术是先进的，治理效果是好的，操作管理和维护维修是方便的，运行费用低廉，所获得的环境效益和经济效益较好。只要建设单位在今后的运行过程中，强化环境保护管理工作，尤其是做好废水、废气和废渣治理设施的管理工作，本项目所采取的环境保护措施经济合理，它既能达到发展生产的目的，又能达到设计要求做到达标排放和保护好环境的目的。</w:t>
      </w:r>
    </w:p>
    <w:p>
      <w:pPr>
        <w:adjustRightInd w:val="0"/>
        <w:ind w:firstLine="480"/>
        <w:rPr>
          <w:rFonts w:hint="default" w:ascii="Times New Roman" w:hAnsi="Times New Roman" w:cs="Times New Roman"/>
          <w:color w:val="auto"/>
        </w:rPr>
        <w:sectPr>
          <w:pgSz w:w="11906" w:h="16838"/>
          <w:pgMar w:top="1134" w:right="1531" w:bottom="1134" w:left="1531" w:header="851" w:footer="907" w:gutter="0"/>
          <w:cols w:space="425" w:num="1"/>
          <w:docGrid w:type="lines" w:linePitch="312" w:charSpace="0"/>
        </w:sectPr>
      </w:pPr>
    </w:p>
    <w:p>
      <w:pPr>
        <w:pStyle w:val="2"/>
        <w:adjustRightInd w:val="0"/>
        <w:rPr>
          <w:rFonts w:hint="default" w:ascii="Times New Roman" w:hAnsi="Times New Roman" w:cs="Times New Roman"/>
          <w:color w:val="auto"/>
        </w:rPr>
      </w:pPr>
      <w:bookmarkStart w:id="290" w:name="_Toc10638"/>
      <w:bookmarkStart w:id="291" w:name="_Toc26695"/>
      <w:bookmarkStart w:id="292" w:name="_Toc6143"/>
      <w:r>
        <w:rPr>
          <w:rFonts w:hint="default" w:ascii="Times New Roman" w:hAnsi="Times New Roman" w:cs="Times New Roman"/>
          <w:color w:val="auto"/>
        </w:rPr>
        <w:t>环境经济损益分析</w:t>
      </w:r>
      <w:bookmarkEnd w:id="290"/>
      <w:bookmarkEnd w:id="291"/>
      <w:bookmarkEnd w:id="292"/>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环境影响经济损益分析主要是衡量项目的环保投资所能收到的环境效益和经济效益，建设项目应力争达到社会效益、环境效益、经济效益的统一，这样才能符合可持续发展的要求，实现经济的持续发展和环境质量的不断改善。该项目建设在一定程度上给周围环境质量带来一些负面影响，特别是对生态环境所造成的影响，因此有必要进行经济效益、社会效益、环境效益的综合分析，使项目的建设论证更加充分可靠，工程的设计和实施更加完善，以实现社会的良性发展、经济的持续增长和环境质量的保持与改善。</w:t>
      </w:r>
    </w:p>
    <w:p>
      <w:pPr>
        <w:pStyle w:val="3"/>
        <w:adjustRightInd w:val="0"/>
        <w:rPr>
          <w:rFonts w:hint="default" w:ascii="Times New Roman" w:hAnsi="Times New Roman" w:cs="Times New Roman"/>
          <w:color w:val="auto"/>
        </w:rPr>
      </w:pPr>
      <w:bookmarkStart w:id="293" w:name="_Toc14862"/>
      <w:bookmarkStart w:id="294" w:name="_Toc27113"/>
      <w:bookmarkStart w:id="295" w:name="_Toc28952"/>
      <w:r>
        <w:rPr>
          <w:rFonts w:hint="default" w:ascii="Times New Roman" w:hAnsi="Times New Roman" w:cs="Times New Roman"/>
          <w:color w:val="auto"/>
        </w:rPr>
        <w:t>经济效益</w:t>
      </w:r>
      <w:bookmarkEnd w:id="293"/>
      <w:bookmarkEnd w:id="294"/>
      <w:bookmarkEnd w:id="295"/>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项目计划总投资13000万元，资金来源企业自筹解决，根据项目建议书中财务分析结论，本项目具有较强的盈利能力、债务清偿能力和抗风险能力，具有明显的投资优势，有一定的经济效益。</w:t>
      </w:r>
    </w:p>
    <w:p>
      <w:pPr>
        <w:pStyle w:val="3"/>
        <w:adjustRightInd w:val="0"/>
        <w:rPr>
          <w:rFonts w:hint="default" w:ascii="Times New Roman" w:hAnsi="Times New Roman" w:cs="Times New Roman"/>
          <w:color w:val="auto"/>
        </w:rPr>
      </w:pPr>
      <w:bookmarkStart w:id="296" w:name="_Toc10671"/>
      <w:bookmarkStart w:id="297" w:name="_Toc1317"/>
      <w:bookmarkStart w:id="298" w:name="_Toc11461"/>
      <w:r>
        <w:rPr>
          <w:rFonts w:hint="default" w:ascii="Times New Roman" w:hAnsi="Times New Roman" w:cs="Times New Roman"/>
          <w:color w:val="auto"/>
        </w:rPr>
        <w:t>社会效益分析</w:t>
      </w:r>
      <w:bookmarkEnd w:id="296"/>
      <w:bookmarkEnd w:id="297"/>
      <w:bookmarkEnd w:id="298"/>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的建设不仅能增加地方财政收入，为社会提供一定的就业机会，而且还将带动项目所在地区的建筑、建材、电力、机械、运输及服务等相关行业的发展，促进项目所在地区的经济发展和社会进步，增加附近居民的就业机会，提高居民个人收入。由此可见，本项目具有良好的社会效益。</w:t>
      </w:r>
    </w:p>
    <w:p>
      <w:pPr>
        <w:pStyle w:val="3"/>
        <w:adjustRightInd w:val="0"/>
        <w:rPr>
          <w:rFonts w:hint="default" w:ascii="Times New Roman" w:hAnsi="Times New Roman" w:cs="Times New Roman"/>
          <w:color w:val="auto"/>
        </w:rPr>
      </w:pPr>
      <w:bookmarkStart w:id="299" w:name="_Toc30346"/>
      <w:bookmarkStart w:id="300" w:name="_Toc31680"/>
      <w:bookmarkStart w:id="301" w:name="_Toc9809"/>
      <w:r>
        <w:rPr>
          <w:rFonts w:hint="default" w:ascii="Times New Roman" w:hAnsi="Times New Roman" w:cs="Times New Roman"/>
          <w:color w:val="auto"/>
        </w:rPr>
        <w:t>环境经济效益分析</w:t>
      </w:r>
      <w:bookmarkEnd w:id="299"/>
      <w:bookmarkEnd w:id="300"/>
      <w:bookmarkEnd w:id="301"/>
    </w:p>
    <w:p>
      <w:pPr>
        <w:pStyle w:val="4"/>
        <w:adjustRightInd w:val="0"/>
        <w:rPr>
          <w:rFonts w:hint="default" w:ascii="Times New Roman" w:hAnsi="Times New Roman" w:cs="Times New Roman"/>
          <w:color w:val="auto"/>
        </w:rPr>
      </w:pPr>
      <w:bookmarkStart w:id="302" w:name="_Toc4365"/>
      <w:bookmarkStart w:id="303" w:name="_Toc31631"/>
      <w:bookmarkStart w:id="304" w:name="_Toc26404"/>
      <w:r>
        <w:rPr>
          <w:rFonts w:hint="default" w:ascii="Times New Roman" w:hAnsi="Times New Roman" w:cs="Times New Roman"/>
          <w:color w:val="auto"/>
        </w:rPr>
        <w:t>环境保护费用</w:t>
      </w:r>
      <w:bookmarkEnd w:id="302"/>
      <w:bookmarkEnd w:id="303"/>
      <w:bookmarkEnd w:id="304"/>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环保设施费用主要包括：环保设施折旧费、环保设施消耗费和环保管理费，计算公式为：</w:t>
      </w:r>
    </w:p>
    <w:p>
      <w:pPr>
        <w:overflowPunct w:val="0"/>
        <w:adjustRightInd w:val="0"/>
        <w:ind w:firstLine="480" w:firstLineChars="0"/>
        <w:jc w:val="center"/>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drawing>
          <wp:inline distT="0" distB="0" distL="0" distR="0">
            <wp:extent cx="1212215" cy="224155"/>
            <wp:effectExtent l="0" t="0" r="698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1222360" cy="226086"/>
                    </a:xfrm>
                    <a:prstGeom prst="rect">
                      <a:avLst/>
                    </a:prstGeom>
                  </pic:spPr>
                </pic:pic>
              </a:graphicData>
            </a:graphic>
          </wp:inline>
        </w:drawing>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式中：</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iCs/>
          <w:color w:val="auto"/>
          <w:kern w:val="21"/>
          <w:szCs w:val="22"/>
        </w:rPr>
        <w:t>C</w:t>
      </w:r>
      <w:r>
        <w:rPr>
          <w:rFonts w:hint="default" w:ascii="Times New Roman" w:hAnsi="Times New Roman" w:cs="Times New Roman"/>
          <w:color w:val="auto"/>
          <w:kern w:val="21"/>
          <w:szCs w:val="22"/>
        </w:rPr>
        <w:t>——环保设施费用，万元/a；</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1</w:t>
      </w:r>
      <w:r>
        <w:rPr>
          <w:rFonts w:hint="default" w:ascii="Times New Roman" w:hAnsi="Times New Roman" w:cs="Times New Roman"/>
          <w:color w:val="auto"/>
          <w:kern w:val="21"/>
          <w:szCs w:val="22"/>
        </w:rPr>
        <w:t>——环保设施折旧费，万元/a；</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2</w:t>
      </w:r>
      <w:r>
        <w:rPr>
          <w:rFonts w:hint="default" w:ascii="Times New Roman" w:hAnsi="Times New Roman" w:cs="Times New Roman"/>
          <w:color w:val="auto"/>
          <w:kern w:val="21"/>
          <w:szCs w:val="22"/>
        </w:rPr>
        <w:t>——环保设施消耗费，万元/a；</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3</w:t>
      </w:r>
      <w:r>
        <w:rPr>
          <w:rFonts w:hint="default" w:ascii="Times New Roman" w:hAnsi="Times New Roman" w:cs="Times New Roman"/>
          <w:color w:val="auto"/>
          <w:kern w:val="21"/>
          <w:szCs w:val="22"/>
        </w:rPr>
        <w:t>——环保管理费，万元/a。</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（1）环保设施折旧费</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环保设施折旧费计算公式为：</w:t>
      </w:r>
    </w:p>
    <w:p>
      <w:pPr>
        <w:overflowPunct w:val="0"/>
        <w:adjustRightInd w:val="0"/>
        <w:ind w:firstLine="480" w:firstLineChars="0"/>
        <w:jc w:val="center"/>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drawing>
          <wp:inline distT="0" distB="0" distL="0" distR="0">
            <wp:extent cx="774700" cy="320040"/>
            <wp:effectExtent l="0" t="0" r="635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1"/>
                    <a:stretch>
                      <a:fillRect/>
                    </a:stretch>
                  </pic:blipFill>
                  <pic:spPr>
                    <a:xfrm>
                      <a:off x="0" y="0"/>
                      <a:ext cx="774700" cy="320040"/>
                    </a:xfrm>
                    <a:prstGeom prst="rect">
                      <a:avLst/>
                    </a:prstGeom>
                  </pic:spPr>
                </pic:pic>
              </a:graphicData>
            </a:graphic>
          </wp:inline>
        </w:drawing>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式中：</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1</w:t>
      </w:r>
      <w:r>
        <w:rPr>
          <w:rFonts w:hint="default" w:ascii="Times New Roman" w:hAnsi="Times New Roman" w:cs="Times New Roman"/>
          <w:color w:val="auto"/>
          <w:kern w:val="21"/>
          <w:szCs w:val="22"/>
        </w:rPr>
        <w:t>——环保设施折旧费，万元/a；</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a——固定资产形成率，取90%；</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0</w:t>
      </w:r>
      <w:r>
        <w:rPr>
          <w:rFonts w:hint="default" w:ascii="Times New Roman" w:hAnsi="Times New Roman" w:cs="Times New Roman"/>
          <w:color w:val="auto"/>
          <w:kern w:val="21"/>
          <w:szCs w:val="22"/>
        </w:rPr>
        <w:t>——环保投资，万元；</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n——环保设备折旧年限，取5年。</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经计算，该项目环保设施折旧费用为146.25万元/a。</w:t>
      </w:r>
    </w:p>
    <w:p>
      <w:pPr>
        <w:overflowPunct w:val="0"/>
        <w:adjustRightInd w:val="0"/>
        <w:ind w:firstLine="480" w:firstLineChars="0"/>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（2）环保设施消耗费</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环保设施消耗费主要包括：能源消耗、设备维修、环保设施操作及维修人员人工费等，按环保投资的10%计算，计算公式为：</w:t>
      </w:r>
    </w:p>
    <w:p>
      <w:pPr>
        <w:overflowPunct w:val="0"/>
        <w:adjustRightInd w:val="0"/>
        <w:ind w:firstLine="3600" w:firstLineChars="150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2</w:t>
      </w: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0</w:t>
      </w:r>
      <w:r>
        <w:rPr>
          <w:rFonts w:hint="default" w:ascii="Times New Roman" w:hAnsi="Times New Roman" w:cs="Times New Roman"/>
          <w:color w:val="auto"/>
          <w:kern w:val="21"/>
          <w:szCs w:val="22"/>
        </w:rPr>
        <w:t>×10%</w:t>
      </w:r>
    </w:p>
    <w:p>
      <w:pPr>
        <w:overflowPunct w:val="0"/>
        <w:adjustRightInd w:val="0"/>
        <w:ind w:firstLine="480" w:firstLineChars="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式中：</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2</w:t>
      </w:r>
      <w:r>
        <w:rPr>
          <w:rFonts w:hint="default" w:ascii="Times New Roman" w:hAnsi="Times New Roman" w:cs="Times New Roman"/>
          <w:color w:val="auto"/>
          <w:kern w:val="21"/>
          <w:szCs w:val="22"/>
        </w:rPr>
        <w:t>——环保设施消耗费，万元/a；</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0</w:t>
      </w:r>
      <w:r>
        <w:rPr>
          <w:rFonts w:hint="default" w:ascii="Times New Roman" w:hAnsi="Times New Roman" w:cs="Times New Roman"/>
          <w:color w:val="auto"/>
          <w:kern w:val="21"/>
          <w:szCs w:val="22"/>
        </w:rPr>
        <w:t>——环保总投资，万元。</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经计算，该项目环保设施消耗费为81.25万元/a。</w:t>
      </w:r>
    </w:p>
    <w:p>
      <w:pPr>
        <w:overflowPunct w:val="0"/>
        <w:adjustRightInd w:val="0"/>
        <w:ind w:firstLine="480" w:firstLineChars="0"/>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（3）环保管理费</w:t>
      </w:r>
    </w:p>
    <w:p>
      <w:pPr>
        <w:overflowPunct w:val="0"/>
        <w:adjustRightInd w:val="0"/>
        <w:ind w:firstLine="480" w:firstLineChars="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环保管理费包括管理部门、监测部门的人工费、办公费、检测费和技术咨询费等费用，按环保投资的2%计算，计算公式为：</w:t>
      </w:r>
    </w:p>
    <w:p>
      <w:pPr>
        <w:overflowPunct w:val="0"/>
        <w:adjustRightInd w:val="0"/>
        <w:ind w:firstLine="480"/>
        <w:jc w:val="center"/>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3</w:t>
      </w: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0</w:t>
      </w:r>
      <w:r>
        <w:rPr>
          <w:rFonts w:hint="default" w:ascii="Times New Roman" w:hAnsi="Times New Roman" w:cs="Times New Roman"/>
          <w:color w:val="auto"/>
          <w:kern w:val="21"/>
          <w:szCs w:val="22"/>
        </w:rPr>
        <w:t>×2%</w:t>
      </w:r>
    </w:p>
    <w:p>
      <w:pPr>
        <w:overflowPunct w:val="0"/>
        <w:adjustRightInd w:val="0"/>
        <w:ind w:firstLine="480" w:firstLineChars="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式中：</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3</w:t>
      </w:r>
      <w:r>
        <w:rPr>
          <w:rFonts w:hint="default" w:ascii="Times New Roman" w:hAnsi="Times New Roman" w:cs="Times New Roman"/>
          <w:color w:val="auto"/>
          <w:kern w:val="21"/>
          <w:szCs w:val="22"/>
        </w:rPr>
        <w:t>——环保管理费，万元/a；</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C</w:t>
      </w:r>
      <w:r>
        <w:rPr>
          <w:rFonts w:hint="default" w:ascii="Times New Roman" w:hAnsi="Times New Roman" w:cs="Times New Roman"/>
          <w:color w:val="auto"/>
          <w:kern w:val="21"/>
          <w:szCs w:val="22"/>
          <w:vertAlign w:val="subscript"/>
        </w:rPr>
        <w:t>0</w:t>
      </w:r>
      <w:r>
        <w:rPr>
          <w:rFonts w:hint="default" w:ascii="Times New Roman" w:hAnsi="Times New Roman" w:cs="Times New Roman"/>
          <w:color w:val="auto"/>
          <w:kern w:val="21"/>
          <w:szCs w:val="22"/>
        </w:rPr>
        <w:t>——环保总投资，万元。</w:t>
      </w:r>
    </w:p>
    <w:p>
      <w:pPr>
        <w:overflowPunct w:val="0"/>
        <w:adjustRightInd w:val="0"/>
        <w:ind w:firstLine="480" w:firstLineChars="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经计算，该项目的环保管理费为16.25万元/a。</w:t>
      </w:r>
    </w:p>
    <w:p>
      <w:pPr>
        <w:overflowPunct w:val="0"/>
        <w:adjustRightInd w:val="0"/>
        <w:ind w:firstLine="480" w:firstLineChars="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综上，该项目环保设施费用合计为243.75万元/a。</w:t>
      </w:r>
    </w:p>
    <w:p>
      <w:pPr>
        <w:pStyle w:val="4"/>
        <w:adjustRightInd w:val="0"/>
        <w:rPr>
          <w:rFonts w:hint="default" w:ascii="Times New Roman" w:hAnsi="Times New Roman" w:cs="Times New Roman"/>
          <w:color w:val="auto"/>
        </w:rPr>
      </w:pPr>
      <w:bookmarkStart w:id="305" w:name="_Toc350"/>
      <w:bookmarkStart w:id="306" w:name="_Toc23438"/>
      <w:bookmarkStart w:id="307" w:name="_Toc17078"/>
      <w:r>
        <w:rPr>
          <w:rFonts w:hint="default" w:ascii="Times New Roman" w:hAnsi="Times New Roman" w:cs="Times New Roman"/>
          <w:color w:val="auto"/>
        </w:rPr>
        <w:t>环保设施效益</w:t>
      </w:r>
      <w:bookmarkEnd w:id="305"/>
      <w:bookmarkEnd w:id="306"/>
      <w:bookmarkEnd w:id="307"/>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（1）直接经济效益</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保设施投入使用后，除了可减少污染物的排放外，还可回收部分可利用资源、节约用水，因此具有一定的经济效益，本项目回收利用的主要为选矿用水、布袋收尘、沉淀池泥渣等，产生的经济效益约为600万元/a。</w:t>
      </w:r>
    </w:p>
    <w:p>
      <w:pPr>
        <w:overflowPunct w:val="0"/>
        <w:adjustRightInd w:val="0"/>
        <w:ind w:firstLine="480" w:firstLineChars="0"/>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（2）间接效益</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间接效益主要指该项目环保设施带来的社会效益，包括环境污染损失的减少，人体健康的保护费用的减少等。间接效益很难用货币衡量，因此本评价暂不计算该部分经济效益。</w:t>
      </w:r>
    </w:p>
    <w:p>
      <w:pPr>
        <w:pStyle w:val="4"/>
        <w:adjustRightInd w:val="0"/>
        <w:rPr>
          <w:rFonts w:hint="default" w:ascii="Times New Roman" w:hAnsi="Times New Roman" w:cs="Times New Roman"/>
          <w:color w:val="auto"/>
        </w:rPr>
      </w:pPr>
      <w:bookmarkStart w:id="308" w:name="_Toc8847"/>
      <w:bookmarkStart w:id="309" w:name="_Toc5457"/>
      <w:bookmarkStart w:id="310" w:name="_Toc3342"/>
      <w:r>
        <w:rPr>
          <w:rFonts w:hint="default" w:ascii="Times New Roman" w:hAnsi="Times New Roman" w:cs="Times New Roman"/>
          <w:color w:val="auto"/>
        </w:rPr>
        <w:t>环境经济效益评价</w:t>
      </w:r>
      <w:bookmarkEnd w:id="308"/>
      <w:bookmarkEnd w:id="309"/>
      <w:bookmarkEnd w:id="310"/>
    </w:p>
    <w:p>
      <w:pPr>
        <w:overflowPunct w:val="0"/>
        <w:adjustRightInd w:val="0"/>
        <w:ind w:firstLine="480" w:firstLineChars="0"/>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（1）年净效益</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年净效益指项目达产</w:t>
      </w:r>
      <w:bookmarkStart w:id="311" w:name="OLE_LINK48"/>
      <w:r>
        <w:rPr>
          <w:rFonts w:hint="default" w:ascii="Times New Roman" w:hAnsi="Times New Roman" w:cs="Times New Roman"/>
          <w:color w:val="auto"/>
          <w:kern w:val="21"/>
          <w:szCs w:val="22"/>
        </w:rPr>
        <w:t>年环境保护措施产生的经济效益扣除采取这些措施的费用后的效益。在扣除污染治理投入的费用后</w:t>
      </w:r>
      <w:bookmarkEnd w:id="311"/>
      <w:r>
        <w:rPr>
          <w:rFonts w:hint="default" w:ascii="Times New Roman" w:hAnsi="Times New Roman" w:cs="Times New Roman"/>
          <w:color w:val="auto"/>
          <w:kern w:val="21"/>
          <w:szCs w:val="22"/>
        </w:rPr>
        <w:t>，项目环境保护措施取得的年净效益约330万元。</w:t>
      </w:r>
    </w:p>
    <w:p>
      <w:pPr>
        <w:overflowPunct w:val="0"/>
        <w:adjustRightInd w:val="0"/>
        <w:ind w:firstLine="480" w:firstLineChars="0"/>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（2）环保设施经济效益</w:t>
      </w:r>
    </w:p>
    <w:p>
      <w:pPr>
        <w:overflowPunct w:val="0"/>
        <w:adjustRightInd w:val="0"/>
        <w:ind w:firstLine="480" w:firstLineChars="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环保设施经济效益是指环保设施获得的经济效益与环保设施费用的比值。采用下式计算：</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环保费用经济效益=效益/费用</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经计算，本项目环保设施的经济效益约为1.35，即环保设施费用每投入1元，可产生1.35元的经济效益，项目具有一定的环境效益。</w:t>
      </w:r>
    </w:p>
    <w:p>
      <w:pPr>
        <w:pStyle w:val="3"/>
        <w:adjustRightInd w:val="0"/>
        <w:rPr>
          <w:rFonts w:hint="default" w:ascii="Times New Roman" w:hAnsi="Times New Roman" w:cs="Times New Roman"/>
          <w:color w:val="auto"/>
        </w:rPr>
      </w:pPr>
      <w:bookmarkStart w:id="312" w:name="_Toc23454"/>
      <w:bookmarkStart w:id="313" w:name="_Toc16257"/>
      <w:bookmarkStart w:id="314" w:name="_Toc1354"/>
      <w:r>
        <w:rPr>
          <w:rFonts w:hint="default" w:ascii="Times New Roman" w:hAnsi="Times New Roman" w:cs="Times New Roman"/>
          <w:color w:val="auto"/>
        </w:rPr>
        <w:t>小结</w:t>
      </w:r>
      <w:bookmarkEnd w:id="312"/>
      <w:bookmarkEnd w:id="313"/>
      <w:bookmarkEnd w:id="314"/>
    </w:p>
    <w:p>
      <w:pPr>
        <w:overflowPunct w:val="0"/>
        <w:adjustRightInd w:val="0"/>
        <w:ind w:firstLine="480"/>
        <w:rPr>
          <w:rFonts w:hint="default" w:ascii="Times New Roman" w:hAnsi="Times New Roman" w:cs="Times New Roman"/>
          <w:color w:val="auto"/>
          <w:kern w:val="21"/>
          <w:szCs w:val="22"/>
        </w:rPr>
        <w:sectPr>
          <w:pgSz w:w="11906" w:h="16838"/>
          <w:pgMar w:top="1134" w:right="1531" w:bottom="1134" w:left="1531" w:header="851" w:footer="907" w:gutter="0"/>
          <w:cols w:space="425" w:num="1"/>
          <w:docGrid w:type="lines" w:linePitch="312" w:charSpace="0"/>
        </w:sectPr>
      </w:pPr>
      <w:r>
        <w:rPr>
          <w:rFonts w:hint="default" w:ascii="Times New Roman" w:hAnsi="Times New Roman" w:cs="Times New Roman"/>
          <w:color w:val="auto"/>
          <w:kern w:val="21"/>
          <w:szCs w:val="22"/>
        </w:rPr>
        <w:t>综上所述，由于本项目在建设时认真贯彻执行清洁生产和循环经济、污染物达标排放、污染物总量控制等环保政策，尽可能减少污染物的产生量和排放量，该项目建成投产后，可取得较好的项目经济效益、社会效益和环境效益，可以达到三者协调发展的目的。</w:t>
      </w:r>
    </w:p>
    <w:p>
      <w:pPr>
        <w:pStyle w:val="2"/>
        <w:adjustRightInd w:val="0"/>
        <w:rPr>
          <w:rFonts w:hint="default" w:ascii="Times New Roman" w:hAnsi="Times New Roman" w:cs="Times New Roman"/>
          <w:color w:val="auto"/>
        </w:rPr>
      </w:pPr>
      <w:bookmarkStart w:id="315" w:name="_Toc2912"/>
      <w:bookmarkStart w:id="316" w:name="_Toc2166"/>
      <w:bookmarkStart w:id="317" w:name="_Toc17256"/>
      <w:r>
        <w:rPr>
          <w:rFonts w:hint="default" w:ascii="Times New Roman" w:hAnsi="Times New Roman" w:cs="Times New Roman"/>
          <w:color w:val="auto"/>
        </w:rPr>
        <w:t>环境管理与环境监测计划</w:t>
      </w:r>
      <w:bookmarkEnd w:id="315"/>
      <w:bookmarkEnd w:id="316"/>
      <w:bookmarkEnd w:id="317"/>
    </w:p>
    <w:p>
      <w:pPr>
        <w:pStyle w:val="3"/>
        <w:adjustRightInd w:val="0"/>
        <w:rPr>
          <w:rFonts w:hint="default" w:ascii="Times New Roman" w:hAnsi="Times New Roman" w:cs="Times New Roman"/>
          <w:color w:val="auto"/>
        </w:rPr>
      </w:pPr>
      <w:bookmarkStart w:id="318" w:name="_Toc5838"/>
      <w:bookmarkStart w:id="319" w:name="_Toc26055"/>
      <w:bookmarkStart w:id="320" w:name="_Toc9807"/>
      <w:r>
        <w:rPr>
          <w:rFonts w:hint="default" w:ascii="Times New Roman" w:hAnsi="Times New Roman" w:cs="Times New Roman"/>
          <w:color w:val="auto"/>
        </w:rPr>
        <w:t>环境管理的目的和意义</w:t>
      </w:r>
      <w:bookmarkEnd w:id="318"/>
      <w:bookmarkEnd w:id="319"/>
      <w:bookmarkEnd w:id="320"/>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境管理的目的是对损坏环境质量的人为活动施加影响，以协调经济与环境的关系，既达到发展经济满足人类的需要，又不超出环境容量的限制。拟建工程对环境的影响主要来自施工期、运行期的各种作业活动及运行期的风险事故。无论是各种作业活动，还是事故事件，都将会给自然环境和人们的生产生活带来较大的影响，为最大限度地减轻施工作业及生产过程中对环境的影响，确保生产过程环境安全和高效生产，建立科学有效的环境管理体制，落实各项环保和安全措施显得尤为重要。通过建立环境管理体系，提高员工环保意识、规范企业管理、推行清洁生产，实现污染预防，以实现环境效益、社会效益、经济效益的统一。</w:t>
      </w:r>
    </w:p>
    <w:p>
      <w:pPr>
        <w:pStyle w:val="3"/>
        <w:adjustRightInd w:val="0"/>
        <w:rPr>
          <w:rFonts w:hint="default" w:ascii="Times New Roman" w:hAnsi="Times New Roman" w:cs="Times New Roman"/>
          <w:color w:val="auto"/>
        </w:rPr>
      </w:pPr>
      <w:bookmarkStart w:id="321" w:name="_Toc1813"/>
      <w:bookmarkStart w:id="322" w:name="_Toc31828"/>
      <w:bookmarkStart w:id="323" w:name="_Toc6748"/>
      <w:bookmarkStart w:id="324" w:name="_Toc485857008"/>
      <w:bookmarkStart w:id="325" w:name="_Toc498877053"/>
      <w:bookmarkStart w:id="326" w:name="_Toc480895143"/>
      <w:bookmarkStart w:id="327" w:name="_Toc485748368"/>
      <w:r>
        <w:rPr>
          <w:rFonts w:hint="default" w:ascii="Times New Roman" w:hAnsi="Times New Roman" w:cs="Times New Roman"/>
          <w:color w:val="auto"/>
        </w:rPr>
        <w:t>环境管理机构及职责</w:t>
      </w:r>
      <w:bookmarkEnd w:id="321"/>
      <w:bookmarkEnd w:id="322"/>
      <w:bookmarkEnd w:id="323"/>
    </w:p>
    <w:bookmarkEnd w:id="324"/>
    <w:bookmarkEnd w:id="325"/>
    <w:bookmarkEnd w:id="326"/>
    <w:bookmarkEnd w:id="327"/>
    <w:p>
      <w:pPr>
        <w:pStyle w:val="4"/>
        <w:adjustRightInd w:val="0"/>
        <w:rPr>
          <w:rFonts w:hint="default" w:ascii="Times New Roman" w:hAnsi="Times New Roman" w:cs="Times New Roman"/>
          <w:color w:val="auto"/>
        </w:rPr>
      </w:pPr>
      <w:bookmarkStart w:id="328" w:name="_Toc27778"/>
      <w:bookmarkStart w:id="329" w:name="_Toc20125"/>
      <w:bookmarkStart w:id="330" w:name="_Toc19036"/>
      <w:r>
        <w:rPr>
          <w:rFonts w:hint="default" w:ascii="Times New Roman" w:hAnsi="Times New Roman" w:cs="Times New Roman"/>
          <w:color w:val="auto"/>
        </w:rPr>
        <w:t>环境管理机构</w:t>
      </w:r>
      <w:bookmarkEnd w:id="328"/>
      <w:bookmarkEnd w:id="329"/>
      <w:bookmarkEnd w:id="330"/>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境管理机构分为企业外部环境管理机构和企业内部环境管理机构。企业外部环境管理机构指政府性环境管理机构，主要有四川省生态环境厅、乐山市生态环境局等；企业内部环境管理机构是指工程投资建设方所建立的环境保护专门机构。</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企业内部环境管理机构作为企业管理体系中的一部分，应与之相协调统一。实行企业总经理领导下的“一人主管，分工负责；职能部门，各负其责；落实基层，监督考核”的原则，建立以企业领导为核心，安全环保部为基础的全员责任制的环境管理体系。使环境管理贯穿于企业管理的整个过程，并落实到企业的各个层次，分解到生产的各个环节，把企业管理与环境管理紧密地结合起来，不但要建立完善的企业管理体系和各种规章制度，也要建立完善的环境管理体系和各种规章制度，使企业的环境管理工作真正落到实处。</w:t>
      </w:r>
    </w:p>
    <w:p>
      <w:pPr>
        <w:pStyle w:val="4"/>
        <w:adjustRightInd w:val="0"/>
        <w:rPr>
          <w:rFonts w:hint="default" w:ascii="Times New Roman" w:hAnsi="Times New Roman" w:cs="Times New Roman"/>
          <w:color w:val="auto"/>
        </w:rPr>
      </w:pPr>
      <w:bookmarkStart w:id="331" w:name="_Toc26521"/>
      <w:bookmarkStart w:id="332" w:name="_Toc30488"/>
      <w:bookmarkStart w:id="333" w:name="_Toc20777"/>
      <w:r>
        <w:rPr>
          <w:rFonts w:hint="default" w:ascii="Times New Roman" w:hAnsi="Times New Roman" w:cs="Times New Roman"/>
          <w:color w:val="auto"/>
        </w:rPr>
        <w:t>环境管理机构职责</w:t>
      </w:r>
      <w:bookmarkEnd w:id="331"/>
      <w:bookmarkEnd w:id="332"/>
      <w:bookmarkEnd w:id="333"/>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（1）贯彻执行国家和自治区的环境保护方针、政策、法律、法规和有关环境标准的实施。</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（2）制订和修改全厂环保管理的规章制度，并监督和检查执行情况。</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（3）制订并组织实施全厂的环境保护规划和年度计划以及科研与监测计划。</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（4）监督并定期检查各车间环保设施的管理和运行情况，发现问题及时会同有关部门解决，保证全厂环保设施处于完好状态。</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（5）负责组织环保事故的及时处理工作。</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（6）检查指导环保监测站的监测工作。</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（7）推广应用环保先进技术与经验。</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（8）组织和推广实施清洁生产工作。</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（9）组织全厂环保工作人员和环保岗位工人的日常业务技术学习、专业进修和业务技术培训。</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（10）组织对全体职工进行环保宣传教育工作，增强全体职工的环保意识。</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（11）组织全厂的环保评比考核，严格执行环保奖惩制度。</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（12）负责环保技术资料的日常管理和归档工作。</w:t>
      </w:r>
    </w:p>
    <w:p>
      <w:pPr>
        <w:pStyle w:val="4"/>
        <w:adjustRightInd w:val="0"/>
        <w:rPr>
          <w:rFonts w:hint="default" w:ascii="Times New Roman" w:hAnsi="Times New Roman" w:cs="Times New Roman"/>
          <w:color w:val="auto"/>
        </w:rPr>
      </w:pPr>
      <w:bookmarkStart w:id="334" w:name="_Toc22301"/>
      <w:bookmarkStart w:id="335" w:name="_Toc9213"/>
      <w:bookmarkStart w:id="336" w:name="_Toc14360"/>
      <w:bookmarkStart w:id="337" w:name="_Toc32076"/>
      <w:r>
        <w:rPr>
          <w:rFonts w:hint="default" w:ascii="Times New Roman" w:hAnsi="Times New Roman" w:cs="Times New Roman"/>
          <w:color w:val="auto"/>
        </w:rPr>
        <w:t>执行机构工作内容</w:t>
      </w:r>
      <w:bookmarkEnd w:id="334"/>
      <w:bookmarkEnd w:id="335"/>
      <w:bookmarkEnd w:id="336"/>
      <w:bookmarkEnd w:id="337"/>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接受各级生态环境局的工作指导、管理和环保机构的监督；执行环保法律法规，落实环境影响评价、设计与环保工作计划中的每一项环保措施；保证环保设施的正常运转，设立环保管理机构和监督机构、人员，对项目排污进行自我监测，建立污染源档案并定期报告当地生态环境部门；承担污染源复查和抽查费用。</w:t>
      </w:r>
    </w:p>
    <w:p>
      <w:pPr>
        <w:pStyle w:val="3"/>
        <w:adjustRightInd w:val="0"/>
        <w:rPr>
          <w:rFonts w:hint="default" w:ascii="Times New Roman" w:hAnsi="Times New Roman" w:cs="Times New Roman"/>
          <w:color w:val="auto"/>
        </w:rPr>
      </w:pPr>
      <w:bookmarkStart w:id="338" w:name="_Toc30135"/>
      <w:bookmarkStart w:id="339" w:name="_Toc15757"/>
      <w:bookmarkStart w:id="340" w:name="_Toc28429"/>
      <w:r>
        <w:rPr>
          <w:rFonts w:hint="default" w:ascii="Times New Roman" w:hAnsi="Times New Roman" w:cs="Times New Roman"/>
          <w:color w:val="auto"/>
        </w:rPr>
        <w:t>环境管理</w:t>
      </w:r>
      <w:bookmarkEnd w:id="338"/>
      <w:bookmarkEnd w:id="339"/>
      <w:bookmarkEnd w:id="340"/>
    </w:p>
    <w:p>
      <w:pPr>
        <w:pStyle w:val="4"/>
        <w:adjustRightInd w:val="0"/>
        <w:rPr>
          <w:rFonts w:hint="default" w:ascii="Times New Roman" w:hAnsi="Times New Roman" w:cs="Times New Roman"/>
          <w:color w:val="auto"/>
        </w:rPr>
      </w:pPr>
      <w:bookmarkStart w:id="341" w:name="_Toc10627"/>
      <w:bookmarkStart w:id="342" w:name="_Toc32560"/>
      <w:bookmarkStart w:id="343" w:name="_Toc30208"/>
      <w:bookmarkStart w:id="344" w:name="_Toc27449"/>
      <w:r>
        <w:rPr>
          <w:rFonts w:hint="default" w:ascii="Times New Roman" w:hAnsi="Times New Roman" w:cs="Times New Roman"/>
          <w:color w:val="auto"/>
        </w:rPr>
        <w:t>环境管理总体规划</w:t>
      </w:r>
      <w:bookmarkEnd w:id="341"/>
      <w:bookmarkEnd w:id="342"/>
      <w:bookmarkEnd w:id="343"/>
      <w:bookmarkEnd w:id="344"/>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环境管理应该贯穿于建设项目从立项到运行的整个过程，并对建设项目的不同阶段制定相应的环保条例，规定不同阶段的环保内容，明确不同部门的工作职责，具体见下表所示。</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建设项目环境管理工作职责表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7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79"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阶段</w:t>
            </w:r>
          </w:p>
        </w:tc>
        <w:tc>
          <w:tcPr>
            <w:tcW w:w="4020"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79" w:type="pct"/>
            <w:vMerge w:val="restar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建设、调试阶段</w:t>
            </w:r>
          </w:p>
        </w:tc>
        <w:tc>
          <w:tcPr>
            <w:tcW w:w="402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完善准备、最大限度减少事故发生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79" w:type="pct"/>
            <w:vMerge w:val="continue"/>
            <w:vAlign w:val="center"/>
          </w:tcPr>
          <w:p>
            <w:pPr>
              <w:pStyle w:val="65"/>
              <w:spacing w:before="62" w:after="62"/>
              <w:rPr>
                <w:rFonts w:hint="default" w:ascii="Times New Roman" w:hAnsi="Times New Roman" w:cs="Times New Roman"/>
                <w:color w:val="auto"/>
              </w:rPr>
            </w:pPr>
          </w:p>
        </w:tc>
        <w:tc>
          <w:tcPr>
            <w:tcW w:w="402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严格施工设计监理，保证工程质量；检查环保措施的执行；加强环保设备运行检查，力求达标；避免超标排污；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79" w:type="pct"/>
            <w:vMerge w:val="restar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信息反馈和群众监督</w:t>
            </w:r>
          </w:p>
        </w:tc>
        <w:tc>
          <w:tcPr>
            <w:tcW w:w="402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反馈监督数据，加强群众监督，改进污染治理工作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79" w:type="pct"/>
            <w:vMerge w:val="continue"/>
            <w:vAlign w:val="center"/>
          </w:tcPr>
          <w:p>
            <w:pPr>
              <w:pStyle w:val="65"/>
              <w:spacing w:before="62" w:after="62"/>
              <w:rPr>
                <w:rFonts w:hint="default" w:ascii="Times New Roman" w:hAnsi="Times New Roman" w:cs="Times New Roman"/>
                <w:color w:val="auto"/>
              </w:rPr>
            </w:pPr>
          </w:p>
        </w:tc>
        <w:tc>
          <w:tcPr>
            <w:tcW w:w="4020"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建立奖惩制度确保环保设施正常运转；整理监测数据，技术部据此研究并改进环保治理措施；收集附近居民意见并选举代表作为监督员</w:t>
            </w:r>
          </w:p>
        </w:tc>
      </w:tr>
    </w:tbl>
    <w:p>
      <w:pPr>
        <w:pStyle w:val="4"/>
        <w:adjustRightInd w:val="0"/>
        <w:rPr>
          <w:rFonts w:hint="default" w:ascii="Times New Roman" w:hAnsi="Times New Roman" w:cs="Times New Roman"/>
          <w:color w:val="auto"/>
        </w:rPr>
      </w:pPr>
      <w:bookmarkStart w:id="345" w:name="_Toc21507"/>
      <w:bookmarkStart w:id="346" w:name="_Toc1825"/>
      <w:bookmarkStart w:id="347" w:name="_Toc3206"/>
      <w:bookmarkStart w:id="348" w:name="_Toc19313"/>
      <w:r>
        <w:rPr>
          <w:rFonts w:hint="default" w:ascii="Times New Roman" w:hAnsi="Times New Roman" w:cs="Times New Roman"/>
          <w:color w:val="auto"/>
        </w:rPr>
        <w:t>环境管理指标体系</w:t>
      </w:r>
      <w:bookmarkEnd w:id="345"/>
      <w:bookmarkEnd w:id="346"/>
      <w:bookmarkEnd w:id="347"/>
      <w:bookmarkEnd w:id="348"/>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为了提高企业环境管理水平，优化环境治理方案，要求建立企业环境管理指标体系，通过指标体系的完成情况，调整环保工作重点，做到全面落实，逐步提高。企业环境管理指标体系见下图。</w:t>
      </w:r>
    </w:p>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mc:AlternateContent>
          <mc:Choice Requires="wpg">
            <w:drawing>
              <wp:inline distT="0" distB="0" distL="114300" distR="114300">
                <wp:extent cx="5200015" cy="2242185"/>
                <wp:effectExtent l="4445" t="5080" r="15240" b="19685"/>
                <wp:docPr id="148" name="组合 148"/>
                <wp:cNvGraphicFramePr/>
                <a:graphic xmlns:a="http://schemas.openxmlformats.org/drawingml/2006/main">
                  <a:graphicData uri="http://schemas.microsoft.com/office/word/2010/wordprocessingGroup">
                    <wpg:wgp>
                      <wpg:cNvGrpSpPr/>
                      <wpg:grpSpPr>
                        <a:xfrm>
                          <a:off x="0" y="0"/>
                          <a:ext cx="5200015" cy="2242140"/>
                          <a:chOff x="1753" y="11232"/>
                          <a:chExt cx="7992" cy="3331"/>
                        </a:xfrm>
                      </wpg:grpSpPr>
                      <wps:wsp>
                        <wps:cNvPr id="90" name="文本框 90"/>
                        <wps:cNvSpPr txBox="1"/>
                        <wps:spPr>
                          <a:xfrm>
                            <a:off x="4023" y="11232"/>
                            <a:ext cx="2971"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21"/>
                                  <w:szCs w:val="22"/>
                                </w:rPr>
                              </w:pPr>
                              <w:r>
                                <w:rPr>
                                  <w:rFonts w:hint="eastAsia" w:cs="Times New Roman"/>
                                  <w:sz w:val="21"/>
                                  <w:szCs w:val="22"/>
                                </w:rPr>
                                <w:t>环境管理指标体系</w:t>
                              </w:r>
                            </w:p>
                          </w:txbxContent>
                        </wps:txbx>
                        <wps:bodyPr lIns="10800" tIns="10800" rIns="10800" bIns="10800" upright="1"/>
                      </wps:wsp>
                      <wps:wsp>
                        <wps:cNvPr id="91" name="文本框 91"/>
                        <wps:cNvSpPr txBox="1"/>
                        <wps:spPr>
                          <a:xfrm>
                            <a:off x="3515" y="11936"/>
                            <a:ext cx="1415"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21"/>
                                  <w:szCs w:val="22"/>
                                </w:rPr>
                              </w:pPr>
                              <w:r>
                                <w:rPr>
                                  <w:rFonts w:hint="eastAsia" w:cs="Times New Roman"/>
                                  <w:sz w:val="21"/>
                                  <w:szCs w:val="22"/>
                                </w:rPr>
                                <w:t>直接指标</w:t>
                              </w:r>
                            </w:p>
                          </w:txbxContent>
                        </wps:txbx>
                        <wps:bodyPr lIns="10800" tIns="10800" rIns="10800" bIns="10800" upright="1"/>
                      </wps:wsp>
                      <wps:wsp>
                        <wps:cNvPr id="96" name="文本框 96"/>
                        <wps:cNvSpPr txBox="1"/>
                        <wps:spPr>
                          <a:xfrm>
                            <a:off x="6320" y="11936"/>
                            <a:ext cx="1594"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21"/>
                                  <w:szCs w:val="22"/>
                                </w:rPr>
                              </w:pPr>
                              <w:r>
                                <w:rPr>
                                  <w:rFonts w:hint="eastAsia" w:cs="Times New Roman"/>
                                  <w:sz w:val="21"/>
                                  <w:szCs w:val="22"/>
                                </w:rPr>
                                <w:t>间接指标</w:t>
                              </w:r>
                            </w:p>
                          </w:txbxContent>
                        </wps:txbx>
                        <wps:bodyPr lIns="10800" tIns="10800" rIns="10800" bIns="10800" upright="1"/>
                      </wps:wsp>
                      <wpg:grpSp>
                        <wpg:cNvPr id="103" name="组合 103"/>
                        <wpg:cNvGrpSpPr/>
                        <wpg:grpSpPr>
                          <a:xfrm>
                            <a:off x="1753" y="12761"/>
                            <a:ext cx="7882" cy="363"/>
                            <a:chOff x="0" y="0"/>
                            <a:chExt cx="8595" cy="393"/>
                          </a:xfrm>
                        </wpg:grpSpPr>
                        <wps:wsp>
                          <wps:cNvPr id="97" name="文本框 97"/>
                          <wps:cNvSpPr txBox="1"/>
                          <wps:spPr>
                            <a:xfrm>
                              <a:off x="0" y="0"/>
                              <a:ext cx="120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180" w:lineRule="atLeast"/>
                                  <w:ind w:firstLine="0" w:firstLineChars="0"/>
                                  <w:rPr>
                                    <w:rFonts w:cs="Times New Roman"/>
                                    <w:sz w:val="18"/>
                                    <w:szCs w:val="22"/>
                                  </w:rPr>
                                </w:pPr>
                                <w:r>
                                  <w:rPr>
                                    <w:rFonts w:hint="eastAsia" w:cs="Times New Roman"/>
                                    <w:sz w:val="18"/>
                                    <w:szCs w:val="22"/>
                                  </w:rPr>
                                  <w:t>监督管理</w:t>
                                </w:r>
                              </w:p>
                            </w:txbxContent>
                          </wps:txbx>
                          <wps:bodyPr lIns="91440" tIns="10800" rIns="91440" bIns="10800" upright="1"/>
                        </wps:wsp>
                        <wps:wsp>
                          <wps:cNvPr id="98" name="文本框 98"/>
                          <wps:cNvSpPr txBox="1"/>
                          <wps:spPr>
                            <a:xfrm>
                              <a:off x="1290" y="0"/>
                              <a:ext cx="162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180" w:lineRule="atLeast"/>
                                  <w:ind w:firstLine="0" w:firstLineChars="0"/>
                                  <w:rPr>
                                    <w:rFonts w:cs="Times New Roman"/>
                                    <w:sz w:val="18"/>
                                    <w:szCs w:val="22"/>
                                  </w:rPr>
                                </w:pPr>
                                <w:r>
                                  <w:rPr>
                                    <w:rFonts w:hint="eastAsia" w:cs="Times New Roman"/>
                                    <w:sz w:val="18"/>
                                    <w:szCs w:val="22"/>
                                  </w:rPr>
                                  <w:t>环境质量指标</w:t>
                                </w:r>
                              </w:p>
                            </w:txbxContent>
                          </wps:txbx>
                          <wps:bodyPr lIns="91440" tIns="10800" rIns="91440" bIns="10800" upright="1"/>
                        </wps:wsp>
                        <wps:wsp>
                          <wps:cNvPr id="99" name="文本框 99"/>
                          <wps:cNvSpPr txBox="1"/>
                          <wps:spPr>
                            <a:xfrm>
                              <a:off x="3030" y="0"/>
                              <a:ext cx="162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180" w:lineRule="atLeast"/>
                                  <w:ind w:firstLine="0" w:firstLineChars="0"/>
                                  <w:rPr>
                                    <w:rFonts w:cs="Times New Roman"/>
                                    <w:sz w:val="18"/>
                                    <w:szCs w:val="22"/>
                                  </w:rPr>
                                </w:pPr>
                                <w:r>
                                  <w:rPr>
                                    <w:rFonts w:hint="eastAsia" w:cs="Times New Roman"/>
                                    <w:sz w:val="18"/>
                                    <w:szCs w:val="22"/>
                                  </w:rPr>
                                  <w:t>总量控制指标</w:t>
                                </w:r>
                              </w:p>
                            </w:txbxContent>
                          </wps:txbx>
                          <wps:bodyPr lIns="91440" tIns="10800" rIns="91440" bIns="10800" upright="1"/>
                        </wps:wsp>
                        <wps:wsp>
                          <wps:cNvPr id="100" name="文本框 100"/>
                          <wps:cNvSpPr txBox="1"/>
                          <wps:spPr>
                            <a:xfrm>
                              <a:off x="4890" y="0"/>
                              <a:ext cx="117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180" w:lineRule="atLeast"/>
                                  <w:ind w:firstLine="0" w:firstLineChars="0"/>
                                  <w:rPr>
                                    <w:rFonts w:cs="Times New Roman"/>
                                    <w:sz w:val="18"/>
                                    <w:szCs w:val="22"/>
                                  </w:rPr>
                                </w:pPr>
                                <w:r>
                                  <w:rPr>
                                    <w:rFonts w:hint="eastAsia" w:cs="Times New Roman"/>
                                    <w:sz w:val="18"/>
                                    <w:szCs w:val="22"/>
                                  </w:rPr>
                                  <w:t>经济指标</w:t>
                                </w:r>
                              </w:p>
                            </w:txbxContent>
                          </wps:txbx>
                          <wps:bodyPr lIns="91440" tIns="10800" rIns="91440" bIns="10800" upright="1"/>
                        </wps:wsp>
                        <wps:wsp>
                          <wps:cNvPr id="101" name="文本框 101"/>
                          <wps:cNvSpPr txBox="1"/>
                          <wps:spPr>
                            <a:xfrm>
                              <a:off x="6150" y="0"/>
                              <a:ext cx="117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rPr>
                                    <w:rFonts w:cs="Times New Roman"/>
                                    <w:sz w:val="18"/>
                                    <w:szCs w:val="22"/>
                                  </w:rPr>
                                </w:pPr>
                                <w:r>
                                  <w:rPr>
                                    <w:rFonts w:hint="eastAsia" w:cs="Times New Roman"/>
                                    <w:sz w:val="18"/>
                                    <w:szCs w:val="22"/>
                                  </w:rPr>
                                  <w:t>社会指标</w:t>
                                </w:r>
                              </w:p>
                            </w:txbxContent>
                          </wps:txbx>
                          <wps:bodyPr lIns="91440" tIns="10800" rIns="91440" bIns="10800" upright="1"/>
                        </wps:wsp>
                        <wps:wsp>
                          <wps:cNvPr id="102" name="文本框 102"/>
                          <wps:cNvSpPr txBox="1"/>
                          <wps:spPr>
                            <a:xfrm>
                              <a:off x="7440" y="0"/>
                              <a:ext cx="1155"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rPr>
                                    <w:rFonts w:cs="Times New Roman"/>
                                    <w:sz w:val="18"/>
                                    <w:szCs w:val="22"/>
                                  </w:rPr>
                                </w:pPr>
                                <w:r>
                                  <w:rPr>
                                    <w:rFonts w:hint="eastAsia" w:cs="Times New Roman"/>
                                    <w:sz w:val="18"/>
                                    <w:szCs w:val="22"/>
                                  </w:rPr>
                                  <w:t>生态指标</w:t>
                                </w:r>
                              </w:p>
                            </w:txbxContent>
                          </wps:txbx>
                          <wps:bodyPr lIns="91440" tIns="10800" rIns="91440" bIns="10800" upright="1"/>
                        </wps:wsp>
                      </wpg:grpSp>
                      <wps:wsp>
                        <wps:cNvPr id="104" name="文本框 104"/>
                        <wps:cNvSpPr txBox="1"/>
                        <wps:spPr>
                          <a:xfrm>
                            <a:off x="1767" y="13581"/>
                            <a:ext cx="486"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三同时指标</w:t>
                              </w:r>
                            </w:p>
                          </w:txbxContent>
                        </wps:txbx>
                        <wps:bodyPr lIns="10800" tIns="10800" rIns="10800" bIns="10800" upright="1"/>
                      </wps:wsp>
                      <wps:wsp>
                        <wps:cNvPr id="105" name="文本框 105"/>
                        <wps:cNvSpPr txBox="1"/>
                        <wps:spPr>
                          <a:xfrm>
                            <a:off x="2386" y="13581"/>
                            <a:ext cx="495"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法规情况指标</w:t>
                              </w:r>
                            </w:p>
                          </w:txbxContent>
                        </wps:txbx>
                        <wps:bodyPr lIns="10800" tIns="10800" rIns="10800" bIns="10800" upright="1"/>
                      </wps:wsp>
                      <wps:wsp>
                        <wps:cNvPr id="106" name="文本框 106"/>
                        <wps:cNvSpPr txBox="1"/>
                        <wps:spPr>
                          <a:xfrm>
                            <a:off x="3266" y="13573"/>
                            <a:ext cx="49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废气及环境空气指标</w:t>
                              </w:r>
                            </w:p>
                          </w:txbxContent>
                        </wps:txbx>
                        <wps:bodyPr lIns="10800" tIns="10800" rIns="10800" bIns="10800" upright="1"/>
                      </wps:wsp>
                      <wps:wsp>
                        <wps:cNvPr id="107" name="文本框 107"/>
                        <wps:cNvSpPr txBox="1"/>
                        <wps:spPr>
                          <a:xfrm>
                            <a:off x="4119" y="13587"/>
                            <a:ext cx="495"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废水及水环境指标</w:t>
                              </w:r>
                            </w:p>
                          </w:txbxContent>
                        </wps:txbx>
                        <wps:bodyPr lIns="10800" tIns="10800" rIns="10800" bIns="10800" upright="1"/>
                      </wps:wsp>
                      <wps:wsp>
                        <wps:cNvPr id="108" name="文本框 108"/>
                        <wps:cNvSpPr txBox="1"/>
                        <wps:spPr>
                          <a:xfrm>
                            <a:off x="4766" y="13584"/>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噪声指标</w:t>
                              </w:r>
                            </w:p>
                          </w:txbxContent>
                        </wps:txbx>
                        <wps:bodyPr lIns="10800" tIns="10800" rIns="10800" bIns="10800" upright="1"/>
                      </wps:wsp>
                      <wps:wsp>
                        <wps:cNvPr id="117" name="文本框 117"/>
                        <wps:cNvSpPr txBox="1"/>
                        <wps:spPr>
                          <a:xfrm>
                            <a:off x="5412" y="13584"/>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固废指标</w:t>
                              </w:r>
                            </w:p>
                          </w:txbxContent>
                        </wps:txbx>
                        <wps:bodyPr lIns="10800" tIns="10800" rIns="10800" bIns="10800" upright="1"/>
                      </wps:wsp>
                      <wps:wsp>
                        <wps:cNvPr id="118" name="文本框 118"/>
                        <wps:cNvSpPr txBox="1"/>
                        <wps:spPr>
                          <a:xfrm>
                            <a:off x="6251" y="13589"/>
                            <a:ext cx="495"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产值指标</w:t>
                              </w:r>
                            </w:p>
                          </w:txbxContent>
                        </wps:txbx>
                        <wps:bodyPr lIns="10800" tIns="10800" rIns="10800" bIns="10800" upright="1"/>
                      </wps:wsp>
                      <wps:wsp>
                        <wps:cNvPr id="119" name="文本框 119"/>
                        <wps:cNvSpPr txBox="1"/>
                        <wps:spPr>
                          <a:xfrm>
                            <a:off x="6828" y="13589"/>
                            <a:ext cx="496"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资源指标</w:t>
                              </w:r>
                            </w:p>
                          </w:txbxContent>
                        </wps:txbx>
                        <wps:bodyPr lIns="10800" tIns="10800" rIns="10800" bIns="10800" upright="1"/>
                      </wps:wsp>
                      <wps:wsp>
                        <wps:cNvPr id="120" name="文本框 120"/>
                        <wps:cNvSpPr txBox="1"/>
                        <wps:spPr>
                          <a:xfrm>
                            <a:off x="8630" y="13574"/>
                            <a:ext cx="496"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自然指标</w:t>
                              </w:r>
                            </w:p>
                          </w:txbxContent>
                        </wps:txbx>
                        <wps:bodyPr lIns="10800" tIns="10800" rIns="10800" bIns="10800" upright="1"/>
                      </wps:wsp>
                      <wps:wsp>
                        <wps:cNvPr id="121" name="文本框 121"/>
                        <wps:cNvSpPr txBox="1"/>
                        <wps:spPr>
                          <a:xfrm>
                            <a:off x="9250" y="13566"/>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spacing w:line="240" w:lineRule="atLeast"/>
                                <w:ind w:firstLine="0" w:firstLineChars="0"/>
                                <w:jc w:val="center"/>
                                <w:rPr>
                                  <w:rFonts w:cs="Times New Roman"/>
                                  <w:sz w:val="18"/>
                                  <w:szCs w:val="22"/>
                                </w:rPr>
                              </w:pPr>
                              <w:r>
                                <w:rPr>
                                  <w:rFonts w:hint="eastAsia" w:cs="Times New Roman"/>
                                  <w:sz w:val="18"/>
                                  <w:szCs w:val="22"/>
                                </w:rPr>
                                <w:t>景观指标</w:t>
                              </w:r>
                            </w:p>
                          </w:txbxContent>
                        </wps:txbx>
                        <wps:bodyPr lIns="10800" tIns="10800" rIns="10800" bIns="10800" upright="1"/>
                      </wps:wsp>
                      <wps:wsp>
                        <wps:cNvPr id="122" name="直接连接符 122"/>
                        <wps:cNvCnPr/>
                        <wps:spPr>
                          <a:xfrm>
                            <a:off x="4504" y="11618"/>
                            <a:ext cx="1" cy="288"/>
                          </a:xfrm>
                          <a:prstGeom prst="line">
                            <a:avLst/>
                          </a:prstGeom>
                          <a:ln w="9525" cap="flat" cmpd="sng">
                            <a:solidFill>
                              <a:srgbClr val="000000"/>
                            </a:solidFill>
                            <a:prstDash val="solid"/>
                            <a:headEnd type="none" w="med" len="med"/>
                            <a:tailEnd type="none" w="med" len="med"/>
                          </a:ln>
                        </wps:spPr>
                        <wps:bodyPr/>
                      </wps:wsp>
                      <wps:wsp>
                        <wps:cNvPr id="123" name="直接连接符 123"/>
                        <wps:cNvCnPr/>
                        <wps:spPr>
                          <a:xfrm>
                            <a:off x="6485" y="11618"/>
                            <a:ext cx="1" cy="288"/>
                          </a:xfrm>
                          <a:prstGeom prst="line">
                            <a:avLst/>
                          </a:prstGeom>
                          <a:ln w="9525" cap="flat" cmpd="sng">
                            <a:solidFill>
                              <a:srgbClr val="000000"/>
                            </a:solidFill>
                            <a:prstDash val="solid"/>
                            <a:headEnd type="none" w="med" len="med"/>
                            <a:tailEnd type="none" w="med" len="med"/>
                          </a:ln>
                        </wps:spPr>
                        <wps:bodyPr/>
                      </wps:wsp>
                      <wps:wsp>
                        <wps:cNvPr id="124" name="直接连接符 124"/>
                        <wps:cNvCnPr/>
                        <wps:spPr>
                          <a:xfrm>
                            <a:off x="2193" y="12514"/>
                            <a:ext cx="3136" cy="1"/>
                          </a:xfrm>
                          <a:prstGeom prst="line">
                            <a:avLst/>
                          </a:prstGeom>
                          <a:ln w="9525" cap="flat" cmpd="sng">
                            <a:solidFill>
                              <a:srgbClr val="000000"/>
                            </a:solidFill>
                            <a:prstDash val="solid"/>
                            <a:headEnd type="none" w="med" len="med"/>
                            <a:tailEnd type="none" w="med" len="med"/>
                          </a:ln>
                        </wps:spPr>
                        <wps:bodyPr/>
                      </wps:wsp>
                      <wps:wsp>
                        <wps:cNvPr id="125" name="直接连接符 125"/>
                        <wps:cNvCnPr/>
                        <wps:spPr>
                          <a:xfrm>
                            <a:off x="4009" y="12298"/>
                            <a:ext cx="1" cy="230"/>
                          </a:xfrm>
                          <a:prstGeom prst="line">
                            <a:avLst/>
                          </a:prstGeom>
                          <a:ln w="9525" cap="flat" cmpd="sng">
                            <a:solidFill>
                              <a:srgbClr val="000000"/>
                            </a:solidFill>
                            <a:prstDash val="solid"/>
                            <a:headEnd type="none" w="med" len="med"/>
                            <a:tailEnd type="none" w="med" len="med"/>
                          </a:ln>
                        </wps:spPr>
                        <wps:bodyPr/>
                      </wps:wsp>
                      <wps:wsp>
                        <wps:cNvPr id="126" name="直接连接符 126"/>
                        <wps:cNvCnPr/>
                        <wps:spPr>
                          <a:xfrm>
                            <a:off x="2193" y="12533"/>
                            <a:ext cx="1" cy="231"/>
                          </a:xfrm>
                          <a:prstGeom prst="line">
                            <a:avLst/>
                          </a:prstGeom>
                          <a:ln w="9525" cap="flat" cmpd="sng">
                            <a:solidFill>
                              <a:srgbClr val="000000"/>
                            </a:solidFill>
                            <a:prstDash val="solid"/>
                            <a:headEnd type="none" w="med" len="med"/>
                            <a:tailEnd type="none" w="med" len="med"/>
                          </a:ln>
                        </wps:spPr>
                        <wps:bodyPr/>
                      </wps:wsp>
                      <wps:wsp>
                        <wps:cNvPr id="127" name="直接连接符 127"/>
                        <wps:cNvCnPr/>
                        <wps:spPr>
                          <a:xfrm>
                            <a:off x="3665" y="12514"/>
                            <a:ext cx="1" cy="230"/>
                          </a:xfrm>
                          <a:prstGeom prst="line">
                            <a:avLst/>
                          </a:prstGeom>
                          <a:ln w="9525" cap="flat" cmpd="sng">
                            <a:solidFill>
                              <a:srgbClr val="000000"/>
                            </a:solidFill>
                            <a:prstDash val="solid"/>
                            <a:headEnd type="none" w="med" len="med"/>
                            <a:tailEnd type="none" w="med" len="med"/>
                          </a:ln>
                        </wps:spPr>
                        <wps:bodyPr/>
                      </wps:wsp>
                      <wps:wsp>
                        <wps:cNvPr id="128" name="直接连接符 128"/>
                        <wps:cNvCnPr/>
                        <wps:spPr>
                          <a:xfrm>
                            <a:off x="5329" y="12514"/>
                            <a:ext cx="1" cy="230"/>
                          </a:xfrm>
                          <a:prstGeom prst="line">
                            <a:avLst/>
                          </a:prstGeom>
                          <a:ln w="9525" cap="flat" cmpd="sng">
                            <a:solidFill>
                              <a:srgbClr val="000000"/>
                            </a:solidFill>
                            <a:prstDash val="solid"/>
                            <a:headEnd type="none" w="med" len="med"/>
                            <a:tailEnd type="none" w="med" len="med"/>
                          </a:ln>
                        </wps:spPr>
                        <wps:bodyPr/>
                      </wps:wsp>
                      <wps:wsp>
                        <wps:cNvPr id="129" name="直接连接符 129"/>
                        <wps:cNvCnPr/>
                        <wps:spPr>
                          <a:xfrm>
                            <a:off x="6650" y="12514"/>
                            <a:ext cx="2476" cy="1"/>
                          </a:xfrm>
                          <a:prstGeom prst="line">
                            <a:avLst/>
                          </a:prstGeom>
                          <a:ln w="9525" cap="flat" cmpd="sng">
                            <a:solidFill>
                              <a:srgbClr val="000000"/>
                            </a:solidFill>
                            <a:prstDash val="solid"/>
                            <a:headEnd type="none" w="med" len="med"/>
                            <a:tailEnd type="none" w="med" len="med"/>
                          </a:ln>
                        </wps:spPr>
                        <wps:bodyPr/>
                      </wps:wsp>
                      <wps:wsp>
                        <wps:cNvPr id="130" name="直接连接符 130"/>
                        <wps:cNvCnPr/>
                        <wps:spPr>
                          <a:xfrm>
                            <a:off x="7338" y="12309"/>
                            <a:ext cx="1" cy="229"/>
                          </a:xfrm>
                          <a:prstGeom prst="line">
                            <a:avLst/>
                          </a:prstGeom>
                          <a:ln w="9525" cap="flat" cmpd="sng">
                            <a:solidFill>
                              <a:srgbClr val="000000"/>
                            </a:solidFill>
                            <a:prstDash val="solid"/>
                            <a:headEnd type="none" w="med" len="med"/>
                            <a:tailEnd type="none" w="med" len="med"/>
                          </a:ln>
                        </wps:spPr>
                        <wps:bodyPr/>
                      </wps:wsp>
                      <wps:wsp>
                        <wps:cNvPr id="131" name="直接连接符 131"/>
                        <wps:cNvCnPr/>
                        <wps:spPr>
                          <a:xfrm>
                            <a:off x="6650" y="12514"/>
                            <a:ext cx="1" cy="230"/>
                          </a:xfrm>
                          <a:prstGeom prst="line">
                            <a:avLst/>
                          </a:prstGeom>
                          <a:ln w="9525" cap="flat" cmpd="sng">
                            <a:solidFill>
                              <a:srgbClr val="000000"/>
                            </a:solidFill>
                            <a:prstDash val="solid"/>
                            <a:headEnd type="none" w="med" len="med"/>
                            <a:tailEnd type="none" w="med" len="med"/>
                          </a:ln>
                        </wps:spPr>
                        <wps:bodyPr/>
                      </wps:wsp>
                      <wps:wsp>
                        <wps:cNvPr id="132" name="直接连接符 132"/>
                        <wps:cNvCnPr/>
                        <wps:spPr>
                          <a:xfrm>
                            <a:off x="7929" y="12514"/>
                            <a:ext cx="1" cy="230"/>
                          </a:xfrm>
                          <a:prstGeom prst="line">
                            <a:avLst/>
                          </a:prstGeom>
                          <a:ln w="9525" cap="flat" cmpd="sng">
                            <a:solidFill>
                              <a:srgbClr val="000000"/>
                            </a:solidFill>
                            <a:prstDash val="solid"/>
                            <a:headEnd type="none" w="med" len="med"/>
                            <a:tailEnd type="none" w="med" len="med"/>
                          </a:ln>
                        </wps:spPr>
                        <wps:bodyPr/>
                      </wps:wsp>
                      <wps:wsp>
                        <wps:cNvPr id="133" name="直接连接符 133"/>
                        <wps:cNvCnPr/>
                        <wps:spPr>
                          <a:xfrm>
                            <a:off x="9126" y="12514"/>
                            <a:ext cx="1" cy="230"/>
                          </a:xfrm>
                          <a:prstGeom prst="line">
                            <a:avLst/>
                          </a:prstGeom>
                          <a:ln w="9525" cap="flat" cmpd="sng">
                            <a:solidFill>
                              <a:srgbClr val="000000"/>
                            </a:solidFill>
                            <a:prstDash val="solid"/>
                            <a:headEnd type="none" w="med" len="med"/>
                            <a:tailEnd type="none" w="med" len="med"/>
                          </a:ln>
                        </wps:spPr>
                        <wps:bodyPr/>
                      </wps:wsp>
                      <wps:wsp>
                        <wps:cNvPr id="134" name="直接连接符 134"/>
                        <wps:cNvCnPr/>
                        <wps:spPr>
                          <a:xfrm>
                            <a:off x="3679" y="13134"/>
                            <a:ext cx="1" cy="230"/>
                          </a:xfrm>
                          <a:prstGeom prst="line">
                            <a:avLst/>
                          </a:prstGeom>
                          <a:ln w="9525" cap="flat" cmpd="sng">
                            <a:solidFill>
                              <a:srgbClr val="000000"/>
                            </a:solidFill>
                            <a:prstDash val="solid"/>
                            <a:headEnd type="none" w="med" len="med"/>
                            <a:tailEnd type="none" w="med" len="med"/>
                          </a:ln>
                        </wps:spPr>
                        <wps:bodyPr/>
                      </wps:wsp>
                      <wps:wsp>
                        <wps:cNvPr id="135" name="直接连接符 135"/>
                        <wps:cNvCnPr/>
                        <wps:spPr>
                          <a:xfrm>
                            <a:off x="5329" y="13134"/>
                            <a:ext cx="1" cy="230"/>
                          </a:xfrm>
                          <a:prstGeom prst="line">
                            <a:avLst/>
                          </a:prstGeom>
                          <a:ln w="9525" cap="flat" cmpd="sng">
                            <a:solidFill>
                              <a:srgbClr val="000000"/>
                            </a:solidFill>
                            <a:prstDash val="solid"/>
                            <a:headEnd type="none" w="med" len="med"/>
                            <a:tailEnd type="none" w="med" len="med"/>
                          </a:ln>
                        </wps:spPr>
                        <wps:bodyPr/>
                      </wps:wsp>
                      <wps:wsp>
                        <wps:cNvPr id="136" name="直接连接符 136"/>
                        <wps:cNvCnPr/>
                        <wps:spPr>
                          <a:xfrm>
                            <a:off x="3513" y="13349"/>
                            <a:ext cx="2146" cy="1"/>
                          </a:xfrm>
                          <a:prstGeom prst="line">
                            <a:avLst/>
                          </a:prstGeom>
                          <a:ln w="9525" cap="flat" cmpd="sng">
                            <a:solidFill>
                              <a:srgbClr val="000000"/>
                            </a:solidFill>
                            <a:prstDash val="solid"/>
                            <a:headEnd type="none" w="med" len="med"/>
                            <a:tailEnd type="none" w="med" len="med"/>
                          </a:ln>
                        </wps:spPr>
                        <wps:bodyPr/>
                      </wps:wsp>
                      <wps:wsp>
                        <wps:cNvPr id="137" name="直接连接符 137"/>
                        <wps:cNvCnPr/>
                        <wps:spPr>
                          <a:xfrm>
                            <a:off x="5659" y="13368"/>
                            <a:ext cx="1" cy="231"/>
                          </a:xfrm>
                          <a:prstGeom prst="line">
                            <a:avLst/>
                          </a:prstGeom>
                          <a:ln w="9525" cap="flat" cmpd="sng">
                            <a:solidFill>
                              <a:srgbClr val="000000"/>
                            </a:solidFill>
                            <a:prstDash val="solid"/>
                            <a:headEnd type="none" w="med" len="med"/>
                            <a:tailEnd type="none" w="med" len="med"/>
                          </a:ln>
                        </wps:spPr>
                        <wps:bodyPr/>
                      </wps:wsp>
                      <wps:wsp>
                        <wps:cNvPr id="138" name="直接连接符 138"/>
                        <wps:cNvCnPr/>
                        <wps:spPr>
                          <a:xfrm>
                            <a:off x="3513" y="13355"/>
                            <a:ext cx="1" cy="230"/>
                          </a:xfrm>
                          <a:prstGeom prst="line">
                            <a:avLst/>
                          </a:prstGeom>
                          <a:ln w="9525" cap="flat" cmpd="sng">
                            <a:solidFill>
                              <a:srgbClr val="000000"/>
                            </a:solidFill>
                            <a:prstDash val="solid"/>
                            <a:headEnd type="none" w="med" len="med"/>
                            <a:tailEnd type="none" w="med" len="med"/>
                          </a:ln>
                        </wps:spPr>
                        <wps:bodyPr/>
                      </wps:wsp>
                      <wps:wsp>
                        <wps:cNvPr id="139" name="直接连接符 139"/>
                        <wps:cNvCnPr/>
                        <wps:spPr>
                          <a:xfrm>
                            <a:off x="5000" y="13349"/>
                            <a:ext cx="1" cy="230"/>
                          </a:xfrm>
                          <a:prstGeom prst="line">
                            <a:avLst/>
                          </a:prstGeom>
                          <a:ln w="9525" cap="flat" cmpd="sng">
                            <a:solidFill>
                              <a:srgbClr val="000000"/>
                            </a:solidFill>
                            <a:prstDash val="solid"/>
                            <a:headEnd type="none" w="med" len="med"/>
                            <a:tailEnd type="none" w="med" len="med"/>
                          </a:ln>
                        </wps:spPr>
                        <wps:bodyPr/>
                      </wps:wsp>
                      <wps:wsp>
                        <wps:cNvPr id="140" name="直接连接符 140"/>
                        <wps:cNvCnPr/>
                        <wps:spPr>
                          <a:xfrm>
                            <a:off x="4366" y="13349"/>
                            <a:ext cx="1" cy="230"/>
                          </a:xfrm>
                          <a:prstGeom prst="line">
                            <a:avLst/>
                          </a:prstGeom>
                          <a:ln w="9525" cap="flat" cmpd="sng">
                            <a:solidFill>
                              <a:srgbClr val="000000"/>
                            </a:solidFill>
                            <a:prstDash val="solid"/>
                            <a:headEnd type="none" w="med" len="med"/>
                            <a:tailEnd type="none" w="med" len="med"/>
                          </a:ln>
                        </wps:spPr>
                        <wps:bodyPr/>
                      </wps:wsp>
                      <wps:wsp>
                        <wps:cNvPr id="141" name="直接连接符 141"/>
                        <wps:cNvCnPr/>
                        <wps:spPr>
                          <a:xfrm>
                            <a:off x="6485" y="13114"/>
                            <a:ext cx="1" cy="500"/>
                          </a:xfrm>
                          <a:prstGeom prst="line">
                            <a:avLst/>
                          </a:prstGeom>
                          <a:ln w="9525" cap="flat" cmpd="sng">
                            <a:solidFill>
                              <a:srgbClr val="000000"/>
                            </a:solidFill>
                            <a:prstDash val="solid"/>
                            <a:headEnd type="none" w="med" len="med"/>
                            <a:tailEnd type="none" w="med" len="med"/>
                          </a:ln>
                        </wps:spPr>
                        <wps:bodyPr/>
                      </wps:wsp>
                      <wps:wsp>
                        <wps:cNvPr id="142" name="直接连接符 142"/>
                        <wps:cNvCnPr/>
                        <wps:spPr>
                          <a:xfrm>
                            <a:off x="7076" y="13131"/>
                            <a:ext cx="1" cy="501"/>
                          </a:xfrm>
                          <a:prstGeom prst="line">
                            <a:avLst/>
                          </a:prstGeom>
                          <a:ln w="9525" cap="flat" cmpd="sng">
                            <a:solidFill>
                              <a:srgbClr val="000000"/>
                            </a:solidFill>
                            <a:prstDash val="solid"/>
                            <a:headEnd type="none" w="med" len="med"/>
                            <a:tailEnd type="none" w="med" len="med"/>
                          </a:ln>
                        </wps:spPr>
                        <wps:bodyPr/>
                      </wps:wsp>
                      <wps:wsp>
                        <wps:cNvPr id="143" name="直接连接符 143"/>
                        <wps:cNvCnPr/>
                        <wps:spPr>
                          <a:xfrm>
                            <a:off x="8878" y="13111"/>
                            <a:ext cx="1" cy="500"/>
                          </a:xfrm>
                          <a:prstGeom prst="line">
                            <a:avLst/>
                          </a:prstGeom>
                          <a:ln w="9525" cap="flat" cmpd="sng">
                            <a:solidFill>
                              <a:srgbClr val="000000"/>
                            </a:solidFill>
                            <a:prstDash val="solid"/>
                            <a:headEnd type="none" w="med" len="med"/>
                            <a:tailEnd type="none" w="med" len="med"/>
                          </a:ln>
                        </wps:spPr>
                        <wps:bodyPr/>
                      </wps:wsp>
                      <wps:wsp>
                        <wps:cNvPr id="144" name="直接连接符 144"/>
                        <wps:cNvCnPr/>
                        <wps:spPr>
                          <a:xfrm>
                            <a:off x="9483" y="13104"/>
                            <a:ext cx="1" cy="499"/>
                          </a:xfrm>
                          <a:prstGeom prst="line">
                            <a:avLst/>
                          </a:prstGeom>
                          <a:ln w="9525" cap="flat" cmpd="sng">
                            <a:solidFill>
                              <a:srgbClr val="000000"/>
                            </a:solidFill>
                            <a:prstDash val="solid"/>
                            <a:headEnd type="none" w="med" len="med"/>
                            <a:tailEnd type="none" w="med" len="med"/>
                          </a:ln>
                        </wps:spPr>
                        <wps:bodyPr/>
                      </wps:wsp>
                      <wps:wsp>
                        <wps:cNvPr id="145" name="直接连接符 145"/>
                        <wps:cNvCnPr/>
                        <wps:spPr>
                          <a:xfrm>
                            <a:off x="2634" y="13117"/>
                            <a:ext cx="1" cy="501"/>
                          </a:xfrm>
                          <a:prstGeom prst="line">
                            <a:avLst/>
                          </a:prstGeom>
                          <a:ln w="9525" cap="flat" cmpd="sng">
                            <a:solidFill>
                              <a:srgbClr val="000000"/>
                            </a:solidFill>
                            <a:prstDash val="solid"/>
                            <a:headEnd type="none" w="med" len="med"/>
                            <a:tailEnd type="none" w="med" len="med"/>
                          </a:ln>
                        </wps:spPr>
                        <wps:bodyPr/>
                      </wps:wsp>
                      <wps:wsp>
                        <wps:cNvPr id="146" name="直接连接符 146"/>
                        <wps:cNvCnPr/>
                        <wps:spPr>
                          <a:xfrm>
                            <a:off x="2001" y="13111"/>
                            <a:ext cx="1" cy="500"/>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176.55pt;width:409.45pt;" coordorigin="1753,11232" coordsize="7992,3331" o:gfxdata="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">
                <o:lock v:ext="edit" aspectratio="f"/>
                <v:shape id="_x0000_s1026" o:spid="_x0000_s1026" o:spt="202" type="#_x0000_t202" style="position:absolute;left:4023;top:11232;height:364;width:2971;" fillcolor="#FFFFFF" filled="t" stroked="t" coordsize="21600,21600" o:gfxdata="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TT5g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21"/>
                            <w:szCs w:val="22"/>
                          </w:rPr>
                        </w:pPr>
                        <w:r>
                          <w:rPr>
                            <w:rFonts w:hint="eastAsia" w:cs="Times New Roman"/>
                            <w:sz w:val="21"/>
                            <w:szCs w:val="22"/>
                          </w:rPr>
                          <w:t>环境管理指标体系</w:t>
                        </w:r>
                      </w:p>
                    </w:txbxContent>
                  </v:textbox>
                </v:shape>
                <v:shape id="_x0000_s1026" o:spid="_x0000_s1026" o:spt="202" type="#_x0000_t202" style="position:absolute;left:3515;top:11936;height:364;width:1415;" fillcolor="#FFFFFF" filled="t" stroked="t" coordsize="21600,21600" o:gfxdata="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v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21"/>
                            <w:szCs w:val="22"/>
                          </w:rPr>
                        </w:pPr>
                        <w:r>
                          <w:rPr>
                            <w:rFonts w:hint="eastAsia" w:cs="Times New Roman"/>
                            <w:sz w:val="21"/>
                            <w:szCs w:val="22"/>
                          </w:rPr>
                          <w:t>直接指标</w:t>
                        </w:r>
                      </w:p>
                    </w:txbxContent>
                  </v:textbox>
                </v:shape>
                <v:shape id="_x0000_s1026" o:spid="_x0000_s1026" o:spt="202" type="#_x0000_t202" style="position:absolute;left:6320;top:11936;height:364;width:1594;" fillcolor="#FFFFFF" filled="t" stroked="t" coordsize="21600,21600" o:gfxdata="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Dj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21"/>
                            <w:szCs w:val="22"/>
                          </w:rPr>
                        </w:pPr>
                        <w:r>
                          <w:rPr>
                            <w:rFonts w:hint="eastAsia" w:cs="Times New Roman"/>
                            <w:sz w:val="21"/>
                            <w:szCs w:val="22"/>
                          </w:rPr>
                          <w:t>间接指标</w:t>
                        </w:r>
                      </w:p>
                    </w:txbxContent>
                  </v:textbox>
                </v:shape>
                <v:group id="_x0000_s1026" o:spid="_x0000_s1026" o:spt="203" style="position:absolute;left:1753;top:12761;height:363;width:7882;" coordsize="8595,393"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0;top:0;height:393;width:1200;" fillcolor="#FFFFFF" filled="t" stroked="t" coordsize="21600,21600" o:gfxdata="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6eZN&#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0.3mm,2.54mm,0.3mm">
                      <w:txbxContent>
                        <w:p>
                          <w:pPr>
                            <w:snapToGrid/>
                            <w:spacing w:line="180" w:lineRule="atLeast"/>
                            <w:ind w:firstLine="0" w:firstLineChars="0"/>
                            <w:rPr>
                              <w:rFonts w:cs="Times New Roman"/>
                              <w:sz w:val="18"/>
                              <w:szCs w:val="22"/>
                            </w:rPr>
                          </w:pPr>
                          <w:r>
                            <w:rPr>
                              <w:rFonts w:hint="eastAsia" w:cs="Times New Roman"/>
                              <w:sz w:val="18"/>
                              <w:szCs w:val="22"/>
                            </w:rPr>
                            <w:t>监督管理</w:t>
                          </w:r>
                        </w:p>
                      </w:txbxContent>
                    </v:textbox>
                  </v:shape>
                  <v:shape id="_x0000_s1026" o:spid="_x0000_s1026" o:spt="202" type="#_x0000_t202" style="position:absolute;left:1290;top:0;height:393;width:1620;" fillcolor="#FFFFFF" filled="t" stroked="t" coordsize="21600,21600" o:gfxdata="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2cj+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3mm,2.54mm,0.3mm">
                      <w:txbxContent>
                        <w:p>
                          <w:pPr>
                            <w:snapToGrid/>
                            <w:spacing w:line="180" w:lineRule="atLeast"/>
                            <w:ind w:firstLine="0" w:firstLineChars="0"/>
                            <w:rPr>
                              <w:rFonts w:cs="Times New Roman"/>
                              <w:sz w:val="18"/>
                              <w:szCs w:val="22"/>
                            </w:rPr>
                          </w:pPr>
                          <w:r>
                            <w:rPr>
                              <w:rFonts w:hint="eastAsia" w:cs="Times New Roman"/>
                              <w:sz w:val="18"/>
                              <w:szCs w:val="22"/>
                            </w:rPr>
                            <w:t>环境质量指标</w:t>
                          </w:r>
                        </w:p>
                      </w:txbxContent>
                    </v:textbox>
                  </v:shape>
                  <v:shape id="_x0000_s1026" o:spid="_x0000_s1026" o:spt="202" type="#_x0000_t202" style="position:absolute;left:3030;top:0;height:393;width:1620;" fillcolor="#FFFFFF" filled="t" stroked="t" coordsize="21600,21600" o:gfxdata="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616S/&#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3mm,2.54mm,0.3mm">
                      <w:txbxContent>
                        <w:p>
                          <w:pPr>
                            <w:snapToGrid/>
                            <w:spacing w:line="180" w:lineRule="atLeast"/>
                            <w:ind w:firstLine="0" w:firstLineChars="0"/>
                            <w:rPr>
                              <w:rFonts w:cs="Times New Roman"/>
                              <w:sz w:val="18"/>
                              <w:szCs w:val="22"/>
                            </w:rPr>
                          </w:pPr>
                          <w:r>
                            <w:rPr>
                              <w:rFonts w:hint="eastAsia" w:cs="Times New Roman"/>
                              <w:sz w:val="18"/>
                              <w:szCs w:val="22"/>
                            </w:rPr>
                            <w:t>总量控制指标</w:t>
                          </w:r>
                        </w:p>
                      </w:txbxContent>
                    </v:textbox>
                  </v:shape>
                  <v:shape id="_x0000_s1026" o:spid="_x0000_s1026" o:spt="202" type="#_x0000_t202" style="position:absolute;left:4890;top:0;height:393;width:1170;" fillcolor="#FFFFFF" filled="t" stroked="t" coordsize="21600,21600" o:gfxdata="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ejs&#10;rM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2.54mm,0.3mm,2.54mm,0.3mm">
                      <w:txbxContent>
                        <w:p>
                          <w:pPr>
                            <w:snapToGrid/>
                            <w:spacing w:line="180" w:lineRule="atLeast"/>
                            <w:ind w:firstLine="0" w:firstLineChars="0"/>
                            <w:rPr>
                              <w:rFonts w:cs="Times New Roman"/>
                              <w:sz w:val="18"/>
                              <w:szCs w:val="22"/>
                            </w:rPr>
                          </w:pPr>
                          <w:r>
                            <w:rPr>
                              <w:rFonts w:hint="eastAsia" w:cs="Times New Roman"/>
                              <w:sz w:val="18"/>
                              <w:szCs w:val="22"/>
                            </w:rPr>
                            <w:t>经济指标</w:t>
                          </w:r>
                        </w:p>
                      </w:txbxContent>
                    </v:textbox>
                  </v:shape>
                  <v:shape id="_x0000_s1026" o:spid="_x0000_s1026" o:spt="202" type="#_x0000_t202" style="position:absolute;left:6150;top:0;height:393;width:1170;" fillcolor="#FFFFFF" filled="t" stroked="t" coordsize="21600,21600" o:gfxdata="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RJ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0.3mm,2.54mm,0.3mm">
                      <w:txbxContent>
                        <w:p>
                          <w:pPr>
                            <w:snapToGrid/>
                            <w:spacing w:line="240" w:lineRule="atLeast"/>
                            <w:ind w:firstLine="0" w:firstLineChars="0"/>
                            <w:rPr>
                              <w:rFonts w:cs="Times New Roman"/>
                              <w:sz w:val="18"/>
                              <w:szCs w:val="22"/>
                            </w:rPr>
                          </w:pPr>
                          <w:r>
                            <w:rPr>
                              <w:rFonts w:hint="eastAsia" w:cs="Times New Roman"/>
                              <w:sz w:val="18"/>
                              <w:szCs w:val="22"/>
                            </w:rPr>
                            <w:t>社会指标</w:t>
                          </w:r>
                        </w:p>
                      </w:txbxContent>
                    </v:textbox>
                  </v:shape>
                  <v:shape id="_x0000_s1026" o:spid="_x0000_s1026" o:spt="202" type="#_x0000_t202" style="position:absolute;left:7440;top:0;height:393;width:1155;" fillcolor="#FFFFFF" filled="t" stroked="t" coordsize="21600,21600" o:gfxdata="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bX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0.3mm,2.54mm,0.3mm">
                      <w:txbxContent>
                        <w:p>
                          <w:pPr>
                            <w:snapToGrid/>
                            <w:spacing w:line="240" w:lineRule="atLeast"/>
                            <w:ind w:firstLine="0" w:firstLineChars="0"/>
                            <w:rPr>
                              <w:rFonts w:cs="Times New Roman"/>
                              <w:sz w:val="18"/>
                              <w:szCs w:val="22"/>
                            </w:rPr>
                          </w:pPr>
                          <w:r>
                            <w:rPr>
                              <w:rFonts w:hint="eastAsia" w:cs="Times New Roman"/>
                              <w:sz w:val="18"/>
                              <w:szCs w:val="22"/>
                            </w:rPr>
                            <w:t>生态指标</w:t>
                          </w:r>
                        </w:p>
                      </w:txbxContent>
                    </v:textbox>
                  </v:shape>
                </v:group>
                <v:shape id="_x0000_s1026" o:spid="_x0000_s1026" o:spt="202" type="#_x0000_t202" style="position:absolute;left:1767;top:13581;height:982;width:486;" fillcolor="#FFFFFF" filled="t" stroked="t" coordsize="21600,21600" o:gfxdata="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Udc0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三同时指标</w:t>
                        </w:r>
                      </w:p>
                    </w:txbxContent>
                  </v:textbox>
                </v:shape>
                <v:shape id="_x0000_s1026" o:spid="_x0000_s1026" o:spt="202" type="#_x0000_t202" style="position:absolute;left:2386;top:13581;height:982;width:495;" fillcolor="#FFFFFF" filled="t" stroked="t" coordsize="21600,21600" o:gfxdata="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dc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法规情况指标</w:t>
                        </w:r>
                      </w:p>
                    </w:txbxContent>
                  </v:textbox>
                </v:shape>
                <v:shape id="_x0000_s1026" o:spid="_x0000_s1026" o:spt="202" type="#_x0000_t202" style="position:absolute;left:3266;top:13573;height:990;width:495;" fillcolor="#FFFFFF" filled="t" stroked="t" coordsize="21600,21600" o:gfxdata="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P7N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废气及环境空气指标</w:t>
                        </w:r>
                      </w:p>
                    </w:txbxContent>
                  </v:textbox>
                </v:shape>
                <v:shape id="_x0000_s1026" o:spid="_x0000_s1026" o:spt="202" type="#_x0000_t202" style="position:absolute;left:4119;top:13587;height:976;width:495;" fillcolor="#FFFFFF" filled="t" stroked="t" coordsize="21600,21600" o:gfxdata="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g0l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废水及水环境指标</w:t>
                        </w:r>
                      </w:p>
                    </w:txbxContent>
                  </v:textbox>
                </v:shape>
                <v:shape id="_x0000_s1026" o:spid="_x0000_s1026" o:spt="202" type="#_x0000_t202" style="position:absolute;left:4766;top:13584;height:975;width:495;" fillcolor="#FFFFFF" filled="t" stroked="t" coordsize="21600,21600" o:gfxdata="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zd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噪声指标</w:t>
                        </w:r>
                      </w:p>
                    </w:txbxContent>
                  </v:textbox>
                </v:shape>
                <v:shape id="_x0000_s1026" o:spid="_x0000_s1026" o:spt="202" type="#_x0000_t202" style="position:absolute;left:5412;top:13584;height:975;width:495;" fillcolor="#FFFFFF" filled="t" stroked="t" coordsize="21600,21600" o:gfxdata="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rf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固废指标</w:t>
                        </w:r>
                      </w:p>
                    </w:txbxContent>
                  </v:textbox>
                </v:shape>
                <v:shape id="_x0000_s1026" o:spid="_x0000_s1026" o:spt="202" type="#_x0000_t202" style="position:absolute;left:6251;top:13589;height:974;width:495;" fillcolor="#FFFFFF" filled="t" stroked="t" coordsize="21600,21600" o:gfxdata="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FS+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产值指标</w:t>
                        </w:r>
                      </w:p>
                    </w:txbxContent>
                  </v:textbox>
                </v:shape>
                <v:shape id="_x0000_s1026" o:spid="_x0000_s1026" o:spt="202" type="#_x0000_t202" style="position:absolute;left:6828;top:13589;height:974;width:496;" fillcolor="#FFFFFF" filled="t" stroked="t" coordsize="21600,21600" o:gfxdata="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J7n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资源指标</w:t>
                        </w:r>
                      </w:p>
                    </w:txbxContent>
                  </v:textbox>
                </v:shape>
                <v:shape id="_x0000_s1026" o:spid="_x0000_s1026" o:spt="202" type="#_x0000_t202" style="position:absolute;left:8630;top:13574;height:974;width:496;" fillcolor="#FFFFFF" filled="t" stroked="t" coordsize="21600,21600" o:gfxdata="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j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自然指标</w:t>
                        </w:r>
                      </w:p>
                    </w:txbxContent>
                  </v:textbox>
                </v:shape>
                <v:shape id="_x0000_s1026" o:spid="_x0000_s1026" o:spt="202" type="#_x0000_t202" style="position:absolute;left:9250;top:13566;height:975;width:495;" fillcolor="#FFFFFF" filled="t" stroked="t" coordsize="21600,21600" o:gfxdata="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TKM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3mm,0.3mm,0.3mm,0.3mm">
                    <w:txbxContent>
                      <w:p>
                        <w:pPr>
                          <w:snapToGrid/>
                          <w:spacing w:line="240" w:lineRule="atLeast"/>
                          <w:ind w:firstLine="0" w:firstLineChars="0"/>
                          <w:jc w:val="center"/>
                          <w:rPr>
                            <w:rFonts w:cs="Times New Roman"/>
                            <w:sz w:val="18"/>
                            <w:szCs w:val="22"/>
                          </w:rPr>
                        </w:pPr>
                        <w:r>
                          <w:rPr>
                            <w:rFonts w:hint="eastAsia" w:cs="Times New Roman"/>
                            <w:sz w:val="18"/>
                            <w:szCs w:val="22"/>
                          </w:rPr>
                          <w:t>景观指标</w:t>
                        </w:r>
                      </w:p>
                    </w:txbxContent>
                  </v:textbox>
                </v:shape>
                <v:line id="_x0000_s1026" o:spid="_x0000_s1026" o:spt="20" style="position:absolute;left:4504;top:11618;height:288;width:1;" filled="f" stroked="t" coordsize="21600,21600" o:gfxdata="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b+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485;top:11618;height:288;width:1;"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2193;top:12514;height:1;width:3136;"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009;top:12298;height:230;width:1;" filled="f" stroked="t" coordsize="21600,21600" o:gfxdata="UEsDBAoAAAAAAIdO4kAAAAAAAAAAAAAAAAAEAAAAZHJzL1BLAwQUAAAACACHTuJAvz9m37sAAADc&#10;AAAADwAAAGRycy9kb3ducmV2LnhtbEVPS4vCMBC+C/6HMAteZE2sKE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9m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193;top:12533;height:231;width:1;"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665;top:12514;height:230;width:1;" filled="f" stroked="t" coordsize="21600,21600" o:gfxdata="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d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329;top:12514;height:230;width:1;" filled="f" stroked="t" coordsize="21600,21600" o:gfxdata="UEsDBAoAAAAAAIdO4kAAAAAAAAAAAAAAAAAEAAAAZHJzL1BLAwQUAAAACACHTuJAUT7JQb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t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yU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650;top:12514;height:1;width:2476;" filled="f" stroked="t" coordsize="21600,21600" o:gfxdata="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Js2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7338;top:12309;height:229;width:1;" filled="f" stroked="t" coordsize="21600,21600" o:gfxdata="UEsDBAoAAAAAAIdO4kAAAAAAAAAAAAAAAAAEAAAAZHJzL1BLAwQUAAAACACHTuJAKpFTmr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8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RU5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650;top:12514;height:230;width:1;" filled="f" stroked="t" coordsize="21600,21600" o:gfxdata="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9g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929;top:12514;height:230;width:1;" filled="f" stroked="t" coordsize="21600,21600" o:gfxdata="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D2h2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9126;top:12514;height:230;width:1;" filled="f" stroked="t" coordsize="21600,21600" o:gfxdata="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PN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3679;top:13134;height:230;width:1;"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329;top:13134;height:230;width:1;"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513;top:13349;height:1;width:2146;"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659;top:13368;height:231;width:1;"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513;top:13355;height:230;width:1;" filled="f" stroked="t" coordsize="21600,21600" o:gfxdata="UEsDBAoAAAAAAIdO4kAAAAAAAAAAAAAAAAAEAAAAZHJzL1BLAwQUAAAACACHTuJA1OdfnL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a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X5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000;top:13349;height:230;width:1;" filled="f" stroked="t" coordsize="21600,21600" o:gfxdata="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q/o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366;top:13349;height:230;width:1;" filled="f" stroked="t" coordsize="21600,21600" o:gfxdata="UEsDBAoAAAAAAIdO4kAAAAAAAAAAAAAAAAAEAAAAZHJzL1BLAwQUAAAACACHTuJAcpcg57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XIO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485;top:13114;height:500;width:1;" filled="f" stroked="t" coordsize="21600,21600" o:gfxdata="UEsDBAoAAAAAAIdO4kAAAAAAAAAAAAAAAAAEAAAAZHJzL1BLAwQUAAAACACHTuJAHduFfLsAAADc&#10;AAAADwAAAGRycy9kb3ducmV2LnhtbEVPS4vCMBC+C/6HMAt7kTWpK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uFf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7076;top:13131;height:501;width:1;" filled="f" stroked="t" coordsize="21600,21600" o:gfxdata="UEsDBAoAAAAAAIdO4kAAAAAAAAAAAAAAAAAEAAAAZHJzL1BLAwQUAAAACACHTuJA7QkbC7sAAADc&#10;AAAADwAAAGRycy9kb3ducmV2LnhtbEVPS4vCMBC+C/6HMAteZE2sIk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kb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8878;top:13111;height:500;width:1;" filled="f" stroked="t" coordsize="21600,21600" o:gfxdata="UEsDBAoAAAAAAIdO4kAAAAAAAAAAAAAAAAAEAAAAZHJzL1BLAwQUAAAACACHTuJAgkW+kL0AAADc&#10;AAAADwAAAGRycy9kb3ducmV2LnhtbEVPTWvCQBC9C/6HZYRexOyaS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b6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483;top:13104;height:499;width:1;" filled="f" stroked="t" coordsize="21600,21600" o:gfxdata="UEsDBAoAAAAAAIdO4kAAAAAAAAAAAAAAAAAEAAAAZHJzL1BLAwQUAAAACACHTuJADawm5L0AAADc&#10;AAAADwAAAGRycy9kb3ducmV2LnhtbEVPTWvCQBC9C/6HZYRexOwaQy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C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634;top:13117;height:501;width:1;" filled="f" stroked="t" coordsize="21600,21600" o:gfxdata="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I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001;top:13111;height:500;width:1;"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w10:wrap type="none"/>
                <w10:anchorlock/>
              </v:group>
            </w:pict>
          </mc:Fallback>
        </mc:AlternateContent>
      </w:r>
    </w:p>
    <w:p>
      <w:pPr>
        <w:pStyle w:val="12"/>
        <w:keepNext w:val="0"/>
        <w:overflowPunct w:val="0"/>
        <w:adjustRightInd w:val="0"/>
        <w:spacing w:before="62" w:beforeLines="20" w:after="62" w:afterLines="20"/>
        <w:ind w:left="425"/>
        <w:rPr>
          <w:rFonts w:hint="default" w:ascii="Times New Roman" w:hAnsi="Times New Roman" w:cs="Times New Roman"/>
          <w:color w:val="auto"/>
          <w:kern w:val="21"/>
          <w:szCs w:val="21"/>
        </w:rPr>
      </w:pPr>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企业环境管理指标体系分类结构</w:t>
      </w:r>
    </w:p>
    <w:p>
      <w:pPr>
        <w:pStyle w:val="4"/>
        <w:adjustRightInd w:val="0"/>
        <w:rPr>
          <w:rFonts w:hint="default" w:ascii="Times New Roman" w:hAnsi="Times New Roman" w:cs="Times New Roman"/>
          <w:color w:val="auto"/>
        </w:rPr>
      </w:pPr>
      <w:bookmarkStart w:id="349" w:name="_Toc15441"/>
      <w:bookmarkStart w:id="350" w:name="_Toc20340"/>
      <w:bookmarkStart w:id="351" w:name="_Toc17842"/>
      <w:r>
        <w:rPr>
          <w:rFonts w:hint="default" w:ascii="Times New Roman" w:hAnsi="Times New Roman" w:cs="Times New Roman"/>
          <w:color w:val="auto"/>
        </w:rPr>
        <w:t>环境管理计划</w:t>
      </w:r>
      <w:bookmarkEnd w:id="349"/>
      <w:bookmarkEnd w:id="350"/>
      <w:bookmarkEnd w:id="351"/>
    </w:p>
    <w:p>
      <w:pPr>
        <w:pStyle w:val="5"/>
        <w:adjustRightInd w:val="0"/>
        <w:rPr>
          <w:rFonts w:hint="default" w:ascii="Times New Roman" w:hAnsi="Times New Roman" w:cs="Times New Roman"/>
          <w:color w:val="auto"/>
        </w:rPr>
      </w:pPr>
      <w:r>
        <w:rPr>
          <w:rFonts w:hint="default" w:ascii="Times New Roman" w:hAnsi="Times New Roman" w:cs="Times New Roman"/>
          <w:color w:val="auto"/>
        </w:rPr>
        <w:t>建设前期环境管理计划</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根据生态环境部和四川省生态环境厅的有关规定，本项目建设前期各个阶段环境保护工作采取如下方式：</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（1）设计单位在成立项目设计组时，环境保护专业人员作为组成成员之一，参与项目各阶段环境保护工作和设计工作。</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（2）可行性研究阶段，结合当地环境特征和地方环境部门的意见、要求，设专门章节进行环境影响简要分析。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（3）建设单位委托环评单位编制环境影响报告书。</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（4）初步设计和施工图设计阶段，编制环境保护篇章，依据环境影响报告书及其审查意见，落实各项环境保护措施设计，作为指导工程建设、执行“三同时”制度和环境管理的依据。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5）做好台账管理，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生态环境局。</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施工期环境管理</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建设单位与施工单位签订工程承包合同时，应包括有关工程施工期间环境保护条款，包括工程施工中生态环境保护（水土保持）、施工期间环境污染控制、污染物排放管理、施工人员环保教育及相关奖惩条款。</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施工单位应增强环保意识，加强驻地和施工现场的环境管理，合理安排施工计划，切实做到组织计划严谨，文明施工；环保措施逐条落实到位，环保工程与主体工程同时施工、同时运行，环保工程费用专款专用，不偷工减料、延误工期。</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（3）施工单位应特别注意工程施工中的水土保持，尽可能保护好土壤、植被、弃土弃渣须运至设计中指定的地点弃置，严禁随意堆置、侵占河道，防止对地表水环境产生影响。</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4）各施工现场、施工单位驻地及其它施工临时设施，应加强环境管理，施工污水避免无组织散排，尽可能集中排放指定地点；扬尘大的工地应采取降尘措施，工程施工完毕后施工单位及时清理和恢复施工现场，妥善处理生活垃圾与施工弃渣，减少扬尘；</w:t>
      </w:r>
      <w:r>
        <w:rPr>
          <w:rFonts w:hint="default" w:ascii="Times New Roman" w:hAnsi="Times New Roman" w:cs="Times New Roman"/>
          <w:color w:val="auto"/>
          <w:kern w:val="21"/>
          <w:szCs w:val="24"/>
        </w:rPr>
        <w:t>施工现场应执行《建筑施工场界环境噪声排放标准》（GB12523-2011）中的有关规定和要求。</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（5）认真落实各项补偿措施，做好工程各项环保设施的施工监理与验收，保证环保工程质量，真正做到环保工程“三同时”。</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施工期环境监理内容</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69"/>
        <w:gridCol w:w="5521"/>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序号</w:t>
            </w:r>
          </w:p>
        </w:tc>
        <w:tc>
          <w:tcPr>
            <w:tcW w:w="86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监理项目</w:t>
            </w:r>
          </w:p>
        </w:tc>
        <w:tc>
          <w:tcPr>
            <w:tcW w:w="304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技术要求</w:t>
            </w:r>
          </w:p>
        </w:tc>
        <w:tc>
          <w:tcPr>
            <w:tcW w:w="69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实施机构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w:t>
            </w:r>
          </w:p>
        </w:tc>
        <w:tc>
          <w:tcPr>
            <w:tcW w:w="86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施工噪声</w:t>
            </w:r>
          </w:p>
        </w:tc>
        <w:tc>
          <w:tcPr>
            <w:tcW w:w="3048"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尽量采用低噪声机械，强噪声机械夜间严禁施工</w:t>
            </w:r>
          </w:p>
        </w:tc>
        <w:tc>
          <w:tcPr>
            <w:tcW w:w="69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施工方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w:t>
            </w:r>
          </w:p>
        </w:tc>
        <w:tc>
          <w:tcPr>
            <w:tcW w:w="86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环境空气污染</w:t>
            </w:r>
          </w:p>
        </w:tc>
        <w:tc>
          <w:tcPr>
            <w:tcW w:w="3048" w:type="pct"/>
            <w:vAlign w:val="center"/>
          </w:tcPr>
          <w:p>
            <w:pPr>
              <w:numPr>
                <w:ilvl w:val="0"/>
                <w:numId w:val="9"/>
              </w:num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在施工现场出入口公示扬尘污染控制措施、负责人、环保监督员、扬尘监管主管部门等有关信息，接受社会监督；</w:t>
            </w:r>
          </w:p>
          <w:p>
            <w:pPr>
              <w:numPr>
                <w:ilvl w:val="0"/>
                <w:numId w:val="9"/>
              </w:num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施工现场装修材料实行集中、分类堆放，运送装修材料的卡车加盖篷布，以减少抛洒。</w:t>
            </w:r>
          </w:p>
        </w:tc>
        <w:tc>
          <w:tcPr>
            <w:tcW w:w="69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w:t>
            </w:r>
          </w:p>
        </w:tc>
        <w:tc>
          <w:tcPr>
            <w:tcW w:w="86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地表水污染</w:t>
            </w:r>
          </w:p>
        </w:tc>
        <w:tc>
          <w:tcPr>
            <w:tcW w:w="3048" w:type="pct"/>
            <w:vAlign w:val="center"/>
          </w:tcPr>
          <w:p>
            <w:pPr>
              <w:numPr>
                <w:ilvl w:val="0"/>
                <w:numId w:val="10"/>
              </w:num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生活污水、生活垃圾集中处理；</w:t>
            </w:r>
          </w:p>
          <w:p>
            <w:pPr>
              <w:numPr>
                <w:ilvl w:val="0"/>
                <w:numId w:val="10"/>
              </w:num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加强施工人员环境意识教育，严禁将废油、施工垃圾抛入地表水体。</w:t>
            </w:r>
          </w:p>
        </w:tc>
        <w:tc>
          <w:tcPr>
            <w:tcW w:w="69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同上</w:t>
            </w:r>
          </w:p>
        </w:tc>
      </w:tr>
    </w:tbl>
    <w:p>
      <w:pPr>
        <w:pStyle w:val="5"/>
        <w:adjustRightInd w:val="0"/>
        <w:rPr>
          <w:rFonts w:hint="default" w:ascii="Times New Roman" w:hAnsi="Times New Roman" w:cs="Times New Roman"/>
          <w:color w:val="auto"/>
        </w:rPr>
      </w:pPr>
      <w:r>
        <w:rPr>
          <w:rFonts w:hint="default" w:ascii="Times New Roman" w:hAnsi="Times New Roman" w:cs="Times New Roman"/>
          <w:color w:val="auto"/>
        </w:rPr>
        <w:t>运营期环境管理</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（1）管理机构</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由企业设置的环保部负责项目运行期的环境管理工作，与当地生态环境部门及其授权监测部门保持</w:t>
      </w:r>
      <w:r>
        <w:rPr>
          <w:rFonts w:hint="default" w:ascii="Times New Roman" w:hAnsi="Times New Roman" w:cs="Times New Roman"/>
          <w:color w:val="auto"/>
          <w:kern w:val="21"/>
          <w:szCs w:val="22"/>
        </w:rPr>
        <w:t>密</w:t>
      </w:r>
      <w:r>
        <w:rPr>
          <w:rFonts w:hint="default" w:ascii="Times New Roman" w:hAnsi="Times New Roman" w:cs="Times New Roman"/>
          <w:color w:val="auto"/>
          <w:kern w:val="21"/>
          <w:szCs w:val="24"/>
        </w:rPr>
        <w:t>切联系，直接监管企业污染物的排放情况，并对其实施总量控制；对超标排放及污染事故、纠纷进行处理。</w:t>
      </w:r>
    </w:p>
    <w:p>
      <w:pPr>
        <w:overflowPunct w:val="0"/>
        <w:adjustRightInd w:val="0"/>
        <w:ind w:firstLine="482"/>
        <w:rPr>
          <w:rFonts w:hint="default" w:ascii="Times New Roman" w:hAnsi="Times New Roman" w:cs="Times New Roman"/>
          <w:b/>
          <w:bCs/>
          <w:color w:val="auto"/>
          <w:kern w:val="21"/>
          <w:szCs w:val="24"/>
        </w:rPr>
      </w:pPr>
      <w:r>
        <w:rPr>
          <w:rFonts w:hint="default" w:ascii="Times New Roman" w:hAnsi="Times New Roman" w:cs="Times New Roman"/>
          <w:b/>
          <w:bCs/>
          <w:color w:val="auto"/>
          <w:kern w:val="21"/>
          <w:szCs w:val="24"/>
        </w:rPr>
        <w:t>（2）运行期环境职责</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由分管环保的专人负责环保指标的落实，将环保指标逐级分解到班组和个人，负责环保设备的运转和维护，确保其正常运转和达标排放，充分发挥其作用；配合地方环保监测部门进行日常环境监测，记录并及时上报污染源及环保措施运行动态。</w:t>
      </w:r>
    </w:p>
    <w:p>
      <w:pPr>
        <w:pStyle w:val="3"/>
        <w:adjustRightInd w:val="0"/>
        <w:rPr>
          <w:rFonts w:hint="default" w:ascii="Times New Roman" w:hAnsi="Times New Roman" w:cs="Times New Roman"/>
          <w:color w:val="auto"/>
        </w:rPr>
      </w:pPr>
      <w:bookmarkStart w:id="352" w:name="_Toc18560"/>
      <w:bookmarkStart w:id="353" w:name="_Toc26186"/>
      <w:bookmarkStart w:id="354" w:name="_Toc29783"/>
      <w:r>
        <w:rPr>
          <w:rFonts w:hint="default" w:ascii="Times New Roman" w:hAnsi="Times New Roman" w:cs="Times New Roman"/>
          <w:color w:val="auto"/>
        </w:rPr>
        <w:t>环境监测计划</w:t>
      </w:r>
      <w:bookmarkEnd w:id="352"/>
      <w:bookmarkEnd w:id="353"/>
      <w:bookmarkEnd w:id="354"/>
    </w:p>
    <w:p>
      <w:pPr>
        <w:pStyle w:val="4"/>
        <w:adjustRightInd w:val="0"/>
        <w:rPr>
          <w:rFonts w:hint="default" w:ascii="Times New Roman" w:hAnsi="Times New Roman" w:cs="Times New Roman"/>
          <w:color w:val="auto"/>
        </w:rPr>
      </w:pPr>
      <w:bookmarkStart w:id="355" w:name="_Toc31002"/>
      <w:bookmarkStart w:id="356" w:name="_Toc7941"/>
      <w:bookmarkStart w:id="357" w:name="_Toc32641"/>
      <w:r>
        <w:rPr>
          <w:rFonts w:hint="default" w:ascii="Times New Roman" w:hAnsi="Times New Roman" w:cs="Times New Roman"/>
          <w:color w:val="auto"/>
        </w:rPr>
        <w:t>环境监测的目的</w:t>
      </w:r>
      <w:bookmarkEnd w:id="355"/>
      <w:bookmarkEnd w:id="356"/>
      <w:bookmarkEnd w:id="357"/>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环境监测是企业环境管理必不可少的一部分，也是环境管理规范化的重要手段，其对企业主要污染物进行监测分析、资料整理、编制报表、建立技术档案，为上级环保部门进行环境规划、管理及执法提供依据。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根据工程分析可知，本项目在施工过程中会产生施工噪声、施工废气等影响，项目运营期会引发一系列的环境问题：大气污染、水污染、噪声污染及事故发生后引发的问题，所以，施工期进行环境监理、运行期进行定期监测是很必要的。</w:t>
      </w:r>
    </w:p>
    <w:p>
      <w:pPr>
        <w:pStyle w:val="4"/>
        <w:adjustRightInd w:val="0"/>
        <w:rPr>
          <w:rFonts w:hint="default" w:ascii="Times New Roman" w:hAnsi="Times New Roman" w:cs="Times New Roman"/>
          <w:color w:val="auto"/>
        </w:rPr>
      </w:pPr>
      <w:bookmarkStart w:id="358" w:name="_Toc27224"/>
      <w:bookmarkStart w:id="359" w:name="_Toc31252"/>
      <w:bookmarkStart w:id="360" w:name="_Toc26835"/>
      <w:bookmarkStart w:id="361" w:name="_Toc27505"/>
      <w:bookmarkStart w:id="362" w:name="_Toc15868"/>
      <w:r>
        <w:rPr>
          <w:rFonts w:hint="default" w:ascii="Times New Roman" w:hAnsi="Times New Roman" w:cs="Times New Roman"/>
          <w:color w:val="auto"/>
        </w:rPr>
        <w:t>监测建立技术资料档案保管制度</w:t>
      </w:r>
      <w:bookmarkEnd w:id="358"/>
      <w:bookmarkEnd w:id="359"/>
      <w:bookmarkEnd w:id="360"/>
      <w:bookmarkEnd w:id="361"/>
      <w:bookmarkEnd w:id="362"/>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为保证监测数据具有完整的质量特征，在制定监测计划时应遵循以下原则：</w:t>
      </w:r>
    </w:p>
    <w:p>
      <w:pPr>
        <w:numPr>
          <w:ilvl w:val="0"/>
          <w:numId w:val="11"/>
        </w:num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实用性和经济性，在确定监测技术路线和技术装备时，要做费用―效益分析，尽量做到符合实际需要；</w:t>
      </w:r>
    </w:p>
    <w:p>
      <w:pPr>
        <w:numPr>
          <w:ilvl w:val="0"/>
          <w:numId w:val="11"/>
        </w:num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遵循优先污染物优先监测的原则；</w:t>
      </w:r>
    </w:p>
    <w:p>
      <w:pPr>
        <w:numPr>
          <w:ilvl w:val="0"/>
          <w:numId w:val="11"/>
        </w:num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全面规划、合理布局，环境问题的复杂性决定了环境监测的多样性，要对监测布点、采样、分析测试及数据处理做出合理安排。</w:t>
      </w:r>
    </w:p>
    <w:p>
      <w:pPr>
        <w:pStyle w:val="4"/>
        <w:adjustRightInd w:val="0"/>
        <w:rPr>
          <w:rFonts w:hint="default" w:ascii="Times New Roman" w:hAnsi="Times New Roman" w:cs="Times New Roman"/>
          <w:color w:val="auto"/>
        </w:rPr>
      </w:pPr>
      <w:bookmarkStart w:id="363" w:name="_Toc18234"/>
      <w:bookmarkStart w:id="364" w:name="_Toc11654"/>
      <w:bookmarkStart w:id="365" w:name="_Toc10137"/>
      <w:r>
        <w:rPr>
          <w:rFonts w:hint="default" w:ascii="Times New Roman" w:hAnsi="Times New Roman" w:cs="Times New Roman"/>
          <w:color w:val="auto"/>
        </w:rPr>
        <w:t>环境监测计划</w:t>
      </w:r>
      <w:bookmarkEnd w:id="363"/>
      <w:bookmarkEnd w:id="364"/>
      <w:bookmarkEnd w:id="365"/>
    </w:p>
    <w:p>
      <w:pPr>
        <w:pStyle w:val="5"/>
        <w:adjustRightInd w:val="0"/>
        <w:rPr>
          <w:rFonts w:hint="default" w:ascii="Times New Roman" w:hAnsi="Times New Roman" w:cs="Times New Roman"/>
          <w:color w:val="auto"/>
        </w:rPr>
      </w:pPr>
      <w:r>
        <w:rPr>
          <w:rFonts w:hint="default" w:ascii="Times New Roman" w:hAnsi="Times New Roman" w:cs="Times New Roman"/>
          <w:color w:val="auto"/>
        </w:rPr>
        <w:t>施工期环境监测计划</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（1）建设单位与施工单位签订工程承包合同时，应包括有关工程施工期间环境保护条款，包括施工期间环境污染控制、污染物排放管理、施工人员环保教育及相关奖惩条款。</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2）施工单位应增强环保意识，加强驻地和施工现场的环境管理，合理安排施工计划，切实做到组织计划严谨，文明施工；环保措施逐条落实到位，环保工程与主体工程同时施工、同时运行，环保工程费用专款专用，不偷工减料、延误工期。</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（3）施工单位应特别注意工程施工中的水土保持，尽可能保护好土壤、植被、装修产生的废物运至设计中指定的地点弃置，严禁随意堆置、侵占河道，防止对地表水环境产生影响。</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4）各施工现场、施工单位驻地及其他施工临时设施，应加强环境管理，施工污水避免无组织散排，尽可能集中排放指定地点；工程施工完毕后施工单位及时清理和恢复施工现场，妥善处理生活垃圾与装修废弃物，减少扬尘；施工现场应执行《建筑施工场界环境噪声排放标准》（GB12523-2011）中的有关规定和要求。</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（5）认真落实各项补偿措施，做好工程各项环保设施的施工监理与验收，保证环保工程质量，真正做到环保工程“三同时”。</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运营期环境监测计划</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建设单位为掌握本单位的污染物状况及其对周边环境质量的影响等情况，需按照相关法律法规和技术规范，组织开展环境监测活动。建设单位自行监测的一般要求、监测方案制定、监测质量保证和质量控制、信息记录和报告的基本内容和要求等可参照《排污单位自行监测技术指南总则》（HJ819-2017）中的相关要求进行监测。</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本项目具体环境监测内容如下：</w:t>
      </w:r>
    </w:p>
    <w:p>
      <w:pPr>
        <w:pStyle w:val="12"/>
        <w:adjustRightInd w:val="0"/>
        <w:rPr>
          <w:rFonts w:hint="default" w:ascii="Times New Roman" w:hAnsi="Times New Roman" w:cs="Times New Roman"/>
          <w:bCs/>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项目污染源监测计划</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962"/>
        <w:gridCol w:w="1905"/>
        <w:gridCol w:w="1985"/>
        <w:gridCol w:w="1232"/>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项目</w:t>
            </w:r>
          </w:p>
        </w:tc>
        <w:tc>
          <w:tcPr>
            <w:tcW w:w="1581" w:type="pct"/>
            <w:gridSpan w:val="2"/>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监测点位</w:t>
            </w:r>
          </w:p>
        </w:tc>
        <w:tc>
          <w:tcPr>
            <w:tcW w:w="109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监测指标</w:t>
            </w:r>
          </w:p>
        </w:tc>
        <w:tc>
          <w:tcPr>
            <w:tcW w:w="6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监测频次</w:t>
            </w:r>
          </w:p>
        </w:tc>
        <w:tc>
          <w:tcPr>
            <w:tcW w:w="140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4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噪声</w:t>
            </w:r>
          </w:p>
        </w:tc>
        <w:tc>
          <w:tcPr>
            <w:tcW w:w="1581" w:type="pct"/>
            <w:gridSpan w:val="2"/>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厂界四周布设监测点</w:t>
            </w:r>
          </w:p>
        </w:tc>
        <w:tc>
          <w:tcPr>
            <w:tcW w:w="109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厂界噪声的等效连续A声级</w:t>
            </w:r>
          </w:p>
        </w:tc>
        <w:tc>
          <w:tcPr>
            <w:tcW w:w="6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每季度1次</w:t>
            </w:r>
          </w:p>
        </w:tc>
        <w:tc>
          <w:tcPr>
            <w:tcW w:w="140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《工业企业厂界噪声排放标准》（GB12348-2008）3类、4a类排放限值要求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废气</w:t>
            </w:r>
          </w:p>
        </w:tc>
        <w:tc>
          <w:tcPr>
            <w:tcW w:w="53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有组织</w:t>
            </w:r>
          </w:p>
        </w:tc>
        <w:tc>
          <w:tcPr>
            <w:tcW w:w="105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DA001</w:t>
            </w:r>
          </w:p>
        </w:tc>
        <w:tc>
          <w:tcPr>
            <w:tcW w:w="109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bCs/>
                <w:color w:val="auto"/>
                <w:kern w:val="21"/>
                <w:sz w:val="21"/>
              </w:rPr>
              <w:t>颗粒物</w:t>
            </w:r>
          </w:p>
        </w:tc>
        <w:tc>
          <w:tcPr>
            <w:tcW w:w="6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每年1次</w:t>
            </w:r>
          </w:p>
        </w:tc>
        <w:tc>
          <w:tcPr>
            <w:tcW w:w="1400"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《乐山市打赢蓝天保卫战实施方案》、《大气污染物综合排放标准》（GB16297-1996）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53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无组织</w:t>
            </w:r>
          </w:p>
        </w:tc>
        <w:tc>
          <w:tcPr>
            <w:tcW w:w="105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项目下风向</w:t>
            </w:r>
          </w:p>
        </w:tc>
        <w:tc>
          <w:tcPr>
            <w:tcW w:w="109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bCs/>
                <w:color w:val="auto"/>
                <w:kern w:val="21"/>
                <w:sz w:val="21"/>
              </w:rPr>
              <w:t>颗粒物</w:t>
            </w:r>
          </w:p>
        </w:tc>
        <w:tc>
          <w:tcPr>
            <w:tcW w:w="6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每年1次</w:t>
            </w:r>
          </w:p>
        </w:tc>
        <w:tc>
          <w:tcPr>
            <w:tcW w:w="1400"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地下水</w:t>
            </w:r>
          </w:p>
        </w:tc>
        <w:tc>
          <w:tcPr>
            <w:tcW w:w="1581" w:type="pct"/>
            <w:gridSpan w:val="2"/>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1#：场地上游对照监测井E103.628643°，N29.782741°</w:t>
            </w:r>
          </w:p>
        </w:tc>
        <w:tc>
          <w:tcPr>
            <w:tcW w:w="1094"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pH、氨氮、硝酸盐、亚硝酸盐、总硬度、溶解性总固体、耗氧量、铅、汞、镉、铬、砷+特征因子（锂）</w:t>
            </w:r>
          </w:p>
        </w:tc>
        <w:tc>
          <w:tcPr>
            <w:tcW w:w="680"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每年1次</w:t>
            </w:r>
          </w:p>
        </w:tc>
        <w:tc>
          <w:tcPr>
            <w:tcW w:w="1400" w:type="pct"/>
            <w:vMerge w:val="restar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《地下水质量标准》（GB/T14848-2017）中III类标准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1581" w:type="pct"/>
            <w:gridSpan w:val="2"/>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2#：场地下游污染扩散监测井E103.631330°，N29.786375°</w:t>
            </w:r>
          </w:p>
        </w:tc>
        <w:tc>
          <w:tcPr>
            <w:tcW w:w="1094"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80"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1400"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1581" w:type="pct"/>
            <w:gridSpan w:val="2"/>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3#：场地下游污染扩散监测井E103.629610°，N29.781978°</w:t>
            </w:r>
          </w:p>
        </w:tc>
        <w:tc>
          <w:tcPr>
            <w:tcW w:w="1094"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680"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c>
          <w:tcPr>
            <w:tcW w:w="1400" w:type="pct"/>
            <w:vMerge w:val="continue"/>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bCs/>
                <w:color w:val="auto"/>
                <w:kern w:val="21"/>
                <w:sz w:val="21"/>
              </w:rPr>
              <w:t>土壤</w:t>
            </w:r>
          </w:p>
        </w:tc>
        <w:tc>
          <w:tcPr>
            <w:tcW w:w="1581" w:type="pct"/>
            <w:gridSpan w:val="2"/>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1#：E103.632270°，N29.784663°；</w:t>
            </w:r>
          </w:p>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2#：E103.632571°，N29.784533°；</w:t>
            </w:r>
          </w:p>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3#：E103.633162°，N29.784981°。</w:t>
            </w:r>
          </w:p>
        </w:tc>
        <w:tc>
          <w:tcPr>
            <w:tcW w:w="109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《土壤环境质量建设用地土壤污染风险管控标准（试行）》（GB36600-2018）中45项基本因子+特征因子（锂）</w:t>
            </w:r>
          </w:p>
        </w:tc>
        <w:tc>
          <w:tcPr>
            <w:tcW w:w="68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每3年1次</w:t>
            </w:r>
          </w:p>
        </w:tc>
        <w:tc>
          <w:tcPr>
            <w:tcW w:w="1400"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《土壤环境质量建设用地土壤污染风险管控标准（试行）》（GB36600-2018）</w:t>
            </w:r>
          </w:p>
        </w:tc>
      </w:tr>
    </w:tbl>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上述监测任务也可委托当地有资质的单位进行监测，监测结果和污染防治措施运行情况等应以报表形式上报乐山市生态环境局备案。另外，建议建设单位对评价范围内的地下水跟踪监测的结果进行统计分析，了解其变化范围及规律，进一步探索处理后废水综合利用的合理方案。</w:t>
      </w:r>
    </w:p>
    <w:p>
      <w:pPr>
        <w:pStyle w:val="3"/>
        <w:adjustRightInd w:val="0"/>
        <w:rPr>
          <w:rFonts w:hint="default" w:ascii="Times New Roman" w:hAnsi="Times New Roman" w:cs="Times New Roman"/>
          <w:color w:val="auto"/>
        </w:rPr>
      </w:pPr>
      <w:bookmarkStart w:id="366" w:name="_Toc7616"/>
      <w:bookmarkStart w:id="367" w:name="_Toc15684"/>
      <w:bookmarkStart w:id="368" w:name="_Toc28201"/>
      <w:r>
        <w:rPr>
          <w:rFonts w:hint="default" w:ascii="Times New Roman" w:hAnsi="Times New Roman" w:cs="Times New Roman"/>
          <w:color w:val="auto"/>
        </w:rPr>
        <w:t>环境监理</w:t>
      </w:r>
      <w:bookmarkEnd w:id="366"/>
      <w:bookmarkEnd w:id="367"/>
      <w:bookmarkEnd w:id="368"/>
    </w:p>
    <w:p>
      <w:pPr>
        <w:pStyle w:val="4"/>
        <w:adjustRightInd w:val="0"/>
        <w:rPr>
          <w:rFonts w:hint="default" w:ascii="Times New Roman" w:hAnsi="Times New Roman" w:cs="Times New Roman"/>
          <w:color w:val="auto"/>
        </w:rPr>
      </w:pPr>
      <w:bookmarkStart w:id="369" w:name="_Toc26664"/>
      <w:bookmarkStart w:id="370" w:name="_Toc19328"/>
      <w:bookmarkStart w:id="371" w:name="_Toc17022"/>
      <w:r>
        <w:rPr>
          <w:rFonts w:hint="default" w:ascii="Times New Roman" w:hAnsi="Times New Roman" w:cs="Times New Roman"/>
          <w:color w:val="auto"/>
        </w:rPr>
        <w:t>环境监理的目的、依据及原则</w:t>
      </w:r>
      <w:bookmarkEnd w:id="369"/>
      <w:bookmarkEnd w:id="370"/>
      <w:bookmarkEnd w:id="371"/>
    </w:p>
    <w:p>
      <w:pPr>
        <w:overflowPunct w:val="0"/>
        <w:adjustRightInd w:val="0"/>
        <w:ind w:firstLine="482"/>
        <w:rPr>
          <w:rFonts w:hint="default" w:ascii="Times New Roman" w:hAnsi="Times New Roman" w:cs="Times New Roman"/>
          <w:b/>
          <w:color w:val="auto"/>
          <w:kern w:val="21"/>
          <w:szCs w:val="22"/>
        </w:rPr>
      </w:pPr>
      <w:r>
        <w:rPr>
          <w:rFonts w:hint="default" w:ascii="Times New Roman" w:hAnsi="Times New Roman" w:cs="Times New Roman"/>
          <w:b/>
          <w:color w:val="auto"/>
          <w:kern w:val="21"/>
          <w:szCs w:val="22"/>
        </w:rPr>
        <w:t>一、环境监理的目的</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（1）实现工程建设项目环保目标；</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（2）落实环境保护设施与措施，防止环境污染和生态破坏；</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（3）满足工程竣工环境保护验收要求。</w:t>
      </w:r>
    </w:p>
    <w:p>
      <w:pPr>
        <w:overflowPunct w:val="0"/>
        <w:adjustRightInd w:val="0"/>
        <w:ind w:firstLine="482"/>
        <w:rPr>
          <w:rFonts w:hint="default" w:ascii="Times New Roman" w:hAnsi="Times New Roman" w:cs="Times New Roman"/>
          <w:b/>
          <w:color w:val="auto"/>
          <w:kern w:val="21"/>
          <w:szCs w:val="22"/>
        </w:rPr>
      </w:pPr>
      <w:r>
        <w:rPr>
          <w:rFonts w:hint="default" w:ascii="Times New Roman" w:hAnsi="Times New Roman" w:cs="Times New Roman"/>
          <w:b/>
          <w:color w:val="auto"/>
          <w:kern w:val="21"/>
          <w:szCs w:val="22"/>
        </w:rPr>
        <w:t>二、环境监理的依据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（1）国家和生态环境部及四川省有关的法律法规和规章；</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（2）环境影响评价有关的技术原则和标准；</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（3）经批准的项目设计文件及环评文件；</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（4）监理合同、施工合同等合同文件。</w:t>
      </w:r>
    </w:p>
    <w:p>
      <w:pPr>
        <w:overflowPunct w:val="0"/>
        <w:adjustRightInd w:val="0"/>
        <w:ind w:firstLine="482"/>
        <w:rPr>
          <w:rFonts w:hint="default" w:ascii="Times New Roman" w:hAnsi="Times New Roman" w:cs="Times New Roman"/>
          <w:b/>
          <w:color w:val="auto"/>
          <w:kern w:val="21"/>
          <w:szCs w:val="22"/>
        </w:rPr>
      </w:pPr>
      <w:r>
        <w:rPr>
          <w:rFonts w:hint="default" w:ascii="Times New Roman" w:hAnsi="Times New Roman" w:cs="Times New Roman"/>
          <w:b/>
          <w:color w:val="auto"/>
          <w:kern w:val="21"/>
          <w:szCs w:val="22"/>
        </w:rPr>
        <w:t>三、实施环境监理的原则</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（1）环境监理应成为工程监理的重要组成部分，工程监理单位应有专门的从事环境监理的分支机构及环境保护技术人员；</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（2）环境监理单位应根据本工程的环境影响评价报告及其批复文件、工程设计文件、工程施工合同及招投标文件、工程监理合同及招标文件等编制环境监理方案，并严格按照指定的环境监理方案实施监理工作；</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（3）环境监理的对象是所有由于施工活动可能产生的环境污染，环境监理应以施工期的环境保护、施工后期污染防治措施、生态环境恢复措施的落实情况为重点。</w:t>
      </w:r>
    </w:p>
    <w:p>
      <w:pPr>
        <w:pStyle w:val="4"/>
        <w:adjustRightInd w:val="0"/>
        <w:rPr>
          <w:rFonts w:hint="default" w:ascii="Times New Roman" w:hAnsi="Times New Roman" w:cs="Times New Roman"/>
          <w:color w:val="auto"/>
        </w:rPr>
      </w:pPr>
      <w:bookmarkStart w:id="372" w:name="_Toc14740"/>
      <w:bookmarkStart w:id="373" w:name="_Toc27018"/>
      <w:bookmarkStart w:id="374" w:name="_Toc13139"/>
      <w:r>
        <w:rPr>
          <w:rFonts w:hint="default" w:ascii="Times New Roman" w:hAnsi="Times New Roman" w:cs="Times New Roman"/>
          <w:color w:val="auto"/>
        </w:rPr>
        <w:t>环境监理机构、职责及人员</w:t>
      </w:r>
      <w:bookmarkEnd w:id="372"/>
      <w:bookmarkEnd w:id="373"/>
      <w:bookmarkEnd w:id="374"/>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境监理机构依法对施工单位、承包商、供应商执行国家环保法律、法规、制度、标准、规范的情况进行监督检查，协助建设单位落实施工期间的各项环境保护合同条款和协议，确保本项目的建设符合国家环保法规的要求。</w:t>
      </w:r>
    </w:p>
    <w:p>
      <w:pPr>
        <w:pStyle w:val="4"/>
        <w:adjustRightInd w:val="0"/>
        <w:rPr>
          <w:rFonts w:hint="default" w:ascii="Times New Roman" w:hAnsi="Times New Roman" w:cs="Times New Roman"/>
          <w:color w:val="auto"/>
        </w:rPr>
      </w:pPr>
      <w:bookmarkStart w:id="375" w:name="_Toc899"/>
      <w:bookmarkStart w:id="376" w:name="_Toc28088"/>
      <w:bookmarkStart w:id="377" w:name="_Toc18945"/>
      <w:r>
        <w:rPr>
          <w:rFonts w:hint="default" w:ascii="Times New Roman" w:hAnsi="Times New Roman" w:cs="Times New Roman"/>
          <w:color w:val="auto"/>
        </w:rPr>
        <w:t>环境监理主要内容</w:t>
      </w:r>
      <w:bookmarkEnd w:id="375"/>
      <w:bookmarkEnd w:id="376"/>
      <w:bookmarkEnd w:id="377"/>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工程环境监理主要内容包括环保达标监理和环保工程监理。环保达标监理是使主体工程的施工符合环境保护的要求，如噪声、废气、污水等排放应达到有关的标准等。环保工程监理包括生态环境保护、水土保持等地的保护，包括污水处理设施、边坡防护、排水工程、绿化等在内的环保设施建设的监理。</w:t>
      </w:r>
    </w:p>
    <w:p>
      <w:pPr>
        <w:pStyle w:val="4"/>
        <w:adjustRightInd w:val="0"/>
        <w:rPr>
          <w:rFonts w:hint="default" w:ascii="Times New Roman" w:hAnsi="Times New Roman" w:cs="Times New Roman"/>
          <w:color w:val="auto"/>
        </w:rPr>
      </w:pPr>
      <w:bookmarkStart w:id="378" w:name="_Toc10104"/>
      <w:bookmarkStart w:id="379" w:name="_Toc15364"/>
      <w:bookmarkStart w:id="380" w:name="_Toc9836"/>
      <w:r>
        <w:rPr>
          <w:rFonts w:hint="default" w:ascii="Times New Roman" w:hAnsi="Times New Roman" w:cs="Times New Roman"/>
          <w:color w:val="auto"/>
        </w:rPr>
        <w:t>本项目环境监理计划</w:t>
      </w:r>
      <w:bookmarkEnd w:id="378"/>
      <w:bookmarkEnd w:id="379"/>
      <w:bookmarkEnd w:id="380"/>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本工程环境监理计划可分为三个阶段：设计阶段环境监理，施工阶段环境监理，竣工阶段环境监理。</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（1）设计阶段的环境监理</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①对施工图纸有关环境保护工程或措施进行复查、核对、优化和完善设计，对有关设计问题提出合理化建议；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②审验环境管理方案与措施，包括有无文件化的环境管理方案。该方案能否保证环境目标的实现，是否规定了环境职责，明确了组织机构的设置、职责的规定、工作程序的规定等。</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（2）施工期的环境监理</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环境监理单位将对工程承包商的施工活动及可能造成生态破坏的环节进行全方位的巡视与检查。现场检查施工是否按工程监理中所规定的环境保护条款进行，有无擅自改变；是否按环保设计要求进行；施工过程中是否执行了本工程的环境影响报告及其批复所要求的各项环保措施；并参与调查处理生态破坏事故和环境污染事件纠纷。</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（3）竣工验收阶段的环境监理</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监理单位应参加项目竣工环境验收。本工程竣工验收阶段环境监理的主要内容包括：</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①环境监理单位出具工程环境监理总结报告，协助建设单位进行环境保护自主验收。</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②监理业务完成后，监理单位应妥善保管或按规定将相关环境监理文件提交有关部门。</w:t>
      </w:r>
    </w:p>
    <w:p>
      <w:pPr>
        <w:pStyle w:val="12"/>
        <w:adjustRightInd w:val="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kern w:val="21"/>
          <w:szCs w:val="21"/>
        </w:rPr>
        <w:t>项目施工期环境监理内容</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7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环境问题</w:t>
            </w:r>
          </w:p>
        </w:tc>
        <w:tc>
          <w:tcPr>
            <w:tcW w:w="4355"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监理内容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空气污染</w:t>
            </w:r>
          </w:p>
        </w:tc>
        <w:tc>
          <w:tcPr>
            <w:tcW w:w="4355"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施工场地采取洒水措施，以降低施工期扬尘，减少大气污染；料堆和贮料场须遮盖或洒水以防止扬尘污染；运送建筑材料等车辆采用遮盖措施，减少跑漏。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水环境</w:t>
            </w:r>
          </w:p>
        </w:tc>
        <w:tc>
          <w:tcPr>
            <w:tcW w:w="4355"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项目施工期生活污水经预处理池处理后外排污水处理厂。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固体废物</w:t>
            </w:r>
          </w:p>
        </w:tc>
        <w:tc>
          <w:tcPr>
            <w:tcW w:w="4355"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szCs w:val="18"/>
              </w:rPr>
              <w:t>在</w:t>
            </w:r>
            <w:r>
              <w:rPr>
                <w:rFonts w:hint="default" w:ascii="Times New Roman" w:hAnsi="Times New Roman" w:cs="Times New Roman"/>
                <w:color w:val="auto"/>
                <w:kern w:val="21"/>
                <w:sz w:val="21"/>
                <w:szCs w:val="20"/>
              </w:rPr>
              <w:t>施工期主体工程和设备安装过程中</w:t>
            </w:r>
            <w:r>
              <w:rPr>
                <w:rFonts w:hint="default" w:ascii="Times New Roman" w:hAnsi="Times New Roman" w:cs="Times New Roman"/>
                <w:color w:val="auto"/>
                <w:kern w:val="21"/>
                <w:sz w:val="21"/>
              </w:rPr>
              <w:t>会产生一定数量的</w:t>
            </w:r>
            <w:r>
              <w:rPr>
                <w:rFonts w:hint="default" w:ascii="Times New Roman" w:hAnsi="Times New Roman" w:cs="Times New Roman"/>
                <w:color w:val="auto"/>
                <w:kern w:val="21"/>
                <w:sz w:val="21"/>
                <w:szCs w:val="20"/>
              </w:rPr>
              <w:t>建筑垃圾，如废纸板、编织袋等；</w:t>
            </w:r>
            <w:r>
              <w:rPr>
                <w:rFonts w:hint="default" w:ascii="Times New Roman" w:hAnsi="Times New Roman" w:cs="Times New Roman"/>
                <w:color w:val="auto"/>
                <w:kern w:val="21"/>
                <w:sz w:val="21"/>
              </w:rPr>
              <w:t>还会产生一定数量的装修垃圾，如废油漆桶、废涂料桶等，建筑垃圾中可回收利用的</w:t>
            </w:r>
            <w:r>
              <w:rPr>
                <w:rFonts w:hint="default" w:ascii="Times New Roman" w:hAnsi="Times New Roman" w:cs="Times New Roman"/>
                <w:color w:val="auto"/>
                <w:kern w:val="21"/>
                <w:sz w:val="21"/>
                <w:szCs w:val="20"/>
              </w:rPr>
              <w:t>出售给废品回收站，不能回收的运往政府指定堆放点；</w:t>
            </w:r>
            <w:r>
              <w:rPr>
                <w:rFonts w:hint="default" w:ascii="Times New Roman" w:hAnsi="Times New Roman" w:cs="Times New Roman"/>
                <w:color w:val="auto"/>
                <w:kern w:val="21"/>
                <w:sz w:val="21"/>
              </w:rPr>
              <w:t>废油漆桶、废涂料桶等装修垃圾交由有相应危废处理资质的单位处理。</w:t>
            </w:r>
            <w:r>
              <w:rPr>
                <w:rFonts w:hint="default" w:ascii="Times New Roman" w:hAnsi="Times New Roman" w:cs="Times New Roman"/>
                <w:color w:val="auto"/>
                <w:kern w:val="21"/>
                <w:sz w:val="21"/>
                <w:szCs w:val="20"/>
              </w:rPr>
              <w:t>施工过程中产生的生活垃圾经生活垃圾桶集中</w:t>
            </w:r>
            <w:r>
              <w:rPr>
                <w:rFonts w:hint="default" w:ascii="Times New Roman" w:hAnsi="Times New Roman" w:cs="Times New Roman"/>
                <w:color w:val="auto"/>
                <w:kern w:val="21"/>
                <w:sz w:val="21"/>
              </w:rPr>
              <w:t>收集后由环卫部门统一清运处理。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噪声</w:t>
            </w:r>
          </w:p>
        </w:tc>
        <w:tc>
          <w:tcPr>
            <w:tcW w:w="4355"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严格执行施工场界噪声标准以防止施工人员受噪声侵害，并限制工作时间。优先选用高效率、低噪声设备，并加强机械和车辆的维修和保养，保持其较低噪声水平。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竣工后</w:t>
            </w:r>
          </w:p>
        </w:tc>
        <w:tc>
          <w:tcPr>
            <w:tcW w:w="4355"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工程竣工后，要监督管理环境恢复监测和环境恢复计划的落实情况及环保处理设施运行情况。</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a.监督竣工文件的编制；b.组织初验；c.协助业主组织竣工验收；d.编制项目环境监理总结报告；e.整理环境监理竣工资料。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现场监理</w:t>
            </w:r>
          </w:p>
        </w:tc>
        <w:tc>
          <w:tcPr>
            <w:tcW w:w="4355" w:type="pct"/>
            <w:vAlign w:val="center"/>
          </w:tcPr>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分项工程施工期间，环境监理工程师将对承包商的环保方面施工及可能产生污染的环节应进行全方位的巡视，对主要污染工序进行全过程的旁站、全环节的监测与检查。其工作内容主要有：</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a.协调现场施工环境监理工作，重点巡视施工现场，掌握现场的污染动态，督促承包商和监理双方共同执行好环境监理细则，及时发现和处理较重大的环境污染问题。</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b.监理工程师对各项环保工程部位的施工工艺进行全过程的旁站监理，现场监测、检查承包人的施工记录。监理工程师应指导监理员并示范如何进行现场监测与检查，注意事项和记录工程的环保状况。</w:t>
            </w:r>
          </w:p>
          <w:p>
            <w:pPr>
              <w:overflowPunct w:val="0"/>
              <w:adjustRightInd w:val="0"/>
              <w:spacing w:before="62" w:beforeLines="20" w:after="62" w:afterLines="20" w:line="240" w:lineRule="auto"/>
              <w:ind w:firstLine="0" w:firstLineChars="0"/>
              <w:rPr>
                <w:rFonts w:hint="default" w:ascii="Times New Roman" w:hAnsi="Times New Roman" w:cs="Times New Roman"/>
                <w:color w:val="auto"/>
                <w:kern w:val="21"/>
                <w:sz w:val="21"/>
              </w:rPr>
            </w:pPr>
            <w:r>
              <w:rPr>
                <w:rFonts w:hint="default" w:ascii="Times New Roman" w:hAnsi="Times New Roman" w:cs="Times New Roman"/>
                <w:color w:val="auto"/>
                <w:kern w:val="21"/>
                <w:sz w:val="21"/>
              </w:rPr>
              <w:t>c.实施现场检查监测。施工是否按环境保护条款进行，有无擅自改变；通过监测的方式检查施工过程中是否满足环保要求；施工作业是否符合环保规范，是否按环保设计要求进行；施工过程中是否执行了保证要求的各项环保措施。监理员应将每天的现场监测和检查情况予以记录并报告环境监理工程师，环境监理工程师应对监理员的工作情况予以监督检查，及时发现处理存在的问题。</w:t>
            </w:r>
          </w:p>
        </w:tc>
      </w:tr>
    </w:tbl>
    <w:p>
      <w:pPr>
        <w:pStyle w:val="3"/>
        <w:adjustRightInd w:val="0"/>
        <w:rPr>
          <w:rFonts w:hint="default" w:ascii="Times New Roman" w:hAnsi="Times New Roman" w:cs="Times New Roman"/>
          <w:color w:val="auto"/>
        </w:rPr>
      </w:pPr>
      <w:bookmarkStart w:id="381" w:name="_Toc6681"/>
      <w:bookmarkStart w:id="382" w:name="_Toc9514"/>
      <w:bookmarkStart w:id="383" w:name="_Toc21359"/>
      <w:bookmarkStart w:id="384" w:name="_Toc11940"/>
      <w:bookmarkStart w:id="385" w:name="_Toc11969"/>
      <w:bookmarkStart w:id="386" w:name="_Toc9988"/>
      <w:bookmarkStart w:id="387" w:name="_Toc17399"/>
      <w:r>
        <w:rPr>
          <w:rFonts w:hint="default" w:ascii="Times New Roman" w:hAnsi="Times New Roman" w:cs="Times New Roman"/>
          <w:color w:val="auto"/>
        </w:rPr>
        <w:t>环保设施竣工验收管理</w:t>
      </w:r>
      <w:bookmarkEnd w:id="381"/>
      <w:bookmarkEnd w:id="382"/>
      <w:bookmarkEnd w:id="383"/>
      <w:bookmarkEnd w:id="384"/>
      <w:bookmarkEnd w:id="385"/>
      <w:bookmarkEnd w:id="386"/>
      <w:bookmarkEnd w:id="387"/>
    </w:p>
    <w:p>
      <w:pPr>
        <w:pStyle w:val="4"/>
        <w:adjustRightInd w:val="0"/>
        <w:rPr>
          <w:rFonts w:hint="default" w:ascii="Times New Roman" w:hAnsi="Times New Roman" w:cs="Times New Roman"/>
          <w:color w:val="auto"/>
        </w:rPr>
      </w:pPr>
      <w:bookmarkStart w:id="388" w:name="_Toc22128"/>
      <w:bookmarkStart w:id="389" w:name="_Toc18265"/>
      <w:bookmarkStart w:id="390" w:name="_Toc940"/>
      <w:bookmarkStart w:id="391" w:name="_Toc32674"/>
      <w:bookmarkStart w:id="392" w:name="_Toc28937"/>
      <w:bookmarkStart w:id="393" w:name="_Toc29016"/>
      <w:bookmarkStart w:id="394" w:name="_Toc5496"/>
      <w:r>
        <w:rPr>
          <w:rFonts w:hint="default" w:ascii="Times New Roman" w:hAnsi="Times New Roman" w:cs="Times New Roman"/>
          <w:color w:val="auto"/>
        </w:rPr>
        <w:t>环保工程设计要求</w:t>
      </w:r>
      <w:bookmarkEnd w:id="388"/>
      <w:bookmarkEnd w:id="389"/>
      <w:bookmarkEnd w:id="390"/>
      <w:bookmarkEnd w:id="391"/>
      <w:bookmarkEnd w:id="392"/>
      <w:bookmarkEnd w:id="393"/>
      <w:bookmarkEnd w:id="394"/>
    </w:p>
    <w:p>
      <w:pPr>
        <w:numPr>
          <w:ilvl w:val="0"/>
          <w:numId w:val="12"/>
        </w:num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按照环评报告书提出的污染防治措施，完善本项目的环保工程设计，并针对本项目的特点，重点做好恶臭的无组织排放污染防治，废水的处理以及污泥的处置与综合利用设计工作，确保工程建成投产后“三废”做到达标排放；</w:t>
      </w:r>
    </w:p>
    <w:p>
      <w:pPr>
        <w:numPr>
          <w:ilvl w:val="0"/>
          <w:numId w:val="12"/>
        </w:num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核准环保投资概算，增加环保资金，要求做到专款专用，环保投资及时到位；</w:t>
      </w:r>
    </w:p>
    <w:p>
      <w:pPr>
        <w:numPr>
          <w:ilvl w:val="0"/>
          <w:numId w:val="12"/>
        </w:num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主体工程完工后，其配套建设的环境保护设施必须与主体工程同时完工；如需进行试运行，其配套建设的环境保护设施必须与主体工程同时投入运行。</w:t>
      </w:r>
    </w:p>
    <w:p>
      <w:pPr>
        <w:pStyle w:val="4"/>
        <w:adjustRightInd w:val="0"/>
        <w:rPr>
          <w:rFonts w:hint="default" w:ascii="Times New Roman" w:hAnsi="Times New Roman" w:cs="Times New Roman"/>
          <w:color w:val="auto"/>
        </w:rPr>
      </w:pPr>
      <w:bookmarkStart w:id="395" w:name="_Toc11560"/>
      <w:bookmarkStart w:id="396" w:name="_Toc9186"/>
      <w:bookmarkStart w:id="397" w:name="_Toc27850"/>
      <w:bookmarkStart w:id="398" w:name="_Toc13109"/>
      <w:bookmarkStart w:id="399" w:name="_Toc32145"/>
      <w:bookmarkStart w:id="400" w:name="_Toc19517"/>
      <w:r>
        <w:rPr>
          <w:rFonts w:hint="default" w:ascii="Times New Roman" w:hAnsi="Times New Roman" w:cs="Times New Roman"/>
          <w:color w:val="auto"/>
        </w:rPr>
        <w:t>环保设施验收建议</w:t>
      </w:r>
      <w:bookmarkEnd w:id="395"/>
      <w:bookmarkEnd w:id="396"/>
      <w:bookmarkEnd w:id="397"/>
      <w:bookmarkEnd w:id="398"/>
      <w:bookmarkEnd w:id="399"/>
      <w:bookmarkEnd w:id="400"/>
    </w:p>
    <w:p>
      <w:pPr>
        <w:pStyle w:val="5"/>
        <w:adjustRightInd w:val="0"/>
        <w:rPr>
          <w:rFonts w:hint="default" w:ascii="Times New Roman" w:hAnsi="Times New Roman" w:cs="Times New Roman"/>
          <w:color w:val="auto"/>
        </w:rPr>
      </w:pPr>
      <w:r>
        <w:rPr>
          <w:rFonts w:hint="default" w:ascii="Times New Roman" w:hAnsi="Times New Roman" w:cs="Times New Roman"/>
          <w:color w:val="auto"/>
        </w:rPr>
        <w:t>竣工验收主要内容</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工程建成后应及时组织竣工环境保护验收，对各项环保工程措施的落实情况、效果以及工程建设对环境的影响进行评估。验收小组应由设计单位、施工单位、环评单位、验收监测报告编制机构等单位代表以及专业技术专家等组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根据《建设项目环境保护管理条例》（2017.10.1）国务院第682号令、《建设项目竣工环境保护验收暂行办法》（2017.11.20）、《中华人民共和国固体废物污染环境防治法》的有关规定，本项目的水污染防治措施、大气污染防治措施、噪声污染防治措施、固体废物污染防治设施由建设单位自主验收。</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建设单位自主验收相关规定</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（1）竣工环境保护验收实行由企业法人负责的自行验收管理</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企业自行验收严格按照环境保护主管部门制定的规定程序执行，验收过程完整，验收程序合法。企业自行验收严格落实环境影响报告书（表）及其批复文件要求，验收材料齐全，验收内容全面，适用标准规范，内容不缺项，标准不降低。建设项目主体工程竣工后、正式投产或运行前，企业应自行组织开展建设项目竣工环境保护验收，并编制建设项目竣工环境保护验收调查（监测）报告。</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（2）建设项目竣工环境保护企业自行验收范围</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①环境影响报告书及其批复文件规定的与建设项目有关的各项环境保护设施，包括为防治污染和保护环境所建成或配备的工程、设备、装置和监测手段，各项生态保护设施。</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②环境影响报告书及其批复文件和有关项目设计文件规定应采取的其他各项环境保护措施。</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③与建设项目有关的各项环境保护设施、环境保护措施运行效果。</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（3）建设项目竣工环境保护企业自行验收依据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①《建设项目环境保护管理条例》等相关法律规定。</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②环境影响报告书及其批复文件。</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③工程《初步设计》环保篇。</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④建设项目竣工环境保护技术规范等相关标准。</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⑤环境保护主管部门印发的其他相关文件要求。</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（4）建设项目竣工环境保护企业自行验收工作程序</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①在建设项目竣工后、正式投入生产或运行前，企业按照环境影响报告书及其批复文件要求，对与主体工程配套建设的环境保护设施落实情况进行查验。</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②按照环境保护主管部门制定的竣工环境保护验收技术规范，企业自行编制或委托具备相应技术能力的机构，对建设项目环境保护设施落实情况进行调查，开展相关环境监测，编制竣工环境保护验收监测报告。企业、验收监测机构及其相关人员对验收监测报告结论终身负责。</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③验收监测报告编制完成后，由企业法人组织对建设项目环境保护设施和环境保护措施进行验收，形成书面报告备查，并向社会公开。</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④企业自行组织竣工环境保护验收时，应成立验收组，对建设项目环境保护设施及其他环境保护措施进行资料审查、现场踏勘，形成验收意见，验收组成员名单附后。验收组应由建设单位、设计单位、施工单位、环境监理单位、环境监测单位、环境影响报告书编制单位、变更环境影响报告书编制单位、验收监测报告编制单位代表，以及专业技术专家组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⑤企业应对验收意见中提出的环保问题进行整改。环境保护设施未经验收或者验收不合格的，建设项目主体工程不得投入生产或者使用。</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⑥企业应自验收通过之日起30个工作日内，制作竣工环境保护验收意见书，并将验收意见书、验收监测报告和“三同时”验收登记表上传至建设项目竣工环境保护企业自行验收信息平台，并如实向社会公开。</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（5）企业应通过网站以及报纸、媒体平台，向社会及时建设项目环境保护设施和环境保护措施落实情况、竣工环境保护验收情况，并接受社会监督。</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①在施工建设期间应主动公开下列信息：主要环境保护设施实施情况；施工期环境保护措施落实情况；施工期环境监测情况及监测结果。</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②在投入生产或者使用前应主动公开下列信息：各项环境保护设施落实情况；环境保护措施落实情况；环境监测和监理报告；突发环境事件应急预案及备案情况；竣工环境保护验收监测报告；竣工环境保护企业自行验收意见。</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③在运行期间应定期公开下列信息：各项环境保护设施运行情况；主要污染物排放情况；突发环境事件应急演练和应急预案完善情况；环境影响后评价开展情况。</w:t>
      </w:r>
    </w:p>
    <w:p>
      <w:pPr>
        <w:pStyle w:val="3"/>
        <w:adjustRightInd w:val="0"/>
        <w:rPr>
          <w:rFonts w:hint="default" w:ascii="Times New Roman" w:hAnsi="Times New Roman" w:cs="Times New Roman"/>
          <w:color w:val="auto"/>
        </w:rPr>
      </w:pPr>
      <w:bookmarkStart w:id="401" w:name="_Toc14472"/>
      <w:bookmarkStart w:id="402" w:name="_Toc6759"/>
      <w:bookmarkStart w:id="403" w:name="_Toc22190"/>
      <w:r>
        <w:rPr>
          <w:rFonts w:hint="default" w:ascii="Times New Roman" w:hAnsi="Times New Roman" w:cs="Times New Roman"/>
          <w:color w:val="auto"/>
        </w:rPr>
        <w:t>排污口规范化管理</w:t>
      </w:r>
      <w:bookmarkEnd w:id="401"/>
      <w:bookmarkEnd w:id="402"/>
      <w:bookmarkEnd w:id="403"/>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排污口是企业排放污染物进入环境的通道，强化排污口的管理是实施污染物总量控制的基础工作之一，也是区域环境管理逐步实现污染物排放科学化、定量化的重要手段。</w:t>
      </w:r>
    </w:p>
    <w:p>
      <w:pPr>
        <w:pStyle w:val="4"/>
        <w:adjustRightInd w:val="0"/>
        <w:rPr>
          <w:rFonts w:hint="default" w:ascii="Times New Roman" w:hAnsi="Times New Roman" w:cs="Times New Roman"/>
          <w:color w:val="auto"/>
        </w:rPr>
      </w:pPr>
      <w:bookmarkStart w:id="404" w:name="_Toc15772"/>
      <w:bookmarkStart w:id="405" w:name="_Toc4602"/>
      <w:bookmarkStart w:id="406" w:name="_Toc14941"/>
      <w:r>
        <w:rPr>
          <w:rFonts w:hint="default" w:ascii="Times New Roman" w:hAnsi="Times New Roman" w:cs="Times New Roman"/>
          <w:color w:val="auto"/>
        </w:rPr>
        <w:t>排污口规范化管理的基本原则</w:t>
      </w:r>
      <w:bookmarkEnd w:id="404"/>
      <w:bookmarkEnd w:id="405"/>
      <w:bookmarkEnd w:id="406"/>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（1）向环境排放污染物的排污口必须规范化；</w:t>
      </w:r>
    </w:p>
    <w:p>
      <w:pPr>
        <w:wordWrap w:val="0"/>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（2）考虑列入总量控制指标的污染物中排放的颗粒物排放口（排气筒DA001）为管理重点；</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（3）排污口应便于采样与计量监测，便于日常现场监督检查。</w:t>
      </w:r>
    </w:p>
    <w:p>
      <w:pPr>
        <w:pStyle w:val="4"/>
        <w:adjustRightInd w:val="0"/>
        <w:rPr>
          <w:rFonts w:hint="default" w:ascii="Times New Roman" w:hAnsi="Times New Roman" w:cs="Times New Roman"/>
          <w:color w:val="auto"/>
        </w:rPr>
      </w:pPr>
      <w:bookmarkStart w:id="407" w:name="_Toc24437"/>
      <w:bookmarkStart w:id="408" w:name="_Toc12534"/>
      <w:bookmarkStart w:id="409" w:name="_Toc29390"/>
      <w:r>
        <w:rPr>
          <w:rFonts w:hint="default" w:ascii="Times New Roman" w:hAnsi="Times New Roman" w:cs="Times New Roman"/>
          <w:color w:val="auto"/>
        </w:rPr>
        <w:t>排污口的技术要求</w:t>
      </w:r>
      <w:bookmarkEnd w:id="407"/>
      <w:bookmarkEnd w:id="408"/>
      <w:bookmarkEnd w:id="409"/>
    </w:p>
    <w:p>
      <w:pPr>
        <w:numPr>
          <w:ilvl w:val="0"/>
          <w:numId w:val="13"/>
        </w:numPr>
        <w:wordWrap w:val="0"/>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排污口的位置必须合理确定，按环监〔1996〕470号文件要求进行规范化管理；</w:t>
      </w:r>
    </w:p>
    <w:p>
      <w:pPr>
        <w:numPr>
          <w:ilvl w:val="0"/>
          <w:numId w:val="13"/>
        </w:numPr>
        <w:wordWrap w:val="0"/>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排放污染物的采样点设置应按《污染源监测技术规范》要求，设置在污水处理厂总排口、排气筒等处。</w:t>
      </w:r>
    </w:p>
    <w:p>
      <w:pPr>
        <w:pStyle w:val="4"/>
        <w:adjustRightInd w:val="0"/>
        <w:rPr>
          <w:rFonts w:hint="default" w:ascii="Times New Roman" w:hAnsi="Times New Roman" w:cs="Times New Roman"/>
          <w:color w:val="auto"/>
        </w:rPr>
      </w:pPr>
      <w:bookmarkStart w:id="410" w:name="_Toc27926"/>
      <w:bookmarkStart w:id="411" w:name="_Toc11999"/>
      <w:bookmarkStart w:id="412" w:name="_Toc18924"/>
      <w:r>
        <w:rPr>
          <w:rFonts w:hint="default" w:ascii="Times New Roman" w:hAnsi="Times New Roman" w:cs="Times New Roman"/>
          <w:color w:val="auto"/>
        </w:rPr>
        <w:t>排污口立标管理</w:t>
      </w:r>
      <w:bookmarkEnd w:id="410"/>
      <w:bookmarkEnd w:id="411"/>
      <w:bookmarkEnd w:id="412"/>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在厂区的废气排放源、固体废物贮存处置场应设置环境保护图形标志，图形符号分为提示图形和警告图形符号两种，分别按GB15562.1-1995、GB15562.2-1995执行；</w:t>
      </w:r>
      <w:r>
        <w:rPr>
          <w:rFonts w:hint="default" w:ascii="Times New Roman" w:hAnsi="Times New Roman" w:cs="Times New Roman"/>
          <w:bCs/>
          <w:color w:val="auto"/>
          <w:kern w:val="21"/>
          <w:szCs w:val="22"/>
        </w:rPr>
        <w:t>危险废物标识</w:t>
      </w:r>
      <w:r>
        <w:rPr>
          <w:rFonts w:hint="default" w:ascii="Times New Roman" w:hAnsi="Times New Roman" w:cs="Times New Roman"/>
          <w:color w:val="auto"/>
          <w:kern w:val="21"/>
          <w:szCs w:val="22"/>
        </w:rPr>
        <w:t>牌应参照《危险废物识别标志设置技术规范》（HJ1276-2022）设置</w:t>
      </w:r>
      <w:r>
        <w:rPr>
          <w:rFonts w:hint="default" w:ascii="Times New Roman" w:hAnsi="Times New Roman" w:cs="Times New Roman"/>
          <w:color w:val="auto"/>
          <w:kern w:val="21"/>
          <w:szCs w:val="24"/>
        </w:rPr>
        <w:t>。环境保护图形标志的形状及颜色见下表。</w:t>
      </w:r>
    </w:p>
    <w:p>
      <w:pPr>
        <w:pStyle w:val="12"/>
        <w:adjustRightInd w:val="0"/>
        <w:rPr>
          <w:rFonts w:hint="default" w:ascii="Times New Roman" w:hAnsi="Times New Roman" w:cs="Times New Roman"/>
          <w:color w:val="auto"/>
          <w:kern w:val="21"/>
          <w:szCs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bCs/>
          <w:color w:val="auto"/>
          <w:kern w:val="21"/>
          <w:szCs w:val="21"/>
        </w:rPr>
        <w:t>环境保护图形标志的形状及颜色表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2366"/>
        <w:gridCol w:w="2366"/>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83"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标志名称</w:t>
            </w:r>
          </w:p>
        </w:tc>
        <w:tc>
          <w:tcPr>
            <w:tcW w:w="130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形状</w:t>
            </w:r>
          </w:p>
        </w:tc>
        <w:tc>
          <w:tcPr>
            <w:tcW w:w="130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背景颜色</w:t>
            </w:r>
          </w:p>
        </w:tc>
        <w:tc>
          <w:tcPr>
            <w:tcW w:w="1305" w:type="pct"/>
            <w:vAlign w:val="center"/>
          </w:tcPr>
          <w:p>
            <w:pPr>
              <w:pStyle w:val="65"/>
              <w:spacing w:before="62" w:after="62"/>
              <w:rPr>
                <w:rFonts w:hint="default" w:ascii="Times New Roman" w:hAnsi="Times New Roman" w:cs="Times New Roman"/>
                <w:b/>
                <w:bCs w:val="0"/>
                <w:color w:val="auto"/>
              </w:rPr>
            </w:pPr>
            <w:r>
              <w:rPr>
                <w:rFonts w:hint="default" w:ascii="Times New Roman" w:hAnsi="Times New Roman" w:cs="Times New Roman"/>
                <w:b/>
                <w:bCs w:val="0"/>
                <w:color w:val="auto"/>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警告标志</w:t>
            </w:r>
          </w:p>
        </w:tc>
        <w:tc>
          <w:tcPr>
            <w:tcW w:w="13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三角形边框</w:t>
            </w:r>
          </w:p>
        </w:tc>
        <w:tc>
          <w:tcPr>
            <w:tcW w:w="13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黄色</w:t>
            </w:r>
          </w:p>
        </w:tc>
        <w:tc>
          <w:tcPr>
            <w:tcW w:w="13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提示标志</w:t>
            </w:r>
          </w:p>
        </w:tc>
        <w:tc>
          <w:tcPr>
            <w:tcW w:w="13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正方形边框</w:t>
            </w:r>
          </w:p>
        </w:tc>
        <w:tc>
          <w:tcPr>
            <w:tcW w:w="13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绿色</w:t>
            </w:r>
          </w:p>
        </w:tc>
        <w:tc>
          <w:tcPr>
            <w:tcW w:w="1305" w:type="pct"/>
            <w:vAlign w:val="center"/>
          </w:tcPr>
          <w:p>
            <w:pPr>
              <w:pStyle w:val="65"/>
              <w:spacing w:before="62" w:after="62"/>
              <w:rPr>
                <w:rFonts w:hint="default" w:ascii="Times New Roman" w:hAnsi="Times New Roman" w:cs="Times New Roman"/>
                <w:color w:val="auto"/>
              </w:rPr>
            </w:pPr>
            <w:r>
              <w:rPr>
                <w:rFonts w:hint="default" w:ascii="Times New Roman" w:hAnsi="Times New Roman" w:cs="Times New Roman"/>
                <w:color w:val="auto"/>
              </w:rPr>
              <w:t>白色</w:t>
            </w:r>
          </w:p>
        </w:tc>
      </w:tr>
    </w:tbl>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环境保护图形符号见下表。</w:t>
      </w:r>
    </w:p>
    <w:p>
      <w:pPr>
        <w:pStyle w:val="12"/>
        <w:adjustRightInd w:val="0"/>
        <w:rPr>
          <w:rFonts w:hint="default" w:ascii="Times New Roman" w:hAnsi="Times New Roman" w:cs="Times New Roman"/>
          <w:color w:val="auto"/>
          <w:kern w:val="21"/>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kern w:val="21"/>
        </w:rPr>
        <w:t>环境保护图形符号一览表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815"/>
        <w:gridCol w:w="2016"/>
        <w:gridCol w:w="1725"/>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序号</w:t>
            </w:r>
          </w:p>
        </w:tc>
        <w:tc>
          <w:tcPr>
            <w:tcW w:w="100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提示图形符号</w:t>
            </w:r>
          </w:p>
        </w:tc>
        <w:tc>
          <w:tcPr>
            <w:tcW w:w="110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警告图形符号</w:t>
            </w:r>
          </w:p>
        </w:tc>
        <w:tc>
          <w:tcPr>
            <w:tcW w:w="95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名称</w:t>
            </w:r>
          </w:p>
        </w:tc>
        <w:tc>
          <w:tcPr>
            <w:tcW w:w="152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b/>
                <w:color w:val="auto"/>
                <w:kern w:val="21"/>
                <w:sz w:val="21"/>
              </w:rPr>
            </w:pPr>
            <w:r>
              <w:rPr>
                <w:rFonts w:hint="default" w:ascii="Times New Roman" w:hAnsi="Times New Roman" w:cs="Times New Roman"/>
                <w:b/>
                <w:color w:val="auto"/>
                <w:kern w:val="21"/>
                <w:sz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1</w:t>
            </w:r>
          </w:p>
        </w:tc>
        <w:tc>
          <w:tcPr>
            <w:tcW w:w="100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drawing>
                <wp:inline distT="0" distB="0" distL="0" distR="0">
                  <wp:extent cx="711835" cy="720090"/>
                  <wp:effectExtent l="0" t="0" r="12065" b="3810"/>
                  <wp:docPr id="158" name="图片 8"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 descr="130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110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drawing>
                <wp:inline distT="0" distB="0" distL="0" distR="0">
                  <wp:extent cx="711835" cy="720090"/>
                  <wp:effectExtent l="0" t="0" r="12065" b="3810"/>
                  <wp:docPr id="159" name="图片 7"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 descr="130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95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废水排放口</w:t>
            </w:r>
          </w:p>
        </w:tc>
        <w:tc>
          <w:tcPr>
            <w:tcW w:w="152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表示废水向纳污水体排放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2</w:t>
            </w:r>
          </w:p>
        </w:tc>
        <w:tc>
          <w:tcPr>
            <w:tcW w:w="100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drawing>
                <wp:inline distT="0" distB="0" distL="0" distR="0">
                  <wp:extent cx="711835" cy="720090"/>
                  <wp:effectExtent l="0" t="0" r="12065" b="3810"/>
                  <wp:docPr id="160" name="图片 6"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 descr="130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110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drawing>
                <wp:inline distT="0" distB="0" distL="0" distR="0">
                  <wp:extent cx="720090" cy="720090"/>
                  <wp:effectExtent l="0" t="0" r="3810" b="3810"/>
                  <wp:docPr id="161"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 descr="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a:ln>
                            <a:noFill/>
                          </a:ln>
                        </pic:spPr>
                      </pic:pic>
                    </a:graphicData>
                  </a:graphic>
                </wp:inline>
              </w:drawing>
            </w:r>
          </w:p>
        </w:tc>
        <w:tc>
          <w:tcPr>
            <w:tcW w:w="95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废气排放口</w:t>
            </w:r>
          </w:p>
        </w:tc>
        <w:tc>
          <w:tcPr>
            <w:tcW w:w="152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3</w:t>
            </w:r>
          </w:p>
        </w:tc>
        <w:tc>
          <w:tcPr>
            <w:tcW w:w="100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drawing>
                <wp:inline distT="0" distB="0" distL="0" distR="0">
                  <wp:extent cx="711835" cy="720090"/>
                  <wp:effectExtent l="0" t="0" r="12065" b="3810"/>
                  <wp:docPr id="162" name="图片 4"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descr="140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110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drawing>
                <wp:inline distT="0" distB="0" distL="0" distR="0">
                  <wp:extent cx="764540" cy="720090"/>
                  <wp:effectExtent l="0" t="0" r="16510" b="3810"/>
                  <wp:docPr id="163" name="图片 3"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 descr="140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764540" cy="720090"/>
                          </a:xfrm>
                          <a:prstGeom prst="rect">
                            <a:avLst/>
                          </a:prstGeom>
                          <a:noFill/>
                          <a:ln>
                            <a:noFill/>
                          </a:ln>
                        </pic:spPr>
                      </pic:pic>
                    </a:graphicData>
                  </a:graphic>
                </wp:inline>
              </w:drawing>
            </w:r>
          </w:p>
        </w:tc>
        <w:tc>
          <w:tcPr>
            <w:tcW w:w="95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一般固体废物</w:t>
            </w:r>
          </w:p>
        </w:tc>
        <w:tc>
          <w:tcPr>
            <w:tcW w:w="152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4</w:t>
            </w:r>
          </w:p>
        </w:tc>
        <w:tc>
          <w:tcPr>
            <w:tcW w:w="100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drawing>
                <wp:inline distT="0" distB="0" distL="0" distR="0">
                  <wp:extent cx="711835" cy="720090"/>
                  <wp:effectExtent l="0" t="0" r="12065" b="3810"/>
                  <wp:docPr id="164" name="图片 4"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descr="140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110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Cs w:val="22"/>
              </w:rPr>
              <w:drawing>
                <wp:inline distT="0" distB="0" distL="114300" distR="114300">
                  <wp:extent cx="1139825" cy="720090"/>
                  <wp:effectExtent l="0" t="0" r="3175" b="3810"/>
                  <wp:docPr id="2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8"/>
                          <pic:cNvPicPr>
                            <a:picLocks noChangeAspect="1"/>
                          </pic:cNvPicPr>
                        </pic:nvPicPr>
                        <pic:blipFill>
                          <a:blip r:embed="rId58"/>
                          <a:stretch>
                            <a:fillRect/>
                          </a:stretch>
                        </pic:blipFill>
                        <pic:spPr>
                          <a:xfrm>
                            <a:off x="0" y="0"/>
                            <a:ext cx="1139825" cy="720090"/>
                          </a:xfrm>
                          <a:prstGeom prst="rect">
                            <a:avLst/>
                          </a:prstGeom>
                          <a:noFill/>
                          <a:ln>
                            <a:noFill/>
                          </a:ln>
                        </pic:spPr>
                      </pic:pic>
                    </a:graphicData>
                  </a:graphic>
                </wp:inline>
              </w:drawing>
            </w:r>
          </w:p>
        </w:tc>
        <w:tc>
          <w:tcPr>
            <w:tcW w:w="95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危险固体废物</w:t>
            </w:r>
          </w:p>
        </w:tc>
        <w:tc>
          <w:tcPr>
            <w:tcW w:w="152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表示危险固体废物贮存、处置场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5</w:t>
            </w:r>
          </w:p>
        </w:tc>
        <w:tc>
          <w:tcPr>
            <w:tcW w:w="100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drawing>
                <wp:inline distT="0" distB="0" distL="0" distR="0">
                  <wp:extent cx="720090" cy="720090"/>
                  <wp:effectExtent l="0" t="0" r="3810" b="3810"/>
                  <wp:docPr id="166" name="图片 2"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descr="2006022015180498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a:ln>
                            <a:noFill/>
                          </a:ln>
                        </pic:spPr>
                      </pic:pic>
                    </a:graphicData>
                  </a:graphic>
                </wp:inline>
              </w:drawing>
            </w:r>
          </w:p>
        </w:tc>
        <w:tc>
          <w:tcPr>
            <w:tcW w:w="1108"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drawing>
                <wp:inline distT="0" distB="0" distL="0" distR="0">
                  <wp:extent cx="809625" cy="720090"/>
                  <wp:effectExtent l="0" t="0" r="9525" b="3810"/>
                  <wp:docPr id="167" name="图片 1"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descr="2006022015190186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809625" cy="720090"/>
                          </a:xfrm>
                          <a:prstGeom prst="rect">
                            <a:avLst/>
                          </a:prstGeom>
                          <a:noFill/>
                          <a:ln>
                            <a:noFill/>
                          </a:ln>
                        </pic:spPr>
                      </pic:pic>
                    </a:graphicData>
                  </a:graphic>
                </wp:inline>
              </w:drawing>
            </w:r>
          </w:p>
        </w:tc>
        <w:tc>
          <w:tcPr>
            <w:tcW w:w="953"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噪声排放源</w:t>
            </w:r>
          </w:p>
        </w:tc>
        <w:tc>
          <w:tcPr>
            <w:tcW w:w="1526" w:type="pct"/>
            <w:vAlign w:val="center"/>
          </w:tcPr>
          <w:p>
            <w:pPr>
              <w:overflowPunct w:val="0"/>
              <w:adjustRightInd w:val="0"/>
              <w:spacing w:before="62" w:beforeLines="20" w:after="62"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表示噪声向外环境排放</w:t>
            </w:r>
          </w:p>
        </w:tc>
      </w:tr>
    </w:tbl>
    <w:p>
      <w:pPr>
        <w:pStyle w:val="4"/>
        <w:adjustRightInd w:val="0"/>
        <w:rPr>
          <w:rFonts w:hint="default" w:ascii="Times New Roman" w:hAnsi="Times New Roman" w:cs="Times New Roman"/>
          <w:color w:val="auto"/>
        </w:rPr>
      </w:pPr>
      <w:bookmarkStart w:id="413" w:name="_Toc32628"/>
      <w:bookmarkStart w:id="414" w:name="_Toc9133"/>
      <w:bookmarkStart w:id="415" w:name="_Toc5990"/>
      <w:r>
        <w:rPr>
          <w:rFonts w:hint="default" w:ascii="Times New Roman" w:hAnsi="Times New Roman" w:cs="Times New Roman"/>
          <w:color w:val="auto"/>
        </w:rPr>
        <w:t>排污口建档管理</w:t>
      </w:r>
      <w:bookmarkEnd w:id="413"/>
      <w:bookmarkEnd w:id="414"/>
      <w:bookmarkEnd w:id="415"/>
    </w:p>
    <w:p>
      <w:pPr>
        <w:numPr>
          <w:ilvl w:val="0"/>
          <w:numId w:val="14"/>
        </w:numPr>
        <w:wordWrap w:val="0"/>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企业污染物排放口的标志，应按照国家《环境保护图形标志排放口》（15562.1-1995）、《环境保护图形标志固体废物贮存（处置）场》（15562.2-1995）</w:t>
      </w:r>
      <w:r>
        <w:rPr>
          <w:rFonts w:hint="default" w:ascii="Times New Roman" w:hAnsi="Times New Roman" w:cs="Times New Roman"/>
          <w:bCs/>
          <w:color w:val="auto"/>
          <w:kern w:val="21"/>
          <w:szCs w:val="22"/>
        </w:rPr>
        <w:t>及</w:t>
      </w:r>
      <w:r>
        <w:rPr>
          <w:rFonts w:hint="default" w:ascii="Times New Roman" w:hAnsi="Times New Roman" w:cs="Times New Roman"/>
          <w:color w:val="auto"/>
          <w:kern w:val="21"/>
          <w:szCs w:val="22"/>
        </w:rPr>
        <w:t>《危险废物识别标志设置技术规范》（HJ1276-2022）的规定，设置生态环境部统一制作的环境保护图形标志牌；</w:t>
      </w:r>
    </w:p>
    <w:p>
      <w:pPr>
        <w:numPr>
          <w:ilvl w:val="0"/>
          <w:numId w:val="14"/>
        </w:numPr>
        <w:wordWrap w:val="0"/>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污染物排放口的环保图形标志牌应设置在靠近采样点的醒目处，标志牌设置高度为其上缘距地面2m；</w:t>
      </w:r>
    </w:p>
    <w:p>
      <w:pPr>
        <w:numPr>
          <w:ilvl w:val="0"/>
          <w:numId w:val="14"/>
        </w:numPr>
        <w:wordWrap w:val="0"/>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要求使用生态环境部统一印刷的《中华人民共和国规范化排污口标志登记证》，并按要求填写有关内容；</w:t>
      </w:r>
    </w:p>
    <w:p>
      <w:pPr>
        <w:numPr>
          <w:ilvl w:val="0"/>
          <w:numId w:val="14"/>
        </w:numPr>
        <w:wordWrap w:val="0"/>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根据排污口管理档案内容要求，项目建成后，应将主要污染物种类、数量、浓度、排放去向、达标情况及设施运行情况记录于档案。</w:t>
      </w:r>
    </w:p>
    <w:p>
      <w:pPr>
        <w:pStyle w:val="3"/>
        <w:adjustRightInd w:val="0"/>
        <w:rPr>
          <w:rFonts w:hint="default" w:ascii="Times New Roman" w:hAnsi="Times New Roman" w:cs="Times New Roman"/>
          <w:color w:val="auto"/>
        </w:rPr>
      </w:pPr>
      <w:bookmarkStart w:id="416" w:name="_Toc268"/>
      <w:bookmarkStart w:id="417" w:name="_Toc28522"/>
      <w:bookmarkStart w:id="418" w:name="_Toc24076"/>
      <w:r>
        <w:rPr>
          <w:rFonts w:hint="default" w:ascii="Times New Roman" w:hAnsi="Times New Roman" w:cs="Times New Roman"/>
          <w:color w:val="auto"/>
        </w:rPr>
        <w:t>事故应急调查监测方案</w:t>
      </w:r>
      <w:bookmarkEnd w:id="416"/>
      <w:bookmarkEnd w:id="417"/>
      <w:bookmarkEnd w:id="418"/>
    </w:p>
    <w:p>
      <w:pPr>
        <w:pStyle w:val="4"/>
        <w:adjustRightInd w:val="0"/>
        <w:rPr>
          <w:rFonts w:hint="default" w:ascii="Times New Roman" w:hAnsi="Times New Roman" w:cs="Times New Roman"/>
          <w:color w:val="auto"/>
        </w:rPr>
      </w:pPr>
      <w:bookmarkStart w:id="419" w:name="_Toc9156"/>
      <w:bookmarkStart w:id="420" w:name="_Toc29995"/>
      <w:bookmarkStart w:id="421" w:name="_Toc27744"/>
      <w:r>
        <w:rPr>
          <w:rFonts w:hint="default" w:ascii="Times New Roman" w:hAnsi="Times New Roman" w:cs="Times New Roman"/>
          <w:color w:val="auto"/>
        </w:rPr>
        <w:t>事故应急调查要求</w:t>
      </w:r>
      <w:bookmarkEnd w:id="419"/>
      <w:bookmarkEnd w:id="420"/>
      <w:bookmarkEnd w:id="421"/>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项目事故预案中需包括应急监测程序，项目运行过程中一旦发生事故，应立即启动应急监测程序，并跟踪监测污染物的迁移情况，直到事故影响根本消除。制定事故应急监测方案，环境监测人员在工作时间10min内、非工作时间20min内要到达事故现场，需实验室分析测试的项目，在采样后24h内必须报出，应急监测专题报告在48h内要报出。根据事故发生源，污染物泄漏种类的分析成果，监测事故的特征因子，监测范围应对事故附近的辐射圈周界进行采样监测。</w:t>
      </w:r>
    </w:p>
    <w:p>
      <w:pPr>
        <w:pStyle w:val="4"/>
        <w:adjustRightInd w:val="0"/>
        <w:rPr>
          <w:rFonts w:hint="default" w:ascii="Times New Roman" w:hAnsi="Times New Roman" w:cs="Times New Roman"/>
          <w:color w:val="auto"/>
        </w:rPr>
      </w:pPr>
      <w:bookmarkStart w:id="422" w:name="_Toc27464"/>
      <w:bookmarkStart w:id="423" w:name="_Toc21352"/>
      <w:bookmarkStart w:id="424" w:name="_Toc4176"/>
      <w:r>
        <w:rPr>
          <w:rFonts w:hint="default" w:ascii="Times New Roman" w:hAnsi="Times New Roman" w:cs="Times New Roman"/>
          <w:color w:val="auto"/>
        </w:rPr>
        <w:t>监测方案</w:t>
      </w:r>
      <w:bookmarkEnd w:id="422"/>
      <w:bookmarkEnd w:id="423"/>
      <w:bookmarkEnd w:id="424"/>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事故应急调查监测包括环境空气和水体环境两类，监测方案如下：</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（1）环境空气事故应急监测</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①环境空气事故应急监测点布设1个；</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②事故发生当天下风向厂界处。</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（2）水体环境事故应急监测</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水体环境事故应急监测点布设1个：污水出口处。</w:t>
      </w:r>
    </w:p>
    <w:p>
      <w:pPr>
        <w:overflowPunct w:val="0"/>
        <w:adjustRightInd w:val="0"/>
        <w:ind w:firstLine="480"/>
        <w:rPr>
          <w:rFonts w:hint="default" w:ascii="Times New Roman" w:hAnsi="Times New Roman" w:cs="Times New Roman"/>
          <w:color w:val="auto"/>
          <w:kern w:val="21"/>
          <w:szCs w:val="22"/>
        </w:rPr>
        <w:sectPr>
          <w:pgSz w:w="11906" w:h="16838"/>
          <w:pgMar w:top="1134" w:right="1531" w:bottom="1134" w:left="1531" w:header="851" w:footer="907" w:gutter="0"/>
          <w:cols w:space="425" w:num="1"/>
          <w:docGrid w:type="lines" w:linePitch="312" w:charSpace="0"/>
        </w:sectPr>
      </w:pPr>
    </w:p>
    <w:p>
      <w:pPr>
        <w:pStyle w:val="2"/>
        <w:adjustRightInd w:val="0"/>
        <w:rPr>
          <w:rFonts w:hint="default" w:ascii="Times New Roman" w:hAnsi="Times New Roman" w:cs="Times New Roman"/>
          <w:color w:val="auto"/>
        </w:rPr>
      </w:pPr>
      <w:bookmarkStart w:id="425" w:name="_Toc12672"/>
      <w:bookmarkStart w:id="426" w:name="_Toc20638"/>
      <w:bookmarkStart w:id="427" w:name="_Toc18755"/>
      <w:r>
        <w:rPr>
          <w:rFonts w:hint="default" w:ascii="Times New Roman" w:hAnsi="Times New Roman" w:cs="Times New Roman"/>
          <w:color w:val="auto"/>
        </w:rPr>
        <w:t>结论与建议</w:t>
      </w:r>
      <w:bookmarkEnd w:id="425"/>
      <w:bookmarkEnd w:id="426"/>
      <w:bookmarkEnd w:id="427"/>
    </w:p>
    <w:p>
      <w:pPr>
        <w:pStyle w:val="3"/>
        <w:adjustRightInd w:val="0"/>
        <w:rPr>
          <w:rFonts w:hint="default" w:ascii="Times New Roman" w:hAnsi="Times New Roman" w:cs="Times New Roman"/>
          <w:color w:val="auto"/>
        </w:rPr>
      </w:pPr>
      <w:bookmarkStart w:id="428" w:name="_Toc10921"/>
      <w:bookmarkStart w:id="429" w:name="_Toc17290"/>
      <w:bookmarkStart w:id="430" w:name="_Toc22728"/>
      <w:r>
        <w:rPr>
          <w:rFonts w:hint="default" w:ascii="Times New Roman" w:hAnsi="Times New Roman" w:cs="Times New Roman"/>
          <w:color w:val="auto"/>
        </w:rPr>
        <w:t>结论</w:t>
      </w:r>
      <w:bookmarkEnd w:id="428"/>
      <w:bookmarkEnd w:id="429"/>
      <w:bookmarkEnd w:id="430"/>
    </w:p>
    <w:p>
      <w:pPr>
        <w:pStyle w:val="4"/>
        <w:adjustRightInd w:val="0"/>
        <w:rPr>
          <w:rFonts w:hint="default" w:ascii="Times New Roman" w:hAnsi="Times New Roman" w:cs="Times New Roman"/>
          <w:color w:val="auto"/>
        </w:rPr>
      </w:pPr>
      <w:bookmarkStart w:id="431" w:name="_Toc18731"/>
      <w:bookmarkStart w:id="432" w:name="_Toc16684"/>
      <w:bookmarkStart w:id="433" w:name="_Toc13684"/>
      <w:r>
        <w:rPr>
          <w:rFonts w:hint="default" w:ascii="Times New Roman" w:hAnsi="Times New Roman" w:cs="Times New Roman"/>
          <w:color w:val="auto"/>
        </w:rPr>
        <w:t>项目概况</w:t>
      </w:r>
      <w:bookmarkEnd w:id="431"/>
      <w:bookmarkEnd w:id="432"/>
      <w:bookmarkEnd w:id="433"/>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乐山市沙湾区豪沐科技有限公司沙湾区新建50万吨锂矿加工综合利用项目选址于乐山市沙湾区嘉农镇凤凰路1号（乐山（沙湾）不锈钢产业园区内）。项目占地82.79亩，新建钢结构厂房；主要对锂矿加工处置利用，配套建设碎矿车间、磨矿车间、加工车间、磁选车间、压滤车间并配套建设办公楼、宿舍楼等工程。产品名称：锂辉石精矿、尾矿。主要设备：颚式破碎机，球磨机，浮选机，磁选机，鼓风机，精矿和尾矿压滤机等。项目建成后加工锂辉石原矿1666.67t/d（50万t/a）。</w:t>
      </w:r>
    </w:p>
    <w:p>
      <w:pPr>
        <w:pStyle w:val="4"/>
        <w:adjustRightInd w:val="0"/>
        <w:rPr>
          <w:rFonts w:hint="default" w:ascii="Times New Roman" w:hAnsi="Times New Roman" w:cs="Times New Roman"/>
          <w:color w:val="auto"/>
        </w:rPr>
      </w:pPr>
      <w:bookmarkStart w:id="434" w:name="_Toc32575"/>
      <w:bookmarkStart w:id="435" w:name="_Toc19693"/>
      <w:bookmarkStart w:id="436" w:name="_Toc17562"/>
      <w:r>
        <w:rPr>
          <w:rFonts w:hint="default" w:ascii="Times New Roman" w:hAnsi="Times New Roman" w:cs="Times New Roman"/>
          <w:color w:val="auto"/>
        </w:rPr>
        <w:t>产业政策符合性</w:t>
      </w:r>
      <w:bookmarkEnd w:id="434"/>
      <w:bookmarkEnd w:id="435"/>
      <w:bookmarkEnd w:id="436"/>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根据国家发展和改革委员会《产业结构调整指导目录（2024年本）》，本项目属于B09有色金属矿采选业--B0939其他稀有金属采选，不在“鼓励类”、“限制类”、“淘汰类”之列，视为“允许类”。本项目使用的设备均不在《产业结构调整指导目录（2024年本）》及《部分工业行业淘汰落后生产工艺装备和产品指导目录（2010年本）》淘汰之列。</w:t>
      </w:r>
    </w:p>
    <w:p>
      <w:pPr>
        <w:adjustRightInd w:val="0"/>
        <w:ind w:firstLine="480"/>
        <w:rPr>
          <w:rFonts w:hint="default" w:ascii="Times New Roman" w:hAnsi="Times New Roman" w:cs="Times New Roman"/>
          <w:color w:val="auto"/>
        </w:rPr>
      </w:pPr>
      <w:r>
        <w:rPr>
          <w:rFonts w:hint="default" w:ascii="Times New Roman" w:hAnsi="Times New Roman" w:cs="Times New Roman"/>
          <w:color w:val="auto"/>
        </w:rPr>
        <w:t>2025年8月19日，沙湾区发展和改革局对本项目进行了备案（川投资备【2508-511111-04-01-291469】FGQB-0129号），原则上同意本项目建设</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因此，本项目的建设符合国家现行产业政策。</w:t>
      </w:r>
    </w:p>
    <w:p>
      <w:pPr>
        <w:pStyle w:val="4"/>
        <w:adjustRightInd w:val="0"/>
        <w:rPr>
          <w:rFonts w:hint="default" w:ascii="Times New Roman" w:hAnsi="Times New Roman" w:cs="Times New Roman"/>
          <w:color w:val="auto"/>
        </w:rPr>
      </w:pPr>
      <w:bookmarkStart w:id="437" w:name="_Toc17808"/>
      <w:bookmarkStart w:id="438" w:name="_Toc16429"/>
      <w:bookmarkStart w:id="439" w:name="_Toc20193"/>
      <w:r>
        <w:rPr>
          <w:rFonts w:hint="default" w:ascii="Times New Roman" w:hAnsi="Times New Roman" w:cs="Times New Roman"/>
          <w:color w:val="auto"/>
        </w:rPr>
        <w:t>项目规划符合性</w:t>
      </w:r>
      <w:bookmarkEnd w:id="437"/>
      <w:bookmarkEnd w:id="438"/>
      <w:bookmarkEnd w:id="439"/>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已取得乐山市沙湾区自然资源局发布的《不动产登记证明》（川（2025）沙湾区不动产证明第0000408号），本项目位于乐山（沙湾）不锈钢产业园区内，地块土地性质为工业用地。因此，本项目使用土地性质符合项目区域土地利用规划要求。</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2"/>
        </w:rPr>
        <w:t>本项目为锂辉石选矿项目，不属于园区负面清单禁止准入的项目类型，属于与园区主导产业相容的、不形成交叉影响的产业，为园区</w:t>
      </w:r>
      <w:r>
        <w:rPr>
          <w:rFonts w:hint="default" w:ascii="Times New Roman" w:hAnsi="Times New Roman" w:cs="Times New Roman"/>
          <w:b/>
          <w:color w:val="auto"/>
          <w:kern w:val="21"/>
          <w:szCs w:val="22"/>
        </w:rPr>
        <w:t>允许类</w:t>
      </w:r>
      <w:r>
        <w:rPr>
          <w:rFonts w:hint="default" w:ascii="Times New Roman" w:hAnsi="Times New Roman" w:cs="Times New Roman"/>
          <w:color w:val="auto"/>
          <w:kern w:val="21"/>
          <w:szCs w:val="22"/>
        </w:rPr>
        <w:t>。同时，本项目尾矿</w:t>
      </w:r>
      <w:r>
        <w:rPr>
          <w:rFonts w:hint="default" w:ascii="Times New Roman" w:hAnsi="Times New Roman" w:cs="Times New Roman"/>
          <w:color w:val="auto"/>
          <w:kern w:val="21"/>
          <w:szCs w:val="24"/>
        </w:rPr>
        <w:t>为优质的陶瓷生产原料，外售园区附近</w:t>
      </w:r>
      <w:r>
        <w:rPr>
          <w:rFonts w:hint="default" w:ascii="Times New Roman" w:hAnsi="Times New Roman" w:cs="Times New Roman"/>
          <w:color w:val="auto"/>
          <w:kern w:val="21"/>
          <w:szCs w:val="22"/>
        </w:rPr>
        <w:t>陶瓷厂，属于陶瓷配套产业，符合四川省环境保护厅《关于印发&lt;四川夹江经济开发区扩区调位规划环境影响报告书&gt;审查意见的函》（川环建函〔2012〕420号）、四川省生态环境厅《关于四川夹江经济开发区扩区调位规划环境影响跟踪评价工作意见的函》（川环建函〔2019〕39号）要求。</w:t>
      </w:r>
    </w:p>
    <w:p>
      <w:pPr>
        <w:pStyle w:val="4"/>
        <w:adjustRightInd w:val="0"/>
        <w:rPr>
          <w:rFonts w:hint="default" w:ascii="Times New Roman" w:hAnsi="Times New Roman" w:cs="Times New Roman"/>
          <w:color w:val="auto"/>
        </w:rPr>
      </w:pPr>
      <w:bookmarkStart w:id="440" w:name="_Toc24604"/>
      <w:bookmarkStart w:id="441" w:name="_Toc22692"/>
      <w:bookmarkStart w:id="442" w:name="_Toc18633"/>
      <w:r>
        <w:rPr>
          <w:rFonts w:hint="default" w:ascii="Times New Roman" w:hAnsi="Times New Roman" w:cs="Times New Roman"/>
          <w:color w:val="auto"/>
        </w:rPr>
        <w:t>项目区域环境质量现状</w:t>
      </w:r>
      <w:bookmarkEnd w:id="440"/>
      <w:bookmarkEnd w:id="441"/>
      <w:bookmarkEnd w:id="442"/>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（1）环境空气质量</w:t>
      </w:r>
    </w:p>
    <w:p>
      <w:pPr>
        <w:overflowPunct w:val="0"/>
        <w:adjustRightInd w:val="0"/>
        <w:ind w:firstLine="480"/>
        <w:rPr>
          <w:rFonts w:hint="default" w:ascii="Times New Roman" w:hAnsi="Times New Roman" w:cs="Times New Roman"/>
          <w:b/>
          <w:color w:val="auto"/>
          <w:kern w:val="21"/>
          <w:szCs w:val="22"/>
        </w:rPr>
      </w:pPr>
      <w:r>
        <w:rPr>
          <w:rFonts w:hint="default" w:ascii="Times New Roman" w:hAnsi="Times New Roman" w:cs="Times New Roman"/>
          <w:color w:val="auto"/>
          <w:kern w:val="21"/>
          <w:szCs w:val="22"/>
        </w:rPr>
        <w:t>根据乐山市沙湾生态环境监测站于2025年5月发布的《2024年乐山市沙湾区环境质量报告书》，沙湾区2024年SO</w:t>
      </w:r>
      <w:r>
        <w:rPr>
          <w:rFonts w:hint="default" w:ascii="Times New Roman" w:hAnsi="Times New Roman" w:cs="Times New Roman"/>
          <w:color w:val="auto"/>
          <w:kern w:val="21"/>
          <w:szCs w:val="22"/>
          <w:vertAlign w:val="subscript"/>
        </w:rPr>
        <w:t>2</w:t>
      </w:r>
      <w:r>
        <w:rPr>
          <w:rFonts w:hint="default" w:ascii="Times New Roman" w:hAnsi="Times New Roman" w:cs="Times New Roman"/>
          <w:color w:val="auto"/>
          <w:kern w:val="21"/>
          <w:szCs w:val="22"/>
        </w:rPr>
        <w:t>、NO</w:t>
      </w:r>
      <w:r>
        <w:rPr>
          <w:rFonts w:hint="default" w:ascii="Times New Roman" w:hAnsi="Times New Roman" w:cs="Times New Roman"/>
          <w:color w:val="auto"/>
          <w:kern w:val="21"/>
          <w:szCs w:val="22"/>
          <w:vertAlign w:val="subscript"/>
        </w:rPr>
        <w:t>2</w:t>
      </w:r>
      <w:r>
        <w:rPr>
          <w:rFonts w:hint="default" w:ascii="Times New Roman" w:hAnsi="Times New Roman" w:cs="Times New Roman"/>
          <w:color w:val="auto"/>
          <w:kern w:val="21"/>
          <w:szCs w:val="22"/>
        </w:rPr>
        <w:t>、CO、PM</w:t>
      </w:r>
      <w:r>
        <w:rPr>
          <w:rFonts w:hint="default" w:ascii="Times New Roman" w:hAnsi="Times New Roman" w:cs="Times New Roman"/>
          <w:color w:val="auto"/>
          <w:kern w:val="21"/>
          <w:szCs w:val="22"/>
          <w:vertAlign w:val="subscript"/>
        </w:rPr>
        <w:t>10</w:t>
      </w:r>
      <w:r>
        <w:rPr>
          <w:rFonts w:hint="default" w:ascii="Times New Roman" w:hAnsi="Times New Roman" w:cs="Times New Roman"/>
          <w:color w:val="auto"/>
          <w:kern w:val="21"/>
          <w:szCs w:val="22"/>
        </w:rPr>
        <w:t>、O</w:t>
      </w:r>
      <w:r>
        <w:rPr>
          <w:rFonts w:hint="default" w:ascii="Times New Roman" w:hAnsi="Times New Roman" w:cs="Times New Roman"/>
          <w:color w:val="auto"/>
          <w:kern w:val="21"/>
          <w:szCs w:val="22"/>
          <w:vertAlign w:val="subscript"/>
        </w:rPr>
        <w:t>3</w:t>
      </w:r>
      <w:r>
        <w:rPr>
          <w:rFonts w:hint="default" w:ascii="Times New Roman" w:hAnsi="Times New Roman" w:cs="Times New Roman"/>
          <w:color w:val="auto"/>
          <w:kern w:val="21"/>
          <w:szCs w:val="22"/>
        </w:rPr>
        <w:t>、PM</w:t>
      </w:r>
      <w:r>
        <w:rPr>
          <w:rFonts w:hint="default" w:ascii="Times New Roman" w:hAnsi="Times New Roman" w:cs="Times New Roman"/>
          <w:color w:val="auto"/>
          <w:kern w:val="21"/>
          <w:szCs w:val="22"/>
          <w:vertAlign w:val="subscript"/>
        </w:rPr>
        <w:t>2.5</w:t>
      </w:r>
      <w:r>
        <w:rPr>
          <w:rFonts w:hint="default" w:ascii="Times New Roman" w:hAnsi="Times New Roman" w:cs="Times New Roman"/>
          <w:color w:val="auto"/>
          <w:kern w:val="21"/>
          <w:szCs w:val="22"/>
        </w:rPr>
        <w:t>均能够达到《环境空气质量标准》（GB3095-2012）二级标准，判定该地区环境空气质量状况不达标，</w:t>
      </w:r>
      <w:r>
        <w:rPr>
          <w:rFonts w:hint="default" w:ascii="Times New Roman" w:hAnsi="Times New Roman" w:cs="Times New Roman"/>
          <w:b/>
          <w:color w:val="auto"/>
          <w:kern w:val="21"/>
          <w:szCs w:val="22"/>
        </w:rPr>
        <w:t>本项目所在区域为达标区。</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根据监测结果显示，本项目区域TSP浓度满足《环境空气质量标准》(GB3095-2012)二级标准要求。</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（2）地表水环境质量</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本项目最近河流为大渡河。</w:t>
      </w:r>
      <w:r>
        <w:rPr>
          <w:rFonts w:hint="default" w:ascii="Times New Roman" w:hAnsi="Times New Roman" w:cs="Times New Roman"/>
          <w:bCs/>
          <w:color w:val="auto"/>
          <w:kern w:val="21"/>
          <w:szCs w:val="22"/>
        </w:rPr>
        <w:t>根据乐山市沙湾生态环境监测站于2025年5月发布的《2024年乐山市沙湾区环境质量报告书》</w:t>
      </w:r>
      <w:r>
        <w:rPr>
          <w:rFonts w:hint="default" w:ascii="Times New Roman" w:hAnsi="Times New Roman" w:cs="Times New Roman"/>
          <w:color w:val="auto"/>
          <w:kern w:val="21"/>
          <w:szCs w:val="22"/>
        </w:rPr>
        <w:t>表明沙湾区整体水质优，各断面水质均满足《地表水环境质量标准》（GB3838-2002）中III类标准要求，区域地表水环境质量良好。</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（3）地下水环境质量</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本项目所在地的地下水监测点各检测指标均满足《地下水质量标准》（GB/T1484-2017）中的Ⅲ类标准限值，说明项目区所在地区域地下水环境质量现状良好。</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（4）声环境质量</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根据监测结果显示，</w:t>
      </w:r>
      <w:r>
        <w:rPr>
          <w:rFonts w:hint="default" w:ascii="Times New Roman" w:hAnsi="Times New Roman" w:cs="Times New Roman"/>
          <w:color w:val="auto"/>
          <w:kern w:val="21"/>
          <w:szCs w:val="24"/>
        </w:rPr>
        <w:t>本项目厂界噪声监测点噪声值均满足《声环境质量标准》（GB3096-2008）中3类、4a类标准要求，区域环境质量良好。</w:t>
      </w:r>
    </w:p>
    <w:p>
      <w:pPr>
        <w:pStyle w:val="4"/>
        <w:adjustRightInd w:val="0"/>
        <w:rPr>
          <w:rFonts w:hint="default" w:ascii="Times New Roman" w:hAnsi="Times New Roman" w:cs="Times New Roman"/>
          <w:color w:val="auto"/>
        </w:rPr>
      </w:pPr>
      <w:bookmarkStart w:id="443" w:name="_Toc30926"/>
      <w:bookmarkStart w:id="444" w:name="_Toc18286"/>
      <w:bookmarkStart w:id="445" w:name="_Toc22056"/>
      <w:bookmarkStart w:id="446" w:name="_Toc29946"/>
      <w:bookmarkStart w:id="447" w:name="_Toc18114"/>
      <w:bookmarkStart w:id="448" w:name="_Toc22170"/>
      <w:r>
        <w:rPr>
          <w:rFonts w:hint="default" w:ascii="Times New Roman" w:hAnsi="Times New Roman" w:cs="Times New Roman"/>
          <w:color w:val="auto"/>
        </w:rPr>
        <w:t>主要环境影响</w:t>
      </w:r>
      <w:bookmarkEnd w:id="443"/>
      <w:bookmarkEnd w:id="444"/>
      <w:r>
        <w:rPr>
          <w:rFonts w:hint="default" w:ascii="Times New Roman" w:hAnsi="Times New Roman" w:cs="Times New Roman"/>
          <w:color w:val="auto"/>
        </w:rPr>
        <w:t>评价结论</w:t>
      </w:r>
      <w:bookmarkEnd w:id="445"/>
      <w:bookmarkEnd w:id="446"/>
      <w:bookmarkEnd w:id="447"/>
      <w:bookmarkEnd w:id="448"/>
    </w:p>
    <w:p>
      <w:pPr>
        <w:pStyle w:val="5"/>
        <w:adjustRightInd w:val="0"/>
        <w:rPr>
          <w:rFonts w:hint="default" w:ascii="Times New Roman" w:hAnsi="Times New Roman" w:cs="Times New Roman"/>
          <w:color w:val="auto"/>
        </w:rPr>
      </w:pPr>
      <w:r>
        <w:rPr>
          <w:rFonts w:hint="default" w:ascii="Times New Roman" w:hAnsi="Times New Roman" w:cs="Times New Roman"/>
          <w:color w:val="auto"/>
        </w:rPr>
        <w:t>施工期环境影响评价结论</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本项目施工期间废气、废水、固废及噪声等均有产生。施工废气主要有施工过程产生的扬尘，采取湿法作业可得到有效控制；施工人员生活污水依托区域已建管网，处理后排入市政污水管网；施工过程产生的建筑垃圾具有回收利用价值，可回收利用，没有回收利用价值由施工单位统一运往建筑垃圾堆放场进行处置；施工人员产生的生活垃圾集中收集后，定期交市政环卫部门清运处理，不会对环境造成影响；施工过程各类施工设备噪声会对周边环境产生影响，要求施工单位严格按照施工规范，文明施工，禁止夜间高噪声施工。</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项目施工期间对环境的影响是暂时的，随施工结束，影响消除。</w:t>
      </w:r>
    </w:p>
    <w:p>
      <w:pPr>
        <w:pStyle w:val="5"/>
        <w:adjustRightInd w:val="0"/>
        <w:rPr>
          <w:rFonts w:hint="default" w:ascii="Times New Roman" w:hAnsi="Times New Roman" w:cs="Times New Roman"/>
          <w:color w:val="auto"/>
        </w:rPr>
      </w:pPr>
      <w:r>
        <w:rPr>
          <w:rFonts w:hint="default" w:ascii="Times New Roman" w:hAnsi="Times New Roman" w:cs="Times New Roman"/>
          <w:color w:val="auto"/>
        </w:rPr>
        <w:t>运营期环境影响评价结论</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4"/>
        </w:rPr>
        <w:t>（1）大气环境</w:t>
      </w:r>
      <w:r>
        <w:rPr>
          <w:rFonts w:hint="default" w:ascii="Times New Roman" w:hAnsi="Times New Roman" w:cs="Times New Roman"/>
          <w:b/>
          <w:bCs/>
          <w:color w:val="auto"/>
          <w:kern w:val="21"/>
          <w:szCs w:val="22"/>
        </w:rPr>
        <w:t>影响分析</w:t>
      </w:r>
    </w:p>
    <w:p>
      <w:pPr>
        <w:overflowPunct w:val="0"/>
        <w:adjustRightInd w:val="0"/>
        <w:ind w:firstLine="480"/>
        <w:rPr>
          <w:rFonts w:hint="default" w:ascii="Times New Roman" w:hAnsi="Times New Roman" w:cs="Times New Roman"/>
          <w:color w:val="auto"/>
          <w:kern w:val="21"/>
          <w:szCs w:val="20"/>
        </w:rPr>
      </w:pPr>
      <w:r>
        <w:rPr>
          <w:rFonts w:hint="default" w:ascii="Times New Roman" w:hAnsi="Times New Roman" w:cs="Times New Roman"/>
          <w:color w:val="auto"/>
          <w:kern w:val="21"/>
          <w:szCs w:val="24"/>
        </w:rPr>
        <w:t>本项目主要废气污染物为颗粒物，采取除尘装置处理后，经15m排气筒（DA001）排放，可实现达标排放。</w:t>
      </w:r>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本项目卫生防护距离内无学校、居民、医院等特殊敏感目标，因此可以满足卫生防护距离要求。环评要求：不可在本项目卫生防护距离范围建设居民区、学校、医院及食品医药加工企业等易受本项目废气污染影响的建设项目。</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综上，项目各类废气污染物在严格落实环保措施、确保实现达标外排的前提下，将不会对区域大气环境质量造成明显影响，项目对大气环境的影响可以接受。</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（2）地表水环境影响分析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本项目选矿废水经絮凝沉淀处理后回用于选矿，不外排；车辆冲洗废水经沉淀池处理后回用于车辆冲洗，不外排；初期雨水经雨水管道收集后汇入</w:t>
      </w:r>
      <w:r>
        <w:rPr>
          <w:rFonts w:hint="default" w:ascii="Times New Roman" w:hAnsi="Times New Roman" w:cs="Times New Roman"/>
          <w:color w:val="auto"/>
          <w:kern w:val="21"/>
          <w:szCs w:val="24"/>
        </w:rPr>
        <w:t>初期雨水池沉淀处理后回用于喷雾降尘，不外排；</w:t>
      </w:r>
      <w:r>
        <w:rPr>
          <w:rFonts w:hint="default" w:ascii="Times New Roman" w:hAnsi="Times New Roman" w:cs="Times New Roman"/>
          <w:color w:val="auto"/>
          <w:kern w:val="21"/>
          <w:szCs w:val="22"/>
        </w:rPr>
        <w:t>生活污水</w:t>
      </w:r>
      <w:r>
        <w:rPr>
          <w:rFonts w:hint="default" w:ascii="Times New Roman" w:hAnsi="Times New Roman" w:cs="Times New Roman"/>
          <w:color w:val="auto"/>
          <w:kern w:val="21"/>
          <w:szCs w:val="24"/>
        </w:rPr>
        <w:t>经</w:t>
      </w:r>
      <w:r>
        <w:rPr>
          <w:rFonts w:hint="default" w:ascii="Times New Roman" w:hAnsi="Times New Roman" w:cs="Times New Roman"/>
          <w:color w:val="auto"/>
          <w:kern w:val="21"/>
        </w:rPr>
        <w:t>预处理池（50m</w:t>
      </w:r>
      <w:r>
        <w:rPr>
          <w:rFonts w:hint="default" w:ascii="Times New Roman" w:hAnsi="Times New Roman" w:cs="Times New Roman"/>
          <w:color w:val="auto"/>
          <w:kern w:val="21"/>
          <w:vertAlign w:val="superscript"/>
        </w:rPr>
        <w:t>3</w:t>
      </w:r>
      <w:r>
        <w:rPr>
          <w:rFonts w:hint="default" w:ascii="Times New Roman" w:hAnsi="Times New Roman" w:cs="Times New Roman"/>
          <w:color w:val="auto"/>
          <w:kern w:val="21"/>
        </w:rPr>
        <w:t>）处理达标后经污水管网排入园区污水处理厂处理</w:t>
      </w:r>
      <w:r>
        <w:rPr>
          <w:rFonts w:hint="default" w:ascii="Times New Roman" w:hAnsi="Times New Roman" w:cs="Times New Roman"/>
          <w:color w:val="auto"/>
          <w:kern w:val="21"/>
          <w:szCs w:val="24"/>
        </w:rPr>
        <w:t>。</w:t>
      </w:r>
      <w:r>
        <w:rPr>
          <w:rFonts w:hint="default" w:ascii="Times New Roman" w:hAnsi="Times New Roman" w:cs="Times New Roman"/>
          <w:color w:val="auto"/>
          <w:kern w:val="21"/>
          <w:szCs w:val="22"/>
        </w:rPr>
        <w:t>评价结果表明，建设项目建成投产后，废水不会对水环境造成影响。</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（3）声环境影响分析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项目投入运营后，通过采取消声、减震和建筑隔声等降噪措施。经预测，项目厂界昼、夜间噪声贡献值满足《工业企业厂界环境噪声排放标准》（GB12348-2008）中3类、4a类标准限值要求。因此，建设单位只要严格采取降噪、消音、隔声等降噪措施后，设备噪声可实现厂界达标排放，不会对厂界及外环境造成明显影响。</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（4）固废环境影响分析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本项目各项固体废弃物处置措施可行，建设单位在严格落实本次评价提出的各项固体废物处置措施后，本项目固废对环境的影响降低到最低程度。</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（5）地下水、土壤环境影响分析</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对可能产生地下水、土壤污染影响的各项途径均进行有效预防，并在厂区设置监控井，在确保各项防渗措施得以落实，并加强维护和厂区环境管理的前提下，可有效控制厂区内的废水污染物下渗现象，避免污染地下水，因此项目不会对区域地下水环境产生明显影响。</w:t>
      </w:r>
    </w:p>
    <w:p>
      <w:pPr>
        <w:overflowPunct w:val="0"/>
        <w:adjustRightInd w:val="0"/>
        <w:ind w:firstLine="482"/>
        <w:rPr>
          <w:rFonts w:hint="default" w:ascii="Times New Roman" w:hAnsi="Times New Roman" w:cs="Times New Roman"/>
          <w:b/>
          <w:bCs/>
          <w:color w:val="auto"/>
          <w:kern w:val="21"/>
          <w:szCs w:val="22"/>
        </w:rPr>
      </w:pPr>
      <w:r>
        <w:rPr>
          <w:rFonts w:hint="default" w:ascii="Times New Roman" w:hAnsi="Times New Roman" w:cs="Times New Roman"/>
          <w:b/>
          <w:bCs/>
          <w:color w:val="auto"/>
          <w:kern w:val="21"/>
          <w:szCs w:val="22"/>
        </w:rPr>
        <w:t>（6）环境风险及防范措施</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本项目制定有突发环境事件应急预案，只要加强预防工作，从管理入手，严格执行评价提出的环境风险防范措施，就可以把风险事故的发生和影响降到最低。项目</w:t>
      </w:r>
      <w:r>
        <w:rPr>
          <w:rFonts w:hint="default" w:ascii="Times New Roman" w:hAnsi="Times New Roman" w:cs="Times New Roman"/>
          <w:color w:val="auto"/>
          <w:kern w:val="21"/>
          <w:szCs w:val="24"/>
        </w:rPr>
        <w:t>运行期间加强管理和环境风险管控，在采取有针对性的环境风险防范措施及应急预案后，可将风险事故对环境的影响降至可接受水平。</w:t>
      </w:r>
    </w:p>
    <w:p>
      <w:pPr>
        <w:pStyle w:val="4"/>
        <w:adjustRightInd w:val="0"/>
        <w:rPr>
          <w:rFonts w:hint="default" w:ascii="Times New Roman" w:hAnsi="Times New Roman" w:cs="Times New Roman"/>
          <w:color w:val="auto"/>
        </w:rPr>
      </w:pPr>
      <w:bookmarkStart w:id="449" w:name="_Toc14861"/>
      <w:bookmarkStart w:id="450" w:name="_Toc26174"/>
      <w:bookmarkStart w:id="451" w:name="_Toc11494"/>
      <w:r>
        <w:rPr>
          <w:rFonts w:hint="default" w:ascii="Times New Roman" w:hAnsi="Times New Roman" w:cs="Times New Roman"/>
          <w:color w:val="auto"/>
        </w:rPr>
        <w:t>总量控制指标</w:t>
      </w:r>
      <w:bookmarkEnd w:id="449"/>
      <w:bookmarkEnd w:id="450"/>
      <w:bookmarkEnd w:id="451"/>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根据工程分析，本项目总量控制指标如下：</w:t>
      </w:r>
    </w:p>
    <w:p>
      <w:pPr>
        <w:pStyle w:val="12"/>
        <w:adjustRightInd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项目总量控制指标一览表单位：t/a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604"/>
        <w:gridCol w:w="3261"/>
        <w:gridCol w:w="2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4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类别</w:t>
            </w:r>
          </w:p>
        </w:tc>
        <w:tc>
          <w:tcPr>
            <w:tcW w:w="94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
                <w:bCs/>
                <w:color w:val="auto"/>
                <w:kern w:val="21"/>
                <w:sz w:val="21"/>
              </w:rPr>
            </w:pPr>
            <w:r>
              <w:rPr>
                <w:rFonts w:hint="default" w:ascii="Times New Roman" w:hAnsi="Times New Roman" w:cs="Times New Roman"/>
                <w:b/>
                <w:bCs/>
                <w:color w:val="auto"/>
                <w:kern w:val="21"/>
                <w:sz w:val="21"/>
              </w:rPr>
              <w:t>污染物</w:t>
            </w:r>
          </w:p>
        </w:tc>
        <w:tc>
          <w:tcPr>
            <w:tcW w:w="19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
                <w:color w:val="auto"/>
                <w:kern w:val="21"/>
                <w:sz w:val="21"/>
              </w:rPr>
              <w:t>总量控制指标</w:t>
            </w:r>
          </w:p>
        </w:tc>
        <w:tc>
          <w:tcPr>
            <w:tcW w:w="150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bCs/>
                <w:color w:val="auto"/>
                <w:kern w:val="21"/>
                <w:sz w:val="21"/>
              </w:rPr>
            </w:pPr>
            <w:r>
              <w:rPr>
                <w:rFonts w:hint="default" w:ascii="Times New Roman" w:hAnsi="Times New Roman" w:cs="Times New Roman"/>
                <w:b/>
                <w:color w:val="auto"/>
                <w:kern w:val="21"/>
                <w:sz w:val="21"/>
              </w:rPr>
              <w:t>双倍替代量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废气</w:t>
            </w:r>
          </w:p>
        </w:tc>
        <w:tc>
          <w:tcPr>
            <w:tcW w:w="94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颗粒物</w:t>
            </w:r>
          </w:p>
        </w:tc>
        <w:tc>
          <w:tcPr>
            <w:tcW w:w="191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0.1912</w:t>
            </w:r>
          </w:p>
        </w:tc>
        <w:tc>
          <w:tcPr>
            <w:tcW w:w="150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0.3824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1" w:type="pct"/>
            <w:vMerge w:val="restar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废水</w:t>
            </w:r>
          </w:p>
        </w:tc>
        <w:tc>
          <w:tcPr>
            <w:tcW w:w="94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COD</w:t>
            </w:r>
          </w:p>
        </w:tc>
        <w:tc>
          <w:tcPr>
            <w:tcW w:w="191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0.5072</w:t>
            </w:r>
          </w:p>
        </w:tc>
        <w:tc>
          <w:tcPr>
            <w:tcW w:w="150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1" w:type="pct"/>
            <w:vMerge w:val="continue"/>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p>
        </w:tc>
        <w:tc>
          <w:tcPr>
            <w:tcW w:w="941"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氨氮</w:t>
            </w:r>
          </w:p>
        </w:tc>
        <w:tc>
          <w:tcPr>
            <w:tcW w:w="1913" w:type="pct"/>
            <w:vAlign w:val="center"/>
          </w:tcPr>
          <w:p>
            <w:pPr>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0.0551</w:t>
            </w:r>
          </w:p>
        </w:tc>
        <w:tc>
          <w:tcPr>
            <w:tcW w:w="1503" w:type="pct"/>
            <w:vAlign w:val="center"/>
          </w:tcPr>
          <w:p>
            <w:pPr>
              <w:widowControl/>
              <w:overflowPunct w:val="0"/>
              <w:adjustRightInd w:val="0"/>
              <w:spacing w:before="65" w:beforeLines="20" w:after="65" w:afterLines="20" w:line="240" w:lineRule="auto"/>
              <w:ind w:firstLine="0" w:firstLineChars="0"/>
              <w:jc w:val="center"/>
              <w:rPr>
                <w:rFonts w:hint="default" w:ascii="Times New Roman" w:hAnsi="Times New Roman" w:cs="Times New Roman"/>
                <w:color w:val="auto"/>
                <w:kern w:val="21"/>
                <w:sz w:val="21"/>
              </w:rPr>
            </w:pPr>
            <w:r>
              <w:rPr>
                <w:rFonts w:hint="default" w:ascii="Times New Roman" w:hAnsi="Times New Roman" w:cs="Times New Roman"/>
                <w:color w:val="auto"/>
                <w:kern w:val="21"/>
                <w:sz w:val="21"/>
              </w:rPr>
              <w:t>0</w:t>
            </w:r>
          </w:p>
        </w:tc>
      </w:tr>
    </w:tbl>
    <w:p>
      <w:pPr>
        <w:pStyle w:val="4"/>
        <w:adjustRightInd w:val="0"/>
        <w:rPr>
          <w:rFonts w:hint="default" w:ascii="Times New Roman" w:hAnsi="Times New Roman" w:cs="Times New Roman"/>
          <w:color w:val="auto"/>
        </w:rPr>
      </w:pPr>
      <w:bookmarkStart w:id="452" w:name="_Toc19502"/>
      <w:bookmarkStart w:id="453" w:name="_Toc19050"/>
      <w:bookmarkStart w:id="454" w:name="_Toc18663"/>
      <w:bookmarkStart w:id="455" w:name="_Toc3792"/>
      <w:r>
        <w:rPr>
          <w:rFonts w:hint="default" w:ascii="Times New Roman" w:hAnsi="Times New Roman" w:cs="Times New Roman"/>
          <w:color w:val="auto"/>
        </w:rPr>
        <w:t>环境影响经济损益分析</w:t>
      </w:r>
      <w:bookmarkEnd w:id="452"/>
      <w:bookmarkEnd w:id="453"/>
      <w:bookmarkEnd w:id="454"/>
      <w:bookmarkEnd w:id="455"/>
    </w:p>
    <w:p>
      <w:pPr>
        <w:overflowPunct w:val="0"/>
        <w:adjustRightInd w:val="0"/>
        <w:ind w:firstLine="48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从环境经济角度出发，本项目的建设可带来显著的社会效益和环境效益，环境保护投资效果较好，环保投资是合理的，本项目的建设是可行的。</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综上所述，该项目建设从环境、经济损益分析结果是可行的。</w:t>
      </w:r>
    </w:p>
    <w:p>
      <w:pPr>
        <w:pStyle w:val="4"/>
        <w:adjustRightInd w:val="0"/>
        <w:rPr>
          <w:rFonts w:hint="default" w:ascii="Times New Roman" w:hAnsi="Times New Roman" w:cs="Times New Roman"/>
          <w:color w:val="auto"/>
        </w:rPr>
      </w:pPr>
      <w:bookmarkStart w:id="456" w:name="_Toc27483"/>
      <w:bookmarkStart w:id="457" w:name="_Toc20114"/>
      <w:bookmarkStart w:id="458" w:name="_Toc8947"/>
      <w:r>
        <w:rPr>
          <w:rFonts w:hint="default" w:ascii="Times New Roman" w:hAnsi="Times New Roman" w:cs="Times New Roman"/>
          <w:color w:val="auto"/>
        </w:rPr>
        <w:t>公众参与</w:t>
      </w:r>
      <w:bookmarkEnd w:id="456"/>
      <w:bookmarkEnd w:id="457"/>
      <w:bookmarkEnd w:id="458"/>
    </w:p>
    <w:p>
      <w:pPr>
        <w:overflowPunct w:val="0"/>
        <w:adjustRightInd w:val="0"/>
        <w:ind w:firstLine="480" w:firstLineChars="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通过公众参与的方式，本项目的建设得到了周边企业、管理机构及广大居民的支持，本项目建成后有利于保障本地居民的生命财产安全。工程施工过程中将产生一定量的废气、粉尘、噪声、废水以及固体废物、废渣等环境问题，应做好污染治理，将对周边环境的影响降到最低。工程建成后在运行过程中，对周边环境不产生影响。</w:t>
      </w:r>
    </w:p>
    <w:p>
      <w:pPr>
        <w:pStyle w:val="4"/>
        <w:adjustRightInd w:val="0"/>
        <w:rPr>
          <w:rFonts w:hint="default" w:ascii="Times New Roman" w:hAnsi="Times New Roman" w:cs="Times New Roman"/>
          <w:color w:val="auto"/>
        </w:rPr>
      </w:pPr>
      <w:bookmarkStart w:id="459" w:name="_Toc17306"/>
      <w:bookmarkStart w:id="460" w:name="_Toc22266"/>
      <w:bookmarkStart w:id="461" w:name="_Toc26406"/>
      <w:r>
        <w:rPr>
          <w:rFonts w:hint="default" w:ascii="Times New Roman" w:hAnsi="Times New Roman" w:cs="Times New Roman"/>
          <w:color w:val="auto"/>
        </w:rPr>
        <w:t>总结论</w:t>
      </w:r>
      <w:bookmarkEnd w:id="459"/>
      <w:bookmarkEnd w:id="460"/>
      <w:bookmarkEnd w:id="461"/>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4"/>
        </w:rPr>
        <w:t>综上所述，本项目建设符合国家现行产业政策，选址符合当地规划要求，拟建场地周边无明显环境制约因素，拟采取的废气、污水、噪声、固废、地下水等污染防治措施技术可靠、经济可行。项目建成运营后，将具有良好的经济、社会和环境效益。只要认真落实本报告书中提出的各项污染防治对策措施，严格执行“三同时”制度，保证环境保护措施的有效运行，确保污染物稳定达标排放，并严格按照环评要求进行环境风险防范，从环保角度而言，本项目建设是可行的。</w:t>
      </w:r>
    </w:p>
    <w:p>
      <w:pPr>
        <w:pStyle w:val="3"/>
        <w:adjustRightInd w:val="0"/>
        <w:rPr>
          <w:rFonts w:hint="default" w:ascii="Times New Roman" w:hAnsi="Times New Roman" w:cs="Times New Roman"/>
          <w:color w:val="auto"/>
        </w:rPr>
      </w:pPr>
      <w:bookmarkStart w:id="462" w:name="_Toc17154"/>
      <w:bookmarkStart w:id="463" w:name="_Toc15910"/>
      <w:bookmarkStart w:id="464" w:name="_Toc19823"/>
      <w:r>
        <w:rPr>
          <w:rFonts w:hint="default" w:ascii="Times New Roman" w:hAnsi="Times New Roman" w:cs="Times New Roman"/>
          <w:color w:val="auto"/>
        </w:rPr>
        <w:t>要求与建议</w:t>
      </w:r>
      <w:bookmarkEnd w:id="462"/>
      <w:bookmarkEnd w:id="463"/>
      <w:bookmarkEnd w:id="464"/>
    </w:p>
    <w:p>
      <w:pPr>
        <w:pStyle w:val="4"/>
        <w:adjustRightInd w:val="0"/>
        <w:rPr>
          <w:rFonts w:hint="default" w:ascii="Times New Roman" w:hAnsi="Times New Roman" w:cs="Times New Roman"/>
          <w:color w:val="auto"/>
        </w:rPr>
      </w:pPr>
      <w:bookmarkStart w:id="465" w:name="_Toc16682"/>
      <w:bookmarkStart w:id="466" w:name="_Toc7296"/>
      <w:bookmarkStart w:id="467" w:name="_Toc6055"/>
      <w:r>
        <w:rPr>
          <w:rFonts w:hint="default" w:ascii="Times New Roman" w:hAnsi="Times New Roman" w:cs="Times New Roman"/>
          <w:color w:val="auto"/>
        </w:rPr>
        <w:t>要求</w:t>
      </w:r>
      <w:bookmarkEnd w:id="465"/>
      <w:bookmarkEnd w:id="466"/>
      <w:bookmarkEnd w:id="467"/>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1、建设单位应配备专职环保管理人员，培训上岗，具备对突发事故的快速反应能力，对污染物处理措施进行常规管理和事故处置实施与监控。</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2、该项目危险废物在收集、贮存、转运、处置过程中一定要按照国家“危险废物管理条例”要求严格管理，严防二次污染。</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3、保证足够的环保资金，落实本报告书中提出的废水、废气、废渣及噪声治理措施。加强管理，保证环保设施的运行效率。</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4、项目不得随意增大危险化学品存储量或使用量，项目不得构成重大危险源；并且，项目应根据厂区实际情况以及消防、公安、环保等部门和国家其他相关规定，进一步制订符合其自身实际情况和运营需要的紧急事故应急预案和应急组织系统，以期在发生环境风险事故时，将各类环境风险影响控制在可接受范围内。</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5、定期委托当地环境监测站或具有检测资质的第三方检测单位进行污染源监测，同时建立监测档案。</w:t>
      </w:r>
    </w:p>
    <w:p>
      <w:pPr>
        <w:overflowPunct w:val="0"/>
        <w:adjustRightInd w:val="0"/>
        <w:ind w:firstLine="48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6、认真贯彻执行国家和地方的各项环保法规和方针政策，建立一套完善的“环境管理手册”，落实环境管理规章制度，强化管理，确定专门的环境管理人员，落实专人负责环保处理设施的运行和维护，接受当地环保部门的监督和管理。在当地环保部门的指导下，定期对污染物进行监测，并建立污染物管理档案。</w:t>
      </w:r>
    </w:p>
    <w:p>
      <w:pPr>
        <w:pStyle w:val="4"/>
        <w:adjustRightInd w:val="0"/>
        <w:rPr>
          <w:rFonts w:hint="default" w:ascii="Times New Roman" w:hAnsi="Times New Roman" w:cs="Times New Roman"/>
          <w:color w:val="auto"/>
        </w:rPr>
      </w:pPr>
      <w:bookmarkStart w:id="468" w:name="_Toc8567"/>
      <w:bookmarkStart w:id="469" w:name="_Toc6609"/>
      <w:bookmarkStart w:id="470" w:name="_Toc7995"/>
      <w:r>
        <w:rPr>
          <w:rFonts w:hint="default" w:ascii="Times New Roman" w:hAnsi="Times New Roman" w:cs="Times New Roman"/>
          <w:color w:val="auto"/>
        </w:rPr>
        <w:t>建议</w:t>
      </w:r>
      <w:bookmarkEnd w:id="468"/>
      <w:bookmarkEnd w:id="469"/>
      <w:bookmarkEnd w:id="470"/>
    </w:p>
    <w:p>
      <w:pPr>
        <w:numPr>
          <w:ilvl w:val="0"/>
          <w:numId w:val="15"/>
        </w:numPr>
        <w:overflowPunct w:val="0"/>
        <w:adjustRightInd w:val="0"/>
        <w:ind w:firstLine="480" w:firstLineChars="0"/>
        <w:rPr>
          <w:rFonts w:hint="default" w:ascii="Times New Roman" w:hAnsi="Times New Roman" w:cs="Times New Roman"/>
          <w:color w:val="auto"/>
          <w:kern w:val="21"/>
          <w:szCs w:val="24"/>
        </w:rPr>
      </w:pPr>
      <w:r>
        <w:rPr>
          <w:rFonts w:hint="default" w:ascii="Times New Roman" w:hAnsi="Times New Roman" w:cs="Times New Roman"/>
          <w:color w:val="auto"/>
          <w:kern w:val="21"/>
          <w:szCs w:val="24"/>
        </w:rPr>
        <w:t>认真贯彻执行国家和四川省的各项环保法规和要求，建立健全各项环保规章制度，严格执行“三同时”。</w:t>
      </w:r>
    </w:p>
    <w:p>
      <w:pPr>
        <w:numPr>
          <w:ilvl w:val="0"/>
          <w:numId w:val="15"/>
        </w:numPr>
        <w:overflowPunct w:val="0"/>
        <w:adjustRightInd w:val="0"/>
        <w:ind w:firstLine="480" w:firstLineChars="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企业要加强环保设施的维护及管理，保证环保设施的正常运行，加强对烟粉尘无组织排放控制，确保污染物达标排放。</w:t>
      </w:r>
    </w:p>
    <w:p>
      <w:pPr>
        <w:numPr>
          <w:ilvl w:val="0"/>
          <w:numId w:val="15"/>
        </w:numPr>
        <w:overflowPunct w:val="0"/>
        <w:adjustRightInd w:val="0"/>
        <w:ind w:firstLine="480" w:firstLineChars="0"/>
        <w:rPr>
          <w:rFonts w:hint="default" w:ascii="Times New Roman" w:hAnsi="Times New Roman" w:cs="Times New Roman"/>
          <w:color w:val="auto"/>
          <w:kern w:val="21"/>
          <w:szCs w:val="22"/>
        </w:rPr>
      </w:pPr>
      <w:r>
        <w:rPr>
          <w:rFonts w:hint="default" w:ascii="Times New Roman" w:hAnsi="Times New Roman" w:cs="Times New Roman"/>
          <w:color w:val="auto"/>
          <w:kern w:val="21"/>
          <w:szCs w:val="22"/>
        </w:rPr>
        <w:t>建议厂区内的绿化和美化要以乔、灌、草结合进行，厂界周边应以乔木为主，形成一道防尘、隔声绿色防护林带屏障，以减少厂界内外的相互影响。</w:t>
      </w:r>
    </w:p>
    <w:p>
      <w:pPr>
        <w:pStyle w:val="37"/>
        <w:adjustRightInd w:val="0"/>
        <w:ind w:firstLine="480"/>
        <w:rPr>
          <w:rFonts w:hint="default" w:ascii="Times New Roman" w:hAnsi="Times New Roman" w:cs="Times New Roman"/>
          <w:color w:val="auto"/>
        </w:rPr>
      </w:pPr>
    </w:p>
    <w:p>
      <w:pPr>
        <w:pStyle w:val="37"/>
        <w:adjustRightInd w:val="0"/>
        <w:ind w:firstLine="480"/>
        <w:rPr>
          <w:rFonts w:hint="default" w:ascii="Times New Roman" w:hAnsi="Times New Roman" w:cs="Times New Roman"/>
          <w:color w:val="auto"/>
        </w:rPr>
      </w:pPr>
    </w:p>
    <w:p>
      <w:pPr>
        <w:pStyle w:val="37"/>
        <w:adjustRightInd w:val="0"/>
        <w:ind w:firstLine="480"/>
        <w:rPr>
          <w:rFonts w:hint="default" w:ascii="Times New Roman" w:hAnsi="Times New Roman" w:cs="Times New Roman"/>
          <w:color w:val="auto"/>
        </w:rPr>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8124876"/>
    </w:sdtPr>
    <w:sdtContent>
      <w:p>
        <w:pPr>
          <w:pStyle w:val="21"/>
          <w:ind w:firstLine="360"/>
          <w:jc w:val="center"/>
        </w:pPr>
        <w:r>
          <w:fldChar w:fldCharType="begin"/>
        </w:r>
        <w:r>
          <w:instrText xml:space="preserve">PAGE   \* MERGEFORMAT</w:instrText>
        </w:r>
        <w:r>
          <w:fldChar w:fldCharType="separate"/>
        </w:r>
        <w:r>
          <w:rPr>
            <w:lang w:val="zh-CN"/>
          </w:rPr>
          <w:t>29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r>
      <w:rPr>
        <w:rFonts w:hint="eastAsia"/>
      </w:rPr>
      <w:t>乐山市沙湾区豪沐科技有限公司沙湾区新建50万吨锂矿加工综合利用项目环境影响报告书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91243"/>
    <w:multiLevelType w:val="singleLevel"/>
    <w:tmpl w:val="80191243"/>
    <w:lvl w:ilvl="0" w:tentative="0">
      <w:start w:val="1"/>
      <w:numFmt w:val="decimal"/>
      <w:suff w:val="nothing"/>
      <w:lvlText w:val="（%1）"/>
      <w:lvlJc w:val="left"/>
    </w:lvl>
  </w:abstractNum>
  <w:abstractNum w:abstractNumId="1">
    <w:nsid w:val="865200D7"/>
    <w:multiLevelType w:val="singleLevel"/>
    <w:tmpl w:val="865200D7"/>
    <w:lvl w:ilvl="0" w:tentative="0">
      <w:start w:val="1"/>
      <w:numFmt w:val="decimal"/>
      <w:suff w:val="nothing"/>
      <w:lvlText w:val="（%1）"/>
      <w:lvlJc w:val="left"/>
    </w:lvl>
  </w:abstractNum>
  <w:abstractNum w:abstractNumId="2">
    <w:nsid w:val="A9AEA812"/>
    <w:multiLevelType w:val="singleLevel"/>
    <w:tmpl w:val="A9AEA812"/>
    <w:lvl w:ilvl="0" w:tentative="0">
      <w:start w:val="1"/>
      <w:numFmt w:val="decimal"/>
      <w:suff w:val="nothing"/>
      <w:lvlText w:val="（%1）"/>
      <w:lvlJc w:val="left"/>
    </w:lvl>
  </w:abstractNum>
  <w:abstractNum w:abstractNumId="3">
    <w:nsid w:val="D06D281F"/>
    <w:multiLevelType w:val="singleLevel"/>
    <w:tmpl w:val="D06D281F"/>
    <w:lvl w:ilvl="0" w:tentative="0">
      <w:start w:val="1"/>
      <w:numFmt w:val="decimal"/>
      <w:suff w:val="nothing"/>
      <w:lvlText w:val="（%1）"/>
      <w:lvlJc w:val="left"/>
    </w:lvl>
  </w:abstractNum>
  <w:abstractNum w:abstractNumId="4">
    <w:nsid w:val="DC45C784"/>
    <w:multiLevelType w:val="singleLevel"/>
    <w:tmpl w:val="DC45C784"/>
    <w:lvl w:ilvl="0" w:tentative="0">
      <w:start w:val="1"/>
      <w:numFmt w:val="decimal"/>
      <w:suff w:val="nothing"/>
      <w:lvlText w:val="（%1）"/>
      <w:lvlJc w:val="left"/>
      <w:rPr>
        <w:rFonts w:hint="default"/>
        <w:sz w:val="24"/>
        <w:szCs w:val="24"/>
      </w:rPr>
    </w:lvl>
  </w:abstractNum>
  <w:abstractNum w:abstractNumId="5">
    <w:nsid w:val="E5EA85B2"/>
    <w:multiLevelType w:val="singleLevel"/>
    <w:tmpl w:val="E5EA85B2"/>
    <w:lvl w:ilvl="0" w:tentative="0">
      <w:start w:val="1"/>
      <w:numFmt w:val="decimal"/>
      <w:suff w:val="nothing"/>
      <w:lvlText w:val="%1、"/>
      <w:lvlJc w:val="left"/>
    </w:lvl>
  </w:abstractNum>
  <w:abstractNum w:abstractNumId="6">
    <w:nsid w:val="E82893EA"/>
    <w:multiLevelType w:val="singleLevel"/>
    <w:tmpl w:val="E82893EA"/>
    <w:lvl w:ilvl="0" w:tentative="0">
      <w:start w:val="1"/>
      <w:numFmt w:val="decimal"/>
      <w:suff w:val="nothing"/>
      <w:lvlText w:val="%1、"/>
      <w:lvlJc w:val="left"/>
    </w:lvl>
  </w:abstractNum>
  <w:abstractNum w:abstractNumId="7">
    <w:nsid w:val="01D1661E"/>
    <w:multiLevelType w:val="multilevel"/>
    <w:tmpl w:val="01D1661E"/>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043D0299"/>
    <w:multiLevelType w:val="singleLevel"/>
    <w:tmpl w:val="043D0299"/>
    <w:lvl w:ilvl="0" w:tentative="0">
      <w:start w:val="8"/>
      <w:numFmt w:val="upperLetter"/>
      <w:lvlText w:val="%1."/>
      <w:lvlJc w:val="left"/>
      <w:pPr>
        <w:tabs>
          <w:tab w:val="left" w:pos="312"/>
        </w:tabs>
      </w:pPr>
    </w:lvl>
  </w:abstractNum>
  <w:abstractNum w:abstractNumId="9">
    <w:nsid w:val="183F0E72"/>
    <w:multiLevelType w:val="multilevel"/>
    <w:tmpl w:val="183F0E72"/>
    <w:lvl w:ilvl="0" w:tentative="0">
      <w:start w:val="1"/>
      <w:numFmt w:val="decimal"/>
      <w:pStyle w:val="2"/>
      <w:suff w:val="space"/>
      <w:lvlText w:val="%1."/>
      <w:lvlJc w:val="left"/>
      <w:pPr>
        <w:tabs>
          <w:tab w:val="left" w:pos="420"/>
        </w:tabs>
        <w:ind w:left="0" w:firstLine="0"/>
      </w:pPr>
      <w:rPr>
        <w:rFonts w:hint="default"/>
      </w:rPr>
    </w:lvl>
    <w:lvl w:ilvl="1" w:tentative="0">
      <w:start w:val="1"/>
      <w:numFmt w:val="decimal"/>
      <w:pStyle w:val="3"/>
      <w:suff w:val="space"/>
      <w:lvlText w:val="%1.%2."/>
      <w:lvlJc w:val="left"/>
      <w:pPr>
        <w:tabs>
          <w:tab w:val="left" w:pos="420"/>
        </w:tabs>
        <w:ind w:left="0" w:firstLine="0"/>
      </w:pPr>
      <w:rPr>
        <w:rFonts w:hint="default"/>
      </w:rPr>
    </w:lvl>
    <w:lvl w:ilvl="2" w:tentative="0">
      <w:start w:val="1"/>
      <w:numFmt w:val="decimal"/>
      <w:pStyle w:val="4"/>
      <w:suff w:val="space"/>
      <w:lvlText w:val="%1.%2.%3."/>
      <w:lvlJc w:val="left"/>
      <w:pPr>
        <w:tabs>
          <w:tab w:val="left" w:pos="420"/>
        </w:tabs>
        <w:ind w:left="0" w:firstLine="0"/>
      </w:pPr>
      <w:rPr>
        <w:rFonts w:hint="default"/>
      </w:rPr>
    </w:lvl>
    <w:lvl w:ilvl="3" w:tentative="0">
      <w:start w:val="1"/>
      <w:numFmt w:val="decimal"/>
      <w:pStyle w:val="5"/>
      <w:suff w:val="space"/>
      <w:lvlText w:val="%1.%2.%3.%4."/>
      <w:lvlJc w:val="left"/>
      <w:pPr>
        <w:tabs>
          <w:tab w:val="left" w:pos="420"/>
        </w:tabs>
        <w:ind w:left="0" w:firstLine="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1D917CB7"/>
    <w:multiLevelType w:val="multilevel"/>
    <w:tmpl w:val="1D917CB7"/>
    <w:lvl w:ilvl="0" w:tentative="0">
      <w:start w:val="1"/>
      <w:numFmt w:val="decimal"/>
      <w:suff w:val="space"/>
      <w:lvlText w:val="%1"/>
      <w:lvlJc w:val="left"/>
      <w:pPr>
        <w:ind w:left="0" w:firstLine="0"/>
      </w:pPr>
      <w:rPr>
        <w:rFonts w:hint="default" w:ascii="Times New Roman" w:hAnsi="Times New Roman" w:eastAsia="宋体"/>
        <w:b/>
        <w:i w:val="0"/>
      </w:rPr>
    </w:lvl>
    <w:lvl w:ilvl="1" w:tentative="0">
      <w:start w:val="1"/>
      <w:numFmt w:val="decimal"/>
      <w:suff w:val="space"/>
      <w:lvlText w:val="%1.%2"/>
      <w:lvlJc w:val="left"/>
      <w:pPr>
        <w:ind w:left="0" w:firstLine="0"/>
      </w:pPr>
      <w:rPr>
        <w:rFonts w:hint="default" w:ascii="Times New Roman" w:hAnsi="Times New Roman"/>
      </w:rPr>
    </w:lvl>
    <w:lvl w:ilvl="2" w:tentative="0">
      <w:start w:val="1"/>
      <w:numFmt w:val="decimal"/>
      <w:suff w:val="space"/>
      <w:lvlText w:val="%1.%2.%3"/>
      <w:lvlJc w:val="left"/>
      <w:pPr>
        <w:ind w:left="0" w:firstLine="0"/>
      </w:pPr>
      <w:rPr>
        <w:rFonts w:hint="default" w:ascii="Times New Roman" w:hAnsi="Times New Roman"/>
      </w:rPr>
    </w:lvl>
    <w:lvl w:ilvl="3" w:tentative="0">
      <w:start w:val="1"/>
      <w:numFmt w:val="decimal"/>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1">
    <w:nsid w:val="25E89AD8"/>
    <w:multiLevelType w:val="singleLevel"/>
    <w:tmpl w:val="25E89AD8"/>
    <w:lvl w:ilvl="0" w:tentative="0">
      <w:start w:val="1"/>
      <w:numFmt w:val="decimal"/>
      <w:suff w:val="nothing"/>
      <w:lvlText w:val="%1、"/>
      <w:lvlJc w:val="left"/>
    </w:lvl>
  </w:abstractNum>
  <w:abstractNum w:abstractNumId="12">
    <w:nsid w:val="43931D27"/>
    <w:multiLevelType w:val="multilevel"/>
    <w:tmpl w:val="43931D27"/>
    <w:lvl w:ilvl="0" w:tentative="0">
      <w:start w:val="1"/>
      <w:numFmt w:val="decimal"/>
      <w:suff w:val="nothing"/>
      <w:lvlText w:val="附图%1 "/>
      <w:lvlJc w:val="left"/>
      <w:pPr>
        <w:ind w:left="840" w:hanging="420"/>
      </w:pPr>
      <w:rPr>
        <w:rFonts w:hint="default" w:ascii="Times New Roman" w:hAnsi="Times New Roman" w:eastAsia="宋体"/>
        <w:b/>
        <w:i w:val="0"/>
        <w:sz w:val="24"/>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3">
    <w:nsid w:val="73A74A94"/>
    <w:multiLevelType w:val="singleLevel"/>
    <w:tmpl w:val="73A74A94"/>
    <w:lvl w:ilvl="0" w:tentative="0">
      <w:start w:val="1"/>
      <w:numFmt w:val="decimal"/>
      <w:suff w:val="nothing"/>
      <w:lvlText w:val="（%1）"/>
      <w:lvlJc w:val="left"/>
      <w:rPr>
        <w:rFonts w:hint="default"/>
        <w:b w:val="0"/>
        <w:bCs w:val="0"/>
        <w:sz w:val="24"/>
        <w:szCs w:val="24"/>
      </w:rPr>
    </w:lvl>
  </w:abstractNum>
  <w:abstractNum w:abstractNumId="14">
    <w:nsid w:val="7B9546B3"/>
    <w:multiLevelType w:val="multilevel"/>
    <w:tmpl w:val="7B9546B3"/>
    <w:lvl w:ilvl="0" w:tentative="0">
      <w:start w:val="1"/>
      <w:numFmt w:val="decimal"/>
      <w:lvlText w:val="附件%1 "/>
      <w:lvlJc w:val="left"/>
      <w:pPr>
        <w:ind w:left="900" w:hanging="420"/>
      </w:pPr>
      <w:rPr>
        <w:rFonts w:hint="default" w:ascii="Times New Roman" w:hAnsi="Times New Roman" w:eastAsia="宋体"/>
        <w:b/>
        <w:i w:val="0"/>
        <w:sz w:val="24"/>
      </w:rPr>
    </w:lvl>
    <w:lvl w:ilvl="1" w:tentative="0">
      <w:start w:val="1"/>
      <w:numFmt w:val="decimal"/>
      <w:suff w:val="nothing"/>
      <w:lvlText w:val="附件%2 "/>
      <w:lvlJc w:val="left"/>
      <w:pPr>
        <w:ind w:left="840" w:hanging="420"/>
      </w:pPr>
      <w:rPr>
        <w:rFonts w:hint="default" w:ascii="Times New Roman" w:hAnsi="Times New Roman" w:eastAsia="宋体"/>
        <w:b/>
        <w:i w:val="0"/>
        <w:sz w:val="24"/>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9"/>
  </w:num>
  <w:num w:numId="2">
    <w:abstractNumId w:val="10"/>
  </w:num>
  <w:num w:numId="3">
    <w:abstractNumId w:val="12"/>
  </w:num>
  <w:num w:numId="4">
    <w:abstractNumId w:val="14"/>
  </w:num>
  <w:num w:numId="5">
    <w:abstractNumId w:val="7"/>
  </w:num>
  <w:num w:numId="6">
    <w:abstractNumId w:val="6"/>
  </w:num>
  <w:num w:numId="7">
    <w:abstractNumId w:val="11"/>
  </w:num>
  <w:num w:numId="8">
    <w:abstractNumId w:val="8"/>
  </w:num>
  <w:num w:numId="9">
    <w:abstractNumId w:val="1"/>
  </w:num>
  <w:num w:numId="10">
    <w:abstractNumId w:val="3"/>
  </w:num>
  <w:num w:numId="11">
    <w:abstractNumId w:val="2"/>
  </w:num>
  <w:num w:numId="12">
    <w:abstractNumId w:val="13"/>
  </w:num>
  <w:num w:numId="13">
    <w:abstractNumId w:val="4"/>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yODMwOTJkZTdlODU2OTdiN2Y5ZjU3OTgyOWMxMWYifQ=="/>
  </w:docVars>
  <w:rsids>
    <w:rsidRoot w:val="00B12CD1"/>
    <w:rsid w:val="000004FF"/>
    <w:rsid w:val="0000159F"/>
    <w:rsid w:val="0000247A"/>
    <w:rsid w:val="000028BB"/>
    <w:rsid w:val="00004084"/>
    <w:rsid w:val="00005F93"/>
    <w:rsid w:val="00006E39"/>
    <w:rsid w:val="00007205"/>
    <w:rsid w:val="00007E6C"/>
    <w:rsid w:val="000109A9"/>
    <w:rsid w:val="000114DA"/>
    <w:rsid w:val="000231A1"/>
    <w:rsid w:val="000235C8"/>
    <w:rsid w:val="00023F77"/>
    <w:rsid w:val="00024F7E"/>
    <w:rsid w:val="0002732A"/>
    <w:rsid w:val="00030B0D"/>
    <w:rsid w:val="00031F56"/>
    <w:rsid w:val="00032164"/>
    <w:rsid w:val="00035BA3"/>
    <w:rsid w:val="0003682E"/>
    <w:rsid w:val="00036FFE"/>
    <w:rsid w:val="00037A64"/>
    <w:rsid w:val="0004134C"/>
    <w:rsid w:val="000431DF"/>
    <w:rsid w:val="0004410E"/>
    <w:rsid w:val="00047043"/>
    <w:rsid w:val="000479C0"/>
    <w:rsid w:val="00047B50"/>
    <w:rsid w:val="000502D9"/>
    <w:rsid w:val="000506FB"/>
    <w:rsid w:val="00051C6D"/>
    <w:rsid w:val="00052253"/>
    <w:rsid w:val="00053A2E"/>
    <w:rsid w:val="00053BCD"/>
    <w:rsid w:val="00054098"/>
    <w:rsid w:val="00054C0E"/>
    <w:rsid w:val="00056543"/>
    <w:rsid w:val="00057E81"/>
    <w:rsid w:val="000637D6"/>
    <w:rsid w:val="00064450"/>
    <w:rsid w:val="0006686E"/>
    <w:rsid w:val="00066945"/>
    <w:rsid w:val="00066DCE"/>
    <w:rsid w:val="00070C0E"/>
    <w:rsid w:val="00071139"/>
    <w:rsid w:val="00071AE9"/>
    <w:rsid w:val="0007334C"/>
    <w:rsid w:val="00073ABB"/>
    <w:rsid w:val="000749D9"/>
    <w:rsid w:val="00075CAF"/>
    <w:rsid w:val="00081086"/>
    <w:rsid w:val="000814FE"/>
    <w:rsid w:val="000820A9"/>
    <w:rsid w:val="00083005"/>
    <w:rsid w:val="000867F8"/>
    <w:rsid w:val="00086DDF"/>
    <w:rsid w:val="00086FF7"/>
    <w:rsid w:val="00091057"/>
    <w:rsid w:val="000920CC"/>
    <w:rsid w:val="00095762"/>
    <w:rsid w:val="00096284"/>
    <w:rsid w:val="00096D7C"/>
    <w:rsid w:val="000A41F3"/>
    <w:rsid w:val="000A4CBB"/>
    <w:rsid w:val="000A55BC"/>
    <w:rsid w:val="000B07AD"/>
    <w:rsid w:val="000B293F"/>
    <w:rsid w:val="000B2B00"/>
    <w:rsid w:val="000B2FAB"/>
    <w:rsid w:val="000B4206"/>
    <w:rsid w:val="000B5395"/>
    <w:rsid w:val="000B56A3"/>
    <w:rsid w:val="000B689D"/>
    <w:rsid w:val="000B7D50"/>
    <w:rsid w:val="000C0067"/>
    <w:rsid w:val="000C0591"/>
    <w:rsid w:val="000C083D"/>
    <w:rsid w:val="000C11B4"/>
    <w:rsid w:val="000C3C27"/>
    <w:rsid w:val="000C4BF3"/>
    <w:rsid w:val="000C6462"/>
    <w:rsid w:val="000C681E"/>
    <w:rsid w:val="000C6D61"/>
    <w:rsid w:val="000C6E77"/>
    <w:rsid w:val="000C6EBB"/>
    <w:rsid w:val="000C759D"/>
    <w:rsid w:val="000C76F0"/>
    <w:rsid w:val="000D2A2B"/>
    <w:rsid w:val="000D59F1"/>
    <w:rsid w:val="000D75C1"/>
    <w:rsid w:val="000D7797"/>
    <w:rsid w:val="000D7A2A"/>
    <w:rsid w:val="000E1067"/>
    <w:rsid w:val="000E45C2"/>
    <w:rsid w:val="000E5A74"/>
    <w:rsid w:val="000E5EC1"/>
    <w:rsid w:val="000E6ECE"/>
    <w:rsid w:val="000F1518"/>
    <w:rsid w:val="000F177A"/>
    <w:rsid w:val="000F6945"/>
    <w:rsid w:val="000F6AD8"/>
    <w:rsid w:val="000F765F"/>
    <w:rsid w:val="000F7CAB"/>
    <w:rsid w:val="000F7CE7"/>
    <w:rsid w:val="001021B9"/>
    <w:rsid w:val="001029A8"/>
    <w:rsid w:val="001031D5"/>
    <w:rsid w:val="00103257"/>
    <w:rsid w:val="00106ED6"/>
    <w:rsid w:val="00107D3D"/>
    <w:rsid w:val="00110299"/>
    <w:rsid w:val="0011085E"/>
    <w:rsid w:val="001109D3"/>
    <w:rsid w:val="00111ECB"/>
    <w:rsid w:val="0011261F"/>
    <w:rsid w:val="0011296F"/>
    <w:rsid w:val="00112F32"/>
    <w:rsid w:val="00114808"/>
    <w:rsid w:val="00114AE0"/>
    <w:rsid w:val="0012006B"/>
    <w:rsid w:val="0012061A"/>
    <w:rsid w:val="0012123F"/>
    <w:rsid w:val="00122021"/>
    <w:rsid w:val="00122C69"/>
    <w:rsid w:val="00122DAA"/>
    <w:rsid w:val="00122F2D"/>
    <w:rsid w:val="00123286"/>
    <w:rsid w:val="0012363C"/>
    <w:rsid w:val="0012392F"/>
    <w:rsid w:val="00124F76"/>
    <w:rsid w:val="00125DDD"/>
    <w:rsid w:val="00130A0A"/>
    <w:rsid w:val="00130A6A"/>
    <w:rsid w:val="00130FC5"/>
    <w:rsid w:val="001320EF"/>
    <w:rsid w:val="0013238B"/>
    <w:rsid w:val="00132741"/>
    <w:rsid w:val="00133B78"/>
    <w:rsid w:val="0013527D"/>
    <w:rsid w:val="00137859"/>
    <w:rsid w:val="001401DA"/>
    <w:rsid w:val="00141267"/>
    <w:rsid w:val="001418F6"/>
    <w:rsid w:val="0014436F"/>
    <w:rsid w:val="001449ED"/>
    <w:rsid w:val="00147E00"/>
    <w:rsid w:val="001504F4"/>
    <w:rsid w:val="00150CB5"/>
    <w:rsid w:val="00150EB1"/>
    <w:rsid w:val="00151648"/>
    <w:rsid w:val="00152EDE"/>
    <w:rsid w:val="00153723"/>
    <w:rsid w:val="00154A0E"/>
    <w:rsid w:val="001572FE"/>
    <w:rsid w:val="00157BEB"/>
    <w:rsid w:val="0017095B"/>
    <w:rsid w:val="001741C7"/>
    <w:rsid w:val="00175C9E"/>
    <w:rsid w:val="00176DF0"/>
    <w:rsid w:val="00177BCA"/>
    <w:rsid w:val="001810DC"/>
    <w:rsid w:val="00182C64"/>
    <w:rsid w:val="0018328A"/>
    <w:rsid w:val="00183A71"/>
    <w:rsid w:val="001840DF"/>
    <w:rsid w:val="0018434E"/>
    <w:rsid w:val="001847B1"/>
    <w:rsid w:val="00185B2E"/>
    <w:rsid w:val="00186087"/>
    <w:rsid w:val="00186565"/>
    <w:rsid w:val="00187315"/>
    <w:rsid w:val="001908F8"/>
    <w:rsid w:val="00190C2D"/>
    <w:rsid w:val="001912FF"/>
    <w:rsid w:val="00191537"/>
    <w:rsid w:val="0019221A"/>
    <w:rsid w:val="00192B8D"/>
    <w:rsid w:val="0019764A"/>
    <w:rsid w:val="001A02FF"/>
    <w:rsid w:val="001A07C6"/>
    <w:rsid w:val="001A1A6D"/>
    <w:rsid w:val="001A1B87"/>
    <w:rsid w:val="001A23C5"/>
    <w:rsid w:val="001A301B"/>
    <w:rsid w:val="001A3363"/>
    <w:rsid w:val="001A5F09"/>
    <w:rsid w:val="001A7777"/>
    <w:rsid w:val="001B0242"/>
    <w:rsid w:val="001B087A"/>
    <w:rsid w:val="001B1096"/>
    <w:rsid w:val="001B2CF1"/>
    <w:rsid w:val="001B34A8"/>
    <w:rsid w:val="001B525F"/>
    <w:rsid w:val="001B5390"/>
    <w:rsid w:val="001B6EF1"/>
    <w:rsid w:val="001B73B5"/>
    <w:rsid w:val="001C0DFA"/>
    <w:rsid w:val="001C0F8F"/>
    <w:rsid w:val="001C1809"/>
    <w:rsid w:val="001C2459"/>
    <w:rsid w:val="001C4F37"/>
    <w:rsid w:val="001C5E6F"/>
    <w:rsid w:val="001C65EF"/>
    <w:rsid w:val="001C70C7"/>
    <w:rsid w:val="001D0636"/>
    <w:rsid w:val="001D09D6"/>
    <w:rsid w:val="001D1599"/>
    <w:rsid w:val="001D1874"/>
    <w:rsid w:val="001D29D9"/>
    <w:rsid w:val="001D2E22"/>
    <w:rsid w:val="001D3BFA"/>
    <w:rsid w:val="001D4897"/>
    <w:rsid w:val="001D4C13"/>
    <w:rsid w:val="001D4DF8"/>
    <w:rsid w:val="001D50AD"/>
    <w:rsid w:val="001D56B7"/>
    <w:rsid w:val="001D6592"/>
    <w:rsid w:val="001D6F10"/>
    <w:rsid w:val="001D72B4"/>
    <w:rsid w:val="001D74B4"/>
    <w:rsid w:val="001D7550"/>
    <w:rsid w:val="001D7945"/>
    <w:rsid w:val="001D7E9F"/>
    <w:rsid w:val="001E040D"/>
    <w:rsid w:val="001E3A4A"/>
    <w:rsid w:val="001E3C34"/>
    <w:rsid w:val="001E505D"/>
    <w:rsid w:val="001E5138"/>
    <w:rsid w:val="001E747B"/>
    <w:rsid w:val="001E7692"/>
    <w:rsid w:val="001F0C2E"/>
    <w:rsid w:val="001F0D54"/>
    <w:rsid w:val="001F118B"/>
    <w:rsid w:val="001F2DA6"/>
    <w:rsid w:val="001F2F05"/>
    <w:rsid w:val="001F5974"/>
    <w:rsid w:val="001F5F71"/>
    <w:rsid w:val="00201E5F"/>
    <w:rsid w:val="00203B19"/>
    <w:rsid w:val="00204AE6"/>
    <w:rsid w:val="00204E6F"/>
    <w:rsid w:val="002064EA"/>
    <w:rsid w:val="002067B7"/>
    <w:rsid w:val="00207011"/>
    <w:rsid w:val="00207375"/>
    <w:rsid w:val="00210740"/>
    <w:rsid w:val="00210AD1"/>
    <w:rsid w:val="00210B4C"/>
    <w:rsid w:val="002114D7"/>
    <w:rsid w:val="00212E59"/>
    <w:rsid w:val="00213254"/>
    <w:rsid w:val="00213360"/>
    <w:rsid w:val="00214406"/>
    <w:rsid w:val="00216738"/>
    <w:rsid w:val="00221157"/>
    <w:rsid w:val="002219CB"/>
    <w:rsid w:val="002226B5"/>
    <w:rsid w:val="002233DD"/>
    <w:rsid w:val="0022341C"/>
    <w:rsid w:val="002304C0"/>
    <w:rsid w:val="00230A6D"/>
    <w:rsid w:val="00230B88"/>
    <w:rsid w:val="0023183A"/>
    <w:rsid w:val="002319EC"/>
    <w:rsid w:val="00231D11"/>
    <w:rsid w:val="00232079"/>
    <w:rsid w:val="00232A4C"/>
    <w:rsid w:val="00232B10"/>
    <w:rsid w:val="00232BA9"/>
    <w:rsid w:val="00232D1F"/>
    <w:rsid w:val="002364A8"/>
    <w:rsid w:val="00237A77"/>
    <w:rsid w:val="002407E5"/>
    <w:rsid w:val="00242974"/>
    <w:rsid w:val="0024315B"/>
    <w:rsid w:val="00244EB5"/>
    <w:rsid w:val="00246D4C"/>
    <w:rsid w:val="00247A62"/>
    <w:rsid w:val="00251619"/>
    <w:rsid w:val="00252588"/>
    <w:rsid w:val="002526B1"/>
    <w:rsid w:val="00253B88"/>
    <w:rsid w:val="00255450"/>
    <w:rsid w:val="00255FCF"/>
    <w:rsid w:val="0025767E"/>
    <w:rsid w:val="00257B51"/>
    <w:rsid w:val="00260FC6"/>
    <w:rsid w:val="002623E0"/>
    <w:rsid w:val="00263406"/>
    <w:rsid w:val="0026515C"/>
    <w:rsid w:val="002676F3"/>
    <w:rsid w:val="002702A9"/>
    <w:rsid w:val="002707AF"/>
    <w:rsid w:val="00270E8D"/>
    <w:rsid w:val="00271F24"/>
    <w:rsid w:val="00272234"/>
    <w:rsid w:val="002730AB"/>
    <w:rsid w:val="00273478"/>
    <w:rsid w:val="0027349C"/>
    <w:rsid w:val="00273ECF"/>
    <w:rsid w:val="0027453F"/>
    <w:rsid w:val="0027458F"/>
    <w:rsid w:val="002804E2"/>
    <w:rsid w:val="00282BE3"/>
    <w:rsid w:val="00282EE6"/>
    <w:rsid w:val="00286FEE"/>
    <w:rsid w:val="00287546"/>
    <w:rsid w:val="0029116A"/>
    <w:rsid w:val="00293A3F"/>
    <w:rsid w:val="002945A7"/>
    <w:rsid w:val="0029520D"/>
    <w:rsid w:val="0029601A"/>
    <w:rsid w:val="00297ACD"/>
    <w:rsid w:val="002A0117"/>
    <w:rsid w:val="002A1473"/>
    <w:rsid w:val="002A7A88"/>
    <w:rsid w:val="002B1A95"/>
    <w:rsid w:val="002B3084"/>
    <w:rsid w:val="002B32F9"/>
    <w:rsid w:val="002B443A"/>
    <w:rsid w:val="002B6E2A"/>
    <w:rsid w:val="002C0568"/>
    <w:rsid w:val="002C381F"/>
    <w:rsid w:val="002C3D4B"/>
    <w:rsid w:val="002C3FF2"/>
    <w:rsid w:val="002D033A"/>
    <w:rsid w:val="002D344F"/>
    <w:rsid w:val="002D5052"/>
    <w:rsid w:val="002D546B"/>
    <w:rsid w:val="002D54FB"/>
    <w:rsid w:val="002E04FC"/>
    <w:rsid w:val="002E100C"/>
    <w:rsid w:val="002E113B"/>
    <w:rsid w:val="002E2636"/>
    <w:rsid w:val="002E3743"/>
    <w:rsid w:val="002E5758"/>
    <w:rsid w:val="002E61EF"/>
    <w:rsid w:val="002E7D30"/>
    <w:rsid w:val="002F0728"/>
    <w:rsid w:val="002F23E1"/>
    <w:rsid w:val="002F24D8"/>
    <w:rsid w:val="002F2988"/>
    <w:rsid w:val="002F2FA3"/>
    <w:rsid w:val="002F4190"/>
    <w:rsid w:val="00300031"/>
    <w:rsid w:val="00301919"/>
    <w:rsid w:val="00301BEF"/>
    <w:rsid w:val="0030217C"/>
    <w:rsid w:val="003053D9"/>
    <w:rsid w:val="00307723"/>
    <w:rsid w:val="00307CD0"/>
    <w:rsid w:val="00310D13"/>
    <w:rsid w:val="003132A9"/>
    <w:rsid w:val="003147F7"/>
    <w:rsid w:val="00315101"/>
    <w:rsid w:val="00323E9C"/>
    <w:rsid w:val="003242D7"/>
    <w:rsid w:val="00332259"/>
    <w:rsid w:val="00332D25"/>
    <w:rsid w:val="00335B29"/>
    <w:rsid w:val="00336554"/>
    <w:rsid w:val="00337257"/>
    <w:rsid w:val="0033769A"/>
    <w:rsid w:val="00337B8A"/>
    <w:rsid w:val="00340A01"/>
    <w:rsid w:val="00341465"/>
    <w:rsid w:val="00341A99"/>
    <w:rsid w:val="00342161"/>
    <w:rsid w:val="00342194"/>
    <w:rsid w:val="003426B5"/>
    <w:rsid w:val="00343DB2"/>
    <w:rsid w:val="0034500F"/>
    <w:rsid w:val="00345EF8"/>
    <w:rsid w:val="00346D69"/>
    <w:rsid w:val="00347024"/>
    <w:rsid w:val="00347274"/>
    <w:rsid w:val="003479A4"/>
    <w:rsid w:val="003501EC"/>
    <w:rsid w:val="003505BB"/>
    <w:rsid w:val="00351A48"/>
    <w:rsid w:val="00351C10"/>
    <w:rsid w:val="00352CF7"/>
    <w:rsid w:val="00353288"/>
    <w:rsid w:val="00354D08"/>
    <w:rsid w:val="00356B50"/>
    <w:rsid w:val="00356C84"/>
    <w:rsid w:val="00360BE1"/>
    <w:rsid w:val="003610F8"/>
    <w:rsid w:val="00363939"/>
    <w:rsid w:val="00364313"/>
    <w:rsid w:val="00364668"/>
    <w:rsid w:val="003658FE"/>
    <w:rsid w:val="00365BD5"/>
    <w:rsid w:val="0036658F"/>
    <w:rsid w:val="003667A8"/>
    <w:rsid w:val="003705A5"/>
    <w:rsid w:val="003705AF"/>
    <w:rsid w:val="00370D78"/>
    <w:rsid w:val="003712D8"/>
    <w:rsid w:val="0037251A"/>
    <w:rsid w:val="00372D35"/>
    <w:rsid w:val="00373800"/>
    <w:rsid w:val="00374798"/>
    <w:rsid w:val="003749D3"/>
    <w:rsid w:val="0037751A"/>
    <w:rsid w:val="00377DF6"/>
    <w:rsid w:val="0038397D"/>
    <w:rsid w:val="00385614"/>
    <w:rsid w:val="00386E17"/>
    <w:rsid w:val="0038734A"/>
    <w:rsid w:val="00390EFC"/>
    <w:rsid w:val="003915BE"/>
    <w:rsid w:val="00392196"/>
    <w:rsid w:val="0039387E"/>
    <w:rsid w:val="00394F8D"/>
    <w:rsid w:val="00395239"/>
    <w:rsid w:val="00395BCD"/>
    <w:rsid w:val="00396183"/>
    <w:rsid w:val="003A06CF"/>
    <w:rsid w:val="003A18F4"/>
    <w:rsid w:val="003A1AA0"/>
    <w:rsid w:val="003A1E88"/>
    <w:rsid w:val="003A40AC"/>
    <w:rsid w:val="003A4D3D"/>
    <w:rsid w:val="003A712D"/>
    <w:rsid w:val="003A7929"/>
    <w:rsid w:val="003B2BA7"/>
    <w:rsid w:val="003B4B10"/>
    <w:rsid w:val="003B5737"/>
    <w:rsid w:val="003C1447"/>
    <w:rsid w:val="003C2676"/>
    <w:rsid w:val="003C459D"/>
    <w:rsid w:val="003C75F3"/>
    <w:rsid w:val="003D0AD6"/>
    <w:rsid w:val="003D1C62"/>
    <w:rsid w:val="003D4391"/>
    <w:rsid w:val="003D4573"/>
    <w:rsid w:val="003D554B"/>
    <w:rsid w:val="003D68CF"/>
    <w:rsid w:val="003D6E32"/>
    <w:rsid w:val="003D7960"/>
    <w:rsid w:val="003E1560"/>
    <w:rsid w:val="003E18C8"/>
    <w:rsid w:val="003E28E2"/>
    <w:rsid w:val="003E29A8"/>
    <w:rsid w:val="003E3BE3"/>
    <w:rsid w:val="003E4063"/>
    <w:rsid w:val="003E6C08"/>
    <w:rsid w:val="003E6FCC"/>
    <w:rsid w:val="003E7574"/>
    <w:rsid w:val="003F02A1"/>
    <w:rsid w:val="003F0FED"/>
    <w:rsid w:val="003F10AF"/>
    <w:rsid w:val="003F26C6"/>
    <w:rsid w:val="003F32CC"/>
    <w:rsid w:val="003F421A"/>
    <w:rsid w:val="003F4630"/>
    <w:rsid w:val="003F4A61"/>
    <w:rsid w:val="003F687B"/>
    <w:rsid w:val="00400495"/>
    <w:rsid w:val="00400B72"/>
    <w:rsid w:val="00402125"/>
    <w:rsid w:val="00403A09"/>
    <w:rsid w:val="0040415C"/>
    <w:rsid w:val="00405291"/>
    <w:rsid w:val="0040705E"/>
    <w:rsid w:val="00410ECE"/>
    <w:rsid w:val="0041142C"/>
    <w:rsid w:val="00411F72"/>
    <w:rsid w:val="004134FA"/>
    <w:rsid w:val="00413853"/>
    <w:rsid w:val="0041438A"/>
    <w:rsid w:val="00417895"/>
    <w:rsid w:val="00417E48"/>
    <w:rsid w:val="004212B0"/>
    <w:rsid w:val="00422042"/>
    <w:rsid w:val="004221EA"/>
    <w:rsid w:val="00422FB8"/>
    <w:rsid w:val="004245C1"/>
    <w:rsid w:val="00425188"/>
    <w:rsid w:val="00425490"/>
    <w:rsid w:val="00427968"/>
    <w:rsid w:val="00430970"/>
    <w:rsid w:val="00430B0D"/>
    <w:rsid w:val="004317F0"/>
    <w:rsid w:val="004324CE"/>
    <w:rsid w:val="00434DA6"/>
    <w:rsid w:val="00436BA2"/>
    <w:rsid w:val="00440D37"/>
    <w:rsid w:val="0044173F"/>
    <w:rsid w:val="00444224"/>
    <w:rsid w:val="00445018"/>
    <w:rsid w:val="00447C59"/>
    <w:rsid w:val="0045014A"/>
    <w:rsid w:val="00451E6C"/>
    <w:rsid w:val="00452E77"/>
    <w:rsid w:val="00453FCD"/>
    <w:rsid w:val="00454CE1"/>
    <w:rsid w:val="004564AB"/>
    <w:rsid w:val="004609A8"/>
    <w:rsid w:val="004621B9"/>
    <w:rsid w:val="00463252"/>
    <w:rsid w:val="00463293"/>
    <w:rsid w:val="00465EAC"/>
    <w:rsid w:val="00465F7C"/>
    <w:rsid w:val="004674AD"/>
    <w:rsid w:val="004675B6"/>
    <w:rsid w:val="00470C54"/>
    <w:rsid w:val="00470CAD"/>
    <w:rsid w:val="00471E84"/>
    <w:rsid w:val="00473D1D"/>
    <w:rsid w:val="004743BE"/>
    <w:rsid w:val="00474570"/>
    <w:rsid w:val="00474829"/>
    <w:rsid w:val="00474982"/>
    <w:rsid w:val="00474AD3"/>
    <w:rsid w:val="00477C1E"/>
    <w:rsid w:val="004814B6"/>
    <w:rsid w:val="0048251E"/>
    <w:rsid w:val="00483EA6"/>
    <w:rsid w:val="004852B8"/>
    <w:rsid w:val="004862FF"/>
    <w:rsid w:val="0048658D"/>
    <w:rsid w:val="004874B8"/>
    <w:rsid w:val="004903B6"/>
    <w:rsid w:val="00490484"/>
    <w:rsid w:val="00491455"/>
    <w:rsid w:val="00492278"/>
    <w:rsid w:val="00494C12"/>
    <w:rsid w:val="00495E4A"/>
    <w:rsid w:val="00495E5C"/>
    <w:rsid w:val="00496081"/>
    <w:rsid w:val="00496361"/>
    <w:rsid w:val="004A01BB"/>
    <w:rsid w:val="004A209A"/>
    <w:rsid w:val="004A34AC"/>
    <w:rsid w:val="004A34C1"/>
    <w:rsid w:val="004A45C3"/>
    <w:rsid w:val="004A4665"/>
    <w:rsid w:val="004A61D9"/>
    <w:rsid w:val="004A7B7B"/>
    <w:rsid w:val="004B0342"/>
    <w:rsid w:val="004B186E"/>
    <w:rsid w:val="004B1EA7"/>
    <w:rsid w:val="004B20F4"/>
    <w:rsid w:val="004B3549"/>
    <w:rsid w:val="004B3B26"/>
    <w:rsid w:val="004B4622"/>
    <w:rsid w:val="004B5899"/>
    <w:rsid w:val="004B5B34"/>
    <w:rsid w:val="004B66E9"/>
    <w:rsid w:val="004B6B44"/>
    <w:rsid w:val="004C2264"/>
    <w:rsid w:val="004C2BD4"/>
    <w:rsid w:val="004C2FEA"/>
    <w:rsid w:val="004C3F24"/>
    <w:rsid w:val="004C47E5"/>
    <w:rsid w:val="004C5070"/>
    <w:rsid w:val="004D0147"/>
    <w:rsid w:val="004D0249"/>
    <w:rsid w:val="004D039B"/>
    <w:rsid w:val="004D17D4"/>
    <w:rsid w:val="004D18F1"/>
    <w:rsid w:val="004D1DA3"/>
    <w:rsid w:val="004D2FB0"/>
    <w:rsid w:val="004D3E64"/>
    <w:rsid w:val="004D4069"/>
    <w:rsid w:val="004D4BA4"/>
    <w:rsid w:val="004D4C3D"/>
    <w:rsid w:val="004D4C5F"/>
    <w:rsid w:val="004D6486"/>
    <w:rsid w:val="004D676A"/>
    <w:rsid w:val="004D6D04"/>
    <w:rsid w:val="004E2B58"/>
    <w:rsid w:val="004E4C14"/>
    <w:rsid w:val="004E7BAF"/>
    <w:rsid w:val="004F0593"/>
    <w:rsid w:val="004F0DF9"/>
    <w:rsid w:val="004F2AA8"/>
    <w:rsid w:val="004F4CC0"/>
    <w:rsid w:val="004F52BC"/>
    <w:rsid w:val="004F539B"/>
    <w:rsid w:val="004F5A23"/>
    <w:rsid w:val="004F6756"/>
    <w:rsid w:val="005002F0"/>
    <w:rsid w:val="00502187"/>
    <w:rsid w:val="0050231D"/>
    <w:rsid w:val="0050508B"/>
    <w:rsid w:val="005056D7"/>
    <w:rsid w:val="00507FCE"/>
    <w:rsid w:val="0051108E"/>
    <w:rsid w:val="00511196"/>
    <w:rsid w:val="00512049"/>
    <w:rsid w:val="00512B3C"/>
    <w:rsid w:val="0051406D"/>
    <w:rsid w:val="00514360"/>
    <w:rsid w:val="00514C5A"/>
    <w:rsid w:val="00516D58"/>
    <w:rsid w:val="00517591"/>
    <w:rsid w:val="00521246"/>
    <w:rsid w:val="00521247"/>
    <w:rsid w:val="00527F6E"/>
    <w:rsid w:val="00532025"/>
    <w:rsid w:val="00533885"/>
    <w:rsid w:val="005344D9"/>
    <w:rsid w:val="005351A6"/>
    <w:rsid w:val="005351D6"/>
    <w:rsid w:val="00537A90"/>
    <w:rsid w:val="00540947"/>
    <w:rsid w:val="0054131D"/>
    <w:rsid w:val="005416D3"/>
    <w:rsid w:val="005435D3"/>
    <w:rsid w:val="00544752"/>
    <w:rsid w:val="00545757"/>
    <w:rsid w:val="00545B1C"/>
    <w:rsid w:val="005471CE"/>
    <w:rsid w:val="005500AD"/>
    <w:rsid w:val="0055017A"/>
    <w:rsid w:val="00552046"/>
    <w:rsid w:val="00552851"/>
    <w:rsid w:val="00552B78"/>
    <w:rsid w:val="005539DD"/>
    <w:rsid w:val="00554871"/>
    <w:rsid w:val="005558DF"/>
    <w:rsid w:val="00555A34"/>
    <w:rsid w:val="00555AD0"/>
    <w:rsid w:val="0055689E"/>
    <w:rsid w:val="00556B53"/>
    <w:rsid w:val="005618A5"/>
    <w:rsid w:val="005620BE"/>
    <w:rsid w:val="0056432F"/>
    <w:rsid w:val="005656D8"/>
    <w:rsid w:val="005666F5"/>
    <w:rsid w:val="00566B22"/>
    <w:rsid w:val="00567EDA"/>
    <w:rsid w:val="00570D64"/>
    <w:rsid w:val="00571ED1"/>
    <w:rsid w:val="00572A10"/>
    <w:rsid w:val="00572E89"/>
    <w:rsid w:val="00573286"/>
    <w:rsid w:val="005737D9"/>
    <w:rsid w:val="00581E5B"/>
    <w:rsid w:val="00583405"/>
    <w:rsid w:val="00584683"/>
    <w:rsid w:val="00584E26"/>
    <w:rsid w:val="0058514E"/>
    <w:rsid w:val="00586226"/>
    <w:rsid w:val="005862D7"/>
    <w:rsid w:val="0058715D"/>
    <w:rsid w:val="00591E50"/>
    <w:rsid w:val="00592254"/>
    <w:rsid w:val="00592609"/>
    <w:rsid w:val="005935FE"/>
    <w:rsid w:val="005938BB"/>
    <w:rsid w:val="00594E16"/>
    <w:rsid w:val="00594F9A"/>
    <w:rsid w:val="0059510B"/>
    <w:rsid w:val="005A27EB"/>
    <w:rsid w:val="005A4519"/>
    <w:rsid w:val="005A4E27"/>
    <w:rsid w:val="005A6435"/>
    <w:rsid w:val="005A6589"/>
    <w:rsid w:val="005A6CBD"/>
    <w:rsid w:val="005A6F44"/>
    <w:rsid w:val="005B02F1"/>
    <w:rsid w:val="005B1C2F"/>
    <w:rsid w:val="005B1E69"/>
    <w:rsid w:val="005B25B6"/>
    <w:rsid w:val="005B2E7D"/>
    <w:rsid w:val="005B3D18"/>
    <w:rsid w:val="005B5D6F"/>
    <w:rsid w:val="005B6C39"/>
    <w:rsid w:val="005B7E43"/>
    <w:rsid w:val="005C075C"/>
    <w:rsid w:val="005C0C7E"/>
    <w:rsid w:val="005C1271"/>
    <w:rsid w:val="005C34BA"/>
    <w:rsid w:val="005C505B"/>
    <w:rsid w:val="005C77CF"/>
    <w:rsid w:val="005D1979"/>
    <w:rsid w:val="005D2F68"/>
    <w:rsid w:val="005D3F2F"/>
    <w:rsid w:val="005D5709"/>
    <w:rsid w:val="005D76CF"/>
    <w:rsid w:val="005E22DD"/>
    <w:rsid w:val="005E4CEE"/>
    <w:rsid w:val="005E4D8D"/>
    <w:rsid w:val="005E5323"/>
    <w:rsid w:val="005E5FBA"/>
    <w:rsid w:val="005E6453"/>
    <w:rsid w:val="005E7007"/>
    <w:rsid w:val="005E70AF"/>
    <w:rsid w:val="005E7B99"/>
    <w:rsid w:val="005F0A8B"/>
    <w:rsid w:val="005F1E5C"/>
    <w:rsid w:val="005F3AD0"/>
    <w:rsid w:val="005F4477"/>
    <w:rsid w:val="005F480D"/>
    <w:rsid w:val="00600310"/>
    <w:rsid w:val="006015CF"/>
    <w:rsid w:val="006040A8"/>
    <w:rsid w:val="006046FC"/>
    <w:rsid w:val="00607C37"/>
    <w:rsid w:val="006106B6"/>
    <w:rsid w:val="00611F2D"/>
    <w:rsid w:val="00612A26"/>
    <w:rsid w:val="00613103"/>
    <w:rsid w:val="00613506"/>
    <w:rsid w:val="00613615"/>
    <w:rsid w:val="006146DB"/>
    <w:rsid w:val="00615194"/>
    <w:rsid w:val="006159A7"/>
    <w:rsid w:val="006206C2"/>
    <w:rsid w:val="006207D2"/>
    <w:rsid w:val="006216AC"/>
    <w:rsid w:val="00621C74"/>
    <w:rsid w:val="00621D99"/>
    <w:rsid w:val="006232DE"/>
    <w:rsid w:val="00624674"/>
    <w:rsid w:val="006250BF"/>
    <w:rsid w:val="00632942"/>
    <w:rsid w:val="00632AC7"/>
    <w:rsid w:val="00633CE5"/>
    <w:rsid w:val="00633EEB"/>
    <w:rsid w:val="00634F73"/>
    <w:rsid w:val="00636DE1"/>
    <w:rsid w:val="00637CB9"/>
    <w:rsid w:val="006408D2"/>
    <w:rsid w:val="00643E9C"/>
    <w:rsid w:val="00644A07"/>
    <w:rsid w:val="00645632"/>
    <w:rsid w:val="00645654"/>
    <w:rsid w:val="006465BE"/>
    <w:rsid w:val="00646AC4"/>
    <w:rsid w:val="006526A7"/>
    <w:rsid w:val="006535CB"/>
    <w:rsid w:val="00653734"/>
    <w:rsid w:val="00653F3F"/>
    <w:rsid w:val="00660B7A"/>
    <w:rsid w:val="00660DA3"/>
    <w:rsid w:val="00661B4C"/>
    <w:rsid w:val="00662B62"/>
    <w:rsid w:val="006630B3"/>
    <w:rsid w:val="00664658"/>
    <w:rsid w:val="00664703"/>
    <w:rsid w:val="00664DC5"/>
    <w:rsid w:val="00670230"/>
    <w:rsid w:val="00670582"/>
    <w:rsid w:val="00670CCA"/>
    <w:rsid w:val="006716B7"/>
    <w:rsid w:val="006717B6"/>
    <w:rsid w:val="00673EDA"/>
    <w:rsid w:val="00675AAD"/>
    <w:rsid w:val="00676186"/>
    <w:rsid w:val="00676DEB"/>
    <w:rsid w:val="00677C73"/>
    <w:rsid w:val="00681690"/>
    <w:rsid w:val="0068696F"/>
    <w:rsid w:val="006901EC"/>
    <w:rsid w:val="00690521"/>
    <w:rsid w:val="006915F0"/>
    <w:rsid w:val="00692E77"/>
    <w:rsid w:val="006938B7"/>
    <w:rsid w:val="00693DF9"/>
    <w:rsid w:val="0069545E"/>
    <w:rsid w:val="00696457"/>
    <w:rsid w:val="00697034"/>
    <w:rsid w:val="006A0ABC"/>
    <w:rsid w:val="006A0F41"/>
    <w:rsid w:val="006A2373"/>
    <w:rsid w:val="006A420E"/>
    <w:rsid w:val="006A4249"/>
    <w:rsid w:val="006A4462"/>
    <w:rsid w:val="006A45AC"/>
    <w:rsid w:val="006A5B0A"/>
    <w:rsid w:val="006A5FD6"/>
    <w:rsid w:val="006A66C9"/>
    <w:rsid w:val="006A7A20"/>
    <w:rsid w:val="006A7AEE"/>
    <w:rsid w:val="006A7BF2"/>
    <w:rsid w:val="006B102C"/>
    <w:rsid w:val="006B1F74"/>
    <w:rsid w:val="006B2672"/>
    <w:rsid w:val="006B2901"/>
    <w:rsid w:val="006B5D3E"/>
    <w:rsid w:val="006B603E"/>
    <w:rsid w:val="006B67D5"/>
    <w:rsid w:val="006B6E0A"/>
    <w:rsid w:val="006B72ED"/>
    <w:rsid w:val="006B7B66"/>
    <w:rsid w:val="006B7B84"/>
    <w:rsid w:val="006C0725"/>
    <w:rsid w:val="006C111C"/>
    <w:rsid w:val="006C2673"/>
    <w:rsid w:val="006C44A4"/>
    <w:rsid w:val="006C5914"/>
    <w:rsid w:val="006C5BE1"/>
    <w:rsid w:val="006C726E"/>
    <w:rsid w:val="006C7C58"/>
    <w:rsid w:val="006C7D5F"/>
    <w:rsid w:val="006D0FCA"/>
    <w:rsid w:val="006D6954"/>
    <w:rsid w:val="006D6A51"/>
    <w:rsid w:val="006D7013"/>
    <w:rsid w:val="006D725B"/>
    <w:rsid w:val="006D7DBC"/>
    <w:rsid w:val="006E0C93"/>
    <w:rsid w:val="006E0E98"/>
    <w:rsid w:val="006E11AE"/>
    <w:rsid w:val="006E125C"/>
    <w:rsid w:val="006E2375"/>
    <w:rsid w:val="006E2D9F"/>
    <w:rsid w:val="006E36D3"/>
    <w:rsid w:val="006E3AE0"/>
    <w:rsid w:val="006E4091"/>
    <w:rsid w:val="006E594C"/>
    <w:rsid w:val="006E7340"/>
    <w:rsid w:val="006E7A2F"/>
    <w:rsid w:val="006F0CDB"/>
    <w:rsid w:val="006F2725"/>
    <w:rsid w:val="006F3B33"/>
    <w:rsid w:val="006F532F"/>
    <w:rsid w:val="006F59B7"/>
    <w:rsid w:val="0070045F"/>
    <w:rsid w:val="007058B3"/>
    <w:rsid w:val="00705FC9"/>
    <w:rsid w:val="0071219D"/>
    <w:rsid w:val="007128AA"/>
    <w:rsid w:val="00713678"/>
    <w:rsid w:val="00713954"/>
    <w:rsid w:val="00715393"/>
    <w:rsid w:val="00715B33"/>
    <w:rsid w:val="0071645D"/>
    <w:rsid w:val="007168FE"/>
    <w:rsid w:val="00721F37"/>
    <w:rsid w:val="0072224E"/>
    <w:rsid w:val="0072552E"/>
    <w:rsid w:val="00727823"/>
    <w:rsid w:val="00731F6F"/>
    <w:rsid w:val="00735AE4"/>
    <w:rsid w:val="00737F36"/>
    <w:rsid w:val="0074115A"/>
    <w:rsid w:val="00741541"/>
    <w:rsid w:val="00741B2F"/>
    <w:rsid w:val="00742672"/>
    <w:rsid w:val="00742F75"/>
    <w:rsid w:val="007438CF"/>
    <w:rsid w:val="0074598E"/>
    <w:rsid w:val="0074667E"/>
    <w:rsid w:val="0074746F"/>
    <w:rsid w:val="00753228"/>
    <w:rsid w:val="007543AC"/>
    <w:rsid w:val="00754A7D"/>
    <w:rsid w:val="00755EE4"/>
    <w:rsid w:val="00756153"/>
    <w:rsid w:val="007579A5"/>
    <w:rsid w:val="007610BF"/>
    <w:rsid w:val="007614B6"/>
    <w:rsid w:val="00762C0F"/>
    <w:rsid w:val="007637C1"/>
    <w:rsid w:val="00763CA6"/>
    <w:rsid w:val="00765451"/>
    <w:rsid w:val="00766B37"/>
    <w:rsid w:val="0076740B"/>
    <w:rsid w:val="00767FC2"/>
    <w:rsid w:val="00771FB0"/>
    <w:rsid w:val="00773DC2"/>
    <w:rsid w:val="00773E7E"/>
    <w:rsid w:val="00774204"/>
    <w:rsid w:val="0078191E"/>
    <w:rsid w:val="00781C79"/>
    <w:rsid w:val="007832C5"/>
    <w:rsid w:val="0078495A"/>
    <w:rsid w:val="00784FC1"/>
    <w:rsid w:val="00787449"/>
    <w:rsid w:val="00787CB8"/>
    <w:rsid w:val="007909DC"/>
    <w:rsid w:val="007918E7"/>
    <w:rsid w:val="00793052"/>
    <w:rsid w:val="007951E3"/>
    <w:rsid w:val="0079528C"/>
    <w:rsid w:val="0079734E"/>
    <w:rsid w:val="007974D3"/>
    <w:rsid w:val="007A0BC9"/>
    <w:rsid w:val="007A1106"/>
    <w:rsid w:val="007A2581"/>
    <w:rsid w:val="007A494E"/>
    <w:rsid w:val="007A4C92"/>
    <w:rsid w:val="007A79CA"/>
    <w:rsid w:val="007B00C8"/>
    <w:rsid w:val="007B0492"/>
    <w:rsid w:val="007B2498"/>
    <w:rsid w:val="007B2511"/>
    <w:rsid w:val="007B2DD9"/>
    <w:rsid w:val="007B45C0"/>
    <w:rsid w:val="007B45E9"/>
    <w:rsid w:val="007B50D8"/>
    <w:rsid w:val="007B52EB"/>
    <w:rsid w:val="007B6AC4"/>
    <w:rsid w:val="007B7219"/>
    <w:rsid w:val="007B751F"/>
    <w:rsid w:val="007C1330"/>
    <w:rsid w:val="007C1FE5"/>
    <w:rsid w:val="007C1FF3"/>
    <w:rsid w:val="007C2A3D"/>
    <w:rsid w:val="007C5272"/>
    <w:rsid w:val="007C5788"/>
    <w:rsid w:val="007C6C5F"/>
    <w:rsid w:val="007D0F61"/>
    <w:rsid w:val="007D422C"/>
    <w:rsid w:val="007D4B51"/>
    <w:rsid w:val="007D5B37"/>
    <w:rsid w:val="007D5E8A"/>
    <w:rsid w:val="007D6DA4"/>
    <w:rsid w:val="007D7C5C"/>
    <w:rsid w:val="007E0380"/>
    <w:rsid w:val="007E088F"/>
    <w:rsid w:val="007E0B3D"/>
    <w:rsid w:val="007E0BFF"/>
    <w:rsid w:val="007E10CD"/>
    <w:rsid w:val="007E1216"/>
    <w:rsid w:val="007E24D8"/>
    <w:rsid w:val="007E2D5B"/>
    <w:rsid w:val="007E2DED"/>
    <w:rsid w:val="007E30BE"/>
    <w:rsid w:val="007E31A9"/>
    <w:rsid w:val="007E49B9"/>
    <w:rsid w:val="007E4DDC"/>
    <w:rsid w:val="007E4F59"/>
    <w:rsid w:val="007E7233"/>
    <w:rsid w:val="007E75CC"/>
    <w:rsid w:val="007F0A4A"/>
    <w:rsid w:val="007F1B32"/>
    <w:rsid w:val="007F1DAC"/>
    <w:rsid w:val="007F2E34"/>
    <w:rsid w:val="007F30CF"/>
    <w:rsid w:val="007F3FA8"/>
    <w:rsid w:val="007F467F"/>
    <w:rsid w:val="007F59FD"/>
    <w:rsid w:val="008017DA"/>
    <w:rsid w:val="00802F58"/>
    <w:rsid w:val="00804C45"/>
    <w:rsid w:val="00804E5E"/>
    <w:rsid w:val="00805BD9"/>
    <w:rsid w:val="008076C8"/>
    <w:rsid w:val="00810F9B"/>
    <w:rsid w:val="00811EF1"/>
    <w:rsid w:val="00813164"/>
    <w:rsid w:val="0081643A"/>
    <w:rsid w:val="008164A3"/>
    <w:rsid w:val="008204C6"/>
    <w:rsid w:val="00820A96"/>
    <w:rsid w:val="00820FAE"/>
    <w:rsid w:val="00821001"/>
    <w:rsid w:val="00826E46"/>
    <w:rsid w:val="0083011A"/>
    <w:rsid w:val="00830FE6"/>
    <w:rsid w:val="00832A55"/>
    <w:rsid w:val="008330E4"/>
    <w:rsid w:val="008345C0"/>
    <w:rsid w:val="00837DE0"/>
    <w:rsid w:val="0084071B"/>
    <w:rsid w:val="008433E4"/>
    <w:rsid w:val="00846DA4"/>
    <w:rsid w:val="0084752B"/>
    <w:rsid w:val="008478DB"/>
    <w:rsid w:val="00851A7B"/>
    <w:rsid w:val="00851B3E"/>
    <w:rsid w:val="00851C69"/>
    <w:rsid w:val="00854250"/>
    <w:rsid w:val="00854320"/>
    <w:rsid w:val="008548B4"/>
    <w:rsid w:val="00855D95"/>
    <w:rsid w:val="00857A3F"/>
    <w:rsid w:val="008602B3"/>
    <w:rsid w:val="008625A9"/>
    <w:rsid w:val="008628C5"/>
    <w:rsid w:val="008632CD"/>
    <w:rsid w:val="0086545E"/>
    <w:rsid w:val="00865AC3"/>
    <w:rsid w:val="00870666"/>
    <w:rsid w:val="00870B7D"/>
    <w:rsid w:val="00870F87"/>
    <w:rsid w:val="00871517"/>
    <w:rsid w:val="0087224D"/>
    <w:rsid w:val="00874172"/>
    <w:rsid w:val="00875808"/>
    <w:rsid w:val="00875DA0"/>
    <w:rsid w:val="0087731B"/>
    <w:rsid w:val="008778D6"/>
    <w:rsid w:val="00880BF2"/>
    <w:rsid w:val="00880E1A"/>
    <w:rsid w:val="00881426"/>
    <w:rsid w:val="00882D0A"/>
    <w:rsid w:val="00883309"/>
    <w:rsid w:val="00883900"/>
    <w:rsid w:val="0088390A"/>
    <w:rsid w:val="00884850"/>
    <w:rsid w:val="00884B00"/>
    <w:rsid w:val="008867D9"/>
    <w:rsid w:val="0089501E"/>
    <w:rsid w:val="00896149"/>
    <w:rsid w:val="008A0881"/>
    <w:rsid w:val="008A1DF1"/>
    <w:rsid w:val="008A4121"/>
    <w:rsid w:val="008A4D20"/>
    <w:rsid w:val="008A5020"/>
    <w:rsid w:val="008A5D56"/>
    <w:rsid w:val="008A62DF"/>
    <w:rsid w:val="008A707F"/>
    <w:rsid w:val="008A7149"/>
    <w:rsid w:val="008A7761"/>
    <w:rsid w:val="008A77C0"/>
    <w:rsid w:val="008B1132"/>
    <w:rsid w:val="008B116E"/>
    <w:rsid w:val="008B1F9D"/>
    <w:rsid w:val="008B2C42"/>
    <w:rsid w:val="008B4121"/>
    <w:rsid w:val="008B540B"/>
    <w:rsid w:val="008B5BFD"/>
    <w:rsid w:val="008C0BEA"/>
    <w:rsid w:val="008C0C62"/>
    <w:rsid w:val="008C12F9"/>
    <w:rsid w:val="008C1412"/>
    <w:rsid w:val="008C3EE4"/>
    <w:rsid w:val="008C45AA"/>
    <w:rsid w:val="008C6F27"/>
    <w:rsid w:val="008C7FF0"/>
    <w:rsid w:val="008D3337"/>
    <w:rsid w:val="008D4F17"/>
    <w:rsid w:val="008D52B8"/>
    <w:rsid w:val="008D5814"/>
    <w:rsid w:val="008D727A"/>
    <w:rsid w:val="008E1817"/>
    <w:rsid w:val="008E195C"/>
    <w:rsid w:val="008E574F"/>
    <w:rsid w:val="008E57AB"/>
    <w:rsid w:val="008E71A2"/>
    <w:rsid w:val="008E7C31"/>
    <w:rsid w:val="008F027A"/>
    <w:rsid w:val="008F098A"/>
    <w:rsid w:val="008F0C9D"/>
    <w:rsid w:val="008F233A"/>
    <w:rsid w:val="008F3208"/>
    <w:rsid w:val="008F40FE"/>
    <w:rsid w:val="008F44BD"/>
    <w:rsid w:val="008F5651"/>
    <w:rsid w:val="008F7AE9"/>
    <w:rsid w:val="0090022D"/>
    <w:rsid w:val="009004B7"/>
    <w:rsid w:val="0090125C"/>
    <w:rsid w:val="00903846"/>
    <w:rsid w:val="00903DCF"/>
    <w:rsid w:val="00904078"/>
    <w:rsid w:val="00904B7A"/>
    <w:rsid w:val="009062A2"/>
    <w:rsid w:val="00906577"/>
    <w:rsid w:val="00906905"/>
    <w:rsid w:val="00906FC6"/>
    <w:rsid w:val="00907151"/>
    <w:rsid w:val="009104C5"/>
    <w:rsid w:val="009104E4"/>
    <w:rsid w:val="009116ED"/>
    <w:rsid w:val="00911F85"/>
    <w:rsid w:val="00912E7A"/>
    <w:rsid w:val="00913F28"/>
    <w:rsid w:val="00914DFB"/>
    <w:rsid w:val="00920B4E"/>
    <w:rsid w:val="00921BC4"/>
    <w:rsid w:val="00923396"/>
    <w:rsid w:val="00927A89"/>
    <w:rsid w:val="009314CA"/>
    <w:rsid w:val="00932999"/>
    <w:rsid w:val="00933C1A"/>
    <w:rsid w:val="009343F9"/>
    <w:rsid w:val="00935E00"/>
    <w:rsid w:val="00937973"/>
    <w:rsid w:val="0094099B"/>
    <w:rsid w:val="009420E0"/>
    <w:rsid w:val="00942C01"/>
    <w:rsid w:val="00942DE4"/>
    <w:rsid w:val="009468C1"/>
    <w:rsid w:val="009475E5"/>
    <w:rsid w:val="009477A2"/>
    <w:rsid w:val="00950271"/>
    <w:rsid w:val="00950B3B"/>
    <w:rsid w:val="00951079"/>
    <w:rsid w:val="00951730"/>
    <w:rsid w:val="00951D6E"/>
    <w:rsid w:val="00954875"/>
    <w:rsid w:val="00954C2F"/>
    <w:rsid w:val="00955995"/>
    <w:rsid w:val="00957317"/>
    <w:rsid w:val="0095780B"/>
    <w:rsid w:val="009578DE"/>
    <w:rsid w:val="00960779"/>
    <w:rsid w:val="00961AF0"/>
    <w:rsid w:val="00962E73"/>
    <w:rsid w:val="009646BE"/>
    <w:rsid w:val="0096491D"/>
    <w:rsid w:val="00965E1E"/>
    <w:rsid w:val="00966868"/>
    <w:rsid w:val="009710CD"/>
    <w:rsid w:val="00974747"/>
    <w:rsid w:val="00974DF7"/>
    <w:rsid w:val="00975DAB"/>
    <w:rsid w:val="009767FB"/>
    <w:rsid w:val="009834C5"/>
    <w:rsid w:val="00984FF3"/>
    <w:rsid w:val="00985535"/>
    <w:rsid w:val="009864B8"/>
    <w:rsid w:val="00986E63"/>
    <w:rsid w:val="00986F70"/>
    <w:rsid w:val="00990799"/>
    <w:rsid w:val="00991C61"/>
    <w:rsid w:val="00991F83"/>
    <w:rsid w:val="009923B0"/>
    <w:rsid w:val="00992BDE"/>
    <w:rsid w:val="009937BD"/>
    <w:rsid w:val="00993E2E"/>
    <w:rsid w:val="0099441E"/>
    <w:rsid w:val="009965C9"/>
    <w:rsid w:val="009972F5"/>
    <w:rsid w:val="00997A21"/>
    <w:rsid w:val="00997A2A"/>
    <w:rsid w:val="00997FBC"/>
    <w:rsid w:val="009A224A"/>
    <w:rsid w:val="009A2FA8"/>
    <w:rsid w:val="009A3753"/>
    <w:rsid w:val="009A417E"/>
    <w:rsid w:val="009A4D6E"/>
    <w:rsid w:val="009A5965"/>
    <w:rsid w:val="009A62D5"/>
    <w:rsid w:val="009A6425"/>
    <w:rsid w:val="009A6914"/>
    <w:rsid w:val="009A6A2F"/>
    <w:rsid w:val="009A7241"/>
    <w:rsid w:val="009B1386"/>
    <w:rsid w:val="009B207E"/>
    <w:rsid w:val="009B2311"/>
    <w:rsid w:val="009B2E35"/>
    <w:rsid w:val="009B3201"/>
    <w:rsid w:val="009B37F1"/>
    <w:rsid w:val="009B40BB"/>
    <w:rsid w:val="009B4E9C"/>
    <w:rsid w:val="009B56D9"/>
    <w:rsid w:val="009B6912"/>
    <w:rsid w:val="009C06D1"/>
    <w:rsid w:val="009C0B3D"/>
    <w:rsid w:val="009C2745"/>
    <w:rsid w:val="009C488C"/>
    <w:rsid w:val="009C515D"/>
    <w:rsid w:val="009C7A1A"/>
    <w:rsid w:val="009C7E58"/>
    <w:rsid w:val="009D0245"/>
    <w:rsid w:val="009D056D"/>
    <w:rsid w:val="009D0E8D"/>
    <w:rsid w:val="009D101C"/>
    <w:rsid w:val="009D4DBF"/>
    <w:rsid w:val="009D558D"/>
    <w:rsid w:val="009D6A53"/>
    <w:rsid w:val="009D7067"/>
    <w:rsid w:val="009D7A8A"/>
    <w:rsid w:val="009E0412"/>
    <w:rsid w:val="009E18FB"/>
    <w:rsid w:val="009E23C8"/>
    <w:rsid w:val="009E49F1"/>
    <w:rsid w:val="009E6B97"/>
    <w:rsid w:val="009E7B88"/>
    <w:rsid w:val="009F012E"/>
    <w:rsid w:val="009F0FAD"/>
    <w:rsid w:val="009F1D6C"/>
    <w:rsid w:val="009F21E3"/>
    <w:rsid w:val="009F2F16"/>
    <w:rsid w:val="009F3023"/>
    <w:rsid w:val="009F655B"/>
    <w:rsid w:val="009F6FFA"/>
    <w:rsid w:val="009F79B4"/>
    <w:rsid w:val="009F7BE0"/>
    <w:rsid w:val="00A00146"/>
    <w:rsid w:val="00A01D8F"/>
    <w:rsid w:val="00A026B8"/>
    <w:rsid w:val="00A03B55"/>
    <w:rsid w:val="00A046E6"/>
    <w:rsid w:val="00A05391"/>
    <w:rsid w:val="00A068D3"/>
    <w:rsid w:val="00A07D79"/>
    <w:rsid w:val="00A103BD"/>
    <w:rsid w:val="00A11922"/>
    <w:rsid w:val="00A13681"/>
    <w:rsid w:val="00A13A6A"/>
    <w:rsid w:val="00A14F77"/>
    <w:rsid w:val="00A15BAD"/>
    <w:rsid w:val="00A1668F"/>
    <w:rsid w:val="00A17044"/>
    <w:rsid w:val="00A1737A"/>
    <w:rsid w:val="00A223DD"/>
    <w:rsid w:val="00A22817"/>
    <w:rsid w:val="00A22C5E"/>
    <w:rsid w:val="00A22CAA"/>
    <w:rsid w:val="00A24563"/>
    <w:rsid w:val="00A24AF7"/>
    <w:rsid w:val="00A2526D"/>
    <w:rsid w:val="00A2581B"/>
    <w:rsid w:val="00A25B57"/>
    <w:rsid w:val="00A2611F"/>
    <w:rsid w:val="00A30A7E"/>
    <w:rsid w:val="00A31CBA"/>
    <w:rsid w:val="00A31F2A"/>
    <w:rsid w:val="00A321AE"/>
    <w:rsid w:val="00A3278B"/>
    <w:rsid w:val="00A351D1"/>
    <w:rsid w:val="00A3583B"/>
    <w:rsid w:val="00A35F39"/>
    <w:rsid w:val="00A3624E"/>
    <w:rsid w:val="00A40394"/>
    <w:rsid w:val="00A44AFF"/>
    <w:rsid w:val="00A454D5"/>
    <w:rsid w:val="00A46080"/>
    <w:rsid w:val="00A4707F"/>
    <w:rsid w:val="00A5232A"/>
    <w:rsid w:val="00A53055"/>
    <w:rsid w:val="00A53FE9"/>
    <w:rsid w:val="00A54D60"/>
    <w:rsid w:val="00A56666"/>
    <w:rsid w:val="00A56F0E"/>
    <w:rsid w:val="00A573A6"/>
    <w:rsid w:val="00A57E21"/>
    <w:rsid w:val="00A6043B"/>
    <w:rsid w:val="00A643CE"/>
    <w:rsid w:val="00A6477C"/>
    <w:rsid w:val="00A64CF8"/>
    <w:rsid w:val="00A71F05"/>
    <w:rsid w:val="00A72CB2"/>
    <w:rsid w:val="00A7458E"/>
    <w:rsid w:val="00A76772"/>
    <w:rsid w:val="00A772E6"/>
    <w:rsid w:val="00A776D5"/>
    <w:rsid w:val="00A809D9"/>
    <w:rsid w:val="00A80CD9"/>
    <w:rsid w:val="00A81078"/>
    <w:rsid w:val="00A8109D"/>
    <w:rsid w:val="00A85C2E"/>
    <w:rsid w:val="00A85C73"/>
    <w:rsid w:val="00A87683"/>
    <w:rsid w:val="00A87D55"/>
    <w:rsid w:val="00A87FBE"/>
    <w:rsid w:val="00A87FC5"/>
    <w:rsid w:val="00A90AE9"/>
    <w:rsid w:val="00A914D6"/>
    <w:rsid w:val="00A92900"/>
    <w:rsid w:val="00A929F8"/>
    <w:rsid w:val="00A93170"/>
    <w:rsid w:val="00A96AE4"/>
    <w:rsid w:val="00A971B1"/>
    <w:rsid w:val="00A977EE"/>
    <w:rsid w:val="00AA06F2"/>
    <w:rsid w:val="00AA22FD"/>
    <w:rsid w:val="00AB03C6"/>
    <w:rsid w:val="00AB0838"/>
    <w:rsid w:val="00AB0F7F"/>
    <w:rsid w:val="00AB20B2"/>
    <w:rsid w:val="00AB2695"/>
    <w:rsid w:val="00AB2BB7"/>
    <w:rsid w:val="00AB2D84"/>
    <w:rsid w:val="00AB3140"/>
    <w:rsid w:val="00AB32FA"/>
    <w:rsid w:val="00AB52F3"/>
    <w:rsid w:val="00AB563E"/>
    <w:rsid w:val="00AB5A71"/>
    <w:rsid w:val="00AB7835"/>
    <w:rsid w:val="00AB7FD3"/>
    <w:rsid w:val="00AC0B4F"/>
    <w:rsid w:val="00AC249F"/>
    <w:rsid w:val="00AC4602"/>
    <w:rsid w:val="00AC4EE4"/>
    <w:rsid w:val="00AC5038"/>
    <w:rsid w:val="00AC5E1F"/>
    <w:rsid w:val="00AC69F1"/>
    <w:rsid w:val="00AD1AB6"/>
    <w:rsid w:val="00AD24A1"/>
    <w:rsid w:val="00AD400F"/>
    <w:rsid w:val="00AD4160"/>
    <w:rsid w:val="00AD557F"/>
    <w:rsid w:val="00AD5BFA"/>
    <w:rsid w:val="00AD6B08"/>
    <w:rsid w:val="00AD715B"/>
    <w:rsid w:val="00AD77CC"/>
    <w:rsid w:val="00AD7996"/>
    <w:rsid w:val="00AD7ABE"/>
    <w:rsid w:val="00AE5221"/>
    <w:rsid w:val="00AE58F0"/>
    <w:rsid w:val="00AE5B50"/>
    <w:rsid w:val="00AE664E"/>
    <w:rsid w:val="00AE7B89"/>
    <w:rsid w:val="00AF09BB"/>
    <w:rsid w:val="00AF109E"/>
    <w:rsid w:val="00AF1E11"/>
    <w:rsid w:val="00AF46B0"/>
    <w:rsid w:val="00AF60ED"/>
    <w:rsid w:val="00AF65AD"/>
    <w:rsid w:val="00AF65F4"/>
    <w:rsid w:val="00B01BA3"/>
    <w:rsid w:val="00B04E84"/>
    <w:rsid w:val="00B05D79"/>
    <w:rsid w:val="00B06DB4"/>
    <w:rsid w:val="00B0793A"/>
    <w:rsid w:val="00B10776"/>
    <w:rsid w:val="00B12498"/>
    <w:rsid w:val="00B12CD1"/>
    <w:rsid w:val="00B130B3"/>
    <w:rsid w:val="00B1365F"/>
    <w:rsid w:val="00B204F8"/>
    <w:rsid w:val="00B207DD"/>
    <w:rsid w:val="00B25808"/>
    <w:rsid w:val="00B2686F"/>
    <w:rsid w:val="00B2691D"/>
    <w:rsid w:val="00B27EB9"/>
    <w:rsid w:val="00B27F7C"/>
    <w:rsid w:val="00B302C1"/>
    <w:rsid w:val="00B31058"/>
    <w:rsid w:val="00B31627"/>
    <w:rsid w:val="00B31953"/>
    <w:rsid w:val="00B31EFC"/>
    <w:rsid w:val="00B32021"/>
    <w:rsid w:val="00B322B8"/>
    <w:rsid w:val="00B33591"/>
    <w:rsid w:val="00B36546"/>
    <w:rsid w:val="00B36B5D"/>
    <w:rsid w:val="00B4031A"/>
    <w:rsid w:val="00B42FF2"/>
    <w:rsid w:val="00B435C8"/>
    <w:rsid w:val="00B43965"/>
    <w:rsid w:val="00B46AA5"/>
    <w:rsid w:val="00B46EF1"/>
    <w:rsid w:val="00B503D6"/>
    <w:rsid w:val="00B50E48"/>
    <w:rsid w:val="00B51133"/>
    <w:rsid w:val="00B53BB8"/>
    <w:rsid w:val="00B54E7D"/>
    <w:rsid w:val="00B55725"/>
    <w:rsid w:val="00B57800"/>
    <w:rsid w:val="00B63371"/>
    <w:rsid w:val="00B63F91"/>
    <w:rsid w:val="00B669F3"/>
    <w:rsid w:val="00B701A6"/>
    <w:rsid w:val="00B70A32"/>
    <w:rsid w:val="00B72587"/>
    <w:rsid w:val="00B72A6C"/>
    <w:rsid w:val="00B737EA"/>
    <w:rsid w:val="00B75370"/>
    <w:rsid w:val="00B75DD5"/>
    <w:rsid w:val="00B760D3"/>
    <w:rsid w:val="00B77203"/>
    <w:rsid w:val="00B77441"/>
    <w:rsid w:val="00B779E9"/>
    <w:rsid w:val="00B80DEA"/>
    <w:rsid w:val="00B82227"/>
    <w:rsid w:val="00B825D4"/>
    <w:rsid w:val="00B83E12"/>
    <w:rsid w:val="00B8489F"/>
    <w:rsid w:val="00B851B6"/>
    <w:rsid w:val="00B92720"/>
    <w:rsid w:val="00B927DD"/>
    <w:rsid w:val="00B94724"/>
    <w:rsid w:val="00B947B8"/>
    <w:rsid w:val="00B94E81"/>
    <w:rsid w:val="00BA06CC"/>
    <w:rsid w:val="00BA0746"/>
    <w:rsid w:val="00BA165A"/>
    <w:rsid w:val="00BA1701"/>
    <w:rsid w:val="00BA1F69"/>
    <w:rsid w:val="00BA3266"/>
    <w:rsid w:val="00BA6749"/>
    <w:rsid w:val="00BA71B3"/>
    <w:rsid w:val="00BB17F4"/>
    <w:rsid w:val="00BB21B3"/>
    <w:rsid w:val="00BB260D"/>
    <w:rsid w:val="00BB3E21"/>
    <w:rsid w:val="00BB50EF"/>
    <w:rsid w:val="00BB60EB"/>
    <w:rsid w:val="00BB6460"/>
    <w:rsid w:val="00BB677D"/>
    <w:rsid w:val="00BB70AD"/>
    <w:rsid w:val="00BB743B"/>
    <w:rsid w:val="00BC0486"/>
    <w:rsid w:val="00BC1B5A"/>
    <w:rsid w:val="00BC2227"/>
    <w:rsid w:val="00BC2A94"/>
    <w:rsid w:val="00BC4041"/>
    <w:rsid w:val="00BC409D"/>
    <w:rsid w:val="00BC6C4F"/>
    <w:rsid w:val="00BC757B"/>
    <w:rsid w:val="00BC7584"/>
    <w:rsid w:val="00BD00C3"/>
    <w:rsid w:val="00BD0B3E"/>
    <w:rsid w:val="00BD1D5C"/>
    <w:rsid w:val="00BD3255"/>
    <w:rsid w:val="00BD3258"/>
    <w:rsid w:val="00BD3582"/>
    <w:rsid w:val="00BD5AC6"/>
    <w:rsid w:val="00BD6095"/>
    <w:rsid w:val="00BE1469"/>
    <w:rsid w:val="00BE413C"/>
    <w:rsid w:val="00BE607B"/>
    <w:rsid w:val="00BF21BE"/>
    <w:rsid w:val="00BF2A96"/>
    <w:rsid w:val="00BF2DFC"/>
    <w:rsid w:val="00BF3E1D"/>
    <w:rsid w:val="00BF43B6"/>
    <w:rsid w:val="00BF63E7"/>
    <w:rsid w:val="00BF6DA3"/>
    <w:rsid w:val="00BF7176"/>
    <w:rsid w:val="00BF7482"/>
    <w:rsid w:val="00C01691"/>
    <w:rsid w:val="00C02179"/>
    <w:rsid w:val="00C03717"/>
    <w:rsid w:val="00C055B5"/>
    <w:rsid w:val="00C05F5D"/>
    <w:rsid w:val="00C06674"/>
    <w:rsid w:val="00C074F2"/>
    <w:rsid w:val="00C1057E"/>
    <w:rsid w:val="00C10AF5"/>
    <w:rsid w:val="00C12D5D"/>
    <w:rsid w:val="00C131A5"/>
    <w:rsid w:val="00C138A8"/>
    <w:rsid w:val="00C14088"/>
    <w:rsid w:val="00C1589C"/>
    <w:rsid w:val="00C1599E"/>
    <w:rsid w:val="00C16B40"/>
    <w:rsid w:val="00C2096E"/>
    <w:rsid w:val="00C20FC3"/>
    <w:rsid w:val="00C30152"/>
    <w:rsid w:val="00C325F1"/>
    <w:rsid w:val="00C355A3"/>
    <w:rsid w:val="00C35922"/>
    <w:rsid w:val="00C36FC6"/>
    <w:rsid w:val="00C3791A"/>
    <w:rsid w:val="00C40C71"/>
    <w:rsid w:val="00C41BF4"/>
    <w:rsid w:val="00C426BA"/>
    <w:rsid w:val="00C42B0F"/>
    <w:rsid w:val="00C43F91"/>
    <w:rsid w:val="00C45516"/>
    <w:rsid w:val="00C466AE"/>
    <w:rsid w:val="00C5085A"/>
    <w:rsid w:val="00C5111C"/>
    <w:rsid w:val="00C51EF1"/>
    <w:rsid w:val="00C5370E"/>
    <w:rsid w:val="00C54768"/>
    <w:rsid w:val="00C55B19"/>
    <w:rsid w:val="00C55B23"/>
    <w:rsid w:val="00C5716F"/>
    <w:rsid w:val="00C600C0"/>
    <w:rsid w:val="00C62E55"/>
    <w:rsid w:val="00C63EE1"/>
    <w:rsid w:val="00C67871"/>
    <w:rsid w:val="00C72A0A"/>
    <w:rsid w:val="00C72CFB"/>
    <w:rsid w:val="00C75170"/>
    <w:rsid w:val="00C75924"/>
    <w:rsid w:val="00C77D07"/>
    <w:rsid w:val="00C81EE3"/>
    <w:rsid w:val="00C8231E"/>
    <w:rsid w:val="00C83FF9"/>
    <w:rsid w:val="00C84980"/>
    <w:rsid w:val="00C87A95"/>
    <w:rsid w:val="00C87B02"/>
    <w:rsid w:val="00C87BFE"/>
    <w:rsid w:val="00C9085E"/>
    <w:rsid w:val="00C928AD"/>
    <w:rsid w:val="00C92E88"/>
    <w:rsid w:val="00C934EB"/>
    <w:rsid w:val="00C9479F"/>
    <w:rsid w:val="00C94F86"/>
    <w:rsid w:val="00C96040"/>
    <w:rsid w:val="00CA0EF6"/>
    <w:rsid w:val="00CA3053"/>
    <w:rsid w:val="00CA420F"/>
    <w:rsid w:val="00CA48C7"/>
    <w:rsid w:val="00CA5D65"/>
    <w:rsid w:val="00CA62E6"/>
    <w:rsid w:val="00CA6353"/>
    <w:rsid w:val="00CA6DBB"/>
    <w:rsid w:val="00CA6E74"/>
    <w:rsid w:val="00CB0229"/>
    <w:rsid w:val="00CB052E"/>
    <w:rsid w:val="00CB27ED"/>
    <w:rsid w:val="00CB520D"/>
    <w:rsid w:val="00CB53F9"/>
    <w:rsid w:val="00CB6DA5"/>
    <w:rsid w:val="00CC2790"/>
    <w:rsid w:val="00CC2B8A"/>
    <w:rsid w:val="00CC3821"/>
    <w:rsid w:val="00CD226D"/>
    <w:rsid w:val="00CD32ED"/>
    <w:rsid w:val="00CD4A01"/>
    <w:rsid w:val="00CD6090"/>
    <w:rsid w:val="00CD6D5D"/>
    <w:rsid w:val="00CD6E63"/>
    <w:rsid w:val="00CD73B4"/>
    <w:rsid w:val="00CE0A86"/>
    <w:rsid w:val="00CE1AD8"/>
    <w:rsid w:val="00CE396E"/>
    <w:rsid w:val="00CE401D"/>
    <w:rsid w:val="00CE4BB4"/>
    <w:rsid w:val="00CE5DB5"/>
    <w:rsid w:val="00CE7D4B"/>
    <w:rsid w:val="00CF0A38"/>
    <w:rsid w:val="00CF0B89"/>
    <w:rsid w:val="00CF19E5"/>
    <w:rsid w:val="00CF1B56"/>
    <w:rsid w:val="00CF2D1B"/>
    <w:rsid w:val="00CF5746"/>
    <w:rsid w:val="00CF6A8F"/>
    <w:rsid w:val="00CF6FE5"/>
    <w:rsid w:val="00CF7CFE"/>
    <w:rsid w:val="00D019C7"/>
    <w:rsid w:val="00D0320F"/>
    <w:rsid w:val="00D06431"/>
    <w:rsid w:val="00D0742B"/>
    <w:rsid w:val="00D07E8D"/>
    <w:rsid w:val="00D1031C"/>
    <w:rsid w:val="00D1295D"/>
    <w:rsid w:val="00D13D12"/>
    <w:rsid w:val="00D14338"/>
    <w:rsid w:val="00D26F15"/>
    <w:rsid w:val="00D27EBA"/>
    <w:rsid w:val="00D31C60"/>
    <w:rsid w:val="00D32482"/>
    <w:rsid w:val="00D32B52"/>
    <w:rsid w:val="00D330AF"/>
    <w:rsid w:val="00D33568"/>
    <w:rsid w:val="00D342D7"/>
    <w:rsid w:val="00D3514C"/>
    <w:rsid w:val="00D3706C"/>
    <w:rsid w:val="00D37BCB"/>
    <w:rsid w:val="00D424C2"/>
    <w:rsid w:val="00D42986"/>
    <w:rsid w:val="00D445FE"/>
    <w:rsid w:val="00D44DDB"/>
    <w:rsid w:val="00D4710B"/>
    <w:rsid w:val="00D507AB"/>
    <w:rsid w:val="00D5126B"/>
    <w:rsid w:val="00D51999"/>
    <w:rsid w:val="00D520E6"/>
    <w:rsid w:val="00D544AD"/>
    <w:rsid w:val="00D55228"/>
    <w:rsid w:val="00D5658B"/>
    <w:rsid w:val="00D56EDF"/>
    <w:rsid w:val="00D601CE"/>
    <w:rsid w:val="00D60908"/>
    <w:rsid w:val="00D615E2"/>
    <w:rsid w:val="00D61620"/>
    <w:rsid w:val="00D61CB8"/>
    <w:rsid w:val="00D6556B"/>
    <w:rsid w:val="00D6596A"/>
    <w:rsid w:val="00D66D08"/>
    <w:rsid w:val="00D66F2C"/>
    <w:rsid w:val="00D7139E"/>
    <w:rsid w:val="00D72A27"/>
    <w:rsid w:val="00D72C85"/>
    <w:rsid w:val="00D75A50"/>
    <w:rsid w:val="00D80A60"/>
    <w:rsid w:val="00D82969"/>
    <w:rsid w:val="00D838B0"/>
    <w:rsid w:val="00D8420C"/>
    <w:rsid w:val="00D86DF7"/>
    <w:rsid w:val="00D879B5"/>
    <w:rsid w:val="00D91C24"/>
    <w:rsid w:val="00D93CF8"/>
    <w:rsid w:val="00D93EA3"/>
    <w:rsid w:val="00D945A2"/>
    <w:rsid w:val="00D9510A"/>
    <w:rsid w:val="00D96C68"/>
    <w:rsid w:val="00D974E9"/>
    <w:rsid w:val="00D97E55"/>
    <w:rsid w:val="00DA03DA"/>
    <w:rsid w:val="00DA0521"/>
    <w:rsid w:val="00DA06FD"/>
    <w:rsid w:val="00DA16A4"/>
    <w:rsid w:val="00DA199D"/>
    <w:rsid w:val="00DA2A72"/>
    <w:rsid w:val="00DA41EF"/>
    <w:rsid w:val="00DA4BC4"/>
    <w:rsid w:val="00DA4FBE"/>
    <w:rsid w:val="00DA5B6E"/>
    <w:rsid w:val="00DA5E66"/>
    <w:rsid w:val="00DA6619"/>
    <w:rsid w:val="00DB012C"/>
    <w:rsid w:val="00DB1DCC"/>
    <w:rsid w:val="00DB33F8"/>
    <w:rsid w:val="00DB51A8"/>
    <w:rsid w:val="00DB5EE3"/>
    <w:rsid w:val="00DC1922"/>
    <w:rsid w:val="00DC1F34"/>
    <w:rsid w:val="00DC2165"/>
    <w:rsid w:val="00DC2B2B"/>
    <w:rsid w:val="00DC2DA0"/>
    <w:rsid w:val="00DC2E07"/>
    <w:rsid w:val="00DC3367"/>
    <w:rsid w:val="00DC4B26"/>
    <w:rsid w:val="00DC52F1"/>
    <w:rsid w:val="00DC5312"/>
    <w:rsid w:val="00DC67E8"/>
    <w:rsid w:val="00DC6F8E"/>
    <w:rsid w:val="00DC74ED"/>
    <w:rsid w:val="00DD3A4B"/>
    <w:rsid w:val="00DD5214"/>
    <w:rsid w:val="00DD5220"/>
    <w:rsid w:val="00DD54DE"/>
    <w:rsid w:val="00DD5634"/>
    <w:rsid w:val="00DD776E"/>
    <w:rsid w:val="00DD79CC"/>
    <w:rsid w:val="00DE5DF0"/>
    <w:rsid w:val="00DE5FC1"/>
    <w:rsid w:val="00DE707B"/>
    <w:rsid w:val="00DF1570"/>
    <w:rsid w:val="00DF18DC"/>
    <w:rsid w:val="00DF2216"/>
    <w:rsid w:val="00DF44D1"/>
    <w:rsid w:val="00DF4571"/>
    <w:rsid w:val="00DF4FCE"/>
    <w:rsid w:val="00DF501E"/>
    <w:rsid w:val="00DF5169"/>
    <w:rsid w:val="00DF70EC"/>
    <w:rsid w:val="00E00148"/>
    <w:rsid w:val="00E0135B"/>
    <w:rsid w:val="00E0155B"/>
    <w:rsid w:val="00E024C6"/>
    <w:rsid w:val="00E10271"/>
    <w:rsid w:val="00E104F3"/>
    <w:rsid w:val="00E114D2"/>
    <w:rsid w:val="00E11D0F"/>
    <w:rsid w:val="00E12806"/>
    <w:rsid w:val="00E12B34"/>
    <w:rsid w:val="00E13E54"/>
    <w:rsid w:val="00E15492"/>
    <w:rsid w:val="00E15C99"/>
    <w:rsid w:val="00E17149"/>
    <w:rsid w:val="00E178CA"/>
    <w:rsid w:val="00E209DB"/>
    <w:rsid w:val="00E241F6"/>
    <w:rsid w:val="00E275F6"/>
    <w:rsid w:val="00E27911"/>
    <w:rsid w:val="00E30005"/>
    <w:rsid w:val="00E317FD"/>
    <w:rsid w:val="00E33C10"/>
    <w:rsid w:val="00E33C81"/>
    <w:rsid w:val="00E37B1A"/>
    <w:rsid w:val="00E400C5"/>
    <w:rsid w:val="00E404BC"/>
    <w:rsid w:val="00E40833"/>
    <w:rsid w:val="00E408E7"/>
    <w:rsid w:val="00E41FFC"/>
    <w:rsid w:val="00E441E6"/>
    <w:rsid w:val="00E50F5A"/>
    <w:rsid w:val="00E520B1"/>
    <w:rsid w:val="00E52846"/>
    <w:rsid w:val="00E528AF"/>
    <w:rsid w:val="00E5304E"/>
    <w:rsid w:val="00E53BB0"/>
    <w:rsid w:val="00E5688F"/>
    <w:rsid w:val="00E5695B"/>
    <w:rsid w:val="00E5719E"/>
    <w:rsid w:val="00E60344"/>
    <w:rsid w:val="00E60A5B"/>
    <w:rsid w:val="00E61D8C"/>
    <w:rsid w:val="00E62AA8"/>
    <w:rsid w:val="00E62B87"/>
    <w:rsid w:val="00E64310"/>
    <w:rsid w:val="00E6683B"/>
    <w:rsid w:val="00E67079"/>
    <w:rsid w:val="00E67558"/>
    <w:rsid w:val="00E67953"/>
    <w:rsid w:val="00E73A3F"/>
    <w:rsid w:val="00E74FBF"/>
    <w:rsid w:val="00E77C6C"/>
    <w:rsid w:val="00E811B9"/>
    <w:rsid w:val="00E819E3"/>
    <w:rsid w:val="00E821C8"/>
    <w:rsid w:val="00E82D33"/>
    <w:rsid w:val="00E82EA7"/>
    <w:rsid w:val="00E83205"/>
    <w:rsid w:val="00E84B98"/>
    <w:rsid w:val="00E857BF"/>
    <w:rsid w:val="00E8618D"/>
    <w:rsid w:val="00E873C3"/>
    <w:rsid w:val="00E9013E"/>
    <w:rsid w:val="00E9094D"/>
    <w:rsid w:val="00E910B5"/>
    <w:rsid w:val="00E91193"/>
    <w:rsid w:val="00E91690"/>
    <w:rsid w:val="00E91CD9"/>
    <w:rsid w:val="00E91D6D"/>
    <w:rsid w:val="00E92183"/>
    <w:rsid w:val="00E93C48"/>
    <w:rsid w:val="00E96F68"/>
    <w:rsid w:val="00E97913"/>
    <w:rsid w:val="00EA1997"/>
    <w:rsid w:val="00EA1A29"/>
    <w:rsid w:val="00EA2B8C"/>
    <w:rsid w:val="00EA3AA6"/>
    <w:rsid w:val="00EA7349"/>
    <w:rsid w:val="00EB08BE"/>
    <w:rsid w:val="00EB1D7E"/>
    <w:rsid w:val="00EB2112"/>
    <w:rsid w:val="00EB252D"/>
    <w:rsid w:val="00EB3798"/>
    <w:rsid w:val="00EB5093"/>
    <w:rsid w:val="00EB6748"/>
    <w:rsid w:val="00EB7582"/>
    <w:rsid w:val="00EB778E"/>
    <w:rsid w:val="00EB790D"/>
    <w:rsid w:val="00EB7DA7"/>
    <w:rsid w:val="00EC02B1"/>
    <w:rsid w:val="00EC0830"/>
    <w:rsid w:val="00EC172A"/>
    <w:rsid w:val="00EC1E90"/>
    <w:rsid w:val="00EC4A5F"/>
    <w:rsid w:val="00EC53EE"/>
    <w:rsid w:val="00EC5A44"/>
    <w:rsid w:val="00EC7B93"/>
    <w:rsid w:val="00ED08C7"/>
    <w:rsid w:val="00ED0CB3"/>
    <w:rsid w:val="00ED1B77"/>
    <w:rsid w:val="00ED2915"/>
    <w:rsid w:val="00ED4C12"/>
    <w:rsid w:val="00ED5203"/>
    <w:rsid w:val="00ED5B62"/>
    <w:rsid w:val="00ED67AF"/>
    <w:rsid w:val="00ED6C3A"/>
    <w:rsid w:val="00EE093C"/>
    <w:rsid w:val="00EE0C93"/>
    <w:rsid w:val="00EE1A5E"/>
    <w:rsid w:val="00EE1B68"/>
    <w:rsid w:val="00EE2339"/>
    <w:rsid w:val="00EE46BD"/>
    <w:rsid w:val="00EE69C0"/>
    <w:rsid w:val="00EE6A01"/>
    <w:rsid w:val="00EE6BC9"/>
    <w:rsid w:val="00EF142A"/>
    <w:rsid w:val="00EF21C4"/>
    <w:rsid w:val="00EF541D"/>
    <w:rsid w:val="00EF618B"/>
    <w:rsid w:val="00EF62CD"/>
    <w:rsid w:val="00EF6847"/>
    <w:rsid w:val="00EF7BCD"/>
    <w:rsid w:val="00EF7F13"/>
    <w:rsid w:val="00F0068F"/>
    <w:rsid w:val="00F00C29"/>
    <w:rsid w:val="00F020CD"/>
    <w:rsid w:val="00F02257"/>
    <w:rsid w:val="00F027B9"/>
    <w:rsid w:val="00F03EBC"/>
    <w:rsid w:val="00F04FA0"/>
    <w:rsid w:val="00F101C7"/>
    <w:rsid w:val="00F11D1C"/>
    <w:rsid w:val="00F12607"/>
    <w:rsid w:val="00F12D8B"/>
    <w:rsid w:val="00F13AC4"/>
    <w:rsid w:val="00F13BA7"/>
    <w:rsid w:val="00F146AC"/>
    <w:rsid w:val="00F15590"/>
    <w:rsid w:val="00F15616"/>
    <w:rsid w:val="00F16D8A"/>
    <w:rsid w:val="00F170DC"/>
    <w:rsid w:val="00F17356"/>
    <w:rsid w:val="00F17A28"/>
    <w:rsid w:val="00F17D79"/>
    <w:rsid w:val="00F21C82"/>
    <w:rsid w:val="00F22278"/>
    <w:rsid w:val="00F22F02"/>
    <w:rsid w:val="00F23E8D"/>
    <w:rsid w:val="00F24370"/>
    <w:rsid w:val="00F24A45"/>
    <w:rsid w:val="00F24AA2"/>
    <w:rsid w:val="00F26389"/>
    <w:rsid w:val="00F26E63"/>
    <w:rsid w:val="00F27C4C"/>
    <w:rsid w:val="00F301E1"/>
    <w:rsid w:val="00F304E5"/>
    <w:rsid w:val="00F311E4"/>
    <w:rsid w:val="00F31845"/>
    <w:rsid w:val="00F31A87"/>
    <w:rsid w:val="00F32D45"/>
    <w:rsid w:val="00F333AD"/>
    <w:rsid w:val="00F35565"/>
    <w:rsid w:val="00F36ACE"/>
    <w:rsid w:val="00F36CE5"/>
    <w:rsid w:val="00F36D6C"/>
    <w:rsid w:val="00F40277"/>
    <w:rsid w:val="00F41148"/>
    <w:rsid w:val="00F42435"/>
    <w:rsid w:val="00F425A2"/>
    <w:rsid w:val="00F43495"/>
    <w:rsid w:val="00F46421"/>
    <w:rsid w:val="00F5131A"/>
    <w:rsid w:val="00F52A29"/>
    <w:rsid w:val="00F569B1"/>
    <w:rsid w:val="00F56B42"/>
    <w:rsid w:val="00F60E71"/>
    <w:rsid w:val="00F61433"/>
    <w:rsid w:val="00F617FB"/>
    <w:rsid w:val="00F63461"/>
    <w:rsid w:val="00F63ACE"/>
    <w:rsid w:val="00F7222A"/>
    <w:rsid w:val="00F743D3"/>
    <w:rsid w:val="00F7451A"/>
    <w:rsid w:val="00F768FF"/>
    <w:rsid w:val="00F76A89"/>
    <w:rsid w:val="00F804BE"/>
    <w:rsid w:val="00F80697"/>
    <w:rsid w:val="00F80776"/>
    <w:rsid w:val="00F80BCD"/>
    <w:rsid w:val="00F839A2"/>
    <w:rsid w:val="00F8622C"/>
    <w:rsid w:val="00F87B7B"/>
    <w:rsid w:val="00F87F34"/>
    <w:rsid w:val="00F90591"/>
    <w:rsid w:val="00F90C21"/>
    <w:rsid w:val="00F9187A"/>
    <w:rsid w:val="00F91937"/>
    <w:rsid w:val="00F91EAD"/>
    <w:rsid w:val="00F95E3D"/>
    <w:rsid w:val="00F97A3D"/>
    <w:rsid w:val="00FA04E9"/>
    <w:rsid w:val="00FA0784"/>
    <w:rsid w:val="00FA10BA"/>
    <w:rsid w:val="00FA2488"/>
    <w:rsid w:val="00FA2C34"/>
    <w:rsid w:val="00FA3092"/>
    <w:rsid w:val="00FA53A8"/>
    <w:rsid w:val="00FA5595"/>
    <w:rsid w:val="00FA5E3E"/>
    <w:rsid w:val="00FA683F"/>
    <w:rsid w:val="00FA7C9D"/>
    <w:rsid w:val="00FB08C8"/>
    <w:rsid w:val="00FB0C54"/>
    <w:rsid w:val="00FB22AF"/>
    <w:rsid w:val="00FB2972"/>
    <w:rsid w:val="00FB3256"/>
    <w:rsid w:val="00FB4F26"/>
    <w:rsid w:val="00FB51F1"/>
    <w:rsid w:val="00FB6B08"/>
    <w:rsid w:val="00FB74AA"/>
    <w:rsid w:val="00FB769B"/>
    <w:rsid w:val="00FC070E"/>
    <w:rsid w:val="00FC1272"/>
    <w:rsid w:val="00FC1529"/>
    <w:rsid w:val="00FC2357"/>
    <w:rsid w:val="00FC2B95"/>
    <w:rsid w:val="00FC3D70"/>
    <w:rsid w:val="00FC4B19"/>
    <w:rsid w:val="00FC50EC"/>
    <w:rsid w:val="00FC59F0"/>
    <w:rsid w:val="00FC62FD"/>
    <w:rsid w:val="00FC720A"/>
    <w:rsid w:val="00FC7B93"/>
    <w:rsid w:val="00FD0C7B"/>
    <w:rsid w:val="00FD24E2"/>
    <w:rsid w:val="00FD4102"/>
    <w:rsid w:val="00FD4AE6"/>
    <w:rsid w:val="00FE082E"/>
    <w:rsid w:val="00FE15BD"/>
    <w:rsid w:val="00FE1B0B"/>
    <w:rsid w:val="00FE22CE"/>
    <w:rsid w:val="00FE265E"/>
    <w:rsid w:val="00FE2A7A"/>
    <w:rsid w:val="00FE6D43"/>
    <w:rsid w:val="00FF01CD"/>
    <w:rsid w:val="00FF0201"/>
    <w:rsid w:val="00FF0307"/>
    <w:rsid w:val="00FF0A1A"/>
    <w:rsid w:val="00FF1662"/>
    <w:rsid w:val="00FF337A"/>
    <w:rsid w:val="00FF371A"/>
    <w:rsid w:val="00FF3D20"/>
    <w:rsid w:val="00FF41AE"/>
    <w:rsid w:val="00FF685F"/>
    <w:rsid w:val="00FF6A39"/>
    <w:rsid w:val="00FF761C"/>
    <w:rsid w:val="00FF7911"/>
    <w:rsid w:val="0134169F"/>
    <w:rsid w:val="017D6F03"/>
    <w:rsid w:val="01924994"/>
    <w:rsid w:val="01D80157"/>
    <w:rsid w:val="01E74ACC"/>
    <w:rsid w:val="021A09FD"/>
    <w:rsid w:val="02327E75"/>
    <w:rsid w:val="02AA30B8"/>
    <w:rsid w:val="02AE00DE"/>
    <w:rsid w:val="02CE17E8"/>
    <w:rsid w:val="02EB73E1"/>
    <w:rsid w:val="02FC6355"/>
    <w:rsid w:val="030B570E"/>
    <w:rsid w:val="03BD1A8B"/>
    <w:rsid w:val="03CE7CF1"/>
    <w:rsid w:val="03E52554"/>
    <w:rsid w:val="03F359AA"/>
    <w:rsid w:val="041D577A"/>
    <w:rsid w:val="04292B4C"/>
    <w:rsid w:val="04926F71"/>
    <w:rsid w:val="04D70BEA"/>
    <w:rsid w:val="04E71358"/>
    <w:rsid w:val="04F27A0F"/>
    <w:rsid w:val="05074713"/>
    <w:rsid w:val="050E411D"/>
    <w:rsid w:val="05AB7BBE"/>
    <w:rsid w:val="05D02392"/>
    <w:rsid w:val="06304C93"/>
    <w:rsid w:val="064A5629"/>
    <w:rsid w:val="064F2C3F"/>
    <w:rsid w:val="067032E2"/>
    <w:rsid w:val="06C053BA"/>
    <w:rsid w:val="06C55EA8"/>
    <w:rsid w:val="06D179D1"/>
    <w:rsid w:val="06E61196"/>
    <w:rsid w:val="07041C7C"/>
    <w:rsid w:val="07322345"/>
    <w:rsid w:val="076C770B"/>
    <w:rsid w:val="0859758B"/>
    <w:rsid w:val="08684E0C"/>
    <w:rsid w:val="086E5C4C"/>
    <w:rsid w:val="08B647E3"/>
    <w:rsid w:val="08BD39B5"/>
    <w:rsid w:val="08F94E10"/>
    <w:rsid w:val="08FF26FB"/>
    <w:rsid w:val="090F0777"/>
    <w:rsid w:val="09254691"/>
    <w:rsid w:val="0950163F"/>
    <w:rsid w:val="09873953"/>
    <w:rsid w:val="09931095"/>
    <w:rsid w:val="09C53944"/>
    <w:rsid w:val="09CF6C7B"/>
    <w:rsid w:val="09F204B1"/>
    <w:rsid w:val="0A1D5E7B"/>
    <w:rsid w:val="0AAF0151"/>
    <w:rsid w:val="0ACC3362"/>
    <w:rsid w:val="0B0A3B2F"/>
    <w:rsid w:val="0B3A021C"/>
    <w:rsid w:val="0B653C40"/>
    <w:rsid w:val="0B75783B"/>
    <w:rsid w:val="0BBA4779"/>
    <w:rsid w:val="0BFA514F"/>
    <w:rsid w:val="0BFD437F"/>
    <w:rsid w:val="0C0B585A"/>
    <w:rsid w:val="0C9D4705"/>
    <w:rsid w:val="0CC71781"/>
    <w:rsid w:val="0D634416"/>
    <w:rsid w:val="0D9E5A0B"/>
    <w:rsid w:val="0DBC4A88"/>
    <w:rsid w:val="0DFA729B"/>
    <w:rsid w:val="0E461B36"/>
    <w:rsid w:val="0E6C0832"/>
    <w:rsid w:val="0E7F2EFE"/>
    <w:rsid w:val="0EA84FF4"/>
    <w:rsid w:val="0EFD1F31"/>
    <w:rsid w:val="0F5552D9"/>
    <w:rsid w:val="0F6915EB"/>
    <w:rsid w:val="0FDA5B9B"/>
    <w:rsid w:val="0FE4264A"/>
    <w:rsid w:val="101E1360"/>
    <w:rsid w:val="10477289"/>
    <w:rsid w:val="1060794F"/>
    <w:rsid w:val="109E0B2F"/>
    <w:rsid w:val="109E4EEF"/>
    <w:rsid w:val="10CA75AC"/>
    <w:rsid w:val="10E20B17"/>
    <w:rsid w:val="10FD1C16"/>
    <w:rsid w:val="11053314"/>
    <w:rsid w:val="112228D1"/>
    <w:rsid w:val="114107FE"/>
    <w:rsid w:val="11511F61"/>
    <w:rsid w:val="118D077F"/>
    <w:rsid w:val="11E14A24"/>
    <w:rsid w:val="12843C71"/>
    <w:rsid w:val="12A165D1"/>
    <w:rsid w:val="12B72298"/>
    <w:rsid w:val="12B7523C"/>
    <w:rsid w:val="12FD788F"/>
    <w:rsid w:val="13210E17"/>
    <w:rsid w:val="13F15336"/>
    <w:rsid w:val="14092FD9"/>
    <w:rsid w:val="14366498"/>
    <w:rsid w:val="14444D5E"/>
    <w:rsid w:val="14EA74B8"/>
    <w:rsid w:val="15155054"/>
    <w:rsid w:val="151B3786"/>
    <w:rsid w:val="15316332"/>
    <w:rsid w:val="15896705"/>
    <w:rsid w:val="15AC760C"/>
    <w:rsid w:val="15CF16A7"/>
    <w:rsid w:val="160C4CF2"/>
    <w:rsid w:val="162502C9"/>
    <w:rsid w:val="16353C00"/>
    <w:rsid w:val="16654BC7"/>
    <w:rsid w:val="17017F86"/>
    <w:rsid w:val="1726346E"/>
    <w:rsid w:val="17910BB6"/>
    <w:rsid w:val="17946704"/>
    <w:rsid w:val="179F64A3"/>
    <w:rsid w:val="17A51B0E"/>
    <w:rsid w:val="183121A5"/>
    <w:rsid w:val="184C3483"/>
    <w:rsid w:val="187B5F15"/>
    <w:rsid w:val="18C354F3"/>
    <w:rsid w:val="19365251"/>
    <w:rsid w:val="19520625"/>
    <w:rsid w:val="199C7AF2"/>
    <w:rsid w:val="19B238D5"/>
    <w:rsid w:val="19B66E06"/>
    <w:rsid w:val="19BD0194"/>
    <w:rsid w:val="19D47304"/>
    <w:rsid w:val="19DB7F6A"/>
    <w:rsid w:val="19FA25FA"/>
    <w:rsid w:val="1A197C85"/>
    <w:rsid w:val="1A787533"/>
    <w:rsid w:val="1A98475D"/>
    <w:rsid w:val="1A9923CA"/>
    <w:rsid w:val="1AD339E7"/>
    <w:rsid w:val="1ADD528F"/>
    <w:rsid w:val="1AEC17C4"/>
    <w:rsid w:val="1AFA6510"/>
    <w:rsid w:val="1B087B35"/>
    <w:rsid w:val="1B8E3619"/>
    <w:rsid w:val="1BD21EF1"/>
    <w:rsid w:val="1C220782"/>
    <w:rsid w:val="1C5C2227"/>
    <w:rsid w:val="1C957AEB"/>
    <w:rsid w:val="1CC211DE"/>
    <w:rsid w:val="1CDA72AF"/>
    <w:rsid w:val="1D2F42ED"/>
    <w:rsid w:val="1D7019C1"/>
    <w:rsid w:val="1D9C08F7"/>
    <w:rsid w:val="1DBA12AF"/>
    <w:rsid w:val="1DF95A8A"/>
    <w:rsid w:val="1DFE0D7B"/>
    <w:rsid w:val="1E0D0FBE"/>
    <w:rsid w:val="1E193E07"/>
    <w:rsid w:val="1E595D30"/>
    <w:rsid w:val="1EBB1A4A"/>
    <w:rsid w:val="1EE12B77"/>
    <w:rsid w:val="1F38650F"/>
    <w:rsid w:val="1F5B7F6C"/>
    <w:rsid w:val="1F996FAD"/>
    <w:rsid w:val="1FB522CF"/>
    <w:rsid w:val="20320856"/>
    <w:rsid w:val="20353A90"/>
    <w:rsid w:val="20781E95"/>
    <w:rsid w:val="20911E55"/>
    <w:rsid w:val="20994D8B"/>
    <w:rsid w:val="20DB75CF"/>
    <w:rsid w:val="211A2370"/>
    <w:rsid w:val="211B258C"/>
    <w:rsid w:val="21226E0A"/>
    <w:rsid w:val="2133507B"/>
    <w:rsid w:val="21A649AF"/>
    <w:rsid w:val="21D4251F"/>
    <w:rsid w:val="220628F4"/>
    <w:rsid w:val="22235254"/>
    <w:rsid w:val="22257C75"/>
    <w:rsid w:val="224A458F"/>
    <w:rsid w:val="22633057"/>
    <w:rsid w:val="22A2261D"/>
    <w:rsid w:val="22C956B0"/>
    <w:rsid w:val="22D64075"/>
    <w:rsid w:val="2318468D"/>
    <w:rsid w:val="23333275"/>
    <w:rsid w:val="235D37CE"/>
    <w:rsid w:val="23C913C7"/>
    <w:rsid w:val="23FA0986"/>
    <w:rsid w:val="24303C58"/>
    <w:rsid w:val="24334C2E"/>
    <w:rsid w:val="24433C55"/>
    <w:rsid w:val="244E38BF"/>
    <w:rsid w:val="24537CA2"/>
    <w:rsid w:val="24572CD2"/>
    <w:rsid w:val="246D706B"/>
    <w:rsid w:val="24910A30"/>
    <w:rsid w:val="24A0797B"/>
    <w:rsid w:val="24A51F50"/>
    <w:rsid w:val="24FC17A2"/>
    <w:rsid w:val="254052C8"/>
    <w:rsid w:val="254E5A12"/>
    <w:rsid w:val="257340E3"/>
    <w:rsid w:val="258E6E89"/>
    <w:rsid w:val="25C14ADA"/>
    <w:rsid w:val="25E133B0"/>
    <w:rsid w:val="26153106"/>
    <w:rsid w:val="26252D3B"/>
    <w:rsid w:val="26916DC2"/>
    <w:rsid w:val="26A47769"/>
    <w:rsid w:val="26D740F4"/>
    <w:rsid w:val="26F478F9"/>
    <w:rsid w:val="273A290F"/>
    <w:rsid w:val="274912B9"/>
    <w:rsid w:val="276B03BF"/>
    <w:rsid w:val="277B67FC"/>
    <w:rsid w:val="27BA031B"/>
    <w:rsid w:val="27C546B8"/>
    <w:rsid w:val="27FF7BCA"/>
    <w:rsid w:val="28173165"/>
    <w:rsid w:val="28186EDD"/>
    <w:rsid w:val="28506677"/>
    <w:rsid w:val="287F0D0A"/>
    <w:rsid w:val="28B704A4"/>
    <w:rsid w:val="28D63020"/>
    <w:rsid w:val="290D53D4"/>
    <w:rsid w:val="29513542"/>
    <w:rsid w:val="29624950"/>
    <w:rsid w:val="297C23E4"/>
    <w:rsid w:val="29AF561F"/>
    <w:rsid w:val="2A694C89"/>
    <w:rsid w:val="2A823ABD"/>
    <w:rsid w:val="2A846041"/>
    <w:rsid w:val="2ABB774C"/>
    <w:rsid w:val="2ACB46DB"/>
    <w:rsid w:val="2AD359D3"/>
    <w:rsid w:val="2B30421D"/>
    <w:rsid w:val="2B3202B6"/>
    <w:rsid w:val="2B455ED0"/>
    <w:rsid w:val="2B7A2497"/>
    <w:rsid w:val="2B934DDF"/>
    <w:rsid w:val="2BA32F62"/>
    <w:rsid w:val="2BC817F9"/>
    <w:rsid w:val="2BDF773B"/>
    <w:rsid w:val="2C4C0CD1"/>
    <w:rsid w:val="2C864D5D"/>
    <w:rsid w:val="2C931228"/>
    <w:rsid w:val="2CA43435"/>
    <w:rsid w:val="2D1759B5"/>
    <w:rsid w:val="2D4744ED"/>
    <w:rsid w:val="2D9139BA"/>
    <w:rsid w:val="2D9D235F"/>
    <w:rsid w:val="2DF60A99"/>
    <w:rsid w:val="2E073C7C"/>
    <w:rsid w:val="2E0B33BE"/>
    <w:rsid w:val="2E0C688C"/>
    <w:rsid w:val="2E3539E9"/>
    <w:rsid w:val="2E474078"/>
    <w:rsid w:val="2E700A6A"/>
    <w:rsid w:val="2EDB1BAF"/>
    <w:rsid w:val="2EF84D3C"/>
    <w:rsid w:val="2F0F6197"/>
    <w:rsid w:val="2F125CDF"/>
    <w:rsid w:val="2F1C72B3"/>
    <w:rsid w:val="2F204FF5"/>
    <w:rsid w:val="2F7013AD"/>
    <w:rsid w:val="2F725125"/>
    <w:rsid w:val="2F923A19"/>
    <w:rsid w:val="2F971030"/>
    <w:rsid w:val="2FF804EC"/>
    <w:rsid w:val="302E54F0"/>
    <w:rsid w:val="307015F8"/>
    <w:rsid w:val="307B625B"/>
    <w:rsid w:val="308B46F0"/>
    <w:rsid w:val="30D140CD"/>
    <w:rsid w:val="310F1BD4"/>
    <w:rsid w:val="312A5E31"/>
    <w:rsid w:val="314D3E18"/>
    <w:rsid w:val="31912DF9"/>
    <w:rsid w:val="31C224E3"/>
    <w:rsid w:val="31E97269"/>
    <w:rsid w:val="31F67505"/>
    <w:rsid w:val="322F0E60"/>
    <w:rsid w:val="32342B66"/>
    <w:rsid w:val="329D4BAF"/>
    <w:rsid w:val="32A36BD3"/>
    <w:rsid w:val="32DC0352"/>
    <w:rsid w:val="32ED6124"/>
    <w:rsid w:val="331F600C"/>
    <w:rsid w:val="333332A5"/>
    <w:rsid w:val="338E1DDC"/>
    <w:rsid w:val="33AA7583"/>
    <w:rsid w:val="33D12D62"/>
    <w:rsid w:val="33E25105"/>
    <w:rsid w:val="33EA3E24"/>
    <w:rsid w:val="34684D49"/>
    <w:rsid w:val="34A277E4"/>
    <w:rsid w:val="34A8670B"/>
    <w:rsid w:val="350E718F"/>
    <w:rsid w:val="353C0A11"/>
    <w:rsid w:val="35731D6B"/>
    <w:rsid w:val="35A3072E"/>
    <w:rsid w:val="35CD1B07"/>
    <w:rsid w:val="35D924C6"/>
    <w:rsid w:val="35D94150"/>
    <w:rsid w:val="365E28A7"/>
    <w:rsid w:val="365F288E"/>
    <w:rsid w:val="36762DC3"/>
    <w:rsid w:val="37040D59"/>
    <w:rsid w:val="371352AA"/>
    <w:rsid w:val="376161AB"/>
    <w:rsid w:val="37781747"/>
    <w:rsid w:val="37841E99"/>
    <w:rsid w:val="378B76CC"/>
    <w:rsid w:val="379629C2"/>
    <w:rsid w:val="37C130EE"/>
    <w:rsid w:val="38B744E6"/>
    <w:rsid w:val="38C43E25"/>
    <w:rsid w:val="38C56F36"/>
    <w:rsid w:val="3911775D"/>
    <w:rsid w:val="39783C80"/>
    <w:rsid w:val="3A437DEA"/>
    <w:rsid w:val="3AC27831"/>
    <w:rsid w:val="3AF46712"/>
    <w:rsid w:val="3B1B6E04"/>
    <w:rsid w:val="3B2D0303"/>
    <w:rsid w:val="3B4A1BD1"/>
    <w:rsid w:val="3B4E4CB3"/>
    <w:rsid w:val="3B800EA0"/>
    <w:rsid w:val="3B9528C7"/>
    <w:rsid w:val="3BB23479"/>
    <w:rsid w:val="3BE7142E"/>
    <w:rsid w:val="3C12216A"/>
    <w:rsid w:val="3C153A08"/>
    <w:rsid w:val="3C7C4014"/>
    <w:rsid w:val="3CDC4526"/>
    <w:rsid w:val="3D432D04"/>
    <w:rsid w:val="3D4C1EC5"/>
    <w:rsid w:val="3D913C2B"/>
    <w:rsid w:val="3DC2419A"/>
    <w:rsid w:val="3DD86A9B"/>
    <w:rsid w:val="3DE713D4"/>
    <w:rsid w:val="3E0553DD"/>
    <w:rsid w:val="3E261EFC"/>
    <w:rsid w:val="3E5D51F2"/>
    <w:rsid w:val="3E682515"/>
    <w:rsid w:val="3E6B715C"/>
    <w:rsid w:val="3E7F29FA"/>
    <w:rsid w:val="3EF73899"/>
    <w:rsid w:val="3EF94F1B"/>
    <w:rsid w:val="3F115250"/>
    <w:rsid w:val="3F3E4F80"/>
    <w:rsid w:val="3FBA368F"/>
    <w:rsid w:val="3FBC23E3"/>
    <w:rsid w:val="3FC81972"/>
    <w:rsid w:val="415816DF"/>
    <w:rsid w:val="416074D3"/>
    <w:rsid w:val="41966C29"/>
    <w:rsid w:val="41FD4D22"/>
    <w:rsid w:val="41FE5DA9"/>
    <w:rsid w:val="420844F7"/>
    <w:rsid w:val="425A02DC"/>
    <w:rsid w:val="42823479"/>
    <w:rsid w:val="42C85330"/>
    <w:rsid w:val="42D8610B"/>
    <w:rsid w:val="430622FC"/>
    <w:rsid w:val="43610B91"/>
    <w:rsid w:val="43860D47"/>
    <w:rsid w:val="44A14E43"/>
    <w:rsid w:val="44A87A1D"/>
    <w:rsid w:val="44F508DD"/>
    <w:rsid w:val="451B0F59"/>
    <w:rsid w:val="45B93567"/>
    <w:rsid w:val="45D93CF8"/>
    <w:rsid w:val="45DD5472"/>
    <w:rsid w:val="46364E41"/>
    <w:rsid w:val="46A2233C"/>
    <w:rsid w:val="46EF28D4"/>
    <w:rsid w:val="46F03D96"/>
    <w:rsid w:val="47307948"/>
    <w:rsid w:val="474F4B46"/>
    <w:rsid w:val="47D227AD"/>
    <w:rsid w:val="47E56984"/>
    <w:rsid w:val="47FA1A52"/>
    <w:rsid w:val="48117C08"/>
    <w:rsid w:val="482F19AD"/>
    <w:rsid w:val="483E5A6A"/>
    <w:rsid w:val="48715186"/>
    <w:rsid w:val="48964808"/>
    <w:rsid w:val="48A874B9"/>
    <w:rsid w:val="48B90820"/>
    <w:rsid w:val="48D32C81"/>
    <w:rsid w:val="48D57B5D"/>
    <w:rsid w:val="4916491B"/>
    <w:rsid w:val="49184B37"/>
    <w:rsid w:val="4929734E"/>
    <w:rsid w:val="49391AFA"/>
    <w:rsid w:val="49997A26"/>
    <w:rsid w:val="49C41B92"/>
    <w:rsid w:val="4A6C513B"/>
    <w:rsid w:val="4A9563B7"/>
    <w:rsid w:val="4ABF547E"/>
    <w:rsid w:val="4AD16D02"/>
    <w:rsid w:val="4AF8458F"/>
    <w:rsid w:val="4B310015"/>
    <w:rsid w:val="4B367AD7"/>
    <w:rsid w:val="4B4146BD"/>
    <w:rsid w:val="4B7A3887"/>
    <w:rsid w:val="4B85080B"/>
    <w:rsid w:val="4B8B7843"/>
    <w:rsid w:val="4BA3693A"/>
    <w:rsid w:val="4BEE77D0"/>
    <w:rsid w:val="4C1F32D5"/>
    <w:rsid w:val="4C361BCD"/>
    <w:rsid w:val="4C6023E1"/>
    <w:rsid w:val="4C6F44E8"/>
    <w:rsid w:val="4C88083D"/>
    <w:rsid w:val="4C8F6EBF"/>
    <w:rsid w:val="4CDC3EC8"/>
    <w:rsid w:val="4D0E0101"/>
    <w:rsid w:val="4D183358"/>
    <w:rsid w:val="4D2F72A2"/>
    <w:rsid w:val="4D714816"/>
    <w:rsid w:val="4DF711BF"/>
    <w:rsid w:val="4E9569A3"/>
    <w:rsid w:val="4F2F15CE"/>
    <w:rsid w:val="4F483CAF"/>
    <w:rsid w:val="4F702B5E"/>
    <w:rsid w:val="4FA6195F"/>
    <w:rsid w:val="4FB22DE6"/>
    <w:rsid w:val="4FC306E3"/>
    <w:rsid w:val="4FCD667C"/>
    <w:rsid w:val="5031354A"/>
    <w:rsid w:val="50901457"/>
    <w:rsid w:val="509727E6"/>
    <w:rsid w:val="50A318BC"/>
    <w:rsid w:val="50E07940"/>
    <w:rsid w:val="51F872B4"/>
    <w:rsid w:val="523302EC"/>
    <w:rsid w:val="5233653E"/>
    <w:rsid w:val="523F4EE3"/>
    <w:rsid w:val="528944AB"/>
    <w:rsid w:val="53085A69"/>
    <w:rsid w:val="532B0CA4"/>
    <w:rsid w:val="534F73A8"/>
    <w:rsid w:val="53963229"/>
    <w:rsid w:val="53AB1EBF"/>
    <w:rsid w:val="53E43F94"/>
    <w:rsid w:val="54136627"/>
    <w:rsid w:val="54D67D81"/>
    <w:rsid w:val="55005717"/>
    <w:rsid w:val="55367DEE"/>
    <w:rsid w:val="55494FB9"/>
    <w:rsid w:val="559B1C90"/>
    <w:rsid w:val="55A16F92"/>
    <w:rsid w:val="55D87FDF"/>
    <w:rsid w:val="562A33BC"/>
    <w:rsid w:val="56872EAB"/>
    <w:rsid w:val="5697353F"/>
    <w:rsid w:val="56BC4D54"/>
    <w:rsid w:val="56CC564D"/>
    <w:rsid w:val="56D27CC5"/>
    <w:rsid w:val="56F269C8"/>
    <w:rsid w:val="56FE417C"/>
    <w:rsid w:val="57893385"/>
    <w:rsid w:val="57A15DF8"/>
    <w:rsid w:val="57F66847"/>
    <w:rsid w:val="58675193"/>
    <w:rsid w:val="58804092"/>
    <w:rsid w:val="588F5523"/>
    <w:rsid w:val="58C85C32"/>
    <w:rsid w:val="58E34EEC"/>
    <w:rsid w:val="5910251A"/>
    <w:rsid w:val="59246BE1"/>
    <w:rsid w:val="592D3CE7"/>
    <w:rsid w:val="59575208"/>
    <w:rsid w:val="59AC0C7C"/>
    <w:rsid w:val="59B72375"/>
    <w:rsid w:val="59DE4FE1"/>
    <w:rsid w:val="5A72571A"/>
    <w:rsid w:val="5AC069DD"/>
    <w:rsid w:val="5AE115E0"/>
    <w:rsid w:val="5B4A6DD2"/>
    <w:rsid w:val="5B527A35"/>
    <w:rsid w:val="5B561CFC"/>
    <w:rsid w:val="5BA746EF"/>
    <w:rsid w:val="5BB619DF"/>
    <w:rsid w:val="5BC732D5"/>
    <w:rsid w:val="5C060F2A"/>
    <w:rsid w:val="5C11169E"/>
    <w:rsid w:val="5C3F1E9B"/>
    <w:rsid w:val="5C76637A"/>
    <w:rsid w:val="5C875CF6"/>
    <w:rsid w:val="5C914DC7"/>
    <w:rsid w:val="5CAF2C65"/>
    <w:rsid w:val="5CF50FC0"/>
    <w:rsid w:val="5D0F6CD8"/>
    <w:rsid w:val="5D1A7B93"/>
    <w:rsid w:val="5D2067BA"/>
    <w:rsid w:val="5D333896"/>
    <w:rsid w:val="5D4F6922"/>
    <w:rsid w:val="5D8D744A"/>
    <w:rsid w:val="5DA54794"/>
    <w:rsid w:val="5DA950A2"/>
    <w:rsid w:val="5E4749DA"/>
    <w:rsid w:val="5E68756F"/>
    <w:rsid w:val="5E6B29ED"/>
    <w:rsid w:val="5E7F2E20"/>
    <w:rsid w:val="5E7F4FE5"/>
    <w:rsid w:val="5E922AF8"/>
    <w:rsid w:val="5F01512C"/>
    <w:rsid w:val="5F7614B4"/>
    <w:rsid w:val="5FAA6092"/>
    <w:rsid w:val="5FBE7B0B"/>
    <w:rsid w:val="60A01243"/>
    <w:rsid w:val="60B3565E"/>
    <w:rsid w:val="60BA0556"/>
    <w:rsid w:val="60C3496E"/>
    <w:rsid w:val="60CA4511"/>
    <w:rsid w:val="60D042C3"/>
    <w:rsid w:val="60E16678"/>
    <w:rsid w:val="60E56EC7"/>
    <w:rsid w:val="60FB291D"/>
    <w:rsid w:val="611D2893"/>
    <w:rsid w:val="614918DA"/>
    <w:rsid w:val="61B17F00"/>
    <w:rsid w:val="61C3343B"/>
    <w:rsid w:val="6292105F"/>
    <w:rsid w:val="62B80AC5"/>
    <w:rsid w:val="62C0797A"/>
    <w:rsid w:val="62E47B0C"/>
    <w:rsid w:val="62FF5390"/>
    <w:rsid w:val="63247F09"/>
    <w:rsid w:val="634A04F6"/>
    <w:rsid w:val="63554566"/>
    <w:rsid w:val="63AD6150"/>
    <w:rsid w:val="63B31DA0"/>
    <w:rsid w:val="64F45E8A"/>
    <w:rsid w:val="64FD6C64"/>
    <w:rsid w:val="650754DB"/>
    <w:rsid w:val="650C1C66"/>
    <w:rsid w:val="65711D2D"/>
    <w:rsid w:val="65716E00"/>
    <w:rsid w:val="65DD0843"/>
    <w:rsid w:val="66490E8D"/>
    <w:rsid w:val="6655487D"/>
    <w:rsid w:val="66C832A1"/>
    <w:rsid w:val="66CC3515"/>
    <w:rsid w:val="66DB1226"/>
    <w:rsid w:val="66E856F1"/>
    <w:rsid w:val="670653A4"/>
    <w:rsid w:val="677671A1"/>
    <w:rsid w:val="67937CE3"/>
    <w:rsid w:val="679E25E9"/>
    <w:rsid w:val="67B24FE9"/>
    <w:rsid w:val="67BB30D1"/>
    <w:rsid w:val="67BC1058"/>
    <w:rsid w:val="67F24A7A"/>
    <w:rsid w:val="68123F77"/>
    <w:rsid w:val="68525D99"/>
    <w:rsid w:val="68795C73"/>
    <w:rsid w:val="689B3CD0"/>
    <w:rsid w:val="695C4D96"/>
    <w:rsid w:val="69B12712"/>
    <w:rsid w:val="69C83BBA"/>
    <w:rsid w:val="69F83E9D"/>
    <w:rsid w:val="6A1A7CF2"/>
    <w:rsid w:val="6A411085"/>
    <w:rsid w:val="6A7B05DF"/>
    <w:rsid w:val="6A880094"/>
    <w:rsid w:val="6A9D3B1B"/>
    <w:rsid w:val="6AE109CF"/>
    <w:rsid w:val="6AEA7C8A"/>
    <w:rsid w:val="6B321631"/>
    <w:rsid w:val="6B3C3E59"/>
    <w:rsid w:val="6B5A47FF"/>
    <w:rsid w:val="6B703894"/>
    <w:rsid w:val="6B741C4A"/>
    <w:rsid w:val="6BAF40B2"/>
    <w:rsid w:val="6BFB7C75"/>
    <w:rsid w:val="6C457D6E"/>
    <w:rsid w:val="6CD23EED"/>
    <w:rsid w:val="6D192AA9"/>
    <w:rsid w:val="6D233E90"/>
    <w:rsid w:val="6D3C22F3"/>
    <w:rsid w:val="6D4F2026"/>
    <w:rsid w:val="6D8C5028"/>
    <w:rsid w:val="6DDA2238"/>
    <w:rsid w:val="6E637CE1"/>
    <w:rsid w:val="6E82642B"/>
    <w:rsid w:val="6EF47329"/>
    <w:rsid w:val="6F411E43"/>
    <w:rsid w:val="6F7B6240"/>
    <w:rsid w:val="6F991C7F"/>
    <w:rsid w:val="6FA74053"/>
    <w:rsid w:val="6FD155B7"/>
    <w:rsid w:val="70182BA3"/>
    <w:rsid w:val="704274E7"/>
    <w:rsid w:val="708B0E92"/>
    <w:rsid w:val="70C40F7D"/>
    <w:rsid w:val="70ED740A"/>
    <w:rsid w:val="710310C0"/>
    <w:rsid w:val="711710AD"/>
    <w:rsid w:val="711F4406"/>
    <w:rsid w:val="71265794"/>
    <w:rsid w:val="7153093F"/>
    <w:rsid w:val="721F3324"/>
    <w:rsid w:val="72CA3923"/>
    <w:rsid w:val="730C582F"/>
    <w:rsid w:val="731B00BA"/>
    <w:rsid w:val="733F2B3D"/>
    <w:rsid w:val="736A14A5"/>
    <w:rsid w:val="738242B7"/>
    <w:rsid w:val="738430F5"/>
    <w:rsid w:val="73881548"/>
    <w:rsid w:val="7393520A"/>
    <w:rsid w:val="7399224D"/>
    <w:rsid w:val="73B9469D"/>
    <w:rsid w:val="74065ABE"/>
    <w:rsid w:val="743F5C73"/>
    <w:rsid w:val="74411A20"/>
    <w:rsid w:val="747F58E7"/>
    <w:rsid w:val="748603E1"/>
    <w:rsid w:val="74C40757"/>
    <w:rsid w:val="74E4574A"/>
    <w:rsid w:val="75740EEC"/>
    <w:rsid w:val="75DC2487"/>
    <w:rsid w:val="760A5DF4"/>
    <w:rsid w:val="760C25E7"/>
    <w:rsid w:val="760D6F22"/>
    <w:rsid w:val="76677F73"/>
    <w:rsid w:val="767147EA"/>
    <w:rsid w:val="76770B9E"/>
    <w:rsid w:val="76BA6247"/>
    <w:rsid w:val="76C43A85"/>
    <w:rsid w:val="76DE6D2F"/>
    <w:rsid w:val="76E301FF"/>
    <w:rsid w:val="770C71DA"/>
    <w:rsid w:val="771A3164"/>
    <w:rsid w:val="776B64ED"/>
    <w:rsid w:val="776F69E1"/>
    <w:rsid w:val="77FB0C25"/>
    <w:rsid w:val="7830052A"/>
    <w:rsid w:val="78455928"/>
    <w:rsid w:val="78BA32A4"/>
    <w:rsid w:val="78EC2E1F"/>
    <w:rsid w:val="79194C37"/>
    <w:rsid w:val="794E3ADA"/>
    <w:rsid w:val="79733540"/>
    <w:rsid w:val="799D236B"/>
    <w:rsid w:val="79B078F9"/>
    <w:rsid w:val="79B7167F"/>
    <w:rsid w:val="79FD49B1"/>
    <w:rsid w:val="7A410474"/>
    <w:rsid w:val="7AAE2C70"/>
    <w:rsid w:val="7ADC162B"/>
    <w:rsid w:val="7B082423"/>
    <w:rsid w:val="7B1B31B9"/>
    <w:rsid w:val="7BB874EA"/>
    <w:rsid w:val="7BBE480C"/>
    <w:rsid w:val="7BC863BA"/>
    <w:rsid w:val="7BD302C6"/>
    <w:rsid w:val="7BDE639C"/>
    <w:rsid w:val="7BE20509"/>
    <w:rsid w:val="7BFA6773"/>
    <w:rsid w:val="7C255834"/>
    <w:rsid w:val="7C407EDA"/>
    <w:rsid w:val="7C596A1E"/>
    <w:rsid w:val="7CE0081C"/>
    <w:rsid w:val="7D4416C4"/>
    <w:rsid w:val="7D4A288D"/>
    <w:rsid w:val="7D5448B9"/>
    <w:rsid w:val="7DE62533"/>
    <w:rsid w:val="7EC24845"/>
    <w:rsid w:val="7ED74465"/>
    <w:rsid w:val="7F606FAC"/>
    <w:rsid w:val="7F621437"/>
    <w:rsid w:val="7F8E2E82"/>
    <w:rsid w:val="7F9F508F"/>
    <w:rsid w:val="7FAC3558"/>
    <w:rsid w:val="7FB759EB"/>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200" w:firstLineChars="200"/>
      <w:jc w:val="both"/>
    </w:pPr>
    <w:rPr>
      <w:rFonts w:ascii="Times New Roman" w:hAnsi="Times New Roman" w:eastAsia="宋体" w:cstheme="minorBidi"/>
      <w:kern w:val="2"/>
      <w:sz w:val="24"/>
      <w:szCs w:val="21"/>
      <w:lang w:val="en-US" w:eastAsia="zh-CN" w:bidi="ar-SA"/>
    </w:rPr>
  </w:style>
  <w:style w:type="paragraph" w:styleId="2">
    <w:name w:val="heading 1"/>
    <w:basedOn w:val="3"/>
    <w:next w:val="1"/>
    <w:link w:val="38"/>
    <w:qFormat/>
    <w:uiPriority w:val="9"/>
    <w:pPr>
      <w:numPr>
        <w:ilvl w:val="0"/>
      </w:numPr>
      <w:tabs>
        <w:tab w:val="left" w:pos="420"/>
      </w:tabs>
      <w:outlineLvl w:val="0"/>
    </w:pPr>
    <w:rPr>
      <w:sz w:val="30"/>
    </w:rPr>
  </w:style>
  <w:style w:type="paragraph" w:styleId="3">
    <w:name w:val="heading 2"/>
    <w:basedOn w:val="1"/>
    <w:next w:val="1"/>
    <w:link w:val="39"/>
    <w:unhideWhenUsed/>
    <w:qFormat/>
    <w:uiPriority w:val="9"/>
    <w:pPr>
      <w:keepNext/>
      <w:keepLines/>
      <w:numPr>
        <w:ilvl w:val="1"/>
        <w:numId w:val="1"/>
      </w:numPr>
      <w:ind w:firstLineChars="0"/>
      <w:outlineLvl w:val="1"/>
    </w:pPr>
    <w:rPr>
      <w:rFonts w:cstheme="majorBidi"/>
      <w:b/>
      <w:bCs/>
      <w:sz w:val="28"/>
      <w:szCs w:val="32"/>
    </w:rPr>
  </w:style>
  <w:style w:type="paragraph" w:styleId="4">
    <w:name w:val="heading 3"/>
    <w:basedOn w:val="3"/>
    <w:next w:val="1"/>
    <w:link w:val="40"/>
    <w:unhideWhenUsed/>
    <w:qFormat/>
    <w:uiPriority w:val="9"/>
    <w:pPr>
      <w:numPr>
        <w:ilvl w:val="2"/>
      </w:numPr>
      <w:outlineLvl w:val="2"/>
    </w:pPr>
  </w:style>
  <w:style w:type="paragraph" w:styleId="5">
    <w:name w:val="heading 4"/>
    <w:basedOn w:val="1"/>
    <w:next w:val="1"/>
    <w:link w:val="46"/>
    <w:unhideWhenUsed/>
    <w:qFormat/>
    <w:uiPriority w:val="9"/>
    <w:pPr>
      <w:keepNext/>
      <w:keepLines/>
      <w:numPr>
        <w:ilvl w:val="3"/>
        <w:numId w:val="1"/>
      </w:numPr>
      <w:ind w:firstLineChars="0"/>
      <w:outlineLvl w:val="3"/>
    </w:pPr>
    <w:rPr>
      <w:rFonts w:cstheme="majorBidi"/>
      <w:b/>
      <w:bCs/>
      <w:sz w:val="28"/>
      <w:szCs w:val="28"/>
    </w:rPr>
  </w:style>
  <w:style w:type="paragraph" w:styleId="6">
    <w:name w:val="heading 5"/>
    <w:basedOn w:val="1"/>
    <w:next w:val="1"/>
    <w:link w:val="47"/>
    <w:semiHidden/>
    <w:unhideWhenUsed/>
    <w:qFormat/>
    <w:uiPriority w:val="9"/>
    <w:pPr>
      <w:keepNext/>
      <w:keepLines/>
      <w:numPr>
        <w:ilvl w:val="4"/>
        <w:numId w:val="2"/>
      </w:numPr>
      <w:spacing w:before="280" w:after="290" w:line="376" w:lineRule="auto"/>
      <w:ind w:firstLine="0" w:firstLineChars="0"/>
      <w:outlineLvl w:val="4"/>
    </w:pPr>
    <w:rPr>
      <w:b/>
      <w:bCs/>
      <w:sz w:val="28"/>
      <w:szCs w:val="28"/>
    </w:rPr>
  </w:style>
  <w:style w:type="paragraph" w:styleId="7">
    <w:name w:val="heading 6"/>
    <w:basedOn w:val="1"/>
    <w:next w:val="1"/>
    <w:link w:val="48"/>
    <w:semiHidden/>
    <w:unhideWhenUsed/>
    <w:qFormat/>
    <w:uiPriority w:val="9"/>
    <w:pPr>
      <w:keepNext/>
      <w:keepLines/>
      <w:numPr>
        <w:ilvl w:val="5"/>
        <w:numId w:val="2"/>
      </w:numPr>
      <w:spacing w:before="240" w:after="64" w:line="320" w:lineRule="auto"/>
      <w:ind w:firstLine="0" w:firstLineChars="0"/>
      <w:outlineLvl w:val="5"/>
    </w:pPr>
    <w:rPr>
      <w:rFonts w:asciiTheme="majorHAnsi" w:hAnsiTheme="majorHAnsi" w:eastAsiaTheme="majorEastAsia" w:cstheme="majorBidi"/>
      <w:b/>
      <w:bCs/>
      <w:szCs w:val="24"/>
    </w:rPr>
  </w:style>
  <w:style w:type="paragraph" w:styleId="8">
    <w:name w:val="heading 7"/>
    <w:basedOn w:val="1"/>
    <w:next w:val="1"/>
    <w:link w:val="49"/>
    <w:semiHidden/>
    <w:unhideWhenUsed/>
    <w:qFormat/>
    <w:uiPriority w:val="9"/>
    <w:pPr>
      <w:keepNext/>
      <w:keepLines/>
      <w:numPr>
        <w:ilvl w:val="6"/>
        <w:numId w:val="2"/>
      </w:numPr>
      <w:spacing w:before="240" w:after="64" w:line="320" w:lineRule="auto"/>
      <w:ind w:firstLine="0" w:firstLineChars="0"/>
      <w:outlineLvl w:val="6"/>
    </w:pPr>
    <w:rPr>
      <w:b/>
      <w:bCs/>
      <w:szCs w:val="24"/>
    </w:rPr>
  </w:style>
  <w:style w:type="paragraph" w:styleId="9">
    <w:name w:val="heading 8"/>
    <w:basedOn w:val="1"/>
    <w:next w:val="1"/>
    <w:link w:val="50"/>
    <w:semiHidden/>
    <w:unhideWhenUsed/>
    <w:qFormat/>
    <w:uiPriority w:val="9"/>
    <w:pPr>
      <w:keepNext/>
      <w:keepLines/>
      <w:numPr>
        <w:ilvl w:val="7"/>
        <w:numId w:val="2"/>
      </w:numPr>
      <w:spacing w:before="240" w:after="64" w:line="320" w:lineRule="auto"/>
      <w:ind w:firstLine="0" w:firstLineChars="0"/>
      <w:outlineLvl w:val="7"/>
    </w:pPr>
    <w:rPr>
      <w:rFonts w:asciiTheme="majorHAnsi" w:hAnsiTheme="majorHAnsi" w:eastAsiaTheme="majorEastAsia" w:cstheme="majorBidi"/>
      <w:szCs w:val="24"/>
    </w:rPr>
  </w:style>
  <w:style w:type="paragraph" w:styleId="10">
    <w:name w:val="heading 9"/>
    <w:basedOn w:val="1"/>
    <w:next w:val="1"/>
    <w:link w:val="51"/>
    <w:semiHidden/>
    <w:unhideWhenUsed/>
    <w:qFormat/>
    <w:uiPriority w:val="9"/>
    <w:pPr>
      <w:keepNext/>
      <w:keepLines/>
      <w:numPr>
        <w:ilvl w:val="8"/>
        <w:numId w:val="2"/>
      </w:numPr>
      <w:spacing w:before="240" w:after="64" w:line="320" w:lineRule="auto"/>
      <w:ind w:firstLine="0" w:firstLineChars="0"/>
      <w:outlineLvl w:val="8"/>
    </w:pPr>
    <w:rPr>
      <w:rFonts w:asciiTheme="majorHAnsi" w:hAnsiTheme="majorHAnsi" w:eastAsiaTheme="majorEastAsia" w:cstheme="majorBidi"/>
      <w:sz w:val="21"/>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szCs w:val="22"/>
    </w:rPr>
  </w:style>
  <w:style w:type="paragraph" w:styleId="12">
    <w:name w:val="caption"/>
    <w:basedOn w:val="1"/>
    <w:next w:val="1"/>
    <w:link w:val="73"/>
    <w:unhideWhenUsed/>
    <w:qFormat/>
    <w:uiPriority w:val="35"/>
    <w:pPr>
      <w:keepNext/>
      <w:spacing w:line="240" w:lineRule="auto"/>
      <w:ind w:firstLine="0" w:firstLineChars="0"/>
      <w:jc w:val="center"/>
    </w:pPr>
    <w:rPr>
      <w:rFonts w:cstheme="majorBidi"/>
      <w:b/>
      <w:sz w:val="21"/>
      <w:szCs w:val="20"/>
    </w:rPr>
  </w:style>
  <w:style w:type="paragraph" w:styleId="13">
    <w:name w:val="annotation text"/>
    <w:basedOn w:val="1"/>
    <w:link w:val="67"/>
    <w:semiHidden/>
    <w:unhideWhenUsed/>
    <w:qFormat/>
    <w:uiPriority w:val="99"/>
    <w:pPr>
      <w:jc w:val="left"/>
    </w:pPr>
  </w:style>
  <w:style w:type="paragraph" w:styleId="14">
    <w:name w:val="Body Text"/>
    <w:basedOn w:val="1"/>
    <w:next w:val="1"/>
    <w:link w:val="52"/>
    <w:qFormat/>
    <w:uiPriority w:val="1"/>
    <w:pPr>
      <w:spacing w:before="135" w:line="240" w:lineRule="auto"/>
      <w:ind w:left="120" w:firstLine="0" w:firstLineChars="0"/>
    </w:pPr>
    <w:rPr>
      <w:rFonts w:ascii="宋体" w:hAnsi="宋体" w:cs="宋体" w:eastAsiaTheme="minorEastAsia"/>
      <w:szCs w:val="24"/>
      <w:lang w:eastAsia="en-US"/>
    </w:rPr>
  </w:style>
  <w:style w:type="paragraph" w:styleId="15">
    <w:name w:val="Body Text Indent"/>
    <w:basedOn w:val="1"/>
    <w:qFormat/>
    <w:uiPriority w:val="99"/>
    <w:pPr>
      <w:spacing w:after="120"/>
      <w:ind w:left="420" w:leftChars="200"/>
    </w:pPr>
    <w:rPr>
      <w:kern w:val="0"/>
    </w:rPr>
  </w:style>
  <w:style w:type="paragraph" w:styleId="16">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szCs w:val="22"/>
    </w:rPr>
  </w:style>
  <w:style w:type="paragraph" w:styleId="17">
    <w:name w:val="toc 3"/>
    <w:basedOn w:val="1"/>
    <w:next w:val="1"/>
    <w:unhideWhenUsed/>
    <w:qFormat/>
    <w:uiPriority w:val="39"/>
    <w:pPr>
      <w:tabs>
        <w:tab w:val="right" w:leader="dot" w:pos="8296"/>
      </w:tabs>
      <w:ind w:left="960" w:leftChars="400" w:firstLine="0" w:firstLineChars="0"/>
    </w:pPr>
  </w:style>
  <w:style w:type="paragraph" w:styleId="18">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szCs w:val="22"/>
    </w:rPr>
  </w:style>
  <w:style w:type="paragraph" w:styleId="19">
    <w:name w:val="endnote text"/>
    <w:basedOn w:val="1"/>
    <w:link w:val="55"/>
    <w:semiHidden/>
    <w:unhideWhenUsed/>
    <w:qFormat/>
    <w:uiPriority w:val="99"/>
    <w:pPr>
      <w:jc w:val="left"/>
    </w:pPr>
  </w:style>
  <w:style w:type="paragraph" w:styleId="20">
    <w:name w:val="Balloon Text"/>
    <w:basedOn w:val="1"/>
    <w:link w:val="56"/>
    <w:semiHidden/>
    <w:unhideWhenUsed/>
    <w:qFormat/>
    <w:uiPriority w:val="99"/>
    <w:pPr>
      <w:spacing w:line="240" w:lineRule="auto"/>
    </w:pPr>
    <w:rPr>
      <w:sz w:val="18"/>
      <w:szCs w:val="18"/>
    </w:rPr>
  </w:style>
  <w:style w:type="paragraph" w:styleId="21">
    <w:name w:val="footer"/>
    <w:basedOn w:val="1"/>
    <w:link w:val="41"/>
    <w:unhideWhenUsed/>
    <w:qFormat/>
    <w:uiPriority w:val="99"/>
    <w:pPr>
      <w:tabs>
        <w:tab w:val="center" w:pos="4153"/>
        <w:tab w:val="right" w:pos="8306"/>
      </w:tabs>
      <w:adjustRightInd w:val="0"/>
      <w:spacing w:line="240" w:lineRule="auto"/>
      <w:ind w:firstLine="880"/>
      <w:jc w:val="left"/>
    </w:pPr>
    <w:rPr>
      <w:rFonts w:ascii="Calibri" w:hAnsi="Calibri" w:cs="Times New Roman"/>
      <w:sz w:val="18"/>
      <w:szCs w:val="18"/>
    </w:rPr>
  </w:style>
  <w:style w:type="paragraph" w:styleId="22">
    <w:name w:val="header"/>
    <w:basedOn w:val="1"/>
    <w:link w:val="42"/>
    <w:unhideWhenUsed/>
    <w:qFormat/>
    <w:uiPriority w:val="0"/>
    <w:pPr>
      <w:pBdr>
        <w:bottom w:val="single" w:color="auto" w:sz="4" w:space="1"/>
      </w:pBdr>
      <w:tabs>
        <w:tab w:val="center" w:pos="4153"/>
        <w:tab w:val="right" w:pos="8306"/>
      </w:tabs>
      <w:adjustRightInd w:val="0"/>
      <w:spacing w:line="240" w:lineRule="auto"/>
      <w:ind w:firstLine="880"/>
      <w:jc w:val="center"/>
    </w:pPr>
    <w:rPr>
      <w:rFonts w:ascii="Calibri" w:hAnsi="Calibri" w:cs="Times New Roman"/>
      <w:sz w:val="18"/>
      <w:szCs w:val="18"/>
    </w:rPr>
  </w:style>
  <w:style w:type="paragraph" w:styleId="23">
    <w:name w:val="toc 1"/>
    <w:basedOn w:val="1"/>
    <w:next w:val="1"/>
    <w:unhideWhenUsed/>
    <w:qFormat/>
    <w:uiPriority w:val="39"/>
    <w:pPr>
      <w:tabs>
        <w:tab w:val="right" w:leader="dot" w:pos="8296"/>
      </w:tabs>
      <w:ind w:firstLine="0" w:firstLineChars="0"/>
    </w:pPr>
    <w:rPr>
      <w:b/>
    </w:rPr>
  </w:style>
  <w:style w:type="paragraph" w:styleId="24">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szCs w:val="22"/>
    </w:rPr>
  </w:style>
  <w:style w:type="paragraph" w:styleId="25">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szCs w:val="22"/>
    </w:rPr>
  </w:style>
  <w:style w:type="paragraph" w:styleId="26">
    <w:name w:val="toc 2"/>
    <w:basedOn w:val="1"/>
    <w:next w:val="1"/>
    <w:unhideWhenUsed/>
    <w:qFormat/>
    <w:uiPriority w:val="39"/>
    <w:pPr>
      <w:tabs>
        <w:tab w:val="right" w:leader="dot" w:pos="8296"/>
      </w:tabs>
      <w:ind w:left="480" w:leftChars="200" w:firstLine="0" w:firstLineChars="0"/>
    </w:pPr>
  </w:style>
  <w:style w:type="paragraph" w:styleId="27">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szCs w:val="22"/>
    </w:rPr>
  </w:style>
  <w:style w:type="paragraph" w:styleId="28">
    <w:name w:val="annotation subject"/>
    <w:basedOn w:val="13"/>
    <w:next w:val="13"/>
    <w:link w:val="68"/>
    <w:semiHidden/>
    <w:unhideWhenUsed/>
    <w:qFormat/>
    <w:uiPriority w:val="99"/>
    <w:rPr>
      <w:b/>
      <w:bCs/>
    </w:rPr>
  </w:style>
  <w:style w:type="paragraph" w:styleId="29">
    <w:name w:val="Body Text First Indent 2"/>
    <w:basedOn w:val="15"/>
    <w:qFormat/>
    <w:uiPriority w:val="99"/>
    <w:pPr>
      <w:ind w:left="0" w:leftChars="0" w:firstLine="0" w:firstLineChars="0"/>
    </w:pPr>
  </w:style>
  <w:style w:type="table" w:styleId="31">
    <w:name w:val="Table Grid"/>
    <w:basedOn w:val="30"/>
    <w:qFormat/>
    <w:uiPriority w:val="39"/>
    <w:pPr>
      <w:spacing w:before="20" w:beforeLines="20" w:after="20" w:afterLines="20"/>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styleId="33">
    <w:name w:val="endnote reference"/>
    <w:basedOn w:val="32"/>
    <w:semiHidden/>
    <w:unhideWhenUsed/>
    <w:qFormat/>
    <w:uiPriority w:val="99"/>
    <w:rPr>
      <w:vertAlign w:val="superscript"/>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styleId="35">
    <w:name w:val="annotation reference"/>
    <w:basedOn w:val="32"/>
    <w:semiHidden/>
    <w:unhideWhenUsed/>
    <w:qFormat/>
    <w:uiPriority w:val="99"/>
    <w:rPr>
      <w:sz w:val="21"/>
      <w:szCs w:val="21"/>
    </w:rPr>
  </w:style>
  <w:style w:type="paragraph" w:customStyle="1" w:styleId="36">
    <w:name w:val="表格"/>
    <w:basedOn w:val="1"/>
    <w:qFormat/>
    <w:uiPriority w:val="0"/>
    <w:pPr>
      <w:spacing w:before="65" w:beforeLines="20" w:after="65" w:afterLines="20" w:line="240" w:lineRule="auto"/>
      <w:ind w:firstLine="0" w:firstLineChars="0"/>
      <w:jc w:val="center"/>
    </w:pPr>
    <w:rPr>
      <w:rFonts w:cs="Times New Roman"/>
      <w:sz w:val="21"/>
    </w:rPr>
  </w:style>
  <w:style w:type="paragraph" w:customStyle="1" w:styleId="37">
    <w:name w:val="！正文"/>
    <w:basedOn w:val="1"/>
    <w:qFormat/>
    <w:uiPriority w:val="0"/>
    <w:rPr>
      <w:rFonts w:cs="Times New Roman"/>
      <w:szCs w:val="22"/>
    </w:rPr>
  </w:style>
  <w:style w:type="character" w:customStyle="1" w:styleId="38">
    <w:name w:val="标题 1 字符"/>
    <w:basedOn w:val="32"/>
    <w:link w:val="2"/>
    <w:qFormat/>
    <w:uiPriority w:val="9"/>
    <w:rPr>
      <w:rFonts w:eastAsia="宋体" w:asciiTheme="majorHAnsi" w:hAnsiTheme="majorHAnsi" w:cstheme="majorBidi"/>
      <w:b/>
      <w:bCs/>
      <w:sz w:val="30"/>
      <w:szCs w:val="32"/>
    </w:rPr>
  </w:style>
  <w:style w:type="character" w:customStyle="1" w:styleId="39">
    <w:name w:val="标题 2 字符"/>
    <w:basedOn w:val="32"/>
    <w:link w:val="3"/>
    <w:qFormat/>
    <w:uiPriority w:val="9"/>
    <w:rPr>
      <w:rFonts w:ascii="Times New Roman" w:hAnsi="Times New Roman" w:eastAsia="宋体" w:cstheme="majorBidi"/>
      <w:b/>
      <w:bCs/>
      <w:sz w:val="28"/>
      <w:szCs w:val="32"/>
    </w:rPr>
  </w:style>
  <w:style w:type="character" w:customStyle="1" w:styleId="40">
    <w:name w:val="标题 3 字符"/>
    <w:basedOn w:val="32"/>
    <w:link w:val="4"/>
    <w:qFormat/>
    <w:uiPriority w:val="9"/>
    <w:rPr>
      <w:rFonts w:ascii="Times New Roman" w:hAnsi="Times New Roman" w:eastAsia="宋体" w:cstheme="majorBidi"/>
      <w:b/>
      <w:bCs/>
      <w:sz w:val="28"/>
      <w:szCs w:val="32"/>
    </w:rPr>
  </w:style>
  <w:style w:type="character" w:customStyle="1" w:styleId="41">
    <w:name w:val="页脚 字符"/>
    <w:basedOn w:val="32"/>
    <w:link w:val="21"/>
    <w:qFormat/>
    <w:uiPriority w:val="99"/>
    <w:rPr>
      <w:rFonts w:ascii="Calibri" w:hAnsi="Calibri" w:eastAsia="宋体" w:cs="Times New Roman"/>
      <w:sz w:val="18"/>
      <w:szCs w:val="18"/>
    </w:rPr>
  </w:style>
  <w:style w:type="character" w:customStyle="1" w:styleId="42">
    <w:name w:val="页眉 字符"/>
    <w:basedOn w:val="32"/>
    <w:link w:val="22"/>
    <w:qFormat/>
    <w:uiPriority w:val="0"/>
    <w:rPr>
      <w:rFonts w:ascii="Calibri" w:hAnsi="Calibri" w:eastAsia="宋体" w:cs="Times New Roman"/>
      <w:kern w:val="2"/>
      <w:sz w:val="18"/>
      <w:szCs w:val="18"/>
    </w:rPr>
  </w:style>
  <w:style w:type="paragraph" w:customStyle="1" w:styleId="43">
    <w:name w:val="TOC 标题1"/>
    <w:basedOn w:val="2"/>
    <w:next w:val="1"/>
    <w:unhideWhenUsed/>
    <w:qFormat/>
    <w:uiPriority w:val="39"/>
    <w:pPr>
      <w:widowControl/>
      <w:numPr>
        <w:numId w:val="0"/>
      </w:numPr>
      <w:spacing w:before="240" w:line="259" w:lineRule="auto"/>
      <w:jc w:val="left"/>
      <w:outlineLvl w:val="9"/>
    </w:pPr>
    <w:rPr>
      <w:rFonts w:eastAsiaTheme="majorEastAsia"/>
      <w:b w:val="0"/>
      <w:bCs w:val="0"/>
      <w:color w:val="2E75B6" w:themeColor="accent1" w:themeShade="BF"/>
      <w:kern w:val="0"/>
    </w:rPr>
  </w:style>
  <w:style w:type="paragraph" w:customStyle="1" w:styleId="44">
    <w:name w:val="列表段落1"/>
    <w:basedOn w:val="1"/>
    <w:link w:val="79"/>
    <w:qFormat/>
    <w:uiPriority w:val="0"/>
    <w:pPr>
      <w:adjustRightInd w:val="0"/>
      <w:ind w:firstLine="420"/>
    </w:pPr>
    <w:rPr>
      <w:rFonts w:cs="Times New Roman"/>
      <w:szCs w:val="22"/>
    </w:rPr>
  </w:style>
  <w:style w:type="paragraph" w:styleId="45">
    <w:name w:val="List Paragraph"/>
    <w:basedOn w:val="1"/>
    <w:qFormat/>
    <w:uiPriority w:val="34"/>
  </w:style>
  <w:style w:type="character" w:customStyle="1" w:styleId="46">
    <w:name w:val="标题 4 字符"/>
    <w:basedOn w:val="32"/>
    <w:link w:val="5"/>
    <w:qFormat/>
    <w:uiPriority w:val="9"/>
    <w:rPr>
      <w:rFonts w:ascii="Times New Roman" w:hAnsi="Times New Roman" w:eastAsia="宋体" w:cstheme="majorBidi"/>
      <w:b/>
      <w:bCs/>
      <w:kern w:val="2"/>
      <w:sz w:val="28"/>
      <w:szCs w:val="28"/>
    </w:rPr>
  </w:style>
  <w:style w:type="character" w:customStyle="1" w:styleId="47">
    <w:name w:val="标题 5 字符"/>
    <w:basedOn w:val="32"/>
    <w:link w:val="6"/>
    <w:semiHidden/>
    <w:qFormat/>
    <w:uiPriority w:val="9"/>
    <w:rPr>
      <w:rFonts w:ascii="Times New Roman" w:hAnsi="Times New Roman" w:eastAsia="宋体"/>
      <w:b/>
      <w:bCs/>
      <w:sz w:val="28"/>
      <w:szCs w:val="28"/>
    </w:rPr>
  </w:style>
  <w:style w:type="character" w:customStyle="1" w:styleId="48">
    <w:name w:val="标题 6 字符"/>
    <w:basedOn w:val="32"/>
    <w:link w:val="7"/>
    <w:semiHidden/>
    <w:qFormat/>
    <w:uiPriority w:val="9"/>
    <w:rPr>
      <w:rFonts w:asciiTheme="majorHAnsi" w:hAnsiTheme="majorHAnsi" w:eastAsiaTheme="majorEastAsia" w:cstheme="majorBidi"/>
      <w:b/>
      <w:bCs/>
      <w:sz w:val="24"/>
      <w:szCs w:val="24"/>
    </w:rPr>
  </w:style>
  <w:style w:type="character" w:customStyle="1" w:styleId="49">
    <w:name w:val="标题 7 字符"/>
    <w:basedOn w:val="32"/>
    <w:link w:val="8"/>
    <w:semiHidden/>
    <w:qFormat/>
    <w:uiPriority w:val="9"/>
    <w:rPr>
      <w:rFonts w:ascii="Times New Roman" w:hAnsi="Times New Roman" w:eastAsia="宋体"/>
      <w:b/>
      <w:bCs/>
      <w:sz w:val="24"/>
      <w:szCs w:val="24"/>
    </w:rPr>
  </w:style>
  <w:style w:type="character" w:customStyle="1" w:styleId="50">
    <w:name w:val="标题 8 字符"/>
    <w:basedOn w:val="32"/>
    <w:link w:val="9"/>
    <w:semiHidden/>
    <w:qFormat/>
    <w:uiPriority w:val="9"/>
    <w:rPr>
      <w:rFonts w:asciiTheme="majorHAnsi" w:hAnsiTheme="majorHAnsi" w:eastAsiaTheme="majorEastAsia" w:cstheme="majorBidi"/>
      <w:sz w:val="24"/>
      <w:szCs w:val="24"/>
    </w:rPr>
  </w:style>
  <w:style w:type="character" w:customStyle="1" w:styleId="51">
    <w:name w:val="标题 9 字符"/>
    <w:basedOn w:val="32"/>
    <w:link w:val="10"/>
    <w:semiHidden/>
    <w:qFormat/>
    <w:uiPriority w:val="9"/>
    <w:rPr>
      <w:rFonts w:asciiTheme="majorHAnsi" w:hAnsiTheme="majorHAnsi" w:eastAsiaTheme="majorEastAsia" w:cstheme="majorBidi"/>
    </w:rPr>
  </w:style>
  <w:style w:type="character" w:customStyle="1" w:styleId="52">
    <w:name w:val="正文文本 字符"/>
    <w:link w:val="14"/>
    <w:qFormat/>
    <w:uiPriority w:val="1"/>
    <w:rPr>
      <w:rFonts w:ascii="宋体" w:hAnsi="宋体" w:cs="宋体"/>
      <w:sz w:val="24"/>
      <w:szCs w:val="24"/>
      <w:lang w:eastAsia="en-US"/>
    </w:rPr>
  </w:style>
  <w:style w:type="character" w:customStyle="1" w:styleId="53">
    <w:name w:val="正文文本 字符1"/>
    <w:basedOn w:val="32"/>
    <w:semiHidden/>
    <w:qFormat/>
    <w:uiPriority w:val="99"/>
    <w:rPr>
      <w:rFonts w:ascii="Times New Roman" w:hAnsi="Times New Roman" w:eastAsia="宋体"/>
      <w:sz w:val="24"/>
    </w:rPr>
  </w:style>
  <w:style w:type="paragraph" w:customStyle="1" w:styleId="54">
    <w:name w:val="Table Paragraph"/>
    <w:basedOn w:val="1"/>
    <w:qFormat/>
    <w:uiPriority w:val="0"/>
    <w:pPr>
      <w:spacing w:line="240" w:lineRule="auto"/>
      <w:ind w:firstLine="0" w:firstLineChars="0"/>
      <w:jc w:val="center"/>
    </w:pPr>
    <w:rPr>
      <w:rFonts w:ascii="Calibri" w:hAnsi="Calibri" w:cs="Times New Roman"/>
      <w:sz w:val="21"/>
    </w:rPr>
  </w:style>
  <w:style w:type="character" w:customStyle="1" w:styleId="55">
    <w:name w:val="尾注文本 字符"/>
    <w:basedOn w:val="32"/>
    <w:link w:val="19"/>
    <w:semiHidden/>
    <w:qFormat/>
    <w:uiPriority w:val="99"/>
    <w:rPr>
      <w:rFonts w:ascii="Times New Roman" w:hAnsi="Times New Roman" w:eastAsia="宋体"/>
      <w:sz w:val="24"/>
    </w:rPr>
  </w:style>
  <w:style w:type="character" w:customStyle="1" w:styleId="56">
    <w:name w:val="批注框文本 字符"/>
    <w:basedOn w:val="32"/>
    <w:link w:val="20"/>
    <w:semiHidden/>
    <w:qFormat/>
    <w:uiPriority w:val="99"/>
    <w:rPr>
      <w:rFonts w:ascii="Times New Roman" w:hAnsi="Times New Roman" w:eastAsia="宋体"/>
      <w:sz w:val="18"/>
      <w:szCs w:val="18"/>
    </w:rPr>
  </w:style>
  <w:style w:type="table" w:customStyle="1" w:styleId="57">
    <w:name w:val="网格型1"/>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2"/>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3"/>
    <w:basedOn w:val="30"/>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4"/>
    <w:basedOn w:val="30"/>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Table Normal"/>
    <w:semiHidden/>
    <w:unhideWhenUsed/>
    <w:qFormat/>
    <w:uiPriority w:val="0"/>
    <w:rPr>
      <w:rFonts w:ascii="Arial" w:hAnsi="Arial" w:cs="Arial"/>
      <w:snapToGrid w:val="0"/>
      <w:color w:val="000000"/>
    </w:rPr>
    <w:tblPr>
      <w:tblCellMar>
        <w:top w:w="0" w:type="dxa"/>
        <w:left w:w="0" w:type="dxa"/>
        <w:bottom w:w="0" w:type="dxa"/>
        <w:right w:w="0" w:type="dxa"/>
      </w:tblCellMar>
    </w:tblPr>
  </w:style>
  <w:style w:type="table" w:customStyle="1" w:styleId="62">
    <w:name w:val="网格型5"/>
    <w:basedOn w:val="30"/>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6"/>
    <w:basedOn w:val="30"/>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7"/>
    <w:basedOn w:val="30"/>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5">
    <w:name w:val="表格内容"/>
    <w:link w:val="66"/>
    <w:qFormat/>
    <w:uiPriority w:val="0"/>
    <w:pPr>
      <w:adjustRightInd w:val="0"/>
      <w:snapToGrid w:val="0"/>
      <w:spacing w:before="20" w:beforeLines="20" w:after="20" w:afterLines="20"/>
      <w:jc w:val="center"/>
    </w:pPr>
    <w:rPr>
      <w:rFonts w:ascii="Times New Roman" w:hAnsi="Times New Roman" w:eastAsia="宋体" w:cs="Arial"/>
      <w:bCs/>
      <w:kern w:val="2"/>
      <w:sz w:val="21"/>
      <w:szCs w:val="22"/>
      <w:lang w:val="en-US" w:eastAsia="zh-CN" w:bidi="ar-SA"/>
    </w:rPr>
  </w:style>
  <w:style w:type="character" w:customStyle="1" w:styleId="66">
    <w:name w:val="表格内容 字符"/>
    <w:basedOn w:val="32"/>
    <w:link w:val="65"/>
    <w:qFormat/>
    <w:uiPriority w:val="0"/>
    <w:rPr>
      <w:rFonts w:ascii="Times New Roman" w:hAnsi="Times New Roman" w:eastAsia="宋体" w:cs="Arial"/>
      <w:bCs/>
      <w:szCs w:val="22"/>
    </w:rPr>
  </w:style>
  <w:style w:type="character" w:customStyle="1" w:styleId="67">
    <w:name w:val="批注文字 字符"/>
    <w:basedOn w:val="32"/>
    <w:link w:val="13"/>
    <w:semiHidden/>
    <w:qFormat/>
    <w:uiPriority w:val="99"/>
    <w:rPr>
      <w:rFonts w:ascii="Times New Roman" w:hAnsi="Times New Roman" w:eastAsia="宋体"/>
      <w:kern w:val="2"/>
      <w:sz w:val="24"/>
      <w:szCs w:val="21"/>
    </w:rPr>
  </w:style>
  <w:style w:type="character" w:customStyle="1" w:styleId="68">
    <w:name w:val="批注主题 字符"/>
    <w:basedOn w:val="67"/>
    <w:link w:val="28"/>
    <w:semiHidden/>
    <w:qFormat/>
    <w:uiPriority w:val="99"/>
    <w:rPr>
      <w:rFonts w:ascii="Times New Roman" w:hAnsi="Times New Roman" w:eastAsia="宋体"/>
      <w:b/>
      <w:bCs/>
      <w:kern w:val="2"/>
      <w:sz w:val="24"/>
      <w:szCs w:val="21"/>
    </w:rPr>
  </w:style>
  <w:style w:type="table" w:customStyle="1" w:styleId="69">
    <w:name w:val="网格型8"/>
    <w:basedOn w:val="30"/>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网格型9"/>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10"/>
    <w:basedOn w:val="30"/>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11"/>
    <w:basedOn w:val="30"/>
    <w:qFormat/>
    <w:uiPriority w:val="39"/>
    <w:pPr>
      <w:spacing w:before="20" w:beforeLines="20" w:after="20" w:afterLines="20"/>
    </w:pPr>
    <w:rPr>
      <w:rFonts w:cstheme="minorBid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73">
    <w:name w:val="题注 字符"/>
    <w:link w:val="12"/>
    <w:qFormat/>
    <w:uiPriority w:val="35"/>
    <w:rPr>
      <w:rFonts w:cstheme="majorBidi"/>
      <w:b/>
      <w:sz w:val="21"/>
      <w:szCs w:val="20"/>
    </w:rPr>
  </w:style>
  <w:style w:type="table" w:customStyle="1" w:styleId="74">
    <w:name w:val="表环评格式11"/>
    <w:qFormat/>
    <w:uiPriority w:val="59"/>
    <w:pPr>
      <w:adjustRightInd w:val="0"/>
      <w:snapToGrid w:val="0"/>
      <w:spacing w:beforeLines="20" w:afterLines="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75">
    <w:name w:val="工作表格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
    <w:name w:val="网格型刘4"/>
    <w:qFormat/>
    <w:uiPriority w:val="0"/>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
    <w:name w:val="网格型刘26"/>
    <w:qFormat/>
    <w:uiPriority w:val="59"/>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
    <w:name w:val="网格型刘33"/>
    <w:qFormat/>
    <w:uiPriority w:val="59"/>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9">
    <w:name w:val="列表段落1 Char"/>
    <w:link w:val="44"/>
    <w:qFormat/>
    <w:uiPriority w:val="0"/>
    <w:rPr>
      <w:rFonts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5.png"/><Relationship Id="rId6" Type="http://schemas.openxmlformats.org/officeDocument/2006/relationships/header" Target="head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1.xml"/><Relationship Id="rId49" Type="http://schemas.openxmlformats.org/officeDocument/2006/relationships/image" Target="media/image24.png"/><Relationship Id="rId48" Type="http://schemas.openxmlformats.org/officeDocument/2006/relationships/image" Target="media/image23.wmf"/><Relationship Id="rId47" Type="http://schemas.openxmlformats.org/officeDocument/2006/relationships/oleObject" Target="embeddings/oleObject9.bin"/><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wmf"/><Relationship Id="rId42" Type="http://schemas.openxmlformats.org/officeDocument/2006/relationships/oleObject" Target="embeddings/oleObject8.bin"/><Relationship Id="rId41" Type="http://schemas.openxmlformats.org/officeDocument/2006/relationships/image" Target="media/image18.wmf"/><Relationship Id="rId40" Type="http://schemas.openxmlformats.org/officeDocument/2006/relationships/oleObject" Target="embeddings/oleObject7.bin"/><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oleObject" Target="embeddings/oleObject6.bin"/><Relationship Id="rId37" Type="http://schemas.openxmlformats.org/officeDocument/2006/relationships/image" Target="media/image16.wmf"/><Relationship Id="rId36" Type="http://schemas.openxmlformats.org/officeDocument/2006/relationships/oleObject" Target="embeddings/oleObject5.bin"/><Relationship Id="rId35" Type="http://schemas.openxmlformats.org/officeDocument/2006/relationships/image" Target="media/image15.emf"/><Relationship Id="rId34" Type="http://schemas.openxmlformats.org/officeDocument/2006/relationships/oleObject" Target="embeddings/Microsoft_Visio_2003-2010___3.vsd"/><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emf"/><Relationship Id="rId27" Type="http://schemas.openxmlformats.org/officeDocument/2006/relationships/oleObject" Target="embeddings/Microsoft_Visio_2003-2010___2.vsd"/><Relationship Id="rId26" Type="http://schemas.openxmlformats.org/officeDocument/2006/relationships/image" Target="media/image8.emf"/><Relationship Id="rId25" Type="http://schemas.openxmlformats.org/officeDocument/2006/relationships/oleObject" Target="embeddings/Microsoft_Visio_2003-2010___1.vsd"/><Relationship Id="rId24" Type="http://schemas.openxmlformats.org/officeDocument/2006/relationships/image" Target="media/image7.png"/><Relationship Id="rId23" Type="http://schemas.openxmlformats.org/officeDocument/2006/relationships/image" Target="media/image6.wmf"/><Relationship Id="rId22" Type="http://schemas.openxmlformats.org/officeDocument/2006/relationships/oleObject" Target="embeddings/oleObject4.bin"/><Relationship Id="rId21" Type="http://schemas.openxmlformats.org/officeDocument/2006/relationships/image" Target="media/image5.jpe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oleObject" Target="embeddings/oleObject2.bin"/><Relationship Id="rId17" Type="http://schemas.openxmlformats.org/officeDocument/2006/relationships/image" Target="media/image3.jpeg"/><Relationship Id="rId16" Type="http://schemas.openxmlformats.org/officeDocument/2006/relationships/image" Target="media/image2.wmf"/><Relationship Id="rId15" Type="http://schemas.openxmlformats.org/officeDocument/2006/relationships/oleObject" Target="embeddings/oleObject1.bin"/><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233</Pages>
  <Words>157864</Words>
  <Characters>172488</Characters>
  <Lines>8752</Lines>
  <Paragraphs>8319</Paragraphs>
  <TotalTime>17</TotalTime>
  <ScaleCrop>false</ScaleCrop>
  <LinksUpToDate>false</LinksUpToDate>
  <CharactersWithSpaces>173427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2023-10-23T05:38:00Z</dcterms:created>
  <dc:creator>Administrator</dc:creator>
  <cp:lastModifiedBy>Administrator</cp:lastModifiedBy>
  <dcterms:modified xsi:type="dcterms:W3CDTF">2025-10-31T08:50:00Z</dcterms:modified>
  <cp:revision>502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8A4100D023544D9FB473619FF82D069E</vt:lpwstr>
  </property>
  <property fmtid="{D5CDD505-2E9C-101B-9397-08002B2CF9AE}" pid="4" name="KSOTemplateDocerSaveRecord">
    <vt:lpwstr>eyJoZGlkIjoiNGY5NTkxN2M3YTVlODk5NWE4ZDNmNjQwZGIwOWI5YTgiLCJ1c2VySWQiOiIyNTY0Mjg5OTYifQ==</vt:lpwstr>
  </property>
</Properties>
</file>