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（二十一）卫生健康领域基层政务公开标准目录</w:t>
      </w:r>
    </w:p>
    <w:tbl>
      <w:tblPr>
        <w:tblStyle w:val="3"/>
        <w:tblW w:w="0" w:type="auto"/>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540"/>
        <w:gridCol w:w="1"/>
        <w:gridCol w:w="718"/>
        <w:gridCol w:w="1"/>
        <w:gridCol w:w="1188"/>
        <w:gridCol w:w="3"/>
        <w:gridCol w:w="3255"/>
        <w:gridCol w:w="6"/>
        <w:gridCol w:w="2676"/>
        <w:gridCol w:w="3"/>
        <w:gridCol w:w="1434"/>
        <w:gridCol w:w="3"/>
        <w:gridCol w:w="720"/>
        <w:gridCol w:w="2"/>
        <w:gridCol w:w="1071"/>
        <w:gridCol w:w="7"/>
        <w:gridCol w:w="720"/>
        <w:gridCol w:w="1"/>
        <w:gridCol w:w="719"/>
        <w:gridCol w:w="8"/>
        <w:gridCol w:w="585"/>
        <w:gridCol w:w="3"/>
        <w:gridCol w:w="710"/>
        <w:gridCol w:w="10"/>
        <w:gridCol w:w="534"/>
        <w:gridCol w:w="6"/>
        <w:gridCol w:w="66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08" w:type="dxa"/>
            <w:gridSpan w:val="4"/>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64" w:type="dxa"/>
            <w:gridSpan w:val="3"/>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7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gridSpan w:val="3"/>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gridSpan w:val="3"/>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3"/>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5"/>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3"/>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widowControl/>
              <w:jc w:val="left"/>
              <w:rPr>
                <w:rFonts w:ascii="Times New Roman" w:hAnsi="Times New Roman"/>
                <w:color w:val="000000"/>
                <w:kern w:val="0"/>
                <w:sz w:val="22"/>
              </w:rPr>
            </w:pPr>
          </w:p>
        </w:tc>
        <w:tc>
          <w:tcPr>
            <w:tcW w:w="720" w:type="dxa"/>
            <w:gridSpan w:val="3"/>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64" w:type="dxa"/>
            <w:gridSpan w:val="3"/>
            <w:vMerge w:val="continue"/>
            <w:noWrap w:val="0"/>
            <w:vAlign w:val="center"/>
          </w:tcPr>
          <w:p>
            <w:pPr>
              <w:widowControl/>
              <w:jc w:val="left"/>
              <w:rPr>
                <w:rFonts w:ascii="黑体" w:hAnsi="宋体" w:eastAsia="黑体" w:cs="宋体"/>
                <w:color w:val="000000"/>
                <w:kern w:val="0"/>
                <w:sz w:val="22"/>
              </w:rPr>
            </w:pPr>
          </w:p>
        </w:tc>
        <w:tc>
          <w:tcPr>
            <w:tcW w:w="2676" w:type="dxa"/>
            <w:vMerge w:val="continue"/>
            <w:noWrap w:val="0"/>
            <w:vAlign w:val="center"/>
          </w:tcPr>
          <w:p>
            <w:pPr>
              <w:widowControl/>
              <w:jc w:val="left"/>
              <w:rPr>
                <w:rFonts w:ascii="黑体" w:hAnsi="宋体" w:eastAsia="黑体" w:cs="宋体"/>
                <w:color w:val="000000"/>
                <w:kern w:val="0"/>
                <w:sz w:val="22"/>
              </w:rPr>
            </w:pPr>
          </w:p>
        </w:tc>
        <w:tc>
          <w:tcPr>
            <w:tcW w:w="1440" w:type="dxa"/>
            <w:gridSpan w:val="3"/>
            <w:vMerge w:val="continue"/>
            <w:noWrap w:val="0"/>
            <w:vAlign w:val="center"/>
          </w:tcPr>
          <w:p>
            <w:pPr>
              <w:widowControl/>
              <w:jc w:val="left"/>
              <w:rPr>
                <w:rFonts w:ascii="黑体" w:hAnsi="宋体" w:eastAsia="黑体" w:cs="宋体"/>
                <w:color w:val="000000"/>
                <w:kern w:val="0"/>
                <w:sz w:val="22"/>
              </w:rPr>
            </w:pPr>
          </w:p>
        </w:tc>
        <w:tc>
          <w:tcPr>
            <w:tcW w:w="720" w:type="dxa"/>
            <w:vMerge w:val="continue"/>
            <w:noWrap w:val="0"/>
            <w:vAlign w:val="center"/>
          </w:tcPr>
          <w:p>
            <w:pPr>
              <w:widowControl/>
              <w:jc w:val="left"/>
              <w:rPr>
                <w:rFonts w:ascii="黑体" w:hAnsi="宋体" w:eastAsia="黑体" w:cs="宋体"/>
                <w:color w:val="000000"/>
                <w:kern w:val="0"/>
                <w:sz w:val="22"/>
              </w:rPr>
            </w:pPr>
          </w:p>
        </w:tc>
        <w:tc>
          <w:tcPr>
            <w:tcW w:w="1080" w:type="dxa"/>
            <w:gridSpan w:val="3"/>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gridSpan w:val="3"/>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720" w:type="dxa"/>
            <w:gridSpan w:val="3"/>
            <w:vMerge w:val="restart"/>
            <w:noWrap w:val="0"/>
            <w:vAlign w:val="center"/>
          </w:tcPr>
          <w:p>
            <w:pPr>
              <w:jc w:val="center"/>
              <w:rPr>
                <w:rFonts w:hint="eastAsia" w:ascii="仿宋_GB2312" w:hAnsi="宋体" w:eastAsia="仿宋_GB2312" w:cs="宋体"/>
                <w:bCs/>
                <w:color w:val="000000"/>
                <w:sz w:val="18"/>
                <w:szCs w:val="18"/>
              </w:rPr>
            </w:pPr>
            <w:r>
              <w:rPr>
                <w:rFonts w:hint="eastAsia" w:ascii="仿宋_GB2312" w:hAnsi="宋体" w:eastAsia="仿宋_GB2312"/>
                <w:bCs/>
                <w:color w:val="000000"/>
                <w:sz w:val="18"/>
                <w:szCs w:val="18"/>
              </w:rPr>
              <w:t>行政许可类事项</w:t>
            </w:r>
          </w:p>
        </w:tc>
        <w:tc>
          <w:tcPr>
            <w:tcW w:w="1188"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3264" w:type="dxa"/>
            <w:gridSpan w:val="3"/>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440" w:type="dxa"/>
            <w:gridSpan w:val="3"/>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720" w:type="dxa"/>
            <w:gridSpan w:val="3"/>
            <w:vMerge w:val="continue"/>
            <w:noWrap w:val="0"/>
            <w:vAlign w:val="center"/>
          </w:tcPr>
          <w:p>
            <w:pPr>
              <w:rPr>
                <w:rFonts w:hint="eastAsia" w:ascii="仿宋_GB2312" w:hAnsi="宋体" w:eastAsia="仿宋_GB2312" w:cs="宋体"/>
                <w:bCs/>
                <w:color w:val="000000"/>
                <w:sz w:val="18"/>
                <w:szCs w:val="18"/>
              </w:rPr>
            </w:pPr>
          </w:p>
        </w:tc>
        <w:tc>
          <w:tcPr>
            <w:tcW w:w="1188" w:type="dxa"/>
            <w:vMerge w:val="continue"/>
            <w:noWrap w:val="0"/>
            <w:vAlign w:val="center"/>
          </w:tcPr>
          <w:p>
            <w:pPr>
              <w:rPr>
                <w:rFonts w:hint="eastAsia" w:ascii="仿宋_GB2312" w:hAnsi="宋体" w:eastAsia="仿宋_GB2312" w:cs="宋体"/>
                <w:color w:val="000000"/>
                <w:sz w:val="18"/>
                <w:szCs w:val="18"/>
              </w:rPr>
            </w:pPr>
          </w:p>
        </w:tc>
        <w:tc>
          <w:tcPr>
            <w:tcW w:w="3264" w:type="dxa"/>
            <w:gridSpan w:val="3"/>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结果信息——母婴保健技术服务执业许可证信息</w:t>
            </w:r>
          </w:p>
        </w:tc>
        <w:tc>
          <w:tcPr>
            <w:tcW w:w="2676" w:type="dxa"/>
            <w:vMerge w:val="continue"/>
            <w:noWrap w:val="0"/>
            <w:vAlign w:val="center"/>
          </w:tcPr>
          <w:p>
            <w:pPr>
              <w:rPr>
                <w:rFonts w:hint="eastAsia" w:ascii="仿宋_GB2312" w:hAnsi="宋体" w:eastAsia="仿宋_GB2312" w:cs="宋体"/>
                <w:color w:val="000000"/>
                <w:sz w:val="18"/>
                <w:szCs w:val="18"/>
              </w:rPr>
            </w:pPr>
          </w:p>
        </w:tc>
        <w:tc>
          <w:tcPr>
            <w:tcW w:w="1440" w:type="dxa"/>
            <w:gridSpan w:val="3"/>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Height w:val="3109" w:hRule="atLeas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gridSpan w:val="3"/>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母婴保健服务人员资格认定（包括计划生育技术服务人员合格证）（权限内）</w:t>
            </w: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p>
            <w:pPr>
              <w:rPr>
                <w:rFonts w:ascii="仿宋_GB2312" w:hAnsi="宋体" w:eastAsia="仿宋_GB2312"/>
                <w:color w:val="000000"/>
                <w:sz w:val="18"/>
                <w:szCs w:val="18"/>
              </w:rPr>
            </w:pPr>
          </w:p>
        </w:tc>
        <w:tc>
          <w:tcPr>
            <w:tcW w:w="267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44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rPr>
                <w:rFonts w:ascii="仿宋_GB2312" w:hAnsi="宋体" w:eastAsia="仿宋_GB2312"/>
                <w:color w:val="000000"/>
                <w:sz w:val="18"/>
                <w:szCs w:val="18"/>
              </w:rPr>
            </w:pPr>
          </w:p>
        </w:tc>
        <w:tc>
          <w:tcPr>
            <w:tcW w:w="720" w:type="dxa"/>
            <w:gridSpan w:val="3"/>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676" w:type="dxa"/>
            <w:vMerge w:val="continue"/>
            <w:noWrap w:val="0"/>
            <w:vAlign w:val="center"/>
          </w:tcPr>
          <w:p>
            <w:pPr>
              <w:rPr>
                <w:rFonts w:ascii="仿宋_GB2312" w:hAnsi="宋体" w:eastAsia="仿宋_GB2312"/>
                <w:color w:val="000000"/>
                <w:sz w:val="18"/>
                <w:szCs w:val="18"/>
              </w:rPr>
            </w:pPr>
          </w:p>
        </w:tc>
        <w:tc>
          <w:tcPr>
            <w:tcW w:w="144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gridSpan w:val="3"/>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医疗机构设置审批（含港澳台，外商独资除外）（权限内）</w:t>
            </w: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《行政许可法》、《中医药法》、《医疗机构管理条例》、《国务院关于取消和下放50项行政审批项目等事项的决定》、《医疗机构管理条例实施细则》、《医疗美容服务管理办法》</w:t>
            </w:r>
          </w:p>
        </w:tc>
        <w:tc>
          <w:tcPr>
            <w:tcW w:w="144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rPr>
                <w:rFonts w:ascii="仿宋_GB2312" w:hAnsi="宋体" w:eastAsia="仿宋_GB2312"/>
                <w:color w:val="000000"/>
                <w:sz w:val="18"/>
                <w:szCs w:val="18"/>
              </w:rPr>
            </w:pPr>
          </w:p>
        </w:tc>
        <w:tc>
          <w:tcPr>
            <w:tcW w:w="720" w:type="dxa"/>
            <w:gridSpan w:val="3"/>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结果信息——设置审批结果信息</w:t>
            </w:r>
          </w:p>
        </w:tc>
        <w:tc>
          <w:tcPr>
            <w:tcW w:w="2676" w:type="dxa"/>
            <w:vMerge w:val="continue"/>
            <w:noWrap w:val="0"/>
            <w:vAlign w:val="center"/>
          </w:tcPr>
          <w:p>
            <w:pPr>
              <w:rPr>
                <w:rFonts w:ascii="仿宋_GB2312" w:hAnsi="宋体" w:eastAsia="仿宋_GB2312"/>
                <w:color w:val="000000"/>
                <w:sz w:val="18"/>
                <w:szCs w:val="18"/>
              </w:rPr>
            </w:pPr>
          </w:p>
        </w:tc>
        <w:tc>
          <w:tcPr>
            <w:tcW w:w="144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gridSpan w:val="3"/>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《行政许可法》、《医疗机构管理条例》、《医疗机构管理条例实施细则》、《医疗美容服务管理办法》</w:t>
            </w:r>
          </w:p>
        </w:tc>
        <w:tc>
          <w:tcPr>
            <w:tcW w:w="144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rPr>
                <w:rFonts w:ascii="仿宋_GB2312" w:hAnsi="宋体" w:eastAsia="仿宋_GB2312"/>
                <w:color w:val="000000"/>
                <w:sz w:val="18"/>
                <w:szCs w:val="18"/>
              </w:rPr>
            </w:pPr>
          </w:p>
        </w:tc>
        <w:tc>
          <w:tcPr>
            <w:tcW w:w="720" w:type="dxa"/>
            <w:gridSpan w:val="3"/>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结果信息——医疗机构名称、地址、诊疗科目、法定代表人、主要负责人、登记号、医疗机构执业许可证有效期限、审批机关</w:t>
            </w:r>
          </w:p>
        </w:tc>
        <w:tc>
          <w:tcPr>
            <w:tcW w:w="2676" w:type="dxa"/>
            <w:vMerge w:val="continue"/>
            <w:noWrap w:val="0"/>
            <w:vAlign w:val="center"/>
          </w:tcPr>
          <w:p>
            <w:pPr>
              <w:rPr>
                <w:rFonts w:ascii="仿宋_GB2312" w:hAnsi="宋体" w:eastAsia="仿宋_GB2312"/>
                <w:color w:val="000000"/>
                <w:sz w:val="18"/>
                <w:szCs w:val="18"/>
              </w:rPr>
            </w:pPr>
          </w:p>
        </w:tc>
        <w:tc>
          <w:tcPr>
            <w:tcW w:w="144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gridSpan w:val="3"/>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01 行政许可类事项</w:t>
            </w:r>
          </w:p>
        </w:tc>
        <w:tc>
          <w:tcPr>
            <w:tcW w:w="1188"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《行政许可法》、《执业医师法》、《医师执业注册管理办法》</w:t>
            </w:r>
          </w:p>
        </w:tc>
        <w:tc>
          <w:tcPr>
            <w:tcW w:w="144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rPr>
                <w:rFonts w:ascii="仿宋_GB2312" w:hAnsi="宋体" w:eastAsia="仿宋_GB2312"/>
                <w:color w:val="000000"/>
                <w:sz w:val="18"/>
                <w:szCs w:val="18"/>
              </w:rPr>
            </w:pPr>
          </w:p>
        </w:tc>
        <w:tc>
          <w:tcPr>
            <w:tcW w:w="720" w:type="dxa"/>
            <w:gridSpan w:val="3"/>
            <w:vMerge w:val="continue"/>
            <w:noWrap w:val="0"/>
            <w:vAlign w:val="center"/>
          </w:tcPr>
          <w:p>
            <w:pPr>
              <w:rPr>
                <w:rFonts w:ascii="仿宋_GB2312" w:hAnsi="宋体" w:eastAsia="仿宋_GB2312"/>
                <w:color w:val="000000"/>
                <w:sz w:val="18"/>
                <w:szCs w:val="18"/>
              </w:rPr>
            </w:pPr>
          </w:p>
        </w:tc>
        <w:tc>
          <w:tcPr>
            <w:tcW w:w="1188" w:type="dxa"/>
            <w:vMerge w:val="continue"/>
            <w:noWrap w:val="0"/>
            <w:vAlign w:val="center"/>
          </w:tcPr>
          <w:p>
            <w:pPr>
              <w:rPr>
                <w:rFonts w:ascii="仿宋_GB2312" w:hAnsi="宋体" w:eastAsia="仿宋_GB2312"/>
                <w:color w:val="000000"/>
                <w:sz w:val="18"/>
                <w:szCs w:val="18"/>
              </w:rPr>
            </w:pPr>
          </w:p>
        </w:tc>
        <w:tc>
          <w:tcPr>
            <w:tcW w:w="3264"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676" w:type="dxa"/>
            <w:vMerge w:val="continue"/>
            <w:noWrap w:val="0"/>
            <w:vAlign w:val="center"/>
          </w:tcPr>
          <w:p>
            <w:pPr>
              <w:jc w:val="center"/>
              <w:rPr>
                <w:rFonts w:ascii="仿宋_GB2312" w:hAnsi="宋体" w:eastAsia="仿宋_GB2312"/>
                <w:color w:val="000000"/>
                <w:sz w:val="18"/>
                <w:szCs w:val="18"/>
              </w:rPr>
            </w:pPr>
          </w:p>
        </w:tc>
        <w:tc>
          <w:tcPr>
            <w:tcW w:w="144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gridSpan w:val="3"/>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护士执业注册（权限内）</w:t>
            </w:r>
          </w:p>
        </w:tc>
        <w:tc>
          <w:tcPr>
            <w:tcW w:w="3264"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gridSpan w:val="3"/>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widowControl/>
              <w:jc w:val="left"/>
              <w:rPr>
                <w:rFonts w:ascii="宋体" w:hAnsi="宋体" w:cs="宋体"/>
                <w:color w:val="000000"/>
                <w:kern w:val="0"/>
                <w:sz w:val="18"/>
                <w:szCs w:val="18"/>
              </w:rPr>
            </w:pPr>
          </w:p>
        </w:tc>
        <w:tc>
          <w:tcPr>
            <w:tcW w:w="720" w:type="dxa"/>
            <w:gridSpan w:val="3"/>
            <w:vMerge w:val="continue"/>
            <w:noWrap w:val="0"/>
            <w:vAlign w:val="center"/>
          </w:tcPr>
          <w:p>
            <w:pPr>
              <w:widowControl/>
              <w:jc w:val="left"/>
              <w:rPr>
                <w:rFonts w:ascii="宋体" w:hAnsi="宋体" w:cs="宋体"/>
                <w:bCs/>
                <w:color w:val="000000"/>
                <w:kern w:val="0"/>
                <w:sz w:val="15"/>
                <w:szCs w:val="15"/>
              </w:rPr>
            </w:pPr>
          </w:p>
        </w:tc>
        <w:tc>
          <w:tcPr>
            <w:tcW w:w="1188" w:type="dxa"/>
            <w:vMerge w:val="continue"/>
            <w:noWrap w:val="0"/>
            <w:vAlign w:val="center"/>
          </w:tcPr>
          <w:p>
            <w:pPr>
              <w:widowControl/>
              <w:jc w:val="left"/>
              <w:rPr>
                <w:rFonts w:ascii="宋体" w:hAnsi="宋体" w:cs="宋体"/>
                <w:color w:val="000000"/>
                <w:kern w:val="0"/>
                <w:sz w:val="15"/>
                <w:szCs w:val="15"/>
              </w:rPr>
            </w:pPr>
          </w:p>
        </w:tc>
        <w:tc>
          <w:tcPr>
            <w:tcW w:w="3264"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676" w:type="dxa"/>
            <w:vMerge w:val="continue"/>
            <w:noWrap w:val="0"/>
            <w:vAlign w:val="center"/>
          </w:tcPr>
          <w:p>
            <w:pPr>
              <w:widowControl/>
              <w:jc w:val="left"/>
              <w:rPr>
                <w:rFonts w:ascii="仿宋_GB2312" w:hAnsi="宋体" w:eastAsia="仿宋_GB2312"/>
                <w:color w:val="000000"/>
                <w:sz w:val="18"/>
                <w:szCs w:val="18"/>
              </w:rPr>
            </w:pPr>
          </w:p>
        </w:tc>
        <w:tc>
          <w:tcPr>
            <w:tcW w:w="1440" w:type="dxa"/>
            <w:gridSpan w:val="3"/>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gridSpan w:val="3"/>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3264"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《行政许可法》、《传染病防治法》、《传染病防治法实施办法》、《国务院对确需保留的行政审批项目设定行政许可的决定》、《生活饮用水卫生监督管理办法》</w:t>
            </w:r>
          </w:p>
        </w:tc>
        <w:tc>
          <w:tcPr>
            <w:tcW w:w="1440" w:type="dxa"/>
            <w:gridSpan w:val="3"/>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widowControl/>
              <w:jc w:val="left"/>
              <w:rPr>
                <w:rFonts w:ascii="仿宋_GB2312" w:hAnsi="宋体" w:eastAsia="仿宋_GB2312"/>
                <w:color w:val="000000"/>
                <w:sz w:val="18"/>
                <w:szCs w:val="18"/>
              </w:rPr>
            </w:pPr>
          </w:p>
        </w:tc>
        <w:tc>
          <w:tcPr>
            <w:tcW w:w="720" w:type="dxa"/>
            <w:gridSpan w:val="3"/>
            <w:vMerge w:val="continue"/>
            <w:noWrap w:val="0"/>
            <w:vAlign w:val="center"/>
          </w:tcPr>
          <w:p>
            <w:pPr>
              <w:widowControl/>
              <w:jc w:val="left"/>
              <w:rPr>
                <w:rFonts w:ascii="仿宋_GB2312" w:hAnsi="宋体" w:eastAsia="仿宋_GB2312"/>
                <w:color w:val="000000"/>
                <w:sz w:val="18"/>
                <w:szCs w:val="18"/>
              </w:rPr>
            </w:pPr>
          </w:p>
        </w:tc>
        <w:tc>
          <w:tcPr>
            <w:tcW w:w="1188" w:type="dxa"/>
            <w:vMerge w:val="continue"/>
            <w:noWrap w:val="0"/>
            <w:vAlign w:val="center"/>
          </w:tcPr>
          <w:p>
            <w:pPr>
              <w:widowControl/>
              <w:jc w:val="left"/>
              <w:rPr>
                <w:rFonts w:ascii="仿宋_GB2312" w:hAnsi="宋体" w:eastAsia="仿宋_GB2312"/>
                <w:color w:val="000000"/>
                <w:sz w:val="18"/>
                <w:szCs w:val="18"/>
              </w:rPr>
            </w:pPr>
          </w:p>
        </w:tc>
        <w:tc>
          <w:tcPr>
            <w:tcW w:w="3264"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2676" w:type="dxa"/>
            <w:vMerge w:val="continue"/>
            <w:noWrap w:val="0"/>
            <w:vAlign w:val="center"/>
          </w:tcPr>
          <w:p>
            <w:pPr>
              <w:widowControl/>
              <w:jc w:val="left"/>
              <w:rPr>
                <w:rFonts w:ascii="仿宋_GB2312" w:hAnsi="宋体" w:eastAsia="仿宋_GB2312"/>
                <w:color w:val="000000"/>
                <w:sz w:val="18"/>
                <w:szCs w:val="18"/>
              </w:rPr>
            </w:pPr>
          </w:p>
        </w:tc>
        <w:tc>
          <w:tcPr>
            <w:tcW w:w="1440" w:type="dxa"/>
            <w:gridSpan w:val="3"/>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gridSpan w:val="3"/>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3264" w:type="dxa"/>
            <w:gridSpan w:val="3"/>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gridSpan w:val="3"/>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3264"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2676" w:type="dxa"/>
            <w:vMerge w:val="continue"/>
            <w:noWrap w:val="0"/>
            <w:vAlign w:val="center"/>
          </w:tcPr>
          <w:p>
            <w:pPr>
              <w:widowControl/>
              <w:rPr>
                <w:rFonts w:ascii="仿宋_GB2312" w:hAnsi="宋体" w:eastAsia="仿宋_GB2312"/>
                <w:color w:val="000000"/>
                <w:sz w:val="18"/>
                <w:szCs w:val="18"/>
              </w:rPr>
            </w:pPr>
          </w:p>
        </w:tc>
        <w:tc>
          <w:tcPr>
            <w:tcW w:w="1440"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noWrap w:val="0"/>
            <w:vAlign w:val="center"/>
          </w:tcPr>
          <w:p>
            <w:pPr>
              <w:widowControl/>
              <w:rPr>
                <w:rFonts w:hint="eastAsia" w:ascii="仿宋_GB2312" w:hAnsi="宋体" w:eastAsia="仿宋_GB2312"/>
                <w:color w:val="000000"/>
                <w:sz w:val="18"/>
                <w:szCs w:val="18"/>
              </w:rPr>
            </w:pPr>
          </w:p>
        </w:tc>
        <w:tc>
          <w:tcPr>
            <w:tcW w:w="1080" w:type="dxa"/>
            <w:gridSpan w:val="3"/>
            <w:vMerge w:val="continue"/>
            <w:noWrap w:val="0"/>
            <w:vAlign w:val="center"/>
          </w:tcPr>
          <w:p>
            <w:pPr>
              <w:widowControl/>
              <w:rPr>
                <w:rFonts w:hint="eastAsia" w:ascii="仿宋_GB2312" w:hAnsi="宋体" w:eastAsia="仿宋_GB2312"/>
                <w:color w:val="000000"/>
                <w:sz w:val="18"/>
                <w:szCs w:val="18"/>
              </w:rPr>
            </w:pPr>
          </w:p>
        </w:tc>
        <w:tc>
          <w:tcPr>
            <w:tcW w:w="720" w:type="dxa"/>
            <w:noWrap w:val="0"/>
            <w:vAlign w:val="center"/>
          </w:tcPr>
          <w:p>
            <w:pPr>
              <w:widowControl/>
              <w:rPr>
                <w:rFonts w:hint="eastAsia" w:ascii="仿宋_GB2312" w:hAnsi="宋体" w:eastAsia="仿宋_GB2312"/>
                <w:color w:val="000000"/>
                <w:sz w:val="18"/>
                <w:szCs w:val="18"/>
              </w:rPr>
            </w:pPr>
          </w:p>
        </w:tc>
        <w:tc>
          <w:tcPr>
            <w:tcW w:w="720" w:type="dxa"/>
            <w:gridSpan w:val="2"/>
            <w:noWrap w:val="0"/>
            <w:vAlign w:val="center"/>
          </w:tcPr>
          <w:p>
            <w:pPr>
              <w:widowControl/>
              <w:rPr>
                <w:rFonts w:hint="eastAsia" w:ascii="仿宋_GB2312" w:hAnsi="宋体" w:eastAsia="仿宋_GB2312"/>
                <w:color w:val="000000"/>
                <w:sz w:val="18"/>
                <w:szCs w:val="18"/>
              </w:rPr>
            </w:pPr>
          </w:p>
        </w:tc>
        <w:tc>
          <w:tcPr>
            <w:tcW w:w="596" w:type="dxa"/>
            <w:gridSpan w:val="3"/>
            <w:noWrap w:val="0"/>
            <w:vAlign w:val="center"/>
          </w:tcPr>
          <w:p>
            <w:pPr>
              <w:widowControl/>
              <w:rPr>
                <w:rFonts w:hint="eastAsia" w:ascii="仿宋_GB2312" w:hAnsi="宋体" w:eastAsia="仿宋_GB2312"/>
                <w:color w:val="000000"/>
                <w:sz w:val="18"/>
                <w:szCs w:val="18"/>
              </w:rPr>
            </w:pPr>
          </w:p>
        </w:tc>
        <w:tc>
          <w:tcPr>
            <w:tcW w:w="720" w:type="dxa"/>
            <w:gridSpan w:val="2"/>
            <w:noWrap w:val="0"/>
            <w:vAlign w:val="center"/>
          </w:tcPr>
          <w:p>
            <w:pPr>
              <w:widowControl/>
              <w:rPr>
                <w:rFonts w:hint="eastAsia" w:ascii="仿宋_GB2312" w:hAnsi="宋体" w:eastAsia="仿宋_GB2312"/>
                <w:color w:val="000000"/>
                <w:sz w:val="18"/>
                <w:szCs w:val="18"/>
              </w:rPr>
            </w:pPr>
          </w:p>
        </w:tc>
        <w:tc>
          <w:tcPr>
            <w:tcW w:w="540" w:type="dxa"/>
            <w:gridSpan w:val="2"/>
            <w:noWrap w:val="0"/>
            <w:vAlign w:val="center"/>
          </w:tcPr>
          <w:p>
            <w:pPr>
              <w:widowControl/>
              <w:rPr>
                <w:rFonts w:hint="eastAsia" w:ascii="仿宋_GB2312" w:hAnsi="宋体" w:eastAsia="仿宋_GB2312"/>
                <w:color w:val="000000"/>
                <w:sz w:val="18"/>
                <w:szCs w:val="18"/>
              </w:rPr>
            </w:pPr>
          </w:p>
        </w:tc>
        <w:tc>
          <w:tcPr>
            <w:tcW w:w="664" w:type="dxa"/>
            <w:noWrap w:val="0"/>
            <w:vAlign w:val="center"/>
          </w:tcPr>
          <w:p>
            <w:pPr>
              <w:widowControl/>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gridSpan w:val="3"/>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3264" w:type="dxa"/>
            <w:gridSpan w:val="3"/>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沙湾区行政审批局</w:t>
            </w:r>
          </w:p>
        </w:tc>
        <w:tc>
          <w:tcPr>
            <w:tcW w:w="1080" w:type="dxa"/>
            <w:gridSpan w:val="3"/>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gridSpan w:val="3"/>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3264"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结果信息——放射诊疗许可证信息</w:t>
            </w:r>
          </w:p>
        </w:tc>
        <w:tc>
          <w:tcPr>
            <w:tcW w:w="2676" w:type="dxa"/>
            <w:vMerge w:val="continue"/>
            <w:noWrap w:val="0"/>
            <w:vAlign w:val="center"/>
          </w:tcPr>
          <w:p>
            <w:pPr>
              <w:widowControl/>
              <w:rPr>
                <w:rFonts w:ascii="仿宋_GB2312" w:hAnsi="宋体" w:eastAsia="仿宋_GB2312"/>
                <w:color w:val="000000"/>
                <w:sz w:val="18"/>
                <w:szCs w:val="18"/>
              </w:rPr>
            </w:pPr>
          </w:p>
        </w:tc>
        <w:tc>
          <w:tcPr>
            <w:tcW w:w="1440"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noWrap w:val="0"/>
            <w:vAlign w:val="center"/>
          </w:tcPr>
          <w:p>
            <w:pPr>
              <w:widowControl/>
              <w:rPr>
                <w:rFonts w:hint="eastAsia" w:ascii="仿宋_GB2312" w:hAnsi="宋体" w:eastAsia="仿宋_GB2312"/>
                <w:color w:val="000000"/>
                <w:sz w:val="18"/>
                <w:szCs w:val="18"/>
              </w:rPr>
            </w:pPr>
          </w:p>
        </w:tc>
        <w:tc>
          <w:tcPr>
            <w:tcW w:w="1080" w:type="dxa"/>
            <w:gridSpan w:val="3"/>
            <w:vMerge w:val="continue"/>
            <w:noWrap w:val="0"/>
            <w:vAlign w:val="center"/>
          </w:tcPr>
          <w:p>
            <w:pPr>
              <w:widowControl/>
              <w:rPr>
                <w:rFonts w:hint="eastAsia"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gridSpan w:val="3"/>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乡村医生执业注册（包括乡村医生执业再注册）</w:t>
            </w:r>
          </w:p>
        </w:tc>
        <w:tc>
          <w:tcPr>
            <w:tcW w:w="3264" w:type="dxa"/>
            <w:gridSpan w:val="3"/>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676"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沙湾区行政审批局</w:t>
            </w:r>
          </w:p>
        </w:tc>
        <w:tc>
          <w:tcPr>
            <w:tcW w:w="1080" w:type="dxa"/>
            <w:gridSpan w:val="3"/>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0" w:type="dxa"/>
          <w:wAfter w:w="0" w:type="dxa"/>
          <w:cantSplit/>
        </w:trPr>
        <w:tc>
          <w:tcPr>
            <w:tcW w:w="540" w:type="dxa"/>
            <w:vMerge w:val="continue"/>
            <w:noWrap w:val="0"/>
            <w:vAlign w:val="center"/>
          </w:tcPr>
          <w:p>
            <w:pPr>
              <w:widowControl/>
              <w:rPr>
                <w:rFonts w:ascii="仿宋_GB2312" w:hAnsi="宋体" w:eastAsia="仿宋_GB2312"/>
                <w:color w:val="000000"/>
                <w:sz w:val="18"/>
                <w:szCs w:val="18"/>
              </w:rPr>
            </w:pPr>
          </w:p>
        </w:tc>
        <w:tc>
          <w:tcPr>
            <w:tcW w:w="720" w:type="dxa"/>
            <w:gridSpan w:val="3"/>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3264"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676" w:type="dxa"/>
            <w:vMerge w:val="continue"/>
            <w:noWrap w:val="0"/>
            <w:vAlign w:val="center"/>
          </w:tcPr>
          <w:p>
            <w:pPr>
              <w:widowControl/>
              <w:rPr>
                <w:rFonts w:ascii="仿宋_GB2312" w:hAnsi="宋体" w:eastAsia="仿宋_GB2312"/>
                <w:color w:val="000000"/>
                <w:sz w:val="18"/>
                <w:szCs w:val="18"/>
              </w:rPr>
            </w:pPr>
          </w:p>
        </w:tc>
        <w:tc>
          <w:tcPr>
            <w:tcW w:w="1440" w:type="dxa"/>
            <w:gridSpan w:val="3"/>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noWrap w:val="0"/>
            <w:vAlign w:val="center"/>
          </w:tcPr>
          <w:p>
            <w:pPr>
              <w:widowControl/>
              <w:rPr>
                <w:rFonts w:hint="eastAsia" w:ascii="仿宋_GB2312" w:hAnsi="宋体" w:eastAsia="仿宋_GB2312"/>
                <w:color w:val="000000"/>
                <w:sz w:val="18"/>
                <w:szCs w:val="18"/>
              </w:rPr>
            </w:pPr>
          </w:p>
        </w:tc>
        <w:tc>
          <w:tcPr>
            <w:tcW w:w="1080" w:type="dxa"/>
            <w:gridSpan w:val="3"/>
            <w:vMerge w:val="continue"/>
            <w:noWrap w:val="0"/>
            <w:vAlign w:val="center"/>
          </w:tcPr>
          <w:p>
            <w:pPr>
              <w:widowControl/>
              <w:rPr>
                <w:rFonts w:hint="eastAsia"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gridSpan w:val="3"/>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对从事职业卫生技术服务的机构和承担职业病诊断的医疗卫生机构超出资质认可或者诊疗项目登记范围从事职业卫生技术服务或者职业病诊断的；不按照规定履行法定职责的；出具虚假证明文件的处罚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对医疗机构未取得放射诊疗许可从事放射诊疗工作，未办理放射诊疗科目登记或者未按照规定进行校验，未经批准擅自变更放射诊疗项目或者超出批准范围从事放射诊疗工作的处罚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对医疗机构使用不具备相应资质的人员从事放射诊疗工作的处罚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购置、使用不合格或国家有关部门规定淘汰的放射诊疗设备的；未按照规定使用安全防护装置和个人防护用品的；未按照规定对放射诊疗设备、工作场所及防护设施进行检测和检查的；未按时对放射诊疗工作人员进行个人剂量监测、健康检查、建立个人剂量和健康档案的；发生放射事件并造成人员健康严重损害的；发生放射事件未立即采取应急救援和控制措施或者未按照规定及时报告的，违反规定其他情形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bookmarkStart w:id="0" w:name="_GoBack"/>
            <w:bookmarkEnd w:id="0"/>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对未取得《医疗机构执业许可证》擅自执业的处罚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对不按期办理校验《医疗机构执业许可证》又不停止诊疗活动的且在卫生行政部门责令其限期补办校验手续后拒不校验的处罚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对出卖、转让、出借《医疗机构执业许可证》的处罚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对使用非卫生技术人员从事医疗卫生技术工作的处罚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对医疗、保健机构的诊疗活动超出登记范围的处罚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对医疗保健机构出具虚假证明文件的处罚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师违反卫生行政规章制度或者技术操作规范且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医师不按照规定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对未取得母婴保健技术许可的医疗保健机构或人员从事婚前医学检查、遗传病诊断、产前诊断、终止妊娠手术、医学技术鉴定，或者出具《母婴保健法》规定的有关医学证明的处罚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对从事母婴保健技术服务的人员出具虚假医学证明文件延误诊治，造成严重后果；给当事人身心健康造成严重后果；造成其他严重后果的处罚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对违反有关规定进行胎儿性别鉴定的医疗保健机构或人员擅自进行胎儿性别鉴定的处罚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对计划生育技术服务机构违反规定，未经批准擅自从事产前诊断和使用辅助生育技术治疗不育症的处罚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对从事计划生育技术服务的机构使用没有依法取得相应的医师资格的人员从事与计划生育技术服务有关的临床医疗服务的处罚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对未经批准擅自开展人类辅助生殖技术的非医疗机构和医疗机构的处罚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对未经批准擅自设置人类精子库，采集、提供精子的非医疗机构、医疗机构的处罚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对非法采集血液；血站、医疗机构出售无偿献血的血液；非法组织他人出卖血液的处罚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对临床用血的包装、储存、运输不符合国家规定的卫生标准和要求的处罚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取得省、自治区、直辖市人民政府卫生行政部门核发的《单采血浆许可证》，非法从事组织、采集、供应、倒卖原料血浆活动；《单采血浆许可证》已被注销或者吊销和租用、借用、出租、出借、变造、伪造《单采血浆许可证》开展采供血浆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对单采血浆站已知其采集的血浆检测结果呈阳性，仍向血液制品生产单位供应的处罚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对承担尸检任务的医疗机构或其他有关机构没有正当理由，拒绝进行尸检的；涂改、伪造、隐匿、销毁病历资料的处罚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对医疗机构、医务人员发生医疗事故的处罚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对参加医疗事故技术鉴定工作的人员接受申请鉴定双方或者一方当事人的财物或者其他利益，出具虚假医疗事故技术鉴定书的处罚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对医疗机构从无《药品生产许可证》、《药品经营许可证》的企业购进药品，情节严重的处罚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具有麻醉药品和第一类精神药品处方资格的执业医师，违反规定开具或者未按照临床应用指导原则的要求使用麻醉药品和第一类精神药品；执业医师未按照临床应用指导原则的要求使用第二类精神药品或者未使用专用处方开具第二类精神药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40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对未取得麻醉药品和第一类精神药品处方资格的执业医师擅自开具麻醉药品和第一类精神药品处方；处方的调配人、核对人违反规定未对麻醉药品和第一类精神药品处方进行核对的处罚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41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对发生麻醉药品和精神药品被盗、被抢、丢失案件的单位，违反规定未采取必要的控制措施或者未依照规定报告的处罚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42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对医疗机构无专职或者兼职人员负责本单位药品不良反应监测工作的；未按照要求开展药品不良反应或者群体不良事件报告、调查、评价和处理的；不配合严重药品不良反应和群体不良事件相关调查工作的处罚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43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对中外各方未经国家卫计委和外经贸部批准，成立中外合资、合作医疗机构并开展医疗活动或以合同方式经营诊疗项目的处罚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44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45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对医疗机构未使用有本医疗机构标识的病历、处方、检查报告单和票据，或将其出卖或出借的；使用其他医疗机构的票据、病历、处方、检查报告单的处罚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46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滥用麻醉药品、剧毒药品、精神药品，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47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对医疗机构管理混乱，有严重事故隐患，直接影响医疗安全且限期不改的处罚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48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对医疗、保健机构或者人员未取得母婴保健技术许可，擅自从事婚前医学检查、遗传病诊断、产前诊断、终止妊娠手术和医学技术鉴定或者出具有关医学证明的处罚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49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对雇佣他人顶替本单位职工献血、雇佣他人顶替本人献血的处罚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对伪造、转让、租借、涂改献血证件的处罚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乡级医疗卫生机构未按规定将第一类疫苗分发到承担预防接种工作的村医疗卫生机构的处罚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疾病预防控制机构、接种单位违反规定，未通过省级公共资源交易平台采购疫苗的；违反本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对卫生主管部门、疾病预防控制机构、接种单位以外的单位或者个人违反《疫苗流通与预防接种管理条例》规定进行群体性预防接种的处罚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对三级、四级实验室未经批准从事某种高致病性病原微生物或者疑似高致病性病原微生物实验活动的处罚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对经依法批准从事高致病性病原微生物相关实验活动的实验室的设立单位未建立健全安全保卫制度，或者未采取安全保卫措施，导致高致病性病原微生物菌（毒）种、样本被盗、被抢或者造成其他严重后果的处罚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59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对拒绝接受卫生主管部门、兽医主管部门依法开展有关高致病性病原微生物扩散的调查取证、采集样品等活动或者未按规定采取有关预防、控制措施的处罚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对医疗卫生机构将未达到国家规定标准的污水、传染病病人或者疑似传染病病人的排泄物排入城市排水管网的处罚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对医疗卫生机构发生医疗废物流失、泄漏、扩散时，未采取紧急处理措施，或者未及时向卫生行政主管部门报告的处罚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对医疗卫生机构无正当理由，阻碍卫生行政主管部门或者环境保护行政主管部门执法人员执行职务，拒绝执法人员进入现场，或者不配合执法部门的检查、监测、调查取证的处罚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对采供血机构未按照规定报告传染病疫情，或者隐瞒、谎报、缓报传染病疫情，或者未执行国家有关规定，导致因输入血液引起经血液传播疾病发生的处罚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70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71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72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73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74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对采集或者使用未进行艾滋病检测或者艾滋病检测阳性的人体组织、器官、细胞、骨髓等的处罚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75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对提供、使用未经出入境检验检疫机构检疫的进口人体血液、血浆、组织、器官、细胞、骨髓等的处罚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76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计生行政部门并采取有效消毒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77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未建立或者未落实医院感染管理的规章制度、工作规范；医疗机构未设立医院感染管理部门、分管部门以及指定专（兼）职人员负责医院感染预防与控制工作；医疗机构违反对医疗器械、器具的消毒工作技术规范；医疗机构违反无菌操作技术规范和隔离技术规范的；医疗机构未对消毒药械和一次性医疗器械、器具的相关证明进行审核；医疗机构未对医务人员职业暴露提供职业卫生防护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78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79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对非法为他人施行计划生育手术的；利用超声技术和其他技术手段为他人进行非医学需要的胎儿性别鉴定或者选择性别的人工终止妊娠的；进行假医学鉴定、出具假计划生育证明的处罚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80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对伪造、变造、买卖计划生育证明的处罚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81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对计划生育技术服务机构或者医疗、保健机构以外的机构或者人员擅自从事计划生育技术服务的处罚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82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对拒不校验计划生育技术服务执业许可证明文件，继续从事计划生育技术服务的处罚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83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对买卖、出借、出租或者涂改、伪造计划生育技术服务执业许可证明文件的处罚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84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对从事计划生育技术服务的机构，未经批准擅自扩大计划生育技术服务项目的处罚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85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对从事计划生育技术服务的机构出具虚假证明文件的处罚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86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87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对未取得职业卫生技术服务资质认可擅自从事职业卫生技术服务的，或者医疗卫生机构未经批准擅自从事职业病诊断的处罚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88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工作场所职业病危害因素检测、评价结果没有存档、上报、公布的；未按照《职业病防治法》第二十条规定采取职业病防治管理措施的；未按照规定公布有关职业病防治的规章制度、操作规程、职业病危害事故应急救援措施的；未按照规定组织劳动者进行职业卫生培训，或者未对劳动者个人职业病防护采取指导、督促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89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放射性职业病危害控制中订立或者变更劳动合同时，未告知劳动者职业病危害真实情况的；未按照规定组织职业健康检查、建立职业健康监护档案或者未将检查结果书面告知劳动者的；未按规定在劳动者离开用人单位时提供职业健康监护档案复印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90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未按照规定进行建设项目职业病危害预评价的；医疗机构可能产生放射性职业病危害的建设项目未按照规定提交职业病危害预评价报告，或者放射性职业病危害预评价报告未经卫生行政部门审核同意，开工建设的；医疗机构放射性职业病危害严重的建设项目的防护设施设计未经卫生行政部门审查同意擅自施工的；医疗机构未按照规定进行建设项目职业病危害控制效果评价的；医疗机构可能产生放射性职业病危害的建设项目竣工验收时，其放射性职业病防护设施未经卫生行政部门验收合格，投入使用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91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放射性职业病危害控制中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的；未按照规定承担职业病诊断、鉴定费用和职业病病人的医疗、生活保障费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92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对医疗卫生机构未按照规定报告职业病、疑似职业病的或弄虚作假的处罚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93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隐瞒本单位职业卫生真实情况的；可能发生急性职业损伤的有毒、有害工作场所、放射工作场所或者放射性同位素的运输、贮存不符合规定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94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对未给从事放射工作的人员办理《放射工作人员证》的处罚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95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在不符合相应生物安全要求的实验室从事病原微生物相关实验活动的处罚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96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97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98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对药师未按照规定调剂处方药品的处罚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99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100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对从事人体器官移植的医务人员参与尸体器官捐献人的死亡判定的处罚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101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对医疗机构违反《医疗机构临床用血管理办法》关于应急用血采血规定的处罚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102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103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104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师未按照《抗菌药物临床应用管理办法》规定开具抗菌药物处方，造成严重后果的；使用未经国家药品监督管理部门批准的抗菌药物的；使用本机构抗菌药物供应目录以外的品种、品规，造成严重后果的；违反《抗菌药物临床应用管理办法》其他规定，造成严重后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105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对药师未按照规定审核、调剂抗菌药物处方，情节严重的；未按照规定私自增加抗菌药物品种或者品规的；违反《抗菌药物临床应用管理办法》其他规定的处罚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106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对不符合《中华人民共和国精神卫生法》规定条件的医疗机构擅自从事精神障碍诊断、治疗的处罚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107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对医疗机构及其工作人员拒绝对送诊的疑似精神障碍患者作出诊断的；对依照《中华人民共和国精神卫生法》第三十条第二款规定实施住院治疗的患者未及时进行检查评估或者未根据评估结果作出处理的处罚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108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及其工作人员违反《精神卫生法》规定实施约束、隔离等保护性医疗措施的；违反《精神卫生法》规定，强迫精神障碍患者劳动的；违反《精神卫生法》规定对精神障碍患者实施外科手术或者实验性临床医疗的；违反《精神卫生法》规定，侵害精神障碍患者的通讯和会见探访者等权利的；违反精神障碍诊断标准，将非精神障碍患者诊断为精神障碍患者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109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对职业病诊断机构未建立职业病诊断管理制度；不按照规定向劳动者公开职业病诊断程序；泄露劳动者涉及个人隐私的有关信息、资料的；其他违反《职业病诊断与鉴定管理办法》行为的处罚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对不符合中医医疗机构设置标准的；获得城镇职工基本医疗保险定点医疗机构资格，未按照规定向参保人员提供基本医疗服务的处罚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对承担单采血浆站技术评价、检测的技术机构出具虚假证明文件的处罚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对职业健康检查机构未指定主检医师或者指定的主检医师未取得职业病诊断资格的；未建立职业健康检查档案的；违反《职业健康检查管理办法》其他有关规定的处罚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对经批准实施人工终止妊娠手术的机构未建立真实完整的终止妊娠药品购进记录，或者未按照规定为终止妊娠药品使用者建立完整用药档案的处罚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对介绍、组织孕妇实施非医学需要的胎儿性别鉴定或者选择性别人工终止妊娠的处罚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对未取得母婴保健技术许可的医疗卫生机构或者人员擅自从事终止妊娠手术的、从事母婴保健技术服务的人员出具虚假的医学需要的人工终止妊娠相关医学诊断意见书或者证明的处罚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对餐具、饮具集中消毒服务单位拒绝、阻挠、干涉卫生计生行政部门及其工作人员依法开展监督检查的处罚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119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餐具、饮具集中消毒服务单位违反规定用水，使用洗涤剂、消毒剂，或者出厂的餐具、饮具未按规定检验合格并随附消毒合格证明，或者未按规定在独立包装上标注相关内容的处罚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对供学生使用的文具、娱乐器具、保健用品，不符合国家有关卫生标准的处罚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对拒绝或者妨碍学校卫生监督员实施卫生监督的处罚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对集中式供水单位安排未取得体检合格证的人员从事直接供、管水工作或安排患有有碍饮用水卫生疾病的或病原携带者从事直接供、管水工作的处罚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饮用水水源保护区修建危害水源水质卫生的设施或进行有碍水源水质卫生的作业的；新建、扩建、改建的饮用水供水项目未经卫生行政部门参加选址、设计审查和竣工验收而擅自供水的；供水单位未取得卫生许可证而擅自供水的；供水单位供应的饮用水不符合国家规定的生活饮用水卫生标准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对生产或者销售无卫生许可批准文件的涉及饮用水卫生安全的产品的处罚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对未依法取得公共场所卫生许可证擅自营业的处罚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对未按照规定对公共场所的空气、微小气候、水质、采光、照明、噪声、顾客用品用具等进行卫生检测的；未按照规定对顾客用品用具进行清洗、消毒、保洁，或者重复使用一次性用品用具的处罚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未按照规定办理公共场所卫生许可证复核手续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对公共场所经营者安排未获得有效健康合格证明的从业人员从事直接为顾客服务工作的处罚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129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对公共场所经营者对发生的危害健康事故未立即采取处置措施，导致危害扩大，或者隐瞒、缓报、谎报的处罚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对公共场所未配备专（兼）职卫生管理人员的；未建立从业人员卫生管理制度和档案的；从业人员未取得健康合格证而从事直接为顾客服务工作的；从业人员未经卫生知识培训合格上岗的处罚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对集中空调通风系统卫生指标不符合国家卫生标准或规范的；集中空调通风系统未按规定设置卫生设施的；集中空调通风系统未按规定定期检查、清洗和维护的处罚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对甲类场所未取得公共场所卫生许可证从事经营活动的；甲类场所涂改、倒卖、转让公共场所卫生许可证的处罚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对医疗机构公共场所违反规定未设置吸烟区（室）的；禁止吸烟场所未按规定设置禁烟标识或违反规定设置吸烟器具的；个人在禁止吸烟场所吸烟的处罚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对未经批准擅自开办医疗机构行医或者非医师行医的处罚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未经批准擅自开展产前诊断技术的非医疗保健机构的处罚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护士的配备数量低于国务院卫生主管部门规定的护士配备标准的；允许未取得护士执业证书的人员或者未依照规定办理执业地点变更手续、延续执业注册有效期的护士在本机构从事诊疗技术规范规定的护理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139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对未制定、实施本机构护士在职培训计划或者未保证护士接受培训的；未依照《护士条例》规定履行护士管理职责的处罚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饮用水供水单位供应的饮用水不符合国家卫生标准和卫生规范导致或者可能导致传染病传播、流行的处罚；涉及饮用水卫生安全的产品不符合国家卫生标准和卫生规范的导致或者可能导致传染病传播、流行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对在国家确认的自然疫源地兴建水利、交通、旅游、能源等大型建设项目，未经卫生调查进行施工的，或者未按照疾病预防控制机构的意见采取必要的传染病预防、控制措施的处罚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对单位和个人非法经营、出售用于预防传染病菌苗、疫苗等生物制品的处罚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公共场所的经营者未查验服务人员的健康合格证明或者允许未取得健康合格证明的人员从事服务工作，省、自治区、直辖市人民政府确定应放置安全套的公共场所的经营者未在公共场所内放置安全套或者设置安全套发售设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对加工、出售、运输被传染病病原体污染或者来自疫区可能被传染病病原体污染的皮毛，未按国家有关规定进行消毒处理的处罚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消毒产品的命名、标签（含说明书）不符合国家卫计委的有关规定的；消毒产品的标签（含说明书）和宣传内容不真实，出现或暗示对疾病的治疗效果的；生产经营无生产企业卫生许可证、产品备案凭证或卫生许可批件的消毒产品的；消毒产品卫生质量不符合要求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对消毒服务机构消毒后的物品未达到卫生标准和要求的处罚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149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疾病预防控制机构未依照规定开展血吸虫病防治工作的；未定期对其工作人员进行血吸虫病防治知识、技能培训和考核的；发现急性血吸虫病疫情或者接到急性血吸虫病暴发、流行报告时，未及时采取措施的；未对本行政区域内出售、外运的家畜或者植物进行血吸虫病检疫的；未对经检疫发现的患血吸虫病的家畜实施药物治疗，或者未对发现的携带钉螺的植物实施杀灭钉螺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单位未依照规定对因生产、工作必须接触疫水的人员采取防护措施，或者未定期组织进行血吸虫病的专项体检的；对政府有关部门采取的预防、控制措施不予配合的；使用国家明令禁止使用的药物杀灭钉螺的；引种在有钉螺地带培育的芦苇等植物或者农作物的种子、种苗等繁殖材料的；在血吸虫病防治地区施用未经无害化处理粪便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的处罚；对拒绝、阻碍或者不配合现场调查、资料收集、采样检验以及监督检查的；拒绝执行疾病预防控制机构提出的预防、控制措施的；病人或者疑似病人故意传播传染性非典型肺炎，造成他人感染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机构未依照规定履行突发公共卫生事件报告职责，隐瞒、缓报或者谎报的；医疗卫生机构未依照规定及时采取突发公共卫生事件控制措施的；医疗卫生机构未依照规定履行突发事件监测职责的；医疗卫生机构拒绝接诊病人的；医疗机构拒不服从突发事件应急处理指挥部调度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对执行职务的医疗卫生人员瞒报、缓报、谎报传染病疫情的处罚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对个体或私营医疗保健机构瞒报、缓报、谎报传染病疫情或突发性公共卫生事件的处罚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结核病防治机构和归口管理定点医疗机构以外的其他医疗机构诊治肺结核病人（除急救外）的；有关从业人员的工作单位，不组织有关人员进行预防性肺结核病体检的，或者准许、纵容未治愈的传染性肺结核病患者直接从事服务工作的；结核病防治机构、医疗机构对肺结核病人的排泄物或痰液等未进行消毒或卫生处理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对未取得《消毒产品生产企业卫生许可证》生产消毒产品的；擅自变更企业名称、法人代表、生产类别、迁移厂址、另设生产与消毒产品有关分厂（车间）的，未重新申请办证的处罚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对消毒产品的标签、说明书和宣传内容不真实，不符合其产品质量要求，明示或暗示对疾病治疗效果的处罚；对消毒产品生产企业伪造、擅自修改产品配方的处罚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159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消毒产品经营企业、消毒服务机构、医疗机构、计划生育技术服务机构、学校、托幼机构、养老机构等单位采购消毒产品时，未索取《消毒产品生产企业卫生许可证》复印件和消毒剂、消毒器械卫生许可证批件复印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对出租、出借、转让和涂改《消毒产品生产企业卫生许可证》的处罚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学校未根据学生的年龄，组织学生参加适当的劳动，并对参加劳动的学生，未进行安全教育，提供必要的安全和卫生防护措施，致使学生健康受到损害的；普通中小学校组织学生参加，让学生接触有毒有害物质或者从事不安全工种的作业，让学生参加夜班劳动，致使学生健康受到损害的；普通高等学校、中等专业学校、技工学校、农业中学、职业中学组织学生参加生产劳动，接触有毒有害物质的，按照国家有关规定，未提供保健待遇；学校未定期对他们进行体格检查，未加强卫生防护，致使学生健康受到损害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托幼机构未按要求设立保健室、卫生室或者配备卫生保健人员的；托幼机构聘用未进行健康检查或者健康检查不合格的工作人员的；托幼机构未定期组织工作人员健康检查的；托幼机构招收未经健康检查或健康检查不合格的儿童入托幼机构的；托幼机构未严格按照《托儿所幼儿园卫生保健工作规范》开展卫生保健工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相关义务的；对生产经营者违反法律、行政法规等其他有关规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生产企业发现其生产的产品存在安全隐患，可能对人体健康和生命安全造成损害，未向社会公布有关信息的；未通知销售者停止销售，告知消费者停止使用，主动召回产品，并向有关监督管理部门报告的；销售者未立即停止销售该产品。销售者发现其销售的产品存在安全隐患，可能对人体健康和生命安全造成损害的，未立即停止销售该产品，通知生产企业或者供货商，并向有关监督管理部门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对非医疗机构或非医师开展医疗气功活动的处罚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对使用非医疗气功人员开展医疗气功活动的处罚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对医疗机构未经批准擅自开展医疗气功活动的处罚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对医疗气功人员在医疗气功活动中违反医学常规或医疗气功基本操作规范，造成严重后果的处罚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169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气功人员在注册的执业地点以外开展医疗气功活动的处罚；对借医疗气功之名损害公民身心健康、宣扬迷信、骗人敛财的处罚；对非医疗气功人员开展医疗气功活动的处罚；对制造、使用、经营、散发宣称具有医疗气功效力物品的处罚；对未经批准擅自组织开展大型医疗气功讲座、大型现场性医疗气功活动，或未经批准擅自开展国家中医药管理局规定必须严格管理的其它医疗气功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心理咨询人员从事心理治疗或者精神障碍的诊断、治疗的；从事心理治疗的人员在医疗机构以外开展心理治疗活动的；专门从事心理治疗的人员从事精神障碍的诊断的处罚；对专门从事心理治疗的人员为精神障碍患者开具处方或者提供外科治疗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对道路运输经营者、水路运输经营者对在车船上发现的检疫传染病病人、疑似检疫传染病病人，未按有关规定采取相应措施的处罚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对检疫传染病病人、病原携带者、疑似检疫传染病病人和与其密切接触者隐瞒真实情况、逃避交通卫生检疫的，或拒绝接受查验和卫生处理的处罚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对未建立职业病诊断管理制度的；对不按照规定向劳动者公开职业病诊断程序的；对泄露劳动者涉及个人隐私的有关信息、资料的；对其他违反《职业病诊断与鉴定管理办法》的行为的处罚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卫生行政部门有关预防院内感染的规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未建立抗菌药物管理组织机构或者未指定专（兼）职技术人员负责具体管理工作的；未建立抗菌药物管理规章制度的；抗菌药物临床应用管理混乱的；未按照规定执行抗菌药物分级管理、医师抗菌药物处方权限管理、药师抗菌药物调剂资格管理或者未配备相关专业技术人员的；其他违反《抗菌药物临床应用管理办法》行为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对医疗机构的负责人、药品采购人员、医师等有关人员索取、收受药品生产企业、药品经营企业或者其代理人给予的财物或者通过开具抗菌药物牟取不正当利益的处罚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对村卫生室、诊所、社区卫生服务站擅自使用抗菌药物开展静脉输注活动的处罚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对医疗机构使用未经卫生行政部门指定的血站供应的血液的处罚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179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对水质净化、消毒设施设备缺失或者未正常运转的；供水设施及其周围环境不清洁、出现有碍水质卫生的浮游生物、植物、污物的；供水管道与非饮用水管网直接连接的；未按规定开展水质检测的处罚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对疾病预防控制机构、接种单位未在规定的冷藏条件下储存、运输疫苗造成严重后果的处罚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医疗保健机构未取得产前诊断执业许可或超越许可范围，擅自从事产前诊断的处罚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对未取得产前诊断类母婴保健技术考核合格证书的个人，擅自从事产前诊断或超越许可范围的处罚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医师未取得处方权或者被取消处方权后开具药品处方的；医师未按照《处方管理办法》规定开具药品处方的；医师违反《处方管理办法》其他规定的处罚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不具备集中处置医疗废物条件的农村，医疗卫生机构未按照《医疗废物管理条例》的要求处置医疗废物的处罚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对违反规定利用相关技术为他人实施非医学需要的胎儿性别鉴定或者选择性别人工终止妊娠的处罚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对医疗、预防、保健机构未依照《中华人民共和国执业医师法》第十六条的规定履行报告职责，导致严重后果的处罚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189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对违反《疫苗流通与预防接种管理条例》规定发布接种第二类疫苗的建议信息的处罚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对未经卫生主管部门依法指定擅自从事接种工作的处罚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对涂改、伪造、转让《供血浆证》的处罚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对发生病原微生物被盗、被抢、丢失、泄漏，承运单位、护送人、保藏机构和实验室的设立单位未依照《病原微生物实验室生物安全管理条例》的规定报告的处罚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对未经注册在村医疗卫生机构从事医疗活动的处罚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乡村医生变更执业的村医疗卫生机构，未办理变更执业注册手续的，或以不正当手段取得乡村医生执业证书的处罚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规定告知、询问受种者或者其监护人有关情况的；实施预防接种的医疗卫生人员未依照规定填写并保存接种记录的；未依照规定对接种疫苗的情况进行登记并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对个体行医人员在执行职务时，不报、漏报、迟报传染病疫情的处罚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对从事计划生育技术服务的机构，向农村实行计划生育的育龄夫妻提供避孕、节育技术服务，收取费用的处罚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乡村医生执业活动超出规定的执业范围，或者未按照规定进行转诊的：违反规定使用乡村医生基本用药目录以外的处方药品的；违反规定出具医学证明，或者伪造卫生统计资料的；发现传染病疫情、中毒事件不按规定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199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对乡村医生在执业活动中，违反规定进行实验性临床医疗活动，或者重复使用一次性医疗器械和卫生材料的处罚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对托幼机构未取得《医疗机构执业许可证》擅自设立卫生室进行诊疗活动的处罚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医疗机构未办理人体器官移植诊疗科目登记，擅自从事人体器官移植的处罚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医务人员泄露人体器官捐献人、接受人或者申请人体器官移植手术患者个人资料的处罚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机构不再具备《人体器官移植条例》第十一条规定条件，仍从事人体器官移植的；未经人体器官移植技术临床应用与伦理委员会审查同意，做出摘取人体器官的决定，或胁迫医务人员违反规定摘取人体器官的；有《人体器官移植条例》第二十八条第（二）项、第（三）项列举的情形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医疗机构未经省、自治区、直辖市人民政府卫生行政部门指定擅自开展新生儿遗传代谢病筛查实验室检测的处罚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开展新生儿疾病筛查的医疗机构违反《新生儿疾病筛查技术规范》；未履行告知程序擅自进行新生儿疾病筛查的；未按规定进行实验室质量监测、检查的；违反《新生儿疾病筛查管理办法》其他规定的处罚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对违反《中华人民共和国中医药条例》规定的中医药教育机构的处罚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对中医诊所超出备案范围开展医疗活动的；医疗机构聘用上述不得从事管理工作的人员从事管理工作的处罚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209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对经考核取得医师资格的中医医师超出注册的执业范围从事医疗活动的处罚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对举办中医诊所应当备案而未备案，或者备案时提供虚假材料的处罚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对未经县级中医药主管部门备案擅自执业的处罚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对提交虚假备案材料取得《中医诊所备案证》的处罚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对中医诊所擅自更改设置未经备案或者实际设置与取得的《中医诊所备案证》记载事项不一致，擅自开展诊疗活动的处罚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对出卖、转让、出借《中医诊所备案证》的处罚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对中医诊所超出备案范围开展医疗活动的处罚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对推荐中医医术确有专长人员的中医医师、以师承方式学习中医的医术确有专长人员的指导老师，违反《中医医术确有专长人员医师资格考核注册管理暂行办法》有关规定，在推荐中弄虚作假、徇私舞弊的处罚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对中医（专长）医师在执业中超出注册的执业范围从事医疗活动的处罚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对未经卫生行政部门许可新建、改建、扩建校舍的处罚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219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对未经许可擅自配置使用大型医用设备的处罚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对医疗器械使用单位违规使用大型医用设备，不能保障医疗质量安全的处罚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对医疗机构违反《广告法》规定发布医疗广告情节严重的处罚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对医疗机构聘用未经大陆短期行医执业注册的台湾医师从事诊疗活动的处罚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对台湾医师未取得《台湾医师短期行医执业证书》行医或者未按照注册的有效期从事诊疗活动的处罚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对台湾医师未按照注册的执业地点、执业类别、执业范围从事诊疗活动的处罚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对从事母婴保健工作的人员和其他人员违反规定，出具有关虚假医学证明的处罚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对机构或个人未取得许可证或合格证，擅自从事婚前医学检查的处罚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对违反《四川省婚前医学检查管理办法》擅自增加婚前医学检查项目的；故意出具虚假的婚前医学检查证明的；泄漏接受婚前医学检查的男女双方隐私的处罚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对在自然疫源地和可能是自然疫源地的地区兴建大型建设项目未经卫生调查即进行施工的处罚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229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对建设项目未按照规定进行职业病危害预评价的处罚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对建设项目的职业病防护设施未按照规定与主体工程同时设计、同时施工、同时投入生产和使用的处罚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对建设项目的职业病防护设施设计不符合国家职业卫生标准和卫生要求的处罚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对未按照规定对职业病防护设施进行职业病危害控制效果评价的处罚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对建设项目竣工投入生产和使用前，职业病防护设施未按照规定验收合格的处罚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对工作场所职业病危害因素检测、评价结果没有存档、上报、公布的处罚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对未采取《职业病防治法》第二十一条规定的职业病防治管理措施的处罚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对未按照规定公布有关职业病防治的规章制度、操作规程、职业病危害事故应急救援措施的处罚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对未按照规定组织劳动者进行职业卫生培训，或者未对劳动者个人职业病防护采取指导、督促措施的处罚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对国内首次使用或者首次进口与职业病危害有关的化学材料，未按照规定报送毒性鉴定资料以及经有关部门登记注册或者批准进口的文件的处罚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239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对未按照规定及时、如实向行业主管部门申报产生职业病危害的项目的处罚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对未实施由专人负责的职业病危害因素日常监测，或者监测系统不能正常监测的处罚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对订立或者变更劳动合同时，未告知劳动者职业病危害真实情况的处罚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对未按照规定组织职业健康检查、建立职业健康监护档案或者未将检查结果书面告知劳动者的处罚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对未依照规定在劳动者离开用人单位时提供职业健康监护档案复印件的处罚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对工作场所职业病危害因素的强度或者浓度超过国家职业卫生标准的处罚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对未提供职业病防护设施和个人使用的职业病防护用品，或者提供的职业病防护设施和个人使用的职业病防护用品不符合国家职业卫生标准和卫生要求的处罚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对职业病防护设备、应急救援设施和个人使用的职业病防护用品未按照规定进行维护、检修、检测，或者不能保持正常运行、使用状态的处罚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对未按照规定对工作场所职业病危害因素进行检测、评价的处罚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对工作场所职业病危害因素经治理仍然达不到国家职业卫生标准和卫生要求时，未停止存在职业病危害因素的作业的处罚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249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对未按照规定安排职业病病人、疑似职业病病人进行诊治的处罚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对发生或者可能发生急性职业病危害事故时，未立即采取应急救援和控制措施或者未按照规定及时报告的处罚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对未按照规定在产生严重职业病危害的作业岗位醒目位置设置警示标识和中文警示说明的处罚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对拒绝职业卫生监督管理部门监督检查的处罚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对隐瞒、伪造、篡改、毁损职业健康监护档案、工作场所职业病危害因素检测评价结果等相关资料，或者拒不提供职业病诊断、鉴定所需资料的处罚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对未按照规定承担职业病诊断、鉴定费用和职业病病人的医疗、生活保障费用的处罚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对向用人单位提供可能产生职业病危害的设备、材料，未按照规定提供中文说明书或者设置警示标识和中文警示说明的处罚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对用人单位未按照规定报告职业病、疑似职业病的处罚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对隐瞒技术、工艺、设备、材料所产生的职业病危害而采用的处罚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对隐瞒本单位职业卫生真实情况的处罚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259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对可能发生急性职业损伤的有毒、有害工作场所、放射工作场所或者放射性同位素的运输、贮存不符合相关规定的处罚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对使用国家明令禁止使用的可能产生职业病危害的设备或者材料的处罚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对将产生职业病危害的作业转移给没有职业病防护条件的单位和个人，或者没有职业病防护条件的单位和个人接受产生职业病危害的作业的处罚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对擅自拆除、停止使用职业病防护设备或者应急救援设施的处罚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对安排未经职业健康检查的劳动者、有职业禁忌的劳动者、未成年工或者孕期、哺乳期女职工从事接触职业病危害的作业或者禁忌作业的处罚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对违章指挥和强令劳动者进行没有职业病防护措施的作业的处罚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对生产、经营或者进口国家明令禁止使用的可能产生职业病危害的设备或者材料的处罚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对用人单位违反《职业病防治法》规定，已经对劳动者生命健康造成严重损害的处罚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对未取得职业卫生技术服务资质认可擅自从事职业卫生技术服务的处罚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对高毒作业场所未按照规定设置撤离通道和泄险区的处罚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269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对高毒作业场所未按照规定设置警示线的处罚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对未向从事使用有毒物品作业的劳动者提供符合国家职业卫生标准的防护用品，或者未保证劳动者正确使用的处罚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对使用有毒物品作业场所未设置有效通风装置的，或者可能突然泄漏大量有毒物品或者易造成急性中毒的作业场所未设置自动报警装置或者事故通风设施的处罚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对职业卫生防护设备、应急救援设施、通讯报警装置处于不正常状态而不停止作业，或者擅自拆除或者停止运行职业卫生防护设备、应急救援设施、通讯报警装置的处罚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对作业场所职业中毒危害因素不符合国家职业卫生标准和卫生要求而不立即停止高毒作业并采取相应的治理措施的，或者职业中毒危害因素治理不符合国家职业卫生标准和卫生要求重新作业的处罚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对未依照相关规定维护、检修存在高毒物品的生产装置的处罚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对未采取相关规定的措施，安排劳动者进入存在高毒物品的设备、容器或者狭窄封闭场所作业的处罚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对在作业场所使用国家明令禁止使用的有毒物品或者使用不符合国家标准的有毒物品的处罚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对使用未经培训考核合格的劳动者从事高毒作业的处罚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对发现有职业禁忌或者有与所从事职业相关的健康损害的劳动者，未及时调离原工作岗位，并妥善安置的处罚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279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对未经许可，擅自从事使用有毒物品作业的处罚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对在转产、停产、停业或者解散、破产时未采取有效措施，妥善处理留存或者残留高毒物品的设备、包装物和容器的处罚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对使用有毒物品作业场所未与生活场所分开或者在作业场所住人的处罚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对未将有害作业与无害作业分开的处罚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对高毒作业场所未与其他作业场所有效隔离的处罚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对从事高毒作业未按照规定配备应急救援设施或者制定事故应急救援预案的处罚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对未按照规定申报高毒作业项目的处罚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对变更使用高毒物品品种，未按照规定向原受理申报的卫生行政部门重新申报，或者申报不及时、有虚假的处罚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对未组织从事使用有毒物品作业的劳动者进行上岗前职业健康检查，安排未经上岗前职业健康检查的劳动者从事使用有毒物品作业的处罚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对未组织从事使用有毒物品作业的劳动者进行定期职业健康检查的处罚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289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对未组织从事使用有毒物品作业的劳动者进行离岗职业健康检查的处罚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对未进行离岗职业健康检查的劳动者，生产经营单位解除或者终止与其订立的劳动合同的处罚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对发生分立、合并、解散、破产情形，生产经营单位未对从事使用有毒物品作业的劳动者进行健康检查，并按照国家有关规定妥善安置职业病病人的处罚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对受到或者可能受到急性职业中毒危害的劳动者，生产经营单位未及时组织进行健康检查和医学观察的处罚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对未依照相关规定将工作过程中可能产生的职业中毒危害及其后果、有关职业卫生防护措施和待遇等如实告知劳动者并在劳动合同中写明的处罚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对劳动者在存在威胁生命、健康危险的情况下，从危险现场中撤离，而被生产经营单位取消或者减少应当享有的待遇的处罚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对从事使用有毒物品作业的用人单位未按照规定配备或者聘请职业卫生医师和护士的处罚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对未为从事使用高毒物品作业的劳动者设置淋浴间、更衣室或者未设置清洗、存放和处理工作服、工作鞋帽等物品的专用间，或者不能正常使用的处罚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对未安排从事使用高毒物品作业一定年限的劳动者进行岗位轮换的处罚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对高低温作业、粉尘及有毒有害气体作业、放射性作业等可能造成职业危害的场所未采用有效的职业病防治技术、工艺、原材料，并为从业人员配备符合规定的个人防护用品的处罚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299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对用人单位未按照规定实行有害作业与无害作业分开、工作场所与生活场所分开的处罚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对用人单位的主要负责人、职业卫生管理人员未接受职业卫生培训的处罚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对用人单位未按照规定制定职业病防治计划和实施方案的处罚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对用人单位未按照规定设置或者指定职业卫生管理机构或者组织，或者未配备专职或者兼职的职业卫生管理人员的处罚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对用人单位未按照规定建立、健全职业卫生管理制度和操作规程的处罚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对用人单位未按照规定建立、健全职业卫生档案和劳动者健康监护档案的处罚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对用人单位未建立、健全工作场所职业病危害因素监测及评价制度的处罚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对可能发生急性职业损伤的有毒、有害工作场所或者放射工作场所不符合相关规定的处罚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对用人单位有关事项发生重大变化，未按照《职业病危害项目申报办法》的规定申报变更职业病危害项目内容的处罚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308</w:t>
            </w:r>
          </w:p>
        </w:tc>
        <w:tc>
          <w:tcPr>
            <w:tcW w:w="718" w:type="dxa"/>
            <w:tcBorders>
              <w:top w:val="single" w:color="000000" w:sz="4" w:space="0"/>
              <w:left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对用人单位未建立或者落实职业健康监护制度的处罚</w:t>
            </w:r>
          </w:p>
        </w:tc>
        <w:tc>
          <w:tcPr>
            <w:tcW w:w="3255" w:type="dxa"/>
            <w:tcBorders>
              <w:top w:val="single" w:color="000000" w:sz="4" w:space="0"/>
              <w:left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309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对用人单位未按照规定制定职业健康监护计划和落实专项经费的处罚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对用人单位弄虚作假，指使他人冒名顶替参加职业健康检查的处罚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对用人单位未如实提供职业健康检查所需要的文件、资料的处罚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对用人单位未根据职业健康检查情况采取相应措施的处罚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对用人单位不承担职业健康检查费用的处罚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对未按照规定，对职业病危害预评价报告、职业病防护设施设计、职业病危害控制效果评价报告进行评审的处罚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对建设项目的选址、生产规模、工艺、职业病危害因素的种类、职业病防护设施发生重大变更时，未对变更内容重新进行职业病危害预评价或者未重新进行职业病防护设施设计并办理有关手续，进行施工的处罚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对需要试运行的职业病防护设施未与主体工程同时试运行的处罚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对建设单位在职业病危害预评价报告、职业病防护设施设计、职业病危害控制效果评价报告评审以及职业病防护设施验收中弄虚作假的处罚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对提供虚假资料或者采取其他欺骗手段取得大型医用设备配置许可证等许可证件的处罚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319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对医疗机构篡改、伪造、隐匿、毁灭病历资料的处罚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对医疗机构将未通过技术评估和伦理审查的医疗新技术应用于临床的处罚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对医学会出具虚假医疗损害鉴定意见的处罚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对尸检机构出具虚假尸检报告的处罚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对医疗机构开展相关医疗技术与登记的诊疗科目不相符的；开展禁止类技术临床应用的；不符合医疗技术临床应用管理规范要求擅自开展相关医疗技术的处罚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对医疗机构管理混乱导致医疗技术临床应用造成严重不良后果，并产生重大社会影响的处罚</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行政处罚决定信息，包括：处罚决定书文号、处罚名称、处罚类别、处罚事由、相对人名称、处罚依据、处罚单位、处罚决定日期</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《乐山市行政许可和行政处罚等信用信息公示工作实施方案》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自作出行政处罚决定之起7个工作日内予以公开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宋体" w:eastAsia="仿宋_GB2312"/>
                <w:color w:val="000000"/>
                <w:sz w:val="18"/>
                <w:szCs w:val="18"/>
              </w:rPr>
            </w:pPr>
            <w:r>
              <w:rPr>
                <w:rFonts w:hint="default"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对消毒剂和消毒器械及生产经营单位监管过程中涉及的行政强制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法律法规和政策文件、投诉举报电话以及网上投诉渠道、结果信息，包括催告书、强制执行决定书</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《中华人民共和国行政强制法》《中华人民共和国传染病防治法》《中华人民共和国传染病防治法实施办法》《消毒管理办法》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对涉及饮用水卫生安全产品和饮用水供水单位监管过程中涉及的行政强制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法律法规和政策文件、结果信息，包括催告书、强制执行决定书、投诉举报电话以及网上投诉渠道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《中华人民共和国行政强制法》《中华人民共和国传染病防治法》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329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对采供血机构监管过程中涉及的行政强制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法律法规和政策文件、结果信息，包括催告书、强制执行决定书、投诉举报电话以及网上投诉渠道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《中华人民共和国行政强制法》《中华人民共和国献血法》《血液制品管理条例》《艾滋病防治条例》《血站管理办法》《单采血浆站管理办法》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330</w:t>
            </w:r>
          </w:p>
        </w:tc>
        <w:tc>
          <w:tcPr>
            <w:tcW w:w="7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对医师及医疗机构的监管过程中涉及的行政强制</w:t>
            </w:r>
          </w:p>
        </w:tc>
        <w:tc>
          <w:tcPr>
            <w:tcW w:w="3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法律法规和政策文件、结果信息，包括催告书、强制执行决定书、投诉举报电话以及网上投诉渠道</w:t>
            </w:r>
          </w:p>
        </w:tc>
        <w:tc>
          <w:tcPr>
            <w:tcW w:w="268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中华人民共和国执业医师法》《中华人民共和国中医药法》《乡村医生从业管理条例》《人体器官移植条例》《医疗机构管理条例》《医师执业注册管理办法》《外国医师来华短期行医暂行管理办法》《香港、澳门特别行政区医师在内地短期行医管理规定》</w:t>
            </w:r>
          </w:p>
        </w:tc>
        <w:tc>
          <w:tcPr>
            <w:tcW w:w="14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vMerge w:val="restart"/>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331</w:t>
            </w:r>
          </w:p>
        </w:tc>
        <w:tc>
          <w:tcPr>
            <w:tcW w:w="7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119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3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26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13"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332</w:t>
            </w:r>
          </w:p>
        </w:tc>
        <w:tc>
          <w:tcPr>
            <w:tcW w:w="7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119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325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26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13"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对突发公共卫生事件应急处理中医疗机构的监管过程中涉及的行政强制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法律法规和政策文件、结果信息，包括催告书、强制执行决定书、投诉举报电话以及网上投诉渠道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《中华人民共和国行政强制法》《突发公共卫生事件应急条例》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行政强制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对医疗废物收集、运送、贮存、处置活动中的疾病防治工作的监管过程中涉及的行政强制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法律法规和政策文件、结果信息，包括催告书、强制执行决定书、投诉举报电话以及网上投诉渠道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《中华人民共和国行政强制法》《医疗废物管理条例》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行政征收</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社会抚养费征收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法律法规和政策文件、办理机构、投诉举报电话以及网上投诉渠道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《中华人民共和国人口与计划生育法》《社会抚养费征收管理办法》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因参与突发公共卫生事件应急处置工作致病、致残、死亡人员补助和抚恤</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《突发公共卫生事件应急条例》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因参与传染病防治工作致病、致残、死亡人员补助和抚恤</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《中华人民共和国传染病防治法》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精神卫生工作人员的津贴和因工致伤、致残、死亡的人员工伤待遇以及抚恤</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《中华人民共和国精神卫生法》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339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因参与艾滋病防治工作的补助、抚恤</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《艾滋病防治条例》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独生子女父母奖励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《中华人民共和国人口与计划生育法》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农村部分计划生育家庭奖励扶助</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《中华人民共和国人口与计划生育法》《关于开展对农村部分计划生育家庭实行奖励扶助制度试点工作意见》《关于调整全国农村部分计划生育家庭奖励扶助和计划生育家庭特别扶助标准的通知》</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计划生育家庭特别扶助</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《中华人民共和国人口与计划生育法》《关于印发全国独生子女伤残死亡家庭特别扶助制度试点方案的通知》</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行政给付</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无偿献血及其配偶和直系亲属临床用血费用报销</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法律法规和政策文件、申请材料、受理范围及条件、办理流程、咨询投诉渠道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《中华人民共和国献血法》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行政相对人</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行政确认</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出生医学证明办理</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法律法规和政策文件、办理材料、办理时限、办理流程、投诉举报电话以及网上投诉渠道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《中华人民共和国母婴保健法》《中华人民共和国母婴保健法实施办法》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行政确认</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预防接种单位</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法律法规和政策文件、办理材料、办理时限、办理流程、投诉举报电话以及网上投诉渠道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《疫苗流通和预防接种管理条例》《国务院关于修改&lt;疫苗流通和预防接种管理条例&gt;的决定》</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行政确认</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对符合法律法规规定申请再生育的审批</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法律法规和政策文件、办理材料、办理时限、办理流程、投诉举报电话以及网上投诉渠道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《四川省人口与计划生育条例》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行政确认</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医院评审</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法律法规和政策文件、办事指南，包括：适用范围、办理依据、办理条件、申办材料、办理方式、办理流程、办理时限、结果送达、咨询方式、监督投诉渠道、办理地址和时间、办理进程、结果查询</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《医疗机构管理条例》《卫生部医疗机构评审办法》《医院评审暂行办法》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行政确认</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对作出突出贡献的医师的表彰奖励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《中华人民共和国执业医师法》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349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对作出突出贡献的护士的表彰奖励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《护士条例》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对在传染病防治工作中做出显著成绩和贡献的单位和个人给予表彰和奖励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《中华人民共和国传染病防治法》《中华人民共和国传染病防治法实施办法》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对在精神卫生工作中做出突出贡献的组织、个人给予表彰、奖励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《中华人民共和国精神卫生法》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对在突发事件应急处理、突发公共卫生事件与传染病疫情监测信息报告管理工作中做出贡献人员的表彰和奖励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《突发公共卫生事件与传染病疫情监测信息报告管理办法》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对在艾滋病防治工作中做出显著成绩和贡献的单位和个人给予表彰和奖励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《艾滋病防治条例》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对在血吸虫病防治工作中做出显著成绩的单位和个人给予表彰或者奖励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《血吸虫病防治条例》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对在学校卫生工作中成绩显著的单位或者个人的表彰奖励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xml:space="preserve">《学校卫生工作条例》 </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对在母婴保健工作中做出显著成绩和在母婴保健科学研究中取得显著成果的组织和个人的奖励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《中华人民共和国母婴保健法》《中华人民共和国母婴保健法实施办法》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职业病防治奖励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《中华人民共和国职业病防治法》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对在中医药事业中做出显著贡献的组织和个人的表彰、奖励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《中华人民共和国中医药法》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359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无偿献血奖励、先进表彰</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《中华人民共和国献血法》《全国无偿献血表彰奖励办法》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行政奖励</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对在预防接种工作中作出显著成绩和贡献的接种单位及其工作人员给予奖励</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法律法规和政策文件、结果信息——表彰奖励名单、投诉举报电话以及网上投诉渠道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《疫苗流通和预防接种管理条例》《国务院关于修改&lt;疫苗流通和预防接种管理条例&gt;的决定》</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行政备案</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生育登记服务</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法律法规和政策文件、办事指南，包括：适用范围、办理依据、办理条件、申办材料、办理方式、办理流程、办理时限、结果送达、咨询方式、监督投诉渠道、办理地址和时间、办理进程、结果查询</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《国家卫生健康委办公厅关于做好生育登记服务工作的指导意见》</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行政备案</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义诊活动备案（权限内）</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法律法规和政策文件、申请条件、申请材料、申请流程、义诊活动时间、活动地点、参加机构等信息、投诉举报电话以及网上投诉渠道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《卫生部关于组织义诊活动实行备案管理的通知》</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行政备案类事项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医师定期考核结果备案</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法律法规和政策文件、办理流程、申请材料、办理时限等、投诉举报电话以及网上投诉渠道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《医师定期考核管理办法》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行政备案</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乙类公共场所备案</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法律法规和政策文件、办事指南，包括：适用范围、办理依据、办理条件、申办材料、办理方式、办理流程、办理时限、结果送达、咨询方式、监督投诉渠道、办理地址和时间、办理进程、结果查询</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《四川省公共场所卫生管理办法》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预防接种</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疫苗流通和预防接种管理条例》《国务院关于修改&lt;疫苗流通和预防接种管理条例&gt;的决定》《国家基本公共卫生服务规范（第三版）《关于做好2017年国家基本公共卫生服务项目工作的通知》《关于做好2018年国家基本公共卫生服务项目工作的通知》 《关于做好2019年国家基本公共卫生服务项目工作的通知》</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免费孕前优生健康检查</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xml:space="preserve">《国家人口计生委、财政部关于开展国家免费孕前优生健康检查项目试点工作的通知》《国家卫生计生委办公厅关于做好2016年国家免费孕前优生健康检查项目工作的通知》 </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新生儿疾病筛查</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新生儿疾病筛查管理办法》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368</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增补叶酸预防神经管缺陷项目</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xml:space="preserve">《卫生部关于印发&lt;增补叶酸预防神经管缺陷项目管理方案&gt;》《增补叶酸预防神经管缺陷项目管理方案》 </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369</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死亡医学证明办理</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《国家卫生计生委 公安部 民政部关于进一步规范人口死亡医学证明和信息登记管理工作的通知》</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370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出具医学诊断证明</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《中华人民共和国执业医师法》</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371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住院病历复制、查阅</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法律法规和政策文件、服务对象、收费标准、投诉举报电话以及网上投诉渠道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《医疗事故处理条例》《医疗机构病历管理规定（2013年版）》）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372</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医疗事故争议处理</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《医疗事故处理条例》《医疗纠纷预防和处理条例》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373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病媒生物防制</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《国务院关于进一步加强新时期爱国卫生工作的意见》</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374</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农村妇女“两癌”检查</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 xml:space="preserve">《农村妇女“两癌”检查项目管理方案》《国家卫生计生委妇幼司关于印发农村妇女两癌检查项目管理方案（2015年版）的通知》《新划入基本公共卫生服务相关工作规范（2019版）》 </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375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艾滋病免费自愿咨询检测</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《艾滋病防治条例》《卫生部 财政部关于印发艾滋病抗病毒治疗和自愿咨询检测办法的通知》</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376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艾滋病抗病毒治疗</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法律法规和政策文件、服务对象、服务机构信息，包括名称、地点、服务时间、服务项目和内容、服务流程、服务要求、投诉举报电话以及网上投诉渠道</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《艾滋病防治条例》《卫生部 财政部关于印发艾滋病抗病毒治疗和自愿咨询检测办法的通知》</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377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公共卫生服务事项</w:t>
            </w:r>
          </w:p>
        </w:tc>
        <w:tc>
          <w:tcPr>
            <w:tcW w:w="119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艾滋病感染者和病人综合医疗服务</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法律法规和政策文件</w:t>
            </w:r>
          </w:p>
        </w:tc>
        <w:tc>
          <w:tcPr>
            <w:tcW w:w="2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《艾滋病防治条例》</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自信息形成或者变更之日起20个工作日内予以公开</w:t>
            </w:r>
          </w:p>
        </w:tc>
        <w:tc>
          <w:tcPr>
            <w:tcW w:w="72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沙湾区卫生健康局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■政府网站</w:t>
            </w:r>
          </w:p>
        </w:tc>
        <w:tc>
          <w:tcPr>
            <w:tcW w:w="7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713"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c>
          <w:tcPr>
            <w:tcW w:w="5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w:t>
            </w:r>
          </w:p>
        </w:tc>
        <w:tc>
          <w:tcPr>
            <w:tcW w:w="6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13EA7"/>
    <w:rsid w:val="44D07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2020-09-01T07:00:00Z</dcterms:created>
  <dc:creator>Administrator</dc:creator>
  <cp:lastModifiedBy>Administrator</cp:lastModifiedBy>
  <dcterms:modified xsi:type="dcterms:W3CDTF">2020-09-29T09:45:47Z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