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加强和</w:t>
      </w:r>
      <w:r>
        <w:rPr>
          <w:rFonts w:hint="eastAsia" w:ascii="仿宋_GB2312" w:hAnsi="仿宋_GB2312" w:eastAsia="仿宋_GB2312" w:cs="仿宋_GB2312"/>
          <w:sz w:val="32"/>
          <w:szCs w:val="32"/>
        </w:rPr>
        <w:t>规范政府投资项目管理，建立</w:t>
      </w:r>
      <w:r>
        <w:rPr>
          <w:rFonts w:hint="eastAsia" w:ascii="仿宋_GB2312" w:hAnsi="仿宋_GB2312" w:eastAsia="仿宋_GB2312" w:cs="仿宋_GB2312"/>
          <w:sz w:val="32"/>
          <w:szCs w:val="32"/>
          <w:lang w:val="en-US" w:eastAsia="zh-CN"/>
        </w:rPr>
        <w:t>健全</w:t>
      </w:r>
      <w:r>
        <w:rPr>
          <w:rFonts w:hint="eastAsia" w:ascii="仿宋_GB2312" w:hAnsi="仿宋_GB2312" w:eastAsia="仿宋_GB2312" w:cs="仿宋_GB2312"/>
          <w:sz w:val="32"/>
          <w:szCs w:val="32"/>
        </w:rPr>
        <w:t>科学</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政府投资项目决策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组织实施</w:t>
      </w:r>
      <w:r>
        <w:rPr>
          <w:rFonts w:hint="eastAsia" w:ascii="仿宋_GB2312" w:hAnsi="仿宋_GB2312" w:eastAsia="仿宋_GB2312" w:cs="仿宋_GB2312"/>
          <w:sz w:val="32"/>
          <w:szCs w:val="32"/>
          <w:lang w:val="en-US" w:eastAsia="zh-CN"/>
        </w:rPr>
        <w:t>和监督管理程序，</w:t>
      </w:r>
      <w:r>
        <w:rPr>
          <w:rFonts w:hint="eastAsia" w:ascii="仿宋_GB2312" w:hAnsi="仿宋_GB2312" w:eastAsia="仿宋_GB2312" w:cs="仿宋_GB2312"/>
          <w:sz w:val="32"/>
          <w:szCs w:val="32"/>
        </w:rPr>
        <w:t>集中政府财力保证建设重点，优化投资结构，控制工程造价，保证工程质量，提高投资效益</w:t>
      </w:r>
      <w:r>
        <w:rPr>
          <w:rFonts w:hint="eastAsia" w:ascii="仿宋_GB2312" w:hAnsi="仿宋_GB2312" w:eastAsia="仿宋_GB2312" w:cs="仿宋_GB2312"/>
          <w:sz w:val="32"/>
          <w:szCs w:val="32"/>
          <w:lang w:val="en-US" w:eastAsia="zh-CN"/>
        </w:rPr>
        <w:t>，结合我区实际，编制了《沙湾区政府投资项目管理实施细则》。</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eastAsia" w:ascii="黑体" w:hAnsi="仿宋_GB2312" w:eastAsia="黑体" w:cs="仿宋_GB2312"/>
          <w:kern w:val="0"/>
          <w:sz w:val="32"/>
          <w:szCs w:val="32"/>
        </w:rPr>
      </w:pPr>
      <w:r>
        <w:rPr>
          <w:rFonts w:hint="eastAsia" w:ascii="黑体" w:hAnsi="仿宋_GB2312" w:eastAsia="黑体" w:cs="仿宋_GB2312"/>
          <w:kern w:val="0"/>
          <w:sz w:val="32"/>
          <w:szCs w:val="32"/>
        </w:rPr>
        <w:t>一、制定依据和必要性</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eastAsia" w:ascii="仿宋_GB2312" w:hAnsi="宋体" w:eastAsia="仿宋_GB2312" w:cs="仿宋_GB2312"/>
          <w:i w:val="0"/>
          <w:iCs w:val="0"/>
          <w:caps w:val="0"/>
          <w:color w:val="000000"/>
          <w:spacing w:val="0"/>
          <w:kern w:val="0"/>
          <w:sz w:val="32"/>
          <w:szCs w:val="32"/>
          <w:lang w:val="en-US" w:eastAsia="zh-CN" w:bidi="ar"/>
        </w:rPr>
      </w:pPr>
      <w:r>
        <w:rPr>
          <w:rFonts w:hint="eastAsia" w:ascii="仿宋_GB2312" w:eastAsia="仿宋_GB2312"/>
          <w:sz w:val="32"/>
          <w:szCs w:val="32"/>
        </w:rPr>
        <w:t>《沙湾区政府投资项目管理实施细则》</w:t>
      </w:r>
      <w:r>
        <w:rPr>
          <w:rFonts w:hint="eastAsia" w:ascii="Times New Roman" w:hAnsi="Times New Roman" w:eastAsia="仿宋_GB2312"/>
          <w:sz w:val="32"/>
          <w:szCs w:val="32"/>
        </w:rPr>
        <w:t>是</w:t>
      </w:r>
      <w:r>
        <w:rPr>
          <w:rFonts w:hint="eastAsia" w:ascii="Times New Roman" w:hAnsi="Times New Roman" w:eastAsia="仿宋_GB2312"/>
          <w:sz w:val="32"/>
          <w:szCs w:val="32"/>
          <w:lang w:eastAsia="zh-CN"/>
        </w:rPr>
        <w:t>根据</w:t>
      </w:r>
      <w:r>
        <w:rPr>
          <w:rFonts w:hint="eastAsia" w:ascii="Times New Roman" w:hAnsi="Times New Roman" w:eastAsia="仿宋_GB2312" w:cs="仿宋_GB2312"/>
          <w:color w:val="auto"/>
          <w:sz w:val="32"/>
          <w:szCs w:val="32"/>
          <w:u w:val="none"/>
          <w:lang w:eastAsia="zh-CN"/>
        </w:rPr>
        <w:t>《政府投资条例》《四川省政府投资管理办法》</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中华人民共和国</w:t>
      </w:r>
      <w:r>
        <w:rPr>
          <w:rFonts w:hint="eastAsia" w:ascii="仿宋_GB2312" w:hAnsi="仿宋_GB2312" w:eastAsia="仿宋_GB2312" w:cs="仿宋_GB2312"/>
          <w:color w:val="auto"/>
          <w:sz w:val="32"/>
          <w:szCs w:val="32"/>
        </w:rPr>
        <w:t>招标投标法》《</w:t>
      </w:r>
      <w:r>
        <w:rPr>
          <w:rFonts w:hint="eastAsia" w:ascii="仿宋_GB2312" w:hAnsi="仿宋_GB2312" w:eastAsia="仿宋_GB2312" w:cs="仿宋_GB2312"/>
          <w:color w:val="auto"/>
          <w:sz w:val="32"/>
          <w:szCs w:val="32"/>
          <w:lang w:val="en-US" w:eastAsia="zh-CN"/>
        </w:rPr>
        <w:t>中华人民共和国政府</w:t>
      </w:r>
      <w:r>
        <w:rPr>
          <w:rFonts w:hint="eastAsia" w:ascii="仿宋_GB2312" w:hAnsi="仿宋_GB2312" w:eastAsia="仿宋_GB2312" w:cs="仿宋_GB2312"/>
          <w:color w:val="auto"/>
          <w:sz w:val="32"/>
          <w:szCs w:val="32"/>
        </w:rPr>
        <w:t>采购法》《四川省政府投资管理办法》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乐山市政府投资管理办法</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s="仿宋_GB2312"/>
          <w:color w:val="auto"/>
          <w:sz w:val="32"/>
          <w:szCs w:val="32"/>
          <w:u w:val="none"/>
          <w:lang w:eastAsia="zh-CN"/>
        </w:rPr>
        <w:t>等有关法律法规和文件规定</w:t>
      </w:r>
      <w:r>
        <w:rPr>
          <w:rFonts w:hint="eastAsia" w:ascii="仿宋_GB2312" w:hAnsi="宋体" w:eastAsia="仿宋_GB2312" w:cs="仿宋_GB2312"/>
          <w:i w:val="0"/>
          <w:iCs w:val="0"/>
          <w:caps w:val="0"/>
          <w:color w:val="000000"/>
          <w:spacing w:val="0"/>
          <w:kern w:val="0"/>
          <w:sz w:val="32"/>
          <w:szCs w:val="32"/>
          <w:lang w:val="en-US" w:eastAsia="zh-CN" w:bidi="ar"/>
        </w:rPr>
        <w:t>进行编制，是沙湾区</w:t>
      </w:r>
      <w:r>
        <w:rPr>
          <w:rFonts w:hint="eastAsia" w:ascii="Times New Roman" w:hAnsi="Times New Roman" w:eastAsia="仿宋_GB2312" w:cs="仿宋_GB2312"/>
          <w:color w:val="auto"/>
          <w:sz w:val="32"/>
          <w:szCs w:val="32"/>
          <w:u w:val="none"/>
          <w:lang w:eastAsia="zh-CN"/>
        </w:rPr>
        <w:t>规范政府投资行为，</w:t>
      </w:r>
      <w:r>
        <w:rPr>
          <w:rFonts w:hint="eastAsia" w:ascii="Times New Roman" w:hAnsi="Times New Roman" w:eastAsia="仿宋_GB2312" w:cs="仿宋_GB2312"/>
          <w:color w:val="auto"/>
          <w:sz w:val="32"/>
          <w:szCs w:val="32"/>
          <w:u w:val="none"/>
          <w:lang w:val="en-US" w:eastAsia="zh-CN"/>
        </w:rPr>
        <w:t>确保</w:t>
      </w:r>
      <w:r>
        <w:rPr>
          <w:rFonts w:hint="eastAsia" w:ascii="Times New Roman" w:hAnsi="Times New Roman" w:eastAsia="仿宋_GB2312" w:cs="仿宋_GB2312"/>
          <w:color w:val="auto"/>
          <w:sz w:val="32"/>
          <w:szCs w:val="32"/>
          <w:u w:val="none"/>
          <w:lang w:eastAsia="zh-CN"/>
        </w:rPr>
        <w:t>政府投资项目的顺利实施的</w:t>
      </w:r>
      <w:r>
        <w:rPr>
          <w:rFonts w:hint="eastAsia" w:ascii="仿宋_GB2312" w:hAnsi="宋体" w:eastAsia="仿宋_GB2312" w:cs="仿宋_GB2312"/>
          <w:i w:val="0"/>
          <w:iCs w:val="0"/>
          <w:caps w:val="0"/>
          <w:color w:val="000000"/>
          <w:spacing w:val="0"/>
          <w:kern w:val="0"/>
          <w:sz w:val="32"/>
          <w:szCs w:val="32"/>
          <w:lang w:val="en-US" w:eastAsia="zh-CN" w:bidi="ar"/>
        </w:rPr>
        <w:t>依据。</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eastAsia"/>
          <w:lang w:eastAsia="zh-CN"/>
        </w:rPr>
      </w:pPr>
      <w:r>
        <w:rPr>
          <w:rFonts w:hint="eastAsia" w:ascii="黑体" w:hAnsi="仿宋_GB2312" w:eastAsia="黑体" w:cs="仿宋_GB2312"/>
          <w:kern w:val="0"/>
          <w:sz w:val="32"/>
          <w:szCs w:val="32"/>
          <w:lang w:eastAsia="zh-CN"/>
        </w:rPr>
        <w:t>二、意见征求情况</w:t>
      </w:r>
    </w:p>
    <w:p>
      <w:pPr>
        <w:keepNext w:val="0"/>
        <w:keepLines w:val="0"/>
        <w:pageBreakBefore w:val="0"/>
        <w:kinsoku/>
        <w:wordWrap/>
        <w:overflowPunct/>
        <w:topLinePunct w:val="0"/>
        <w:bidi w:val="0"/>
        <w:spacing w:line="6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多次征求了各级各有关部门的意见，根据反馈意见，形成《</w:t>
      </w:r>
      <w:r>
        <w:rPr>
          <w:rFonts w:hint="eastAsia" w:ascii="仿宋_GB2312" w:hAnsi="仿宋_GB2312" w:eastAsia="仿宋_GB2312" w:cs="仿宋_GB2312"/>
          <w:sz w:val="32"/>
          <w:szCs w:val="32"/>
          <w:lang w:val="en-US" w:eastAsia="zh-CN"/>
        </w:rPr>
        <w:t>沙湾区政府投资项目管理实施细则</w:t>
      </w:r>
      <w:r>
        <w:rPr>
          <w:rFonts w:hint="eastAsia" w:ascii="仿宋_GB2312" w:eastAsia="仿宋_GB2312"/>
          <w:sz w:val="32"/>
          <w:szCs w:val="32"/>
          <w:lang w:val="en-US" w:eastAsia="zh-CN"/>
        </w:rPr>
        <w:t>》。</w:t>
      </w:r>
    </w:p>
    <w:p>
      <w:pPr>
        <w:keepNext w:val="0"/>
        <w:keepLines w:val="0"/>
        <w:pageBreakBefore w:val="0"/>
        <w:kinsoku/>
        <w:wordWrap/>
        <w:overflowPunct/>
        <w:topLinePunct w:val="0"/>
        <w:bidi w:val="0"/>
        <w:spacing w:line="600" w:lineRule="exact"/>
        <w:ind w:firstLine="640" w:firstLineChars="200"/>
        <w:textAlignment w:val="auto"/>
        <w:rPr>
          <w:rFonts w:hint="eastAsia" w:ascii="仿宋_GB2312" w:hAnsi="宋体" w:eastAsia="仿宋_GB2312" w:cs="仿宋_GB2312"/>
          <w:i w:val="0"/>
          <w:iCs w:val="0"/>
          <w:caps w:val="0"/>
          <w:color w:val="auto"/>
          <w:spacing w:val="0"/>
          <w:kern w:val="0"/>
          <w:sz w:val="32"/>
          <w:szCs w:val="32"/>
          <w:lang w:val="en-US" w:eastAsia="zh-CN" w:bidi="ar"/>
        </w:rPr>
      </w:pPr>
      <w:r>
        <w:rPr>
          <w:rFonts w:hint="eastAsia" w:ascii="黑体" w:hAnsi="仿宋_GB2312" w:eastAsia="黑体" w:cs="仿宋_GB2312"/>
          <w:kern w:val="0"/>
          <w:sz w:val="32"/>
          <w:szCs w:val="32"/>
          <w:lang w:eastAsia="zh-CN"/>
        </w:rPr>
        <w:t>三</w:t>
      </w:r>
      <w:r>
        <w:rPr>
          <w:rFonts w:hint="eastAsia" w:ascii="黑体" w:hAnsi="仿宋_GB2312" w:eastAsia="黑体" w:cs="仿宋_GB2312"/>
          <w:kern w:val="0"/>
          <w:sz w:val="32"/>
          <w:szCs w:val="32"/>
        </w:rPr>
        <w:t>、</w:t>
      </w:r>
      <w:r>
        <w:rPr>
          <w:rFonts w:hint="eastAsia" w:ascii="仿宋_GB2312" w:hAnsi="仿宋_GB2312" w:eastAsia="仿宋_GB2312" w:cs="仿宋_GB2312"/>
          <w:kern w:val="0"/>
          <w:sz w:val="32"/>
          <w:szCs w:val="32"/>
          <w:lang w:val="en-US" w:eastAsia="zh-CN"/>
        </w:rPr>
        <w:t xml:space="preserve"> </w:t>
      </w:r>
      <w:r>
        <w:rPr>
          <w:rStyle w:val="7"/>
          <w:rFonts w:hint="default" w:ascii="黑体" w:hAnsi="宋体" w:eastAsia="黑体" w:cs="黑体"/>
          <w:i w:val="0"/>
          <w:caps w:val="0"/>
          <w:color w:val="333333"/>
          <w:spacing w:val="0"/>
          <w:sz w:val="32"/>
          <w:szCs w:val="32"/>
          <w:shd w:val="clear" w:color="auto" w:fill="FFFFFF"/>
        </w:rPr>
        <w:t>主要内容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《细则》共七章，主要内容包括</w:t>
      </w:r>
      <w:r>
        <w:rPr>
          <w:rFonts w:hint="eastAsia" w:ascii="仿宋_GB2312" w:hAnsi="仿宋_GB2312" w:eastAsia="仿宋_GB2312" w:cs="仿宋_GB2312"/>
          <w:color w:val="auto"/>
          <w:sz w:val="32"/>
          <w:szCs w:val="32"/>
        </w:rPr>
        <w:t>总则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项目前期管理及投资决策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招投标和政府采购管理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 项目建设与资金管理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 项目结算与验收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监督管理与法律责任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附则</w:t>
      </w:r>
      <w:r>
        <w:rPr>
          <w:rFonts w:hint="eastAsia" w:ascii="仿宋_GB2312" w:hAnsi="仿宋_GB2312" w:eastAsia="仿宋_GB2312" w:cs="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（一）明确了政府投资项目的界定范围。</w:t>
      </w:r>
      <w:r>
        <w:rPr>
          <w:rFonts w:hint="eastAsia" w:ascii="黑体" w:hAnsi="黑体" w:eastAsia="黑体" w:cs="黑体"/>
          <w:sz w:val="32"/>
          <w:szCs w:val="32"/>
        </w:rPr>
        <w:t>《</w:t>
      </w:r>
      <w:r>
        <w:rPr>
          <w:rFonts w:hint="eastAsia" w:ascii="仿宋_GB2312" w:hAnsi="仿宋_GB2312" w:eastAsia="仿宋_GB2312" w:cs="仿宋_GB2312"/>
          <w:sz w:val="32"/>
          <w:szCs w:val="32"/>
          <w:lang w:val="en-US" w:eastAsia="zh-CN"/>
        </w:rPr>
        <w:t>细则</w:t>
      </w:r>
      <w:r>
        <w:rPr>
          <w:rFonts w:hint="eastAsia" w:ascii="仿宋_GB2312" w:hAnsi="仿宋_GB2312" w:eastAsia="仿宋_GB2312" w:cs="仿宋_GB2312"/>
          <w:sz w:val="32"/>
          <w:szCs w:val="32"/>
        </w:rPr>
        <w:t>》明确规定，</w:t>
      </w:r>
      <w:r>
        <w:rPr>
          <w:rFonts w:hint="eastAsia" w:ascii="Times New Roman" w:hAnsi="Times New Roman" w:eastAsia="仿宋_GB2312" w:cs="仿宋_GB2312"/>
          <w:color w:val="auto"/>
          <w:sz w:val="32"/>
          <w:szCs w:val="32"/>
          <w:u w:val="none"/>
        </w:rPr>
        <w:t>政府投资</w:t>
      </w:r>
      <w:r>
        <w:rPr>
          <w:rFonts w:hint="eastAsia" w:ascii="Times New Roman" w:hAnsi="Times New Roman" w:eastAsia="仿宋_GB2312" w:cs="仿宋_GB2312"/>
          <w:color w:val="auto"/>
          <w:sz w:val="32"/>
          <w:szCs w:val="32"/>
          <w:u w:val="none"/>
          <w:lang w:eastAsia="zh-CN"/>
        </w:rPr>
        <w:t>，</w:t>
      </w:r>
      <w:r>
        <w:rPr>
          <w:rFonts w:hint="eastAsia" w:ascii="Times New Roman" w:hAnsi="Times New Roman" w:eastAsia="仿宋_GB2312" w:cs="仿宋_GB2312"/>
          <w:color w:val="auto"/>
          <w:sz w:val="32"/>
          <w:szCs w:val="32"/>
          <w:u w:val="none"/>
        </w:rPr>
        <w:t>是指使用预算安排的资金进行固定资产投资建设活动</w:t>
      </w:r>
      <w:r>
        <w:rPr>
          <w:rFonts w:hint="eastAsia" w:ascii="Times New Roman" w:hAnsi="Times New Roman" w:eastAsia="仿宋_GB2312" w:cs="仿宋_GB2312"/>
          <w:color w:val="auto"/>
          <w:sz w:val="32"/>
          <w:szCs w:val="32"/>
          <w:u w:val="none"/>
          <w:lang w:eastAsia="zh-CN"/>
        </w:rPr>
        <w:t>，</w:t>
      </w:r>
      <w:r>
        <w:rPr>
          <w:rFonts w:hint="eastAsia" w:ascii="Times New Roman" w:hAnsi="Times New Roman" w:eastAsia="仿宋_GB2312" w:cs="仿宋_GB2312"/>
          <w:color w:val="auto"/>
          <w:sz w:val="32"/>
          <w:szCs w:val="32"/>
          <w:u w:val="none"/>
        </w:rPr>
        <w:t>包括新建、扩建、改建、技术改造等</w:t>
      </w:r>
      <w:r>
        <w:rPr>
          <w:rFonts w:hint="eastAsia" w:ascii="Times New Roman" w:hAnsi="Times New Roman" w:eastAsia="仿宋_GB2312" w:cs="仿宋_GB2312"/>
          <w:color w:val="auto"/>
          <w:sz w:val="32"/>
          <w:szCs w:val="32"/>
          <w:u w:val="none"/>
          <w:lang w:eastAsia="zh-CN"/>
        </w:rPr>
        <w:t>。</w:t>
      </w:r>
      <w:r>
        <w:rPr>
          <w:rFonts w:hint="eastAsia" w:ascii="Times New Roman" w:hAnsi="Times New Roman" w:eastAsia="仿宋_GB2312" w:cs="仿宋_GB2312"/>
          <w:color w:val="auto"/>
          <w:sz w:val="32"/>
          <w:szCs w:val="32"/>
          <w:u w:val="none"/>
        </w:rPr>
        <w:t>政府投资资金应当投向市场不能有效配置资源的社会公益服务、公共基础设施、农业农村、生态环境保护、重大科技进步、社会管理、国家安全等公共领域的项目</w:t>
      </w:r>
      <w:r>
        <w:rPr>
          <w:rFonts w:hint="eastAsia" w:ascii="Times New Roman" w:hAnsi="Times New Roman" w:eastAsia="仿宋_GB2312" w:cs="仿宋_GB2312"/>
          <w:color w:val="auto"/>
          <w:sz w:val="32"/>
          <w:szCs w:val="32"/>
          <w:u w:val="none"/>
          <w:lang w:eastAsia="zh-CN"/>
        </w:rPr>
        <w:t>，</w:t>
      </w:r>
      <w:r>
        <w:rPr>
          <w:rFonts w:hint="eastAsia" w:ascii="Times New Roman" w:hAnsi="Times New Roman" w:eastAsia="仿宋_GB2312" w:cs="仿宋_GB2312"/>
          <w:color w:val="auto"/>
          <w:sz w:val="32"/>
          <w:szCs w:val="32"/>
          <w:u w:val="none"/>
        </w:rPr>
        <w:t>以非经营性项目为主</w:t>
      </w:r>
      <w:r>
        <w:rPr>
          <w:rFonts w:hint="eastAsia" w:ascii="Times New Roman" w:hAnsi="Times New Roman" w:eastAsia="仿宋_GB2312" w:cs="仿宋_GB2312"/>
          <w:color w:val="auto"/>
          <w:sz w:val="32"/>
          <w:szCs w:val="32"/>
          <w:u w:val="none"/>
          <w:lang w:eastAsia="zh-CN"/>
        </w:rPr>
        <w:t>。</w:t>
      </w:r>
      <w:r>
        <w:rPr>
          <w:rFonts w:hint="eastAsia" w:ascii="Times New Roman" w:hAnsi="Times New Roman" w:eastAsia="仿宋_GB2312" w:cs="仿宋_GB2312"/>
          <w:color w:val="auto"/>
          <w:sz w:val="32"/>
          <w:szCs w:val="32"/>
          <w:u w:val="none"/>
          <w:lang w:val="en-US" w:eastAsia="zh-CN"/>
        </w:rPr>
        <w:t>从根本上明确了</w:t>
      </w:r>
      <w:r>
        <w:rPr>
          <w:rFonts w:hint="eastAsia" w:ascii="仿宋_GB2312" w:hAnsi="仿宋_GB2312" w:eastAsia="仿宋_GB2312" w:cs="仿宋_GB2312"/>
          <w:sz w:val="32"/>
          <w:szCs w:val="32"/>
        </w:rPr>
        <w:t>政府投资始终投向最需要投、最适合投的方向和领域</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Times New Roman" w:hAnsi="Times New Roman" w:eastAsia="仿宋_GB2312" w:cs="仿宋_GB2312"/>
          <w:color w:val="auto"/>
          <w:sz w:val="32"/>
          <w:szCs w:val="32"/>
          <w:u w:val="none"/>
          <w:lang w:val="en-US" w:eastAsia="zh-CN"/>
        </w:rPr>
        <w:t>（二）明确了原则和基本要求。</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细则</w:t>
      </w:r>
      <w:r>
        <w:rPr>
          <w:rFonts w:hint="eastAsia" w:ascii="仿宋_GB2312" w:hAnsi="仿宋_GB2312" w:eastAsia="仿宋_GB2312" w:cs="仿宋_GB2312"/>
          <w:sz w:val="32"/>
          <w:szCs w:val="32"/>
        </w:rPr>
        <w:t>》规定，政府投资应当遵循科学决策、规范管理、注重绩效、公开透明的原则，并与经济社会发展水平和财政收支状况相适应；</w:t>
      </w:r>
      <w:r>
        <w:rPr>
          <w:rFonts w:hint="eastAsia" w:ascii="仿宋_GB2312" w:hAnsi="仿宋_GB2312" w:eastAsia="仿宋_GB2312" w:cs="仿宋_GB2312"/>
          <w:sz w:val="32"/>
          <w:szCs w:val="32"/>
          <w:lang w:val="en-US" w:eastAsia="zh-CN"/>
        </w:rPr>
        <w:t>本级人民政府应</w:t>
      </w:r>
      <w:r>
        <w:rPr>
          <w:rFonts w:hint="eastAsia" w:ascii="Times New Roman" w:hAnsi="Times New Roman" w:eastAsia="仿宋_GB2312" w:cs="仿宋_GB2312"/>
          <w:color w:val="auto"/>
          <w:sz w:val="32"/>
          <w:szCs w:val="32"/>
          <w:u w:val="none"/>
        </w:rPr>
        <w:t>加强对政府投资资金的预算约束。政府及其有关部门不得违法违规举借债务筹措</w:t>
      </w:r>
      <w:r>
        <w:rPr>
          <w:rFonts w:hint="eastAsia" w:ascii="Times New Roman" w:hAnsi="Times New Roman" w:eastAsia="仿宋_GB2312" w:cs="仿宋_GB2312"/>
          <w:color w:val="auto"/>
          <w:sz w:val="32"/>
          <w:szCs w:val="32"/>
          <w:u w:val="none"/>
          <w:lang w:eastAsia="zh-CN"/>
        </w:rPr>
        <w:t>政府投资资金</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u w:val="none"/>
          <w:lang w:val="en-US" w:eastAsia="zh-CN"/>
        </w:rPr>
      </w:pPr>
      <w:r>
        <w:rPr>
          <w:rFonts w:hint="eastAsia" w:ascii="仿宋_GB2312" w:hAnsi="仿宋_GB2312" w:eastAsia="仿宋_GB2312" w:cs="仿宋_GB2312"/>
          <w:sz w:val="32"/>
          <w:szCs w:val="32"/>
          <w:lang w:val="en-US" w:eastAsia="zh-CN"/>
        </w:rPr>
        <w:t>（三）、确保政府投资科学合理。</w:t>
      </w:r>
      <w:r>
        <w:rPr>
          <w:rFonts w:hint="eastAsia" w:ascii="Times New Roman" w:hAnsi="Times New Roman" w:eastAsia="仿宋_GB2312" w:cs="仿宋_GB2312"/>
          <w:color w:val="auto"/>
          <w:sz w:val="32"/>
          <w:szCs w:val="32"/>
          <w:u w:val="none"/>
        </w:rPr>
        <w:t>一是</w:t>
      </w:r>
      <w:r>
        <w:rPr>
          <w:rFonts w:hint="eastAsia" w:ascii="Times New Roman" w:hAnsi="Times New Roman" w:eastAsia="仿宋_GB2312" w:cs="仿宋_GB2312"/>
          <w:color w:val="auto"/>
          <w:sz w:val="32"/>
          <w:szCs w:val="32"/>
          <w:u w:val="none"/>
          <w:lang w:val="en-US" w:eastAsia="zh-CN"/>
        </w:rPr>
        <w:t>规定政府应当根据规划、财政收支状况等统筹安排项目，</w:t>
      </w:r>
      <w:r>
        <w:rPr>
          <w:rFonts w:hint="eastAsia" w:ascii="Times New Roman" w:hAnsi="Times New Roman" w:eastAsia="仿宋_GB2312" w:cs="仿宋_GB2312"/>
          <w:color w:val="auto"/>
          <w:sz w:val="32"/>
          <w:szCs w:val="32"/>
          <w:u w:val="none"/>
        </w:rPr>
        <w:t>规范使用各类政府投资资金</w:t>
      </w:r>
      <w:r>
        <w:rPr>
          <w:rFonts w:hint="eastAsia" w:ascii="Times New Roman" w:hAnsi="Times New Roman" w:eastAsia="仿宋_GB2312" w:cs="仿宋_GB2312"/>
          <w:color w:val="auto"/>
          <w:sz w:val="32"/>
          <w:szCs w:val="32"/>
          <w:u w:val="none"/>
          <w:lang w:eastAsia="zh-CN"/>
        </w:rPr>
        <w:t>；</w:t>
      </w:r>
      <w:r>
        <w:rPr>
          <w:rFonts w:hint="eastAsia" w:ascii="Times New Roman" w:hAnsi="Times New Roman" w:eastAsia="仿宋_GB2312" w:cs="仿宋_GB2312"/>
          <w:color w:val="auto"/>
          <w:sz w:val="32"/>
          <w:szCs w:val="32"/>
          <w:u w:val="none"/>
          <w:lang w:val="en-US" w:eastAsia="zh-CN"/>
        </w:rPr>
        <w:t>二是规定制定政府投资年度计划应当和本级预算相衔接，与财政承受能力相匹配。三是规定对经济社会发展、社会公众利益有重大影响或者投资规模较大的政府投资项目，审批部门应当在中介服务机构评估、公众参与、专家评议、风险评估的基础上，履行集体决策程序作出决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color w:val="auto"/>
          <w:sz w:val="32"/>
          <w:szCs w:val="32"/>
          <w:u w:val="none"/>
          <w:lang w:val="en-US" w:eastAsia="zh-CN"/>
        </w:rPr>
        <w:t>（四）、规范政府投资项目审批。一是除涉及国家秘密的项目外，项目单位应当通过四川省投资项目在线审批监管平台(简称“在线平台”)申报项目，审批部门应当使用在线平台生成的项目代码办理政府投资项目审批手续。二是详细阐述了规范政府投资项目审批制度，明确了项目单位应当编制和报批的文件、投资主管部门或者其他有关部门审批项目的依据和审查事项。三是</w:t>
      </w:r>
      <w:r>
        <w:rPr>
          <w:rFonts w:hint="eastAsia" w:ascii="仿宋_GB2312" w:hAnsi="仿宋_GB2312" w:eastAsia="仿宋_GB2312" w:cs="仿宋_GB2312"/>
          <w:sz w:val="32"/>
          <w:szCs w:val="32"/>
        </w:rPr>
        <w:t>明确经核定的投资概算是控制政府投资项目总投资的依据，初步设计提出的投资概算超过可行性研究报告提出的投资估算10%的，</w:t>
      </w:r>
      <w:r>
        <w:rPr>
          <w:rFonts w:hint="eastAsia" w:ascii="Times New Roman" w:hAnsi="Times New Roman" w:eastAsia="仿宋_GB2312" w:cs="仿宋_GB2312"/>
          <w:color w:val="auto"/>
          <w:sz w:val="32"/>
          <w:szCs w:val="32"/>
          <w:u w:val="none"/>
        </w:rPr>
        <w:t>项目单位应当向审批部门报告</w:t>
      </w:r>
      <w:r>
        <w:rPr>
          <w:rFonts w:hint="eastAsia" w:ascii="Times New Roman" w:hAnsi="Times New Roman" w:eastAsia="仿宋_GB2312" w:cs="仿宋_GB2312"/>
          <w:color w:val="auto"/>
          <w:sz w:val="32"/>
          <w:szCs w:val="32"/>
          <w:u w:val="none"/>
          <w:lang w:eastAsia="zh-CN"/>
        </w:rPr>
        <w:t>，</w:t>
      </w:r>
      <w:r>
        <w:rPr>
          <w:rFonts w:hint="eastAsia" w:ascii="Times New Roman" w:hAnsi="Times New Roman" w:eastAsia="仿宋_GB2312" w:cs="仿宋_GB2312"/>
          <w:color w:val="auto"/>
          <w:sz w:val="32"/>
          <w:szCs w:val="32"/>
          <w:u w:val="none"/>
        </w:rPr>
        <w:t>审批部门可以要求项目单位重新报送可行性研究报告</w:t>
      </w:r>
      <w:r>
        <w:rPr>
          <w:rFonts w:hint="eastAsia" w:ascii="Times New Roman" w:hAnsi="Times New Roman" w:eastAsia="仿宋_GB2312" w:cs="仿宋_GB2312"/>
          <w:color w:val="auto"/>
          <w:sz w:val="32"/>
          <w:szCs w:val="32"/>
          <w:u w:val="none"/>
          <w:lang w:eastAsia="zh-CN"/>
        </w:rPr>
        <w:t>。</w:t>
      </w:r>
      <w:r>
        <w:rPr>
          <w:rFonts w:hint="eastAsia" w:ascii="Times New Roman" w:hAnsi="Times New Roman" w:eastAsia="仿宋_GB2312" w:cs="仿宋_GB2312"/>
          <w:color w:val="auto"/>
          <w:sz w:val="32"/>
          <w:szCs w:val="32"/>
          <w:u w:val="none"/>
          <w:lang w:val="en-US" w:eastAsia="zh-CN"/>
        </w:rPr>
        <w:t>四是参照市《管理办法》规定政府投资审批项目有效期。</w:t>
      </w:r>
      <w:r>
        <w:rPr>
          <w:rFonts w:hint="eastAsia" w:ascii="Times New Roman" w:hAnsi="Times New Roman" w:eastAsia="仿宋_GB2312"/>
          <w:color w:val="auto"/>
          <w:sz w:val="32"/>
          <w:szCs w:val="32"/>
          <w:u w:val="none"/>
          <w:lang w:val="en-US" w:eastAsia="zh-CN"/>
        </w:rPr>
        <w:t>五是</w:t>
      </w:r>
      <w:r>
        <w:rPr>
          <w:rFonts w:hint="eastAsia" w:ascii="仿宋_GB2312" w:hAnsi="仿宋_GB2312" w:eastAsia="仿宋_GB2312" w:cs="仿宋_GB2312"/>
          <w:sz w:val="32"/>
          <w:szCs w:val="32"/>
        </w:rPr>
        <w:t>为提高决策效率，</w:t>
      </w:r>
      <w:r>
        <w:rPr>
          <w:rFonts w:hint="eastAsia" w:ascii="仿宋_GB2312" w:hAnsi="仿宋_GB2312" w:eastAsia="仿宋_GB2312" w:cs="仿宋_GB2312"/>
          <w:sz w:val="32"/>
          <w:szCs w:val="32"/>
          <w:lang w:val="en-US" w:eastAsia="zh-CN"/>
        </w:rPr>
        <w:t>简化部分政府投资项目报批文件和审批程序。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u w:val="none"/>
          <w:lang w:val="en-US" w:eastAsia="zh-CN"/>
        </w:rPr>
      </w:pPr>
      <w:r>
        <w:rPr>
          <w:rFonts w:hint="eastAsia" w:ascii="Times New Roman" w:hAnsi="Times New Roman" w:eastAsia="仿宋_GB2312" w:cs="仿宋_GB2312"/>
          <w:color w:val="auto"/>
          <w:sz w:val="32"/>
          <w:szCs w:val="32"/>
          <w:u w:val="none"/>
          <w:lang w:val="en-US" w:eastAsia="zh-CN"/>
        </w:rPr>
        <w:t>（五）、确保</w:t>
      </w:r>
      <w:r>
        <w:rPr>
          <w:rFonts w:hint="eastAsia" w:ascii="Times New Roman" w:hAnsi="Times New Roman" w:eastAsia="仿宋_GB2312" w:cs="仿宋_GB2312"/>
          <w:color w:val="auto"/>
          <w:sz w:val="32"/>
          <w:szCs w:val="32"/>
          <w:u w:val="none"/>
        </w:rPr>
        <w:t>政府投资项目的顺利实施</w:t>
      </w:r>
      <w:r>
        <w:rPr>
          <w:rFonts w:hint="eastAsia" w:ascii="Times New Roman" w:hAnsi="Times New Roman" w:eastAsia="仿宋_GB2312" w:cs="仿宋_GB2312"/>
          <w:color w:val="auto"/>
          <w:sz w:val="32"/>
          <w:szCs w:val="32"/>
          <w:u w:val="none"/>
          <w:lang w:eastAsia="zh-CN"/>
        </w:rPr>
        <w:t>。</w:t>
      </w:r>
      <w:r>
        <w:rPr>
          <w:rFonts w:hint="eastAsia" w:ascii="Times New Roman" w:hAnsi="Times New Roman" w:eastAsia="仿宋_GB2312" w:cs="Times New Roman"/>
          <w:color w:val="auto"/>
          <w:sz w:val="32"/>
          <w:szCs w:val="32"/>
          <w:u w:val="none"/>
        </w:rPr>
        <w:t>一是政府投资项目开工建设应当符合有关法律、行政法规规定的建设条件</w:t>
      </w:r>
      <w:r>
        <w:rPr>
          <w:rFonts w:hint="eastAsia" w:ascii="Times New Roman" w:hAnsi="Times New Roman" w:eastAsia="仿宋_GB2312" w:cs="Times New Roman"/>
          <w:color w:val="auto"/>
          <w:sz w:val="32"/>
          <w:szCs w:val="32"/>
          <w:u w:val="none"/>
          <w:lang w:eastAsia="zh-CN"/>
        </w:rPr>
        <w:t>，</w:t>
      </w:r>
      <w:r>
        <w:rPr>
          <w:rFonts w:hint="eastAsia" w:ascii="Times New Roman" w:hAnsi="Times New Roman" w:eastAsia="仿宋_GB2312" w:cs="Times New Roman"/>
          <w:color w:val="auto"/>
          <w:sz w:val="32"/>
          <w:szCs w:val="32"/>
          <w:u w:val="none"/>
        </w:rPr>
        <w:t>并按照批准的建设地点、建设规模和建设内容实施，需要变更的应当报原审批部门审批。二是政府投资项目所需资金应当按规定确保落实</w:t>
      </w:r>
      <w:r>
        <w:rPr>
          <w:rFonts w:hint="eastAsia" w:ascii="Times New Roman" w:hAnsi="Times New Roman" w:eastAsia="仿宋_GB2312" w:cs="Times New Roman"/>
          <w:color w:val="auto"/>
          <w:sz w:val="32"/>
          <w:szCs w:val="32"/>
          <w:u w:val="none"/>
          <w:lang w:eastAsia="zh-CN"/>
        </w:rPr>
        <w:t>，</w:t>
      </w:r>
      <w:r>
        <w:rPr>
          <w:rFonts w:hint="eastAsia" w:ascii="Times New Roman" w:hAnsi="Times New Roman" w:eastAsia="仿宋_GB2312" w:cs="Times New Roman"/>
          <w:color w:val="auto"/>
          <w:sz w:val="32"/>
          <w:szCs w:val="32"/>
          <w:u w:val="none"/>
        </w:rPr>
        <w:t>原则上根据工程施工进度安排预算。三是</w:t>
      </w:r>
      <w:r>
        <w:rPr>
          <w:rFonts w:hint="eastAsia" w:ascii="Times New Roman" w:hAnsi="Times New Roman" w:eastAsia="仿宋_GB2312" w:cs="Times New Roman"/>
          <w:color w:val="auto"/>
          <w:sz w:val="32"/>
          <w:szCs w:val="32"/>
          <w:u w:val="none"/>
          <w:lang w:val="en-US" w:eastAsia="zh-CN"/>
        </w:rPr>
        <w:t>规范落实招投标及政府采购管理，明确必须公开招标及政府采购项目范围。四是规定</w:t>
      </w:r>
      <w:r>
        <w:rPr>
          <w:rFonts w:ascii="仿宋_GB2312" w:hAnsi="仿宋_GB2312" w:eastAsia="仿宋_GB2312" w:cs="仿宋_GB2312"/>
          <w:color w:val="auto"/>
          <w:sz w:val="32"/>
          <w:szCs w:val="32"/>
        </w:rPr>
        <w:t>政府投资项目按照基本建设程序</w:t>
      </w:r>
      <w:r>
        <w:rPr>
          <w:rFonts w:hint="eastAsia" w:ascii="仿宋_GB2312" w:hAnsi="仿宋_GB2312" w:eastAsia="仿宋_GB2312" w:cs="仿宋_GB2312"/>
          <w:color w:val="auto"/>
          <w:sz w:val="32"/>
          <w:szCs w:val="32"/>
        </w:rPr>
        <w:t>，防止边勘察、边设计、边施工。</w:t>
      </w:r>
      <w:r>
        <w:rPr>
          <w:rFonts w:hint="eastAsia" w:ascii="仿宋_GB2312" w:hAnsi="仿宋_GB2312" w:eastAsia="仿宋_GB2312" w:cs="仿宋_GB2312"/>
          <w:color w:val="auto"/>
          <w:sz w:val="32"/>
          <w:szCs w:val="32"/>
          <w:lang w:val="en-US" w:eastAsia="zh-CN"/>
        </w:rPr>
        <w:t>五是</w:t>
      </w:r>
      <w:r>
        <w:rPr>
          <w:rFonts w:hint="eastAsia" w:ascii="Times New Roman" w:hAnsi="Times New Roman" w:eastAsia="仿宋_GB2312" w:cs="Times New Roman"/>
          <w:color w:val="auto"/>
          <w:sz w:val="32"/>
          <w:szCs w:val="32"/>
          <w:u w:val="none"/>
        </w:rPr>
        <w:t>政府投资项目应当</w:t>
      </w:r>
      <w:r>
        <w:rPr>
          <w:rFonts w:hint="eastAsia" w:ascii="Times New Roman" w:hAnsi="Times New Roman" w:eastAsia="仿宋_GB2312" w:cs="Times New Roman"/>
          <w:color w:val="auto"/>
          <w:sz w:val="32"/>
          <w:szCs w:val="32"/>
          <w:u w:val="none"/>
          <w:lang w:val="en-US" w:eastAsia="zh-CN"/>
        </w:rPr>
        <w:t>科学</w:t>
      </w:r>
      <w:r>
        <w:rPr>
          <w:rFonts w:hint="eastAsia" w:ascii="Times New Roman" w:hAnsi="Times New Roman" w:eastAsia="仿宋_GB2312" w:cs="Times New Roman"/>
          <w:color w:val="auto"/>
          <w:sz w:val="32"/>
          <w:szCs w:val="32"/>
          <w:u w:val="none"/>
        </w:rPr>
        <w:t>确定并严格执行建设工期，项目建成后应当按规定进行竣工验收并及时办理竣工财务决算。</w:t>
      </w:r>
      <w:r>
        <w:rPr>
          <w:rFonts w:hint="eastAsia" w:ascii="Times New Roman" w:hAnsi="Times New Roman" w:eastAsia="仿宋_GB2312" w:cs="Times New Roman"/>
          <w:color w:val="auto"/>
          <w:sz w:val="32"/>
          <w:szCs w:val="32"/>
          <w:u w:val="none"/>
          <w:lang w:val="en-US" w:eastAsia="zh-CN"/>
        </w:rPr>
        <w:t>六是明确在项目建设过程中</w:t>
      </w:r>
      <w:r>
        <w:rPr>
          <w:rFonts w:hint="eastAsia" w:ascii="仿宋_GB2312" w:hAnsi="仿宋_GB2312" w:eastAsia="仿宋_GB2312" w:cs="仿宋_GB2312"/>
          <w:color w:val="auto"/>
          <w:sz w:val="32"/>
          <w:szCs w:val="32"/>
        </w:rPr>
        <w:t>无正当理由导致项目累计增加或减少超过施工合同总额的10%，应当移送监委核查</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s="Times New Roman"/>
          <w:color w:val="auto"/>
          <w:sz w:val="32"/>
          <w:szCs w:val="32"/>
          <w:u w:val="none"/>
          <w:lang w:val="en-US" w:eastAsia="zh-CN"/>
        </w:rPr>
        <w:t>确需增减工程量应按照程序报批。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color w:val="auto"/>
          <w:sz w:val="32"/>
          <w:szCs w:val="32"/>
          <w:u w:val="none"/>
          <w:lang w:val="en-US" w:eastAsia="zh-CN"/>
        </w:rPr>
        <w:t>（六）强化监督管理。</w:t>
      </w:r>
      <w:r>
        <w:rPr>
          <w:rFonts w:hint="eastAsia" w:ascii="仿宋_GB2312" w:hAnsi="仿宋_GB2312" w:eastAsia="仿宋_GB2312" w:cs="仿宋_GB2312"/>
          <w:sz w:val="32"/>
          <w:szCs w:val="32"/>
          <w:lang w:val="en-US" w:eastAsia="zh-CN"/>
        </w:rPr>
        <w:t>《细则》要求有关部门采取在线监测、现场核查、督导评估等方式，对项目实施、资金使用等情况开展日常调度和监督检查。项目单位应当通过在线平台如实报送政府投资项目开工建设、建设进度、竣工验收的基本信息。《细则》同时明确，政府投资年度计划、政府投资项目审批和实施以及监督检查的信息应当依法公开。</w:t>
      </w:r>
      <w:bookmarkStart w:id="0" w:name="_GoBack"/>
      <w:bookmarkEnd w:id="0"/>
    </w:p>
    <w:sectPr>
      <w:footerReference r:id="rId3" w:type="default"/>
      <w:pgSz w:w="11906" w:h="16838"/>
      <w:pgMar w:top="2041" w:right="1468" w:bottom="1440" w:left="146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yODMwOTJkZTdlODU2OTdiN2Y5ZjU3OTgyOWMxMWYifQ=="/>
  </w:docVars>
  <w:rsids>
    <w:rsidRoot w:val="00000000"/>
    <w:rsid w:val="0BD0037E"/>
    <w:rsid w:val="1EBB6385"/>
    <w:rsid w:val="34E45D9D"/>
    <w:rsid w:val="3DB67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keepNext w:val="0"/>
      <w:keepLines w:val="0"/>
      <w:widowControl w:val="0"/>
      <w:suppressLineNumbers w:val="0"/>
      <w:spacing w:before="240" w:beforeAutospacing="0" w:after="60" w:afterAutospacing="0"/>
      <w:ind w:left="0" w:right="0"/>
      <w:jc w:val="center"/>
      <w:outlineLvl w:val="0"/>
    </w:pPr>
    <w:rPr>
      <w:rFonts w:hint="default" w:ascii="Arial" w:hAnsi="Arial" w:eastAsia="宋体" w:cs="Arial"/>
      <w:b/>
      <w:bCs/>
      <w:kern w:val="2"/>
      <w:sz w:val="32"/>
      <w:szCs w:val="32"/>
      <w:lang w:val="en-US" w:eastAsia="zh-CN" w:bidi="ar"/>
    </w:rPr>
  </w:style>
  <w:style w:type="paragraph" w:styleId="3">
    <w:name w:val="Body Text"/>
    <w:basedOn w:val="1"/>
    <w:qFormat/>
    <w:uiPriority w:val="99"/>
  </w:style>
  <w:style w:type="paragraph" w:styleId="4">
    <w:name w:val="footer"/>
    <w:basedOn w:val="1"/>
    <w:qFormat/>
    <w:uiPriority w:val="0"/>
    <w:pPr>
      <w:tabs>
        <w:tab w:val="center" w:pos="4153"/>
        <w:tab w:val="right" w:pos="8306"/>
      </w:tabs>
      <w:snapToGrid w:val="0"/>
      <w:jc w:val="left"/>
    </w:pPr>
    <w:rPr>
      <w:sz w:val="18"/>
    </w:rPr>
  </w:style>
  <w:style w:type="character" w:styleId="7">
    <w:name w:val="Emphasis"/>
    <w:basedOn w:val="6"/>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1656</Words>
  <Characters>1660</Characters>
  <Lines>0</Lines>
  <Paragraphs>0</Paragraphs>
  <TotalTime>7</TotalTime>
  <ScaleCrop>false</ScaleCrop>
  <LinksUpToDate>false</LinksUpToDate>
  <CharactersWithSpaces>1663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2023-04-23T03:07:00Z</dcterms:created>
  <dc:creator>Fgjkjg008</dc:creator>
  <cp:lastModifiedBy>鲁燕</cp:lastModifiedBy>
  <dcterms:modified xsi:type="dcterms:W3CDTF">2023-04-23T05:47:25Z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2623E14229E440AA844EF6F603BC94EB</vt:lpwstr>
  </property>
</Properties>
</file>