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59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乐山市沙湾区牛石历史文化名镇保护规划</w:t>
      </w:r>
    </w:p>
    <w:p w14:paraId="059E8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征求意见稿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 w14:paraId="68427ADD">
      <w:pPr>
        <w:spacing w:after="0" w:line="360" w:lineRule="auto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436D0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一、规划期限</w:t>
      </w:r>
    </w:p>
    <w:p w14:paraId="6B31F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本次规划期限分为近期、远期两个阶段，规划期末为2035年。近期：2026年-2030年；远期：2031年-2035年。</w:t>
      </w:r>
    </w:p>
    <w:p w14:paraId="45E57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二、规划范围</w:t>
      </w:r>
    </w:p>
    <w:p w14:paraId="55E16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本次规划范围分为三个层面：镇域、镇区和古镇区。其中，镇域层面为牛石镇行政区划范围，规划面积为52.78平方公里；镇区层面为牛石镇城镇范围，规划面积为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52.57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古镇区层面，以红房子范围为重点区域，面积为27.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公顷。</w:t>
      </w:r>
    </w:p>
    <w:p w14:paraId="079D7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三、保护规划目标</w:t>
      </w:r>
    </w:p>
    <w:p w14:paraId="2D69B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立足历史文化名镇历史基因守护与有机更新共生，通过全域保护、分级保护守护古镇区历史风貌原真性，在延续街巷肌理、修复自然生态的基础上，融入适应性功能更新，同时注重社区参与可持续发展，平衡原住民生活需求与文旅开发，利用绿色基础设施和特色产业培育，实现文化遗产的活态传承与现代生活的有机融合，打造兼具历史厚度与时代活力的“活态遗产空间”。</w:t>
      </w:r>
    </w:p>
    <w:p w14:paraId="0C7D2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四、保护内容</w:t>
      </w:r>
    </w:p>
    <w:p w14:paraId="5B358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保护镇域的山水格局和历史文化资源，保护好境内的山水形胜、自然景观、特色文化、传统聚落和文物古迹等。</w:t>
      </w:r>
    </w:p>
    <w:p w14:paraId="578A9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总体保护框架</w:t>
      </w:r>
    </w:p>
    <w:p w14:paraId="7D2FF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构建“分级管控+活态利用+制度闭环”的韧性体系。以“红房子”工业遗产为核，划定保护红线；以“铜河文化”为魂，驱动文旅融合；形成“一带一廊、一核两片”的保护框架。</w:t>
      </w:r>
    </w:p>
    <w:p w14:paraId="506F0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一带：指水电建设时期的公路、桥梁等交通遗迹，串联红房子、硝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斗岩、墓葬区等，形成文化线路。</w:t>
      </w:r>
    </w:p>
    <w:p w14:paraId="120E9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一廊：指朝山、邓坪等村及大渡河岸线的生态保护廊道。</w:t>
      </w:r>
    </w:p>
    <w:p w14:paraId="7EAD6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一核：以红房子建筑群形成的保护核心。</w:t>
      </w:r>
    </w:p>
    <w:p w14:paraId="3C382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两片：大渡河水电博物馆片区和硝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斗</w:t>
      </w:r>
      <w:r>
        <w:rPr>
          <w:rFonts w:hint="eastAsia" w:ascii="仿宋_GB2312" w:hAnsi="仿宋_GB2312" w:eastAsia="仿宋_GB2312" w:cs="仿宋_GB2312"/>
          <w:sz w:val="32"/>
          <w:szCs w:val="32"/>
        </w:rPr>
        <w:t>岩瀑布天坑保护片区。</w:t>
      </w:r>
    </w:p>
    <w:p w14:paraId="08EDE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）自然山体的保护</w:t>
      </w:r>
    </w:p>
    <w:p w14:paraId="788A7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保护深山峡谷自然景观，包括四峨山、肖家山和官帽山等。</w:t>
      </w:r>
    </w:p>
    <w:p w14:paraId="26C83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禁在自然山体区域进行无证采矿、采石、取土等破坏地质结构的行为。禁止砍伐山体原生植被、烧山垦荒，或违规开发林地。保护山体原生植被，对裸露山体实施生态修复，25°以上坡地需退耕还林还草。保护山体野生动物栖息地，禁止猎捕、破坏珍稀物种生存环境。建设项目需同步设计挡土墙、排水沟、沉沙池等水土保持设施。</w:t>
      </w:r>
    </w:p>
    <w:p w14:paraId="35534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）自然水系的保护</w:t>
      </w:r>
    </w:p>
    <w:p w14:paraId="51FF2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保护对象包括大渡河、牛石溪沟、永乐桥沟、石桥沟等。</w:t>
      </w:r>
    </w:p>
    <w:p w14:paraId="0071D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落实沙湾区三江岸线保护要求，禁止侵占、破坏河道、湖泊水域及岸线。禁止向水体排放污染物，严控工业、农业面源污染。落实“河长制”，明确水质达标责任。保护水生生物栖息地，修复鱼类洄游通道。禁止电鱼、毒鱼等非法捕捞，保留自然河岸形态。</w:t>
      </w:r>
    </w:p>
    <w:p w14:paraId="22475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）物质文化遗产保护</w:t>
      </w:r>
    </w:p>
    <w:p w14:paraId="39762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保护文物保护单位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未定级不可移动文物和建议历史建筑。</w:t>
      </w:r>
    </w:p>
    <w:p w14:paraId="14A40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）非物质文化遗产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2131"/>
        <w:gridCol w:w="3869"/>
        <w:gridCol w:w="1261"/>
      </w:tblGrid>
      <w:tr w14:paraId="72BCF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740" w:type="pct"/>
            <w:vAlign w:val="center"/>
          </w:tcPr>
          <w:p w14:paraId="7F750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序号</w:t>
            </w:r>
          </w:p>
        </w:tc>
        <w:tc>
          <w:tcPr>
            <w:tcW w:w="1250" w:type="pct"/>
            <w:vAlign w:val="center"/>
          </w:tcPr>
          <w:p w14:paraId="43BD1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类别</w:t>
            </w:r>
          </w:p>
        </w:tc>
        <w:tc>
          <w:tcPr>
            <w:tcW w:w="2270" w:type="pct"/>
            <w:vAlign w:val="center"/>
          </w:tcPr>
          <w:p w14:paraId="2545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项目名称</w:t>
            </w:r>
          </w:p>
        </w:tc>
        <w:tc>
          <w:tcPr>
            <w:tcW w:w="740" w:type="pct"/>
            <w:vAlign w:val="center"/>
          </w:tcPr>
          <w:p w14:paraId="5DBB4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等级</w:t>
            </w:r>
          </w:p>
        </w:tc>
      </w:tr>
      <w:tr w14:paraId="079F9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pct"/>
            <w:vAlign w:val="center"/>
          </w:tcPr>
          <w:p w14:paraId="6CE00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Ⅰ-1</w:t>
            </w:r>
          </w:p>
        </w:tc>
        <w:tc>
          <w:tcPr>
            <w:tcW w:w="1250" w:type="pct"/>
            <w:vMerge w:val="restart"/>
            <w:vAlign w:val="center"/>
          </w:tcPr>
          <w:p w14:paraId="0EF4B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民间文学</w:t>
            </w:r>
          </w:p>
        </w:tc>
        <w:tc>
          <w:tcPr>
            <w:tcW w:w="2270" w:type="pct"/>
            <w:vAlign w:val="center"/>
          </w:tcPr>
          <w:p w14:paraId="5CDFC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邓通铸币故事</w:t>
            </w:r>
          </w:p>
        </w:tc>
        <w:tc>
          <w:tcPr>
            <w:tcW w:w="740" w:type="pct"/>
            <w:vAlign w:val="center"/>
          </w:tcPr>
          <w:p w14:paraId="6F1C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县级</w:t>
            </w:r>
          </w:p>
        </w:tc>
      </w:tr>
      <w:tr w14:paraId="6FE60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pct"/>
            <w:vAlign w:val="center"/>
          </w:tcPr>
          <w:p w14:paraId="7F10E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Ⅰ-2</w:t>
            </w:r>
          </w:p>
        </w:tc>
        <w:tc>
          <w:tcPr>
            <w:tcW w:w="1250" w:type="pct"/>
            <w:vMerge w:val="continue"/>
            <w:vAlign w:val="center"/>
          </w:tcPr>
          <w:p w14:paraId="558A7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70" w:type="pct"/>
            <w:vAlign w:val="center"/>
          </w:tcPr>
          <w:p w14:paraId="2D267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牛石镇民间故事</w:t>
            </w:r>
          </w:p>
        </w:tc>
        <w:tc>
          <w:tcPr>
            <w:tcW w:w="740" w:type="pct"/>
            <w:vAlign w:val="center"/>
          </w:tcPr>
          <w:p w14:paraId="2986B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县级</w:t>
            </w:r>
          </w:p>
        </w:tc>
      </w:tr>
      <w:tr w14:paraId="4DFDF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pct"/>
            <w:vAlign w:val="center"/>
          </w:tcPr>
          <w:p w14:paraId="6A4CA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III</w:t>
            </w:r>
          </w:p>
        </w:tc>
        <w:tc>
          <w:tcPr>
            <w:tcW w:w="1250" w:type="pct"/>
            <w:vAlign w:val="center"/>
          </w:tcPr>
          <w:p w14:paraId="3F364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传统舞蹈</w:t>
            </w:r>
          </w:p>
        </w:tc>
        <w:tc>
          <w:tcPr>
            <w:tcW w:w="2270" w:type="pct"/>
            <w:vAlign w:val="center"/>
          </w:tcPr>
          <w:p w14:paraId="0E092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铜河牛儿灯</w:t>
            </w:r>
          </w:p>
        </w:tc>
        <w:tc>
          <w:tcPr>
            <w:tcW w:w="740" w:type="pct"/>
            <w:vAlign w:val="center"/>
          </w:tcPr>
          <w:p w14:paraId="57359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县级</w:t>
            </w:r>
          </w:p>
        </w:tc>
      </w:tr>
      <w:tr w14:paraId="30DF8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pct"/>
            <w:vAlign w:val="center"/>
          </w:tcPr>
          <w:p w14:paraId="49518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Ⅷ-1</w:t>
            </w:r>
          </w:p>
        </w:tc>
        <w:tc>
          <w:tcPr>
            <w:tcW w:w="1250" w:type="pct"/>
            <w:vMerge w:val="restart"/>
            <w:vAlign w:val="center"/>
          </w:tcPr>
          <w:p w14:paraId="45E3C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传统技艺</w:t>
            </w:r>
          </w:p>
        </w:tc>
        <w:tc>
          <w:tcPr>
            <w:tcW w:w="2270" w:type="pct"/>
            <w:vAlign w:val="center"/>
          </w:tcPr>
          <w:p w14:paraId="31C4F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八月瓜茶制作技艺</w:t>
            </w:r>
          </w:p>
        </w:tc>
        <w:tc>
          <w:tcPr>
            <w:tcW w:w="740" w:type="pct"/>
          </w:tcPr>
          <w:p w14:paraId="16B64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县级</w:t>
            </w:r>
          </w:p>
        </w:tc>
      </w:tr>
      <w:tr w14:paraId="77553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pct"/>
            <w:vAlign w:val="center"/>
          </w:tcPr>
          <w:p w14:paraId="79FDC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Ⅷ-2</w:t>
            </w:r>
          </w:p>
        </w:tc>
        <w:tc>
          <w:tcPr>
            <w:tcW w:w="1250" w:type="pct"/>
            <w:vMerge w:val="continue"/>
            <w:vAlign w:val="center"/>
          </w:tcPr>
          <w:p w14:paraId="576DC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70" w:type="pct"/>
            <w:vAlign w:val="center"/>
          </w:tcPr>
          <w:p w14:paraId="66C52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鞠婆婆手工冰粉</w:t>
            </w:r>
          </w:p>
        </w:tc>
        <w:tc>
          <w:tcPr>
            <w:tcW w:w="740" w:type="pct"/>
          </w:tcPr>
          <w:p w14:paraId="529B5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县级</w:t>
            </w:r>
          </w:p>
        </w:tc>
      </w:tr>
      <w:tr w14:paraId="692F3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pct"/>
            <w:vAlign w:val="center"/>
          </w:tcPr>
          <w:p w14:paraId="7EE10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X</w:t>
            </w:r>
          </w:p>
        </w:tc>
        <w:tc>
          <w:tcPr>
            <w:tcW w:w="1250" w:type="pct"/>
            <w:vAlign w:val="center"/>
          </w:tcPr>
          <w:p w14:paraId="47EE8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民俗</w:t>
            </w:r>
          </w:p>
        </w:tc>
        <w:tc>
          <w:tcPr>
            <w:tcW w:w="2270" w:type="pct"/>
            <w:vAlign w:val="center"/>
          </w:tcPr>
          <w:p w14:paraId="73DD8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铜河开秧门</w:t>
            </w:r>
          </w:p>
        </w:tc>
        <w:tc>
          <w:tcPr>
            <w:tcW w:w="740" w:type="pct"/>
          </w:tcPr>
          <w:p w14:paraId="0875B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县级</w:t>
            </w:r>
          </w:p>
        </w:tc>
      </w:tr>
    </w:tbl>
    <w:p w14:paraId="6BEB0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E20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五、主要保护要求与整治措施</w:t>
      </w:r>
    </w:p>
    <w:p w14:paraId="3B049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）核心保护范围的保护与整治措施</w:t>
      </w:r>
    </w:p>
    <w:p w14:paraId="02B77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核心保护范围：以规划范围内红房子组团为基本保护主体，北至灰石盆码头与道路连接巷一侧，南至三线文化广场南侧，西至现状沟渠一侧建筑外边线，东至大渡河一侧红房子建筑外边线，面积为3.3公顷。</w:t>
      </w:r>
    </w:p>
    <w:p w14:paraId="3B4A8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核心保护范围内开展建设和保护应与《沙湾区三江岸线保护规划》关于严格保护区和控制利用区相协调，落实其保护要求。历史遗迹应按照保持原有空间形态及建筑风格的要求加强维修，对濒临损毁的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建筑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进行抢救性保护。建设活动应当符合保护规划的要求，经相关主管部门审核同意后进行。不得损害历史文化遗产的真实性和完整性，不得改变古镇的传统格局、历史风貌和空间尺度。</w:t>
      </w:r>
    </w:p>
    <w:p w14:paraId="15465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核心保护区范围内，除必要的基础设施和公共服务设施外，不得进行新建、扩建活动。允许翻建除文物保护单位、历史建筑以外存在较大安全隐患的建（构）筑物，但占地面积及高度不得超过原建筑，并且建筑风格、体量、色彩等方面，要延续传统建筑的形制与风貌特征，建筑应维持原有高度不得改变。</w:t>
      </w:r>
    </w:p>
    <w:p w14:paraId="0C274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）建设控制地带的保护与整治措施</w:t>
      </w:r>
    </w:p>
    <w:p w14:paraId="0C423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建设控制地带范围：结合现状土地使用状况与道路走向以及山形，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四至范围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与城镇开发边界进行衔接，面积为11.44公顷。</w:t>
      </w:r>
    </w:p>
    <w:p w14:paraId="645A4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控制地带范围内开展建设和保护应与《沙湾区三江岸线保护规划》关于严格保护区和控制利用区相协调，落实其保护要求。禁止进行开山等破坏传统格局和历史风貌的活动；占用或者破坏保护规划确定保留的园林绿地、河湖、道路等；对传统格局和风貌构成影响的大面积改建、大面积拆除、开发；修建破坏传统风貌的建筑物、构筑物。严格控制用地性质的调整，建设控制地带内的文化用地、公共服务设施用地、耕地、农田等不应随意改变用地功能。在建设控制地带内，更新改造应有计划、分阶段进行，历史遗存的活化利用不应超出其可承受限度。在建设控制地带内，新建、改建、扩建建筑层数不得超过6层；应按照传统建筑形式、色彩、体量等要求进行建设，建筑整体风貌应与文物及周边环境的整体风貌协调。</w:t>
      </w:r>
    </w:p>
    <w:p w14:paraId="469FF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六、活化利用</w:t>
      </w:r>
    </w:p>
    <w:p w14:paraId="21E96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）总体策略</w:t>
      </w:r>
    </w:p>
    <w:p w14:paraId="06E50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通过“点—线—面”的立体叙事，将工业遗址、红色记忆与峡谷生态转化为可游、可感、可学的文旅产品。</w:t>
      </w:r>
    </w:p>
    <w:p w14:paraId="09BFE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）展示体系结构</w:t>
      </w:r>
    </w:p>
    <w:p w14:paraId="782B0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落实牛石镇历史文化名镇水—山—镇的保护空间格局，在展示和利用空间上形成“一心两带”的总体空间格局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4A6A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一心：红房子核心区，打造成文旅消费极核，主要打造影视基地、博物馆、主题酒店、非遗街区（禁止破坏性新建）等。</w:t>
      </w:r>
    </w:p>
    <w:p w14:paraId="4D2A0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两带：大渡河滨水带和山地运动带，其中大渡河滨水带主要发展安池湿地观鸟、滨水步道、荧光跑等赛事活动；山地运动带主要发展硝斗岩探险、龙岩攀岩、徒步线路开发等项目。</w:t>
      </w:r>
    </w:p>
    <w:p w14:paraId="34877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）旅游规划</w:t>
      </w:r>
    </w:p>
    <w:p w14:paraId="58CBC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规划丰富的商业业态，以参与体验的方式增强古镇旅游吸引力。包括特色产品展销、餐饮、休闲、文化、住宿及综合业态。</w:t>
      </w:r>
    </w:p>
    <w:p w14:paraId="796CD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红房子片区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——</w:t>
      </w:r>
      <w:r>
        <w:rPr>
          <w:rFonts w:hint="eastAsia" w:ascii="仿宋_GB2312" w:hAnsi="仿宋_GB2312" w:eastAsia="仿宋_GB2312" w:cs="仿宋_GB2312"/>
          <w:sz w:val="32"/>
          <w:szCs w:val="32"/>
        </w:rPr>
        <w:t>影视+研学综合体</w:t>
      </w:r>
    </w:p>
    <w:p w14:paraId="1FB9C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筑利用（功能置换）：将闲置红砖房盘活利用，形成大渡河水电博物馆、三线建设记忆馆、主题民宿及影视配套服务区。在保持红砖房建筑原有外观风貌、典型构件的基础上，可通过加建、改建和添加设施等方式适应现代生产生活需要。</w:t>
      </w:r>
    </w:p>
    <w:p w14:paraId="248EC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影视经济（场景固化）：利用影视IP和场景，打造换装旅拍基地。建立剧组服务标准，确保影视拍摄不破坏建筑结构。</w:t>
      </w:r>
    </w:p>
    <w:p w14:paraId="4F6EE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展陈设计（沉浸式叙事）：采用“实物+科技”手段，陈列老物件，通过VR还原水电建设场景、全息投影再现“三线”生活，开发针对学生的水电科普研学课程。</w:t>
      </w:r>
    </w:p>
    <w:p w14:paraId="20C8F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业态控制（小而精设置）：业态以文创店、主题咖啡馆、非遗体验馆等为主，维持“安静的怀旧街区”氛围。</w:t>
      </w:r>
    </w:p>
    <w:p w14:paraId="3762D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山水与工业遗存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——</w:t>
      </w:r>
      <w:r>
        <w:rPr>
          <w:rFonts w:hint="eastAsia" w:ascii="仿宋_GB2312" w:hAnsi="仿宋_GB2312" w:eastAsia="仿宋_GB2312" w:cs="仿宋_GB2312"/>
          <w:sz w:val="32"/>
          <w:szCs w:val="32"/>
        </w:rPr>
        <w:t>户外体验廊道</w:t>
      </w:r>
    </w:p>
    <w:p w14:paraId="60FF0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斗</w:t>
      </w:r>
      <w:r>
        <w:rPr>
          <w:rFonts w:hint="eastAsia" w:ascii="仿宋_GB2312" w:hAnsi="仿宋_GB2312" w:eastAsia="仿宋_GB2312" w:cs="仿宋_GB2312"/>
          <w:sz w:val="32"/>
          <w:szCs w:val="32"/>
        </w:rPr>
        <w:t>岩天坑：利用天坑瀑布资源，开发地质科普考察线路，作为红房子研学游的户外延伸。</w:t>
      </w:r>
    </w:p>
    <w:p w14:paraId="07C39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龙岩攀岩基地：依托天然岩壁，建设专业攀岩线路和体验区，举办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各级</w:t>
      </w:r>
      <w:r>
        <w:rPr>
          <w:rFonts w:hint="eastAsia" w:ascii="仿宋_GB2312" w:hAnsi="仿宋_GB2312" w:eastAsia="仿宋_GB2312" w:cs="仿宋_GB2312"/>
          <w:sz w:val="32"/>
          <w:szCs w:val="32"/>
        </w:rPr>
        <w:t>攀岩赛事，吸引年轻客群。</w:t>
      </w:r>
    </w:p>
    <w:p w14:paraId="3A544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铜街子电站：在安全保障的前提下，电站观景平台，展示大渡河水电开发的宏大场景，与红房子生活区形成“生产-生活”联动叙事。</w:t>
      </w:r>
    </w:p>
    <w:p w14:paraId="76C99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非遗与民俗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——</w:t>
      </w:r>
      <w:r>
        <w:rPr>
          <w:rFonts w:hint="eastAsia" w:ascii="仿宋_GB2312" w:hAnsi="仿宋_GB2312" w:eastAsia="仿宋_GB2312" w:cs="仿宋_GB2312"/>
          <w:sz w:val="32"/>
          <w:szCs w:val="32"/>
        </w:rPr>
        <w:t>活态展示链条</w:t>
      </w:r>
    </w:p>
    <w:p w14:paraId="35F38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铜河“开秧门”（节庆IP化）：固定为每年春季的农耕文化节。规划专用场地（安池梯田），设计插秧比赛、浑水摸鱼、栽秧粑制作等体验环节，将其从民俗仪式升级为旅游产品。</w:t>
      </w:r>
    </w:p>
    <w:p w14:paraId="00553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手工技艺（前店后厂）：在红房子街区设立非遗工坊。实现“看得见、吃得着”的生产性保护。</w:t>
      </w:r>
    </w:p>
    <w:p w14:paraId="0ACDB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牛儿灯/山歌（街头艺术）：将传统舞蹈和山歌编排为常态化街头快闪节目，在红房子广场、游客中心定点定时演出，解决“有戏无台”的问题。</w:t>
      </w:r>
    </w:p>
    <w:p w14:paraId="0ADD5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52B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附件：乐山市沙湾区牛石历史文化名镇保护规划图纸</w:t>
      </w:r>
    </w:p>
    <w:p w14:paraId="7A059A98">
      <w:pPr>
        <w:spacing w:after="0"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572B6A85">
      <w:pPr>
        <w:spacing w:after="0"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0EA1DF45">
      <w:pPr>
        <w:spacing w:after="0"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0490DE91">
      <w:pPr>
        <w:spacing w:after="0" w:line="360" w:lineRule="auto"/>
        <w:ind w:firstLine="560" w:firstLineChars="200"/>
        <w:rPr>
          <w:rFonts w:hint="eastAsia" w:ascii="微软雅黑" w:hAnsi="微软雅黑" w:eastAsia="微软雅黑"/>
          <w:sz w:val="28"/>
          <w:szCs w:val="32"/>
        </w:rPr>
      </w:pPr>
    </w:p>
    <w:p w14:paraId="7584FC11">
      <w:pPr>
        <w:spacing w:after="0" w:line="360" w:lineRule="auto"/>
        <w:ind w:firstLine="560" w:firstLineChars="200"/>
        <w:rPr>
          <w:rFonts w:hint="eastAsia" w:ascii="微软雅黑" w:hAnsi="微软雅黑" w:eastAsia="微软雅黑"/>
          <w:sz w:val="28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064B63B">
      <w:pPr>
        <w:spacing w:after="0" w:line="360" w:lineRule="auto"/>
        <w:jc w:val="center"/>
        <w:rPr>
          <w:rFonts w:hint="eastAsia" w:ascii="微软雅黑" w:hAnsi="微软雅黑" w:eastAsia="微软雅黑"/>
          <w:sz w:val="28"/>
          <w:szCs w:val="32"/>
          <w:lang w:eastAsia="zh-CN"/>
        </w:rPr>
      </w:pPr>
      <w:r>
        <w:rPr>
          <w:rFonts w:hint="eastAsia" w:ascii="微软雅黑" w:hAnsi="微软雅黑" w:eastAsia="微软雅黑"/>
          <w:sz w:val="28"/>
          <w:szCs w:val="32"/>
          <w:lang w:eastAsia="zh-CN"/>
        </w:rPr>
        <w:drawing>
          <wp:inline distT="0" distB="0" distL="114300" distR="114300">
            <wp:extent cx="7447280" cy="5268595"/>
            <wp:effectExtent l="0" t="0" r="1270" b="8255"/>
            <wp:docPr id="1" name="图片 1" descr="897ab9f52ddabfcbad81fda2927667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97ab9f52ddabfcbad81fda2927667e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7280" cy="526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E7774">
      <w:pPr>
        <w:spacing w:after="0" w:line="360" w:lineRule="auto"/>
        <w:jc w:val="center"/>
        <w:rPr>
          <w:rFonts w:hint="eastAsia" w:ascii="微软雅黑" w:hAnsi="微软雅黑" w:eastAsia="微软雅黑"/>
          <w:sz w:val="28"/>
          <w:szCs w:val="32"/>
        </w:rPr>
      </w:pPr>
      <w:r>
        <w:drawing>
          <wp:inline distT="0" distB="0" distL="0" distR="0">
            <wp:extent cx="7453630" cy="5278120"/>
            <wp:effectExtent l="0" t="0" r="0" b="0"/>
            <wp:docPr id="13575722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57221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7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46CDF">
      <w:pPr>
        <w:spacing w:after="0" w:line="360" w:lineRule="auto"/>
        <w:jc w:val="center"/>
        <w:rPr>
          <w:rFonts w:hint="eastAsia" w:ascii="微软雅黑" w:hAnsi="微软雅黑" w:eastAsia="微软雅黑"/>
          <w:sz w:val="28"/>
          <w:szCs w:val="32"/>
        </w:rPr>
      </w:pPr>
      <w:r>
        <w:drawing>
          <wp:inline distT="0" distB="0" distL="0" distR="0">
            <wp:extent cx="7461885" cy="5278120"/>
            <wp:effectExtent l="0" t="0" r="5715" b="0"/>
            <wp:docPr id="19615628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56283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61885" cy="527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99C"/>
    <w:rsid w:val="000D6433"/>
    <w:rsid w:val="00172F86"/>
    <w:rsid w:val="001751AE"/>
    <w:rsid w:val="001A01C5"/>
    <w:rsid w:val="00253B73"/>
    <w:rsid w:val="0029367F"/>
    <w:rsid w:val="002F699C"/>
    <w:rsid w:val="003A6866"/>
    <w:rsid w:val="00437FFA"/>
    <w:rsid w:val="00450D00"/>
    <w:rsid w:val="005241E8"/>
    <w:rsid w:val="005433F1"/>
    <w:rsid w:val="00575DA8"/>
    <w:rsid w:val="00671E1A"/>
    <w:rsid w:val="006A4A51"/>
    <w:rsid w:val="0073756D"/>
    <w:rsid w:val="00841BA1"/>
    <w:rsid w:val="009A2EFC"/>
    <w:rsid w:val="009C4620"/>
    <w:rsid w:val="00B21849"/>
    <w:rsid w:val="00B44056"/>
    <w:rsid w:val="00B5067A"/>
    <w:rsid w:val="00B511BD"/>
    <w:rsid w:val="00BC574D"/>
    <w:rsid w:val="00C51F98"/>
    <w:rsid w:val="00CA1BD5"/>
    <w:rsid w:val="00D00645"/>
    <w:rsid w:val="00EC7A20"/>
    <w:rsid w:val="00F37B1E"/>
    <w:rsid w:val="0B6658C1"/>
    <w:rsid w:val="16FE2244"/>
    <w:rsid w:val="24BF2DE1"/>
    <w:rsid w:val="28175856"/>
    <w:rsid w:val="33917C3C"/>
    <w:rsid w:val="36C90530"/>
    <w:rsid w:val="37377380"/>
    <w:rsid w:val="3FC61C78"/>
    <w:rsid w:val="569D432E"/>
    <w:rsid w:val="58531796"/>
    <w:rsid w:val="5A392F01"/>
    <w:rsid w:val="5FA612B1"/>
    <w:rsid w:val="5FDF6C2A"/>
    <w:rsid w:val="69456FB5"/>
    <w:rsid w:val="7CD1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kern w:val="2"/>
      <w:sz w:val="18"/>
      <w:szCs w:val="18"/>
      <w14:ligatures w14:val="standardContextual"/>
    </w:rPr>
  </w:style>
  <w:style w:type="character" w:customStyle="1" w:styleId="37">
    <w:name w:val="页脚 字符"/>
    <w:basedOn w:val="17"/>
    <w:link w:val="11"/>
    <w:qFormat/>
    <w:uiPriority w:val="99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2861</Words>
  <Characters>2913</Characters>
  <Lines>103</Lines>
  <Paragraphs>104</Paragraphs>
  <TotalTime>5</TotalTime>
  <ScaleCrop>false</ScaleCrop>
  <LinksUpToDate>false</LinksUpToDate>
  <CharactersWithSpaces>2913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2026-05-15T13:02:00Z</dcterms:created>
  <dc:creator>金</dc:creator>
  <cp:lastModifiedBy>缪超</cp:lastModifiedBy>
  <dcterms:modified xsi:type="dcterms:W3CDTF">2026-05-18T07:53:52Z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eyJoZGlkIjoiZjQzYWI0NzUyYWYxMWNlZmEyYzI1MmU0YWNhMDQ3OGUiLCJ1c2VySWQiOiIxNDg0MjA2NTc0In0=</vt:lpwstr>
  </property>
  <property fmtid="{D5CDD505-2E9C-101B-9397-08002B2CF9AE}" pid="3" name="KSOProductBuildVer">
    <vt:lpwstr>2052-12.1.0.26375</vt:lpwstr>
  </property>
  <property fmtid="{D5CDD505-2E9C-101B-9397-08002B2CF9AE}" pid="4" name="ICV">
    <vt:lpwstr>4B68EE6D008044AA80366CF926A8DB79_13</vt:lpwstr>
  </property>
</Properties>
</file>