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emf" ContentType="image/x-emf"/>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2003-2010___1.vsd" ContentType="application/vnd.visio"/>
  <Override PartName="/word/embeddings/Microsoft_Visio_2003-2010___3.vsd" ContentType="application/vnd.visio"/>
  <Override PartName="/word/embeddings/Microsoft_Visio___2.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1ECD34">
      <w:pPr>
        <w:widowControl/>
        <w:adjustRightInd w:val="0"/>
        <w:ind w:firstLine="0" w:firstLineChars="0"/>
        <w:jc w:val="center"/>
        <w:rPr>
          <w:rFonts w:cs="Times New Roman"/>
          <w:color w:val="auto"/>
          <w:sz w:val="48"/>
          <w:szCs w:val="44"/>
          <w:highlight w:val="none"/>
        </w:rPr>
      </w:pPr>
      <w:bookmarkStart w:id="0" w:name="_Hlk143260077"/>
      <w:bookmarkEnd w:id="0"/>
    </w:p>
    <w:p w14:paraId="6CB31902">
      <w:pPr>
        <w:adjustRightInd w:val="0"/>
        <w:ind w:firstLine="0" w:firstLineChars="0"/>
        <w:jc w:val="center"/>
        <w:rPr>
          <w:rFonts w:cs="Times New Roman"/>
          <w:b/>
          <w:bCs/>
          <w:color w:val="auto"/>
          <w:sz w:val="48"/>
          <w:szCs w:val="48"/>
          <w:highlight w:val="none"/>
        </w:rPr>
      </w:pPr>
      <w:r>
        <w:rPr>
          <w:rFonts w:hint="eastAsia" w:cs="Times New Roman"/>
          <w:b/>
          <w:bCs/>
          <w:color w:val="auto"/>
          <w:sz w:val="48"/>
          <w:szCs w:val="48"/>
          <w:highlight w:val="none"/>
        </w:rPr>
        <w:t>乐山市豪宸新能源科技有限公司</w:t>
      </w:r>
    </w:p>
    <w:p w14:paraId="2DD348C1">
      <w:pPr>
        <w:adjustRightInd w:val="0"/>
        <w:ind w:firstLine="0" w:firstLineChars="0"/>
        <w:jc w:val="center"/>
        <w:rPr>
          <w:rFonts w:cs="Times New Roman"/>
          <w:b/>
          <w:bCs/>
          <w:color w:val="auto"/>
          <w:sz w:val="84"/>
          <w:szCs w:val="84"/>
          <w:highlight w:val="none"/>
        </w:rPr>
      </w:pPr>
      <w:r>
        <w:rPr>
          <w:rFonts w:hint="eastAsia" w:cs="Times New Roman"/>
          <w:b/>
          <w:bCs/>
          <w:color w:val="auto"/>
          <w:sz w:val="44"/>
          <w:szCs w:val="44"/>
          <w:highlight w:val="none"/>
        </w:rPr>
        <w:t>沙湾豪宸新建36万吨锂矿综合利用项目</w:t>
      </w:r>
      <w:r>
        <w:rPr>
          <w:rFonts w:cs="Times New Roman"/>
          <w:b/>
          <w:bCs/>
          <w:color w:val="auto"/>
          <w:sz w:val="84"/>
          <w:szCs w:val="84"/>
          <w:highlight w:val="none"/>
        </w:rPr>
        <w:t>环境影响报告书</w:t>
      </w:r>
    </w:p>
    <w:p w14:paraId="1D9AE4AA">
      <w:pPr>
        <w:adjustRightInd w:val="0"/>
        <w:ind w:firstLine="0" w:firstLineChars="0"/>
        <w:jc w:val="center"/>
        <w:rPr>
          <w:rFonts w:cs="Times New Roman"/>
          <w:b/>
          <w:bCs/>
          <w:color w:val="auto"/>
          <w:sz w:val="48"/>
          <w:szCs w:val="48"/>
          <w:highlight w:val="none"/>
        </w:rPr>
      </w:pPr>
      <w:r>
        <w:rPr>
          <w:rFonts w:cs="Times New Roman"/>
          <w:b/>
          <w:bCs/>
          <w:color w:val="auto"/>
          <w:sz w:val="48"/>
          <w:szCs w:val="48"/>
          <w:highlight w:val="none"/>
        </w:rPr>
        <w:t>（</w:t>
      </w:r>
      <w:r>
        <w:rPr>
          <w:rFonts w:hint="eastAsia" w:cs="Times New Roman"/>
          <w:b/>
          <w:bCs/>
          <w:color w:val="auto"/>
          <w:sz w:val="48"/>
          <w:szCs w:val="48"/>
          <w:highlight w:val="none"/>
          <w:lang w:val="en-US" w:eastAsia="zh-CN"/>
        </w:rPr>
        <w:t>公示</w:t>
      </w:r>
      <w:r>
        <w:rPr>
          <w:rFonts w:cs="Times New Roman"/>
          <w:b/>
          <w:bCs/>
          <w:color w:val="auto"/>
          <w:sz w:val="48"/>
          <w:szCs w:val="48"/>
          <w:highlight w:val="none"/>
        </w:rPr>
        <w:t>本）</w:t>
      </w:r>
    </w:p>
    <w:p w14:paraId="5A430B59">
      <w:pPr>
        <w:pStyle w:val="42"/>
        <w:adjustRightInd w:val="0"/>
        <w:ind w:firstLine="480"/>
        <w:rPr>
          <w:color w:val="auto"/>
          <w:highlight w:val="none"/>
        </w:rPr>
      </w:pPr>
    </w:p>
    <w:p w14:paraId="59173B02">
      <w:pPr>
        <w:pStyle w:val="42"/>
        <w:adjustRightInd w:val="0"/>
        <w:ind w:firstLine="480"/>
        <w:rPr>
          <w:color w:val="auto"/>
          <w:highlight w:val="none"/>
        </w:rPr>
      </w:pPr>
    </w:p>
    <w:p w14:paraId="6B3FA838">
      <w:pPr>
        <w:pStyle w:val="42"/>
        <w:adjustRightInd w:val="0"/>
        <w:ind w:firstLine="480"/>
        <w:rPr>
          <w:color w:val="auto"/>
          <w:highlight w:val="none"/>
        </w:rPr>
      </w:pPr>
    </w:p>
    <w:p w14:paraId="04256D26">
      <w:pPr>
        <w:pStyle w:val="42"/>
        <w:adjustRightInd w:val="0"/>
        <w:ind w:firstLine="480"/>
        <w:rPr>
          <w:color w:val="auto"/>
          <w:highlight w:val="none"/>
        </w:rPr>
      </w:pPr>
    </w:p>
    <w:p w14:paraId="2AD90793">
      <w:pPr>
        <w:pStyle w:val="42"/>
        <w:adjustRightInd w:val="0"/>
        <w:ind w:firstLine="480"/>
        <w:rPr>
          <w:color w:val="auto"/>
          <w:highlight w:val="none"/>
        </w:rPr>
      </w:pPr>
    </w:p>
    <w:p w14:paraId="630451CA">
      <w:pPr>
        <w:pStyle w:val="42"/>
        <w:adjustRightInd w:val="0"/>
        <w:ind w:firstLine="480"/>
        <w:rPr>
          <w:color w:val="auto"/>
          <w:highlight w:val="none"/>
        </w:rPr>
      </w:pPr>
    </w:p>
    <w:p w14:paraId="37C2A5D9">
      <w:pPr>
        <w:pStyle w:val="42"/>
        <w:adjustRightInd w:val="0"/>
        <w:ind w:firstLine="480"/>
        <w:rPr>
          <w:color w:val="auto"/>
          <w:highlight w:val="none"/>
        </w:rPr>
      </w:pPr>
    </w:p>
    <w:p w14:paraId="41614C26">
      <w:pPr>
        <w:pStyle w:val="42"/>
        <w:adjustRightInd w:val="0"/>
        <w:ind w:firstLine="480"/>
        <w:rPr>
          <w:color w:val="auto"/>
          <w:highlight w:val="none"/>
        </w:rPr>
      </w:pPr>
    </w:p>
    <w:p w14:paraId="4CB3313C">
      <w:pPr>
        <w:pStyle w:val="42"/>
        <w:adjustRightInd w:val="0"/>
        <w:ind w:firstLine="480"/>
        <w:rPr>
          <w:color w:val="auto"/>
          <w:highlight w:val="none"/>
        </w:rPr>
      </w:pPr>
    </w:p>
    <w:p w14:paraId="1174A610">
      <w:pPr>
        <w:pStyle w:val="42"/>
        <w:adjustRightInd w:val="0"/>
        <w:ind w:firstLine="480"/>
        <w:rPr>
          <w:color w:val="auto"/>
          <w:highlight w:val="none"/>
        </w:rPr>
      </w:pPr>
    </w:p>
    <w:p w14:paraId="4313706E">
      <w:pPr>
        <w:pStyle w:val="42"/>
        <w:adjustRightInd w:val="0"/>
        <w:ind w:firstLine="480"/>
        <w:rPr>
          <w:color w:val="auto"/>
          <w:highlight w:val="none"/>
        </w:rPr>
      </w:pPr>
    </w:p>
    <w:p w14:paraId="5BCD03C7">
      <w:pPr>
        <w:pStyle w:val="42"/>
        <w:adjustRightInd w:val="0"/>
        <w:ind w:firstLine="480"/>
        <w:rPr>
          <w:color w:val="auto"/>
          <w:highlight w:val="none"/>
        </w:rPr>
      </w:pPr>
    </w:p>
    <w:p w14:paraId="6316BEA2">
      <w:pPr>
        <w:pStyle w:val="42"/>
        <w:adjustRightInd w:val="0"/>
        <w:ind w:firstLine="480"/>
        <w:rPr>
          <w:color w:val="auto"/>
          <w:highlight w:val="none"/>
        </w:rPr>
      </w:pPr>
    </w:p>
    <w:p w14:paraId="7A9C48C8">
      <w:pPr>
        <w:pStyle w:val="42"/>
        <w:adjustRightInd w:val="0"/>
        <w:ind w:firstLine="480"/>
        <w:rPr>
          <w:color w:val="auto"/>
          <w:highlight w:val="none"/>
        </w:rPr>
      </w:pPr>
    </w:p>
    <w:p w14:paraId="58A10B21">
      <w:pPr>
        <w:pStyle w:val="42"/>
        <w:adjustRightInd w:val="0"/>
        <w:ind w:firstLine="480"/>
        <w:rPr>
          <w:color w:val="auto"/>
          <w:highlight w:val="none"/>
        </w:rPr>
      </w:pPr>
    </w:p>
    <w:p w14:paraId="3534CF2D">
      <w:pPr>
        <w:adjustRightInd w:val="0"/>
        <w:ind w:left="648" w:hanging="648" w:hangingChars="270"/>
        <w:rPr>
          <w:rFonts w:cs="Times New Roman"/>
          <w:color w:val="auto"/>
          <w:szCs w:val="24"/>
          <w:highlight w:val="none"/>
        </w:rPr>
      </w:pPr>
    </w:p>
    <w:p w14:paraId="45FCB130">
      <w:pPr>
        <w:adjustRightInd w:val="0"/>
        <w:ind w:firstLine="480"/>
        <w:rPr>
          <w:rFonts w:cs="Times New Roman"/>
          <w:color w:val="auto"/>
          <w:szCs w:val="24"/>
          <w:highlight w:val="none"/>
        </w:rPr>
      </w:pPr>
    </w:p>
    <w:p w14:paraId="0A264EFD">
      <w:pPr>
        <w:adjustRightInd w:val="0"/>
        <w:ind w:firstLine="0" w:firstLineChars="0"/>
        <w:jc w:val="center"/>
        <w:rPr>
          <w:rFonts w:cs="Times New Roman"/>
          <w:b/>
          <w:color w:val="auto"/>
          <w:sz w:val="28"/>
          <w:szCs w:val="28"/>
          <w:highlight w:val="none"/>
        </w:rPr>
      </w:pPr>
      <w:r>
        <w:rPr>
          <w:rFonts w:cs="Times New Roman"/>
          <w:b/>
          <w:color w:val="auto"/>
          <w:sz w:val="28"/>
          <w:szCs w:val="28"/>
          <w:highlight w:val="none"/>
        </w:rPr>
        <w:t>建设单位：</w:t>
      </w:r>
      <w:r>
        <w:rPr>
          <w:rFonts w:hint="eastAsia" w:cs="Times New Roman"/>
          <w:b/>
          <w:color w:val="auto"/>
          <w:sz w:val="28"/>
          <w:szCs w:val="28"/>
          <w:highlight w:val="none"/>
        </w:rPr>
        <w:t>乐山市豪宸新能源科技有限公司</w:t>
      </w:r>
    </w:p>
    <w:p w14:paraId="7AB0FD7F">
      <w:pPr>
        <w:adjustRightInd w:val="0"/>
        <w:ind w:firstLine="0" w:firstLineChars="0"/>
        <w:jc w:val="center"/>
        <w:rPr>
          <w:rFonts w:cs="Times New Roman"/>
          <w:b/>
          <w:color w:val="auto"/>
          <w:sz w:val="28"/>
          <w:szCs w:val="28"/>
          <w:highlight w:val="none"/>
        </w:rPr>
      </w:pPr>
      <w:r>
        <w:rPr>
          <w:rFonts w:cs="Times New Roman"/>
          <w:b/>
          <w:color w:val="auto"/>
          <w:sz w:val="28"/>
          <w:szCs w:val="28"/>
          <w:highlight w:val="none"/>
        </w:rPr>
        <w:t>编制单位：四川蓉创鼎锋环境科技有限公司</w:t>
      </w:r>
    </w:p>
    <w:p w14:paraId="72F9FD2D">
      <w:pPr>
        <w:widowControl/>
        <w:adjustRightInd w:val="0"/>
        <w:ind w:firstLine="0" w:firstLineChars="0"/>
        <w:jc w:val="center"/>
        <w:rPr>
          <w:rFonts w:cs="Times New Roman"/>
          <w:color w:val="auto"/>
          <w:sz w:val="32"/>
          <w:szCs w:val="28"/>
          <w:highlight w:val="none"/>
        </w:rPr>
      </w:pPr>
      <w:r>
        <w:rPr>
          <w:rFonts w:cs="Times New Roman"/>
          <w:b/>
          <w:color w:val="auto"/>
          <w:sz w:val="28"/>
          <w:szCs w:val="28"/>
          <w:highlight w:val="none"/>
        </w:rPr>
        <w:t>202</w:t>
      </w:r>
      <w:r>
        <w:rPr>
          <w:rFonts w:hint="eastAsia" w:cs="Times New Roman"/>
          <w:b/>
          <w:color w:val="auto"/>
          <w:sz w:val="28"/>
          <w:szCs w:val="28"/>
          <w:highlight w:val="none"/>
        </w:rPr>
        <w:t>6</w:t>
      </w:r>
      <w:r>
        <w:rPr>
          <w:rFonts w:cs="Times New Roman"/>
          <w:b/>
          <w:color w:val="auto"/>
          <w:sz w:val="28"/>
          <w:szCs w:val="28"/>
          <w:highlight w:val="none"/>
        </w:rPr>
        <w:t>年</w:t>
      </w:r>
      <w:r>
        <w:rPr>
          <w:rFonts w:hint="eastAsia" w:cs="Times New Roman"/>
          <w:b/>
          <w:color w:val="auto"/>
          <w:sz w:val="28"/>
          <w:szCs w:val="28"/>
          <w:highlight w:val="none"/>
        </w:rPr>
        <w:t>4</w:t>
      </w:r>
      <w:r>
        <w:rPr>
          <w:rFonts w:cs="Times New Roman"/>
          <w:b/>
          <w:color w:val="auto"/>
          <w:sz w:val="28"/>
          <w:szCs w:val="28"/>
          <w:highlight w:val="none"/>
        </w:rPr>
        <w:t>月</w:t>
      </w:r>
    </w:p>
    <w:p w14:paraId="7B7293EA">
      <w:pPr>
        <w:adjustRightInd w:val="0"/>
        <w:ind w:firstLine="480"/>
        <w:rPr>
          <w:rFonts w:cs="Times New Roman"/>
          <w:color w:val="auto"/>
          <w:szCs w:val="2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titlePg/>
          <w:docGrid w:type="lines" w:linePitch="326" w:charSpace="0"/>
        </w:sectPr>
      </w:pPr>
    </w:p>
    <w:p w14:paraId="75A17FDA">
      <w:pPr>
        <w:adjustRightInd w:val="0"/>
        <w:ind w:firstLine="480"/>
        <w:rPr>
          <w:rFonts w:cs="Times New Roman"/>
          <w:color w:val="auto"/>
          <w:szCs w:val="22"/>
          <w:highlight w:val="none"/>
        </w:rPr>
        <w:sectPr>
          <w:pgSz w:w="11906" w:h="16838"/>
          <w:pgMar w:top="1440" w:right="1800" w:bottom="1440" w:left="1800" w:header="851" w:footer="992" w:gutter="0"/>
          <w:cols w:space="425" w:num="1"/>
          <w:titlePg/>
          <w:docGrid w:type="lines" w:linePitch="326" w:charSpace="0"/>
        </w:sectPr>
      </w:pPr>
    </w:p>
    <w:p w14:paraId="4FB2B42C">
      <w:pPr>
        <w:pStyle w:val="42"/>
        <w:adjustRightInd w:val="0"/>
        <w:ind w:firstLine="0" w:firstLineChars="0"/>
        <w:jc w:val="center"/>
        <w:rPr>
          <w:b/>
          <w:bCs/>
          <w:color w:val="auto"/>
          <w:sz w:val="30"/>
          <w:szCs w:val="30"/>
          <w:highlight w:val="none"/>
        </w:rPr>
      </w:pPr>
      <w:r>
        <w:rPr>
          <w:b/>
          <w:bCs/>
          <w:color w:val="auto"/>
          <w:sz w:val="30"/>
          <w:szCs w:val="30"/>
          <w:highlight w:val="none"/>
        </w:rPr>
        <w:t>概述</w:t>
      </w:r>
    </w:p>
    <w:p w14:paraId="15B6DE12">
      <w:pPr>
        <w:pStyle w:val="42"/>
        <w:adjustRightInd w:val="0"/>
        <w:ind w:firstLine="482"/>
        <w:rPr>
          <w:b/>
          <w:bCs/>
          <w:color w:val="auto"/>
          <w:highlight w:val="none"/>
        </w:rPr>
      </w:pPr>
      <w:r>
        <w:rPr>
          <w:b/>
          <w:bCs/>
          <w:color w:val="auto"/>
          <w:highlight w:val="none"/>
        </w:rPr>
        <w:t>1、项目由来</w:t>
      </w:r>
    </w:p>
    <w:p w14:paraId="2372031A">
      <w:pPr>
        <w:adjustRightInd w:val="0"/>
        <w:ind w:firstLine="480"/>
        <w:rPr>
          <w:rFonts w:cs="Times New Roman"/>
          <w:color w:val="auto"/>
          <w:highlight w:val="none"/>
        </w:rPr>
      </w:pPr>
      <w:r>
        <w:rPr>
          <w:rFonts w:cs="Times New Roman"/>
          <w:color w:val="auto"/>
          <w:highlight w:val="none"/>
        </w:rPr>
        <w:t>锂是新能源和高科技领域的重要材料，广泛应用于新能源、军工、医疗等</w:t>
      </w:r>
      <w:r>
        <w:rPr>
          <w:rFonts w:hint="eastAsia" w:cs="Times New Roman"/>
          <w:color w:val="auto"/>
          <w:highlight w:val="none"/>
        </w:rPr>
        <w:t>领域</w:t>
      </w:r>
      <w:r>
        <w:rPr>
          <w:rFonts w:cs="Times New Roman"/>
          <w:color w:val="auto"/>
          <w:highlight w:val="none"/>
        </w:rPr>
        <w:t>，《全国矿产资源总体规划（2021-2025年）》中明确锂是战略性短缺矿产和战略性洁净能源矿产，2025年7月1日正式实施的新《中华人民共和国矿产资源法》将稀土和锂明确纳入战略性矿产资源目录，标志着这两类关键矿产正式进入国家特殊保护政策范畴。</w:t>
      </w:r>
    </w:p>
    <w:p w14:paraId="67EDB683">
      <w:pPr>
        <w:adjustRightInd w:val="0"/>
        <w:ind w:firstLine="480"/>
        <w:rPr>
          <w:rFonts w:cs="Times New Roman"/>
          <w:color w:val="auto"/>
          <w:highlight w:val="none"/>
        </w:rPr>
      </w:pPr>
      <w:r>
        <w:rPr>
          <w:rFonts w:cs="Times New Roman"/>
          <w:color w:val="auto"/>
          <w:highlight w:val="none"/>
        </w:rPr>
        <w:t>四川省经济和信息化厅、四川省发展和改革委员会联合发布关于印发《促进锂电产业高质量发展的实施意见》的通知，明确提出构建形成</w:t>
      </w:r>
      <w:r>
        <w:rPr>
          <w:rFonts w:hint="eastAsia" w:cs="Times New Roman"/>
          <w:color w:val="auto"/>
          <w:highlight w:val="none"/>
        </w:rPr>
        <w:t>“</w:t>
      </w:r>
      <w:r>
        <w:rPr>
          <w:rFonts w:cs="Times New Roman"/>
          <w:color w:val="auto"/>
          <w:highlight w:val="none"/>
          <w:u w:val="single"/>
        </w:rPr>
        <w:t>锂资源开发—</w:t>
      </w:r>
      <w:r>
        <w:rPr>
          <w:rFonts w:cs="Times New Roman"/>
          <w:b/>
          <w:bCs/>
          <w:color w:val="auto"/>
          <w:highlight w:val="none"/>
          <w:u w:val="single"/>
        </w:rPr>
        <w:t>锂电材料</w:t>
      </w:r>
      <w:r>
        <w:rPr>
          <w:rFonts w:cs="Times New Roman"/>
          <w:color w:val="auto"/>
          <w:highlight w:val="none"/>
          <w:u w:val="single"/>
        </w:rPr>
        <w:t>—电池制造—系统集成—终端应用—废旧电池梯级开发及综合回收利用</w:t>
      </w:r>
      <w:r>
        <w:rPr>
          <w:rFonts w:hint="eastAsia" w:cs="Times New Roman"/>
          <w:color w:val="auto"/>
          <w:highlight w:val="none"/>
        </w:rPr>
        <w:t>”</w:t>
      </w:r>
      <w:r>
        <w:rPr>
          <w:rFonts w:cs="Times New Roman"/>
          <w:color w:val="auto"/>
          <w:highlight w:val="none"/>
        </w:rPr>
        <w:t>的全生命周期产业集群和生态体系，锂电材料关键共性技术研发创新能力保持全国领先水平，全产业链产值规模超过8000亿元，建成世界级锂电产业基地，实现</w:t>
      </w:r>
      <w:r>
        <w:rPr>
          <w:rFonts w:hint="eastAsia" w:cs="Times New Roman"/>
          <w:color w:val="auto"/>
          <w:highlight w:val="none"/>
        </w:rPr>
        <w:t>“</w:t>
      </w:r>
      <w:r>
        <w:rPr>
          <w:rFonts w:cs="Times New Roman"/>
          <w:color w:val="auto"/>
          <w:highlight w:val="none"/>
        </w:rPr>
        <w:t>四川锂电</w:t>
      </w:r>
      <w:r>
        <w:rPr>
          <w:rFonts w:hint="eastAsia" w:cs="Times New Roman"/>
          <w:color w:val="auto"/>
          <w:highlight w:val="none"/>
        </w:rPr>
        <w:t>”</w:t>
      </w:r>
      <w:r>
        <w:rPr>
          <w:rFonts w:cs="Times New Roman"/>
          <w:color w:val="auto"/>
          <w:highlight w:val="none"/>
        </w:rPr>
        <w:t>供全国销全球，为先进材料产业提质倍增提供有力支撑。</w:t>
      </w:r>
    </w:p>
    <w:p w14:paraId="257FB707">
      <w:pPr>
        <w:adjustRightInd w:val="0"/>
        <w:ind w:firstLine="480"/>
        <w:rPr>
          <w:rFonts w:cs="Times New Roman"/>
          <w:color w:val="auto"/>
          <w:highlight w:val="none"/>
        </w:rPr>
      </w:pPr>
      <w:r>
        <w:rPr>
          <w:rFonts w:cs="Times New Roman"/>
          <w:color w:val="auto"/>
          <w:highlight w:val="none"/>
        </w:rPr>
        <w:t>在此背景下，</w:t>
      </w:r>
      <w:r>
        <w:rPr>
          <w:rFonts w:hint="eastAsia" w:cs="Times New Roman"/>
          <w:color w:val="auto"/>
          <w:highlight w:val="none"/>
        </w:rPr>
        <w:t>乐山市豪宸新能源科技有限公司</w:t>
      </w:r>
      <w:r>
        <w:rPr>
          <w:rFonts w:cs="Times New Roman"/>
          <w:color w:val="auto"/>
          <w:highlight w:val="none"/>
        </w:rPr>
        <w:t>拟选址于四川乐山沙湾经济开发区（原乐山（沙湾）不锈钢产业园区），建设</w:t>
      </w:r>
      <w:r>
        <w:rPr>
          <w:rFonts w:hint="eastAsia" w:cs="Times New Roman"/>
          <w:color w:val="auto"/>
          <w:highlight w:val="none"/>
        </w:rPr>
        <w:t>“沙湾豪宸新建36万吨锂矿综合利用项目”</w:t>
      </w:r>
      <w:r>
        <w:rPr>
          <w:rFonts w:cs="Times New Roman"/>
          <w:color w:val="auto"/>
          <w:highlight w:val="none"/>
        </w:rPr>
        <w:t>（以下简称</w:t>
      </w:r>
      <w:r>
        <w:rPr>
          <w:rFonts w:hint="eastAsia" w:cs="Times New Roman"/>
          <w:color w:val="auto"/>
          <w:highlight w:val="none"/>
        </w:rPr>
        <w:t>“</w:t>
      </w:r>
      <w:r>
        <w:rPr>
          <w:rFonts w:cs="Times New Roman"/>
          <w:color w:val="auto"/>
          <w:highlight w:val="none"/>
        </w:rPr>
        <w:t>本项目</w:t>
      </w:r>
      <w:r>
        <w:rPr>
          <w:rFonts w:hint="eastAsia" w:cs="Times New Roman"/>
          <w:color w:val="auto"/>
          <w:highlight w:val="none"/>
        </w:rPr>
        <w:t>”</w:t>
      </w:r>
      <w:r>
        <w:rPr>
          <w:rFonts w:cs="Times New Roman"/>
          <w:color w:val="auto"/>
          <w:highlight w:val="none"/>
        </w:rPr>
        <w:t>），本项目建成后，年产锂辉石精矿约</w:t>
      </w:r>
      <w:r>
        <w:rPr>
          <w:rFonts w:hint="eastAsia" w:cs="Times New Roman"/>
          <w:color w:val="auto"/>
          <w:highlight w:val="none"/>
        </w:rPr>
        <w:t>11.423</w:t>
      </w:r>
      <w:r>
        <w:rPr>
          <w:rFonts w:cs="Times New Roman"/>
          <w:color w:val="auto"/>
          <w:highlight w:val="none"/>
        </w:rPr>
        <w:t>万吨，有利于提升四川乐山沙湾经济开发区新材料产业链供应水平，生产过程中产生的尾矿，可服务于园区新型建材产业，强化延链补链强链发展。</w:t>
      </w:r>
    </w:p>
    <w:p w14:paraId="2F9D4F8D">
      <w:pPr>
        <w:adjustRightInd w:val="0"/>
        <w:ind w:firstLine="480"/>
        <w:rPr>
          <w:rFonts w:cs="Times New Roman"/>
          <w:color w:val="auto"/>
          <w:highlight w:val="none"/>
        </w:rPr>
      </w:pPr>
      <w:r>
        <w:rPr>
          <w:rFonts w:cs="Times New Roman"/>
          <w:color w:val="auto"/>
          <w:highlight w:val="none"/>
        </w:rPr>
        <w:t>202</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3</w:t>
      </w:r>
      <w:r>
        <w:rPr>
          <w:rFonts w:cs="Times New Roman"/>
          <w:color w:val="auto"/>
          <w:highlight w:val="none"/>
        </w:rPr>
        <w:t>月，</w:t>
      </w:r>
      <w:r>
        <w:rPr>
          <w:rFonts w:hint="eastAsia" w:cs="Times New Roman"/>
          <w:color w:val="auto"/>
          <w:highlight w:val="none"/>
        </w:rPr>
        <w:t>乐山市豪宸新能源科技有限公司</w:t>
      </w:r>
      <w:r>
        <w:rPr>
          <w:rFonts w:cs="Times New Roman"/>
          <w:color w:val="auto"/>
          <w:highlight w:val="none"/>
        </w:rPr>
        <w:t>在沙湾区发展和改革局对本项目进行了备案，备案号：</w:t>
      </w:r>
      <w:r>
        <w:rPr>
          <w:rFonts w:hint="eastAsia" w:cs="Times New Roman"/>
          <w:color w:val="auto"/>
          <w:highlight w:val="none"/>
        </w:rPr>
        <w:t>川投资备【2603-511111-04-01-373348】FGQB-0034 号</w:t>
      </w:r>
      <w:r>
        <w:rPr>
          <w:rFonts w:cs="Times New Roman"/>
          <w:color w:val="auto"/>
          <w:highlight w:val="none"/>
        </w:rPr>
        <w:t>。主要建设内容为：</w:t>
      </w:r>
      <w:r>
        <w:rPr>
          <w:rFonts w:hint="eastAsia" w:cs="Times New Roman"/>
          <w:color w:val="auto"/>
          <w:highlight w:val="none"/>
        </w:rPr>
        <w:t>项目占地31.8亩，加工锂辉石原矿36万t/a（1090.91t/d），投资金额为11000万元，新建钢结构厂房；主要对锂矿加工处置利用，配套建设碎矿车间、磨矿车间、加工车间、磁选车间、压滤车间等工程。产品名称：锂辉石精矿。主要设备：颚式破碎机，球磨机，浮选机，磁选机，鼓风机，精矿和尾矿压滤机等</w:t>
      </w:r>
      <w:r>
        <w:rPr>
          <w:rFonts w:cs="Times New Roman"/>
          <w:color w:val="auto"/>
          <w:highlight w:val="none"/>
        </w:rPr>
        <w:t>。</w:t>
      </w:r>
    </w:p>
    <w:p w14:paraId="41019D0E">
      <w:pPr>
        <w:adjustRightInd w:val="0"/>
        <w:ind w:firstLine="480"/>
        <w:rPr>
          <w:rFonts w:cs="Times New Roman"/>
          <w:color w:val="auto"/>
          <w:highlight w:val="none"/>
        </w:rPr>
      </w:pPr>
      <w:r>
        <w:rPr>
          <w:rFonts w:cs="Times New Roman"/>
          <w:color w:val="auto"/>
          <w:highlight w:val="none"/>
        </w:rPr>
        <w:t>根据《中华人民共和国环境保护法</w:t>
      </w:r>
      <w:r>
        <w:rPr>
          <w:rFonts w:hint="eastAsia" w:cs="Times New Roman"/>
          <w:color w:val="auto"/>
          <w:highlight w:val="none"/>
        </w:rPr>
        <w:t>》《</w:t>
      </w:r>
      <w:r>
        <w:rPr>
          <w:rFonts w:cs="Times New Roman"/>
          <w:color w:val="auto"/>
          <w:highlight w:val="none"/>
        </w:rPr>
        <w:t>中华人民共和国环境影响评价法》等国家</w:t>
      </w:r>
      <w:r>
        <w:rPr>
          <w:rFonts w:hint="eastAsia" w:cs="Times New Roman"/>
          <w:color w:val="auto"/>
          <w:highlight w:val="none"/>
        </w:rPr>
        <w:t>法律法规</w:t>
      </w:r>
      <w:r>
        <w:rPr>
          <w:rFonts w:cs="Times New Roman"/>
          <w:color w:val="auto"/>
          <w:highlight w:val="none"/>
        </w:rPr>
        <w:t>要求，本项目应进行环境影响评价。根据《国民经济行业分类》（GB/T4754-2017），本项目行业类别为B0939其他稀有金属采选，根据《建设项目环境影响评价分类管理名录》（2021版），本项目工艺主要为破碎、筛分、湿式磨矿、浮选、磁选和脱水，属于</w:t>
      </w:r>
      <w:r>
        <w:rPr>
          <w:rFonts w:hint="eastAsia" w:cs="Times New Roman"/>
          <w:color w:val="auto"/>
          <w:highlight w:val="none"/>
        </w:rPr>
        <w:t>“</w:t>
      </w:r>
      <w:r>
        <w:rPr>
          <w:rFonts w:cs="Times New Roman"/>
          <w:color w:val="auto"/>
          <w:highlight w:val="none"/>
        </w:rPr>
        <w:t>七、有色金属矿采选业 09</w:t>
      </w:r>
      <w:r>
        <w:rPr>
          <w:rFonts w:hint="eastAsia" w:cs="Times New Roman"/>
          <w:color w:val="auto"/>
          <w:highlight w:val="none"/>
        </w:rPr>
        <w:t>”</w:t>
      </w:r>
      <w:r>
        <w:rPr>
          <w:rFonts w:cs="Times New Roman"/>
          <w:color w:val="auto"/>
          <w:highlight w:val="none"/>
        </w:rPr>
        <w:t>中</w:t>
      </w:r>
      <w:r>
        <w:rPr>
          <w:rFonts w:hint="eastAsia" w:cs="Times New Roman"/>
          <w:color w:val="auto"/>
          <w:highlight w:val="none"/>
        </w:rPr>
        <w:t>“</w:t>
      </w:r>
      <w:r>
        <w:rPr>
          <w:rFonts w:cs="Times New Roman"/>
          <w:color w:val="auto"/>
          <w:highlight w:val="none"/>
        </w:rPr>
        <w:t>10、稀有稀土金属矿采选093—全部（含新建或扩建的独立尾矿库；不含单独的矿石破碎、集运；不含矿区修复治理工程）</w:t>
      </w:r>
      <w:r>
        <w:rPr>
          <w:rFonts w:hint="eastAsia" w:cs="Times New Roman"/>
          <w:color w:val="auto"/>
          <w:highlight w:val="none"/>
        </w:rPr>
        <w:t>”</w:t>
      </w:r>
      <w:r>
        <w:rPr>
          <w:rFonts w:cs="Times New Roman"/>
          <w:color w:val="auto"/>
          <w:highlight w:val="none"/>
        </w:rPr>
        <w:t>的项目，因此本项目应该编制环境影响报告书。</w:t>
      </w:r>
      <w:r>
        <w:rPr>
          <w:rFonts w:hint="eastAsia" w:cs="Times New Roman"/>
          <w:color w:val="auto"/>
          <w:highlight w:val="none"/>
        </w:rPr>
        <w:t>乐山市豪宸新能源科技有限公司</w:t>
      </w:r>
      <w:r>
        <w:rPr>
          <w:rFonts w:cs="Times New Roman"/>
          <w:color w:val="auto"/>
          <w:highlight w:val="none"/>
        </w:rPr>
        <w:t>委托我公司进行环境影响评价工作，我公司接受委托后，即派相关技术人员到项目现场进行实地踏勘和资料收集，并按照有关技术规范编制本项目环境影响报告书，供生态环境主管部门审查。</w:t>
      </w:r>
    </w:p>
    <w:p w14:paraId="75F2EAD7">
      <w:pPr>
        <w:pStyle w:val="42"/>
        <w:adjustRightInd w:val="0"/>
        <w:ind w:firstLine="482"/>
        <w:rPr>
          <w:b/>
          <w:bCs/>
          <w:color w:val="auto"/>
          <w:highlight w:val="none"/>
        </w:rPr>
      </w:pPr>
      <w:r>
        <w:rPr>
          <w:b/>
          <w:bCs/>
          <w:color w:val="auto"/>
          <w:highlight w:val="none"/>
        </w:rPr>
        <w:t>2、项目特点</w:t>
      </w:r>
    </w:p>
    <w:p w14:paraId="03282243">
      <w:pPr>
        <w:pStyle w:val="42"/>
        <w:adjustRightInd w:val="0"/>
        <w:ind w:firstLine="480"/>
        <w:rPr>
          <w:color w:val="auto"/>
          <w:highlight w:val="none"/>
        </w:rPr>
      </w:pPr>
      <w:r>
        <w:rPr>
          <w:color w:val="auto"/>
          <w:highlight w:val="none"/>
        </w:rPr>
        <w:t>根据现场调研和建设单位提供的资料，该项目具有以下特点：</w:t>
      </w:r>
    </w:p>
    <w:p w14:paraId="35B70409">
      <w:pPr>
        <w:pStyle w:val="42"/>
        <w:adjustRightInd w:val="0"/>
        <w:ind w:firstLine="480"/>
        <w:rPr>
          <w:b/>
          <w:bCs/>
          <w:color w:val="auto"/>
          <w:highlight w:val="none"/>
          <w:u w:val="single"/>
        </w:rPr>
      </w:pPr>
      <w:r>
        <w:rPr>
          <w:color w:val="auto"/>
          <w:highlight w:val="none"/>
        </w:rPr>
        <w:t>（1）本项目原料锂辉石原矿由甘孜州融达锂业有限公司提供，根据甘孜州融达锂业有限公司锂辉石原矿的成分检测报告，该公司锂辉石原矿不含国家管控的重金属铅、汞、镉、铬、砷、铊和锑。同时，</w:t>
      </w:r>
      <w:r>
        <w:rPr>
          <w:b/>
          <w:bCs/>
          <w:color w:val="auto"/>
          <w:highlight w:val="none"/>
          <w:u w:val="single"/>
        </w:rPr>
        <w:t>本次环评要求，若加工甘孜州融达锂业有限公司以外公司提供的锂矿，需提供对应公司锂矿的成分检测报告，确保原矿中不含有重金属。</w:t>
      </w:r>
    </w:p>
    <w:p w14:paraId="4922A0BE">
      <w:pPr>
        <w:pStyle w:val="42"/>
        <w:adjustRightInd w:val="0"/>
        <w:ind w:firstLine="480"/>
        <w:rPr>
          <w:color w:val="auto"/>
          <w:highlight w:val="none"/>
        </w:rPr>
      </w:pPr>
      <w:r>
        <w:rPr>
          <w:color w:val="auto"/>
          <w:highlight w:val="none"/>
        </w:rPr>
        <w:t>（2）本项目</w:t>
      </w:r>
      <w:r>
        <w:rPr>
          <w:rFonts w:hint="eastAsia"/>
          <w:color w:val="auto"/>
          <w:highlight w:val="none"/>
        </w:rPr>
        <w:t>给料</w:t>
      </w:r>
      <w:r>
        <w:rPr>
          <w:color w:val="auto"/>
          <w:highlight w:val="none"/>
        </w:rPr>
        <w:t>、破碎粉尘经收集后统一经1套袋式除尘装置（TA001）处理后经一根15m排气筒（DA001）处理后达标外排</w:t>
      </w:r>
      <w:r>
        <w:rPr>
          <w:rFonts w:hint="eastAsia"/>
          <w:color w:val="auto"/>
          <w:highlight w:val="none"/>
        </w:rPr>
        <w:t>，</w:t>
      </w:r>
      <w:r>
        <w:rPr>
          <w:color w:val="auto"/>
          <w:highlight w:val="none"/>
        </w:rPr>
        <w:t>筛分</w:t>
      </w:r>
      <w:r>
        <w:rPr>
          <w:rFonts w:hint="eastAsia"/>
          <w:color w:val="auto"/>
          <w:highlight w:val="none"/>
        </w:rPr>
        <w:t>粉尘</w:t>
      </w:r>
      <w:r>
        <w:rPr>
          <w:color w:val="auto"/>
          <w:highlight w:val="none"/>
        </w:rPr>
        <w:t>经收集后统一经1套袋式除尘装置（TA002）处理后经一根15m排气筒（DA001，</w:t>
      </w:r>
      <w:r>
        <w:rPr>
          <w:rFonts w:hint="eastAsia"/>
          <w:color w:val="auto"/>
          <w:highlight w:val="none"/>
        </w:rPr>
        <w:t>共</w:t>
      </w:r>
      <w:r>
        <w:rPr>
          <w:color w:val="auto"/>
          <w:highlight w:val="none"/>
        </w:rPr>
        <w:t>用）处理后达标外排。</w:t>
      </w:r>
      <w:r>
        <w:rPr>
          <w:rFonts w:hint="eastAsia"/>
          <w:color w:val="auto"/>
          <w:highlight w:val="none"/>
        </w:rPr>
        <w:t>原矿仓库、粉矿仓库、精矿仓库、尾矿仓库设置为封闭厂房，在原矿仓库上方设置喷雾降尘装置进行喷雾除尘，粉矿仓库、精矿仓库、尾矿仓库采取雾炮机进行喷雾除尘</w:t>
      </w:r>
      <w:r>
        <w:rPr>
          <w:color w:val="auto"/>
          <w:highlight w:val="none"/>
        </w:rPr>
        <w:t>；加强车辆运输管理，设置1个洗车区（面积约</w:t>
      </w:r>
      <w:r>
        <w:rPr>
          <w:rFonts w:hint="eastAsia"/>
          <w:color w:val="auto"/>
          <w:highlight w:val="none"/>
        </w:rPr>
        <w:t>1</w:t>
      </w:r>
      <w:r>
        <w:rPr>
          <w:color w:val="auto"/>
          <w:highlight w:val="none"/>
        </w:rPr>
        <w:t>0m</w:t>
      </w:r>
      <w:r>
        <w:rPr>
          <w:color w:val="auto"/>
          <w:highlight w:val="none"/>
          <w:vertAlign w:val="superscript"/>
        </w:rPr>
        <w:t>2</w:t>
      </w:r>
      <w:r>
        <w:rPr>
          <w:color w:val="auto"/>
          <w:highlight w:val="none"/>
        </w:rPr>
        <w:t>）、运输车辆车轮清洗，降低车速，定期洒水降尘，加盖</w:t>
      </w:r>
      <w:r>
        <w:rPr>
          <w:rFonts w:hint="eastAsia"/>
          <w:color w:val="auto"/>
          <w:highlight w:val="none"/>
        </w:rPr>
        <w:t>篷布</w:t>
      </w:r>
      <w:r>
        <w:rPr>
          <w:color w:val="auto"/>
          <w:highlight w:val="none"/>
        </w:rPr>
        <w:t>，封闭运输；全厂运输皮带均采取封闭措施</w:t>
      </w:r>
      <w:r>
        <w:rPr>
          <w:rFonts w:hint="eastAsia"/>
          <w:color w:val="auto"/>
          <w:highlight w:val="none"/>
        </w:rPr>
        <w:t>；厂区围墙、主要运输道路两侧加装喷雾装置</w:t>
      </w:r>
      <w:r>
        <w:rPr>
          <w:color w:val="auto"/>
          <w:highlight w:val="none"/>
        </w:rPr>
        <w:t>。</w:t>
      </w:r>
      <w:r>
        <w:rPr>
          <w:rFonts w:hint="eastAsia"/>
          <w:color w:val="auto"/>
          <w:highlight w:val="none"/>
        </w:rPr>
        <w:t>食堂油烟通过设置一套效率不低于75%的油烟收集净化系统收集治理后通过专用烟道引至楼顶达标排放。</w:t>
      </w:r>
    </w:p>
    <w:p w14:paraId="507D70D7">
      <w:pPr>
        <w:adjustRightInd w:val="0"/>
        <w:ind w:firstLine="480"/>
        <w:rPr>
          <w:rFonts w:cs="Times New Roman"/>
          <w:color w:val="auto"/>
          <w:highlight w:val="none"/>
        </w:rPr>
      </w:pPr>
      <w:r>
        <w:rPr>
          <w:rFonts w:cs="Times New Roman"/>
          <w:color w:val="auto"/>
          <w:highlight w:val="none"/>
        </w:rPr>
        <w:t>（3）</w:t>
      </w:r>
      <w:r>
        <w:rPr>
          <w:rFonts w:hint="eastAsia" w:cs="Times New Roman"/>
          <w:color w:val="auto"/>
          <w:highlight w:val="none"/>
        </w:rPr>
        <w:t>本项目</w:t>
      </w:r>
      <w:r>
        <w:rPr>
          <w:rFonts w:cs="Times New Roman"/>
          <w:color w:val="auto"/>
          <w:highlight w:val="none"/>
        </w:rPr>
        <w:t>实施雨污分流。雨水排入雨水管网；</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r>
        <w:rPr>
          <w:rFonts w:hint="eastAsia" w:cs="Times New Roman"/>
          <w:color w:val="auto"/>
          <w:highlight w:val="none"/>
        </w:rPr>
        <w:t>生产废水包括选矿废水和</w:t>
      </w:r>
      <w:r>
        <w:rPr>
          <w:rFonts w:cs="Times New Roman"/>
          <w:color w:val="auto"/>
          <w:highlight w:val="none"/>
        </w:rPr>
        <w:t>车辆冲洗废水</w:t>
      </w:r>
      <w:r>
        <w:rPr>
          <w:rFonts w:hint="eastAsia" w:cs="Times New Roman"/>
          <w:color w:val="auto"/>
          <w:highlight w:val="none"/>
        </w:rPr>
        <w:t>，</w:t>
      </w:r>
      <w:r>
        <w:rPr>
          <w:rFonts w:cs="Times New Roman"/>
          <w:color w:val="auto"/>
          <w:highlight w:val="none"/>
        </w:rPr>
        <w:t>选矿废水经1套废水处理设施（处理能力</w:t>
      </w:r>
      <w:r>
        <w:rPr>
          <w:rFonts w:hint="eastAsia" w:cs="Times New Roman"/>
          <w:color w:val="auto"/>
          <w:highlight w:val="none"/>
          <w:lang w:val="en-US" w:eastAsia="zh-CN"/>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w:t>
      </w:r>
      <w:r>
        <w:rPr>
          <w:rFonts w:hint="eastAsia" w:cs="Times New Roman"/>
          <w:color w:val="auto"/>
          <w:highlight w:val="none"/>
        </w:rPr>
        <w:t>日运行24h，</w:t>
      </w:r>
      <w:r>
        <w:rPr>
          <w:rFonts w:cs="Times New Roman"/>
          <w:color w:val="auto"/>
          <w:highlight w:val="none"/>
        </w:rPr>
        <w:t>处理工艺为絮凝+</w:t>
      </w:r>
      <w:r>
        <w:rPr>
          <w:rFonts w:hint="eastAsia" w:cs="Times New Roman"/>
          <w:color w:val="auto"/>
          <w:highlight w:val="none"/>
        </w:rPr>
        <w:t>三级</w:t>
      </w:r>
      <w:r>
        <w:rPr>
          <w:rFonts w:cs="Times New Roman"/>
          <w:color w:val="auto"/>
          <w:highlight w:val="none"/>
        </w:rPr>
        <w:t>沉淀）处理后回用于湿式磨矿、浮选等工序，不外排</w:t>
      </w:r>
      <w:r>
        <w:rPr>
          <w:rFonts w:hint="eastAsia" w:cs="Times New Roman"/>
          <w:color w:val="auto"/>
          <w:highlight w:val="none"/>
        </w:rPr>
        <w:t>，</w:t>
      </w:r>
      <w:r>
        <w:rPr>
          <w:rFonts w:cs="Times New Roman"/>
          <w:color w:val="auto"/>
          <w:highlight w:val="none"/>
        </w:rPr>
        <w:t>车辆冲洗废水经</w:t>
      </w:r>
      <w:r>
        <w:rPr>
          <w:rFonts w:hint="eastAsia" w:cs="Times New Roman"/>
          <w:color w:val="auto"/>
          <w:highlight w:val="none"/>
        </w:rPr>
        <w:t>依托的乐山市沙湾区豪沐科技有限公司</w:t>
      </w:r>
      <w:r>
        <w:rPr>
          <w:rFonts w:cs="Times New Roman"/>
          <w:color w:val="auto"/>
          <w:highlight w:val="none"/>
        </w:rPr>
        <w:t>洗车废水沉淀池（50m</w:t>
      </w:r>
      <w:r>
        <w:rPr>
          <w:rFonts w:cs="Times New Roman"/>
          <w:color w:val="auto"/>
          <w:highlight w:val="none"/>
          <w:vertAlign w:val="superscript"/>
        </w:rPr>
        <w:t>3</w:t>
      </w:r>
      <w:r>
        <w:rPr>
          <w:rFonts w:cs="Times New Roman"/>
          <w:color w:val="auto"/>
          <w:highlight w:val="none"/>
        </w:rPr>
        <w:t>）处理后回用于车辆冲洗，不外排</w:t>
      </w:r>
      <w:r>
        <w:rPr>
          <w:rFonts w:hint="eastAsia" w:cs="Times New Roman"/>
          <w:color w:val="auto"/>
          <w:highlight w:val="none"/>
        </w:rPr>
        <w:t>；</w:t>
      </w:r>
      <w:r>
        <w:rPr>
          <w:rFonts w:cs="Times New Roman"/>
          <w:color w:val="auto"/>
          <w:highlight w:val="none"/>
        </w:rPr>
        <w:t>初期雨水经雨水管道收集后汇入</w:t>
      </w:r>
      <w:r>
        <w:rPr>
          <w:rFonts w:hint="eastAsia" w:cs="Times New Roman"/>
          <w:color w:val="auto"/>
          <w:highlight w:val="none"/>
        </w:rPr>
        <w:t>依托的乐山市沙湾区豪沐科技有限公司</w:t>
      </w:r>
      <w:r>
        <w:rPr>
          <w:rFonts w:cs="Times New Roman"/>
          <w:color w:val="auto"/>
          <w:highlight w:val="none"/>
        </w:rPr>
        <w:t>初期雨水池（600m</w:t>
      </w:r>
      <w:r>
        <w:rPr>
          <w:rFonts w:cs="Times New Roman"/>
          <w:color w:val="auto"/>
          <w:highlight w:val="none"/>
          <w:vertAlign w:val="superscript"/>
        </w:rPr>
        <w:t>3</w:t>
      </w:r>
      <w:r>
        <w:rPr>
          <w:rFonts w:cs="Times New Roman"/>
          <w:color w:val="auto"/>
          <w:highlight w:val="none"/>
        </w:rPr>
        <w:t>），</w:t>
      </w:r>
      <w:r>
        <w:rPr>
          <w:rFonts w:hint="eastAsia"/>
          <w:color w:val="auto"/>
          <w:highlight w:val="none"/>
        </w:rPr>
        <w:t>初期雨水进水口设置自动截断阀，</w:t>
      </w:r>
      <w:r>
        <w:rPr>
          <w:rFonts w:cs="Times New Roman"/>
          <w:color w:val="auto"/>
          <w:highlight w:val="none"/>
        </w:rPr>
        <w:t>初期雨水经初期雨水池沉淀处理后回用于喷雾降尘，不外排。</w:t>
      </w:r>
    </w:p>
    <w:p w14:paraId="775EBD72">
      <w:pPr>
        <w:adjustRightInd w:val="0"/>
        <w:ind w:firstLine="480"/>
        <w:rPr>
          <w:rFonts w:cs="Times New Roman"/>
          <w:color w:val="auto"/>
          <w:highlight w:val="none"/>
        </w:rPr>
      </w:pPr>
      <w:r>
        <w:rPr>
          <w:rFonts w:hint="eastAsia" w:cs="Times New Roman"/>
          <w:color w:val="auto"/>
          <w:highlight w:val="none"/>
        </w:rPr>
        <w:t>（4）生活垃圾经厂区内垃圾桶统一收集后委托环卫部门清运处置；一般固废包括废滤袋、废布袋、布袋收尘灰、沉淀池沉砂、废包装材料（废聚丙烯酰胺包装袋、废聚合氯化铝包装袋、废捕收剂桶、废碳酸钠包装袋、废氯化镁包装袋）、尾矿、黑砂、餐厨垃圾和隔油池废油，废滤袋、废布袋、布袋收尘灰、沉淀池沉砂、废包装材料（废聚丙烯酰胺包装袋、废聚合氯化铝包装袋、废捕收剂桶、废碳酸钠包装袋、废氯化镁包装袋）暂存于一般固废间，尾矿、黑砂暂存于尾矿仓库；废滤袋、废布袋由供货厂家回收；布袋收尘灰回用于生产；沉淀池沉砂回用于生产；废包装材料（废聚丙烯酰胺包装袋、废聚合氯化铝包装袋、废捕收剂桶、废碳酸钠包装袋、废氯化镁包装袋）定期外售废品回收站；尾矿、黑砂外售陶瓷生产厂家综合利用；餐厨垃圾和隔油池废油定期交由有资质的单位进行处置；危险废物（废氢氧化钠包装袋、废机油、废机油桶、含油抹布及手套）暂存于危废暂存间（10m</w:t>
      </w:r>
      <w:r>
        <w:rPr>
          <w:rFonts w:hint="eastAsia" w:cs="Times New Roman"/>
          <w:color w:val="auto"/>
          <w:highlight w:val="none"/>
          <w:vertAlign w:val="superscript"/>
        </w:rPr>
        <w:t>2</w:t>
      </w:r>
      <w:r>
        <w:rPr>
          <w:rFonts w:hint="eastAsia" w:cs="Times New Roman"/>
          <w:color w:val="auto"/>
          <w:highlight w:val="none"/>
        </w:rPr>
        <w:t>），定期交由有危废资质的单位进行处置。</w:t>
      </w:r>
    </w:p>
    <w:p w14:paraId="0896BA59">
      <w:pPr>
        <w:pStyle w:val="42"/>
        <w:adjustRightInd w:val="0"/>
        <w:ind w:firstLine="480"/>
        <w:rPr>
          <w:color w:val="auto"/>
          <w:highlight w:val="none"/>
        </w:rPr>
      </w:pPr>
      <w:r>
        <w:rPr>
          <w:color w:val="auto"/>
          <w:highlight w:val="none"/>
        </w:rPr>
        <w:t>（</w:t>
      </w:r>
      <w:r>
        <w:rPr>
          <w:rFonts w:hint="eastAsia"/>
          <w:color w:val="auto"/>
          <w:highlight w:val="none"/>
        </w:rPr>
        <w:t>5</w:t>
      </w:r>
      <w:r>
        <w:rPr>
          <w:color w:val="auto"/>
          <w:highlight w:val="none"/>
        </w:rPr>
        <w:t>）本项目购置四川乐山沙湾经济开发区工业用地</w:t>
      </w:r>
      <w:r>
        <w:rPr>
          <w:rFonts w:hint="eastAsia"/>
          <w:color w:val="auto"/>
          <w:highlight w:val="none"/>
        </w:rPr>
        <w:t>31.8</w:t>
      </w:r>
      <w:r>
        <w:rPr>
          <w:color w:val="auto"/>
          <w:highlight w:val="none"/>
        </w:rPr>
        <w:t>亩进行建设，202</w:t>
      </w:r>
      <w:r>
        <w:rPr>
          <w:rFonts w:hint="eastAsia"/>
          <w:color w:val="auto"/>
          <w:highlight w:val="none"/>
        </w:rPr>
        <w:t>6</w:t>
      </w:r>
      <w:r>
        <w:rPr>
          <w:color w:val="auto"/>
          <w:highlight w:val="none"/>
        </w:rPr>
        <w:t>年</w:t>
      </w:r>
      <w:r>
        <w:rPr>
          <w:rFonts w:hint="eastAsia"/>
          <w:color w:val="auto"/>
          <w:highlight w:val="none"/>
        </w:rPr>
        <w:t>4</w:t>
      </w:r>
      <w:r>
        <w:rPr>
          <w:color w:val="auto"/>
          <w:highlight w:val="none"/>
        </w:rPr>
        <w:t>月，已取得乐山市沙湾区自然资源局出具的《不动</w:t>
      </w:r>
      <w:r>
        <w:rPr>
          <w:rFonts w:hint="eastAsia"/>
          <w:color w:val="auto"/>
          <w:highlight w:val="none"/>
        </w:rPr>
        <w:t>产权证书</w:t>
      </w:r>
      <w:r>
        <w:rPr>
          <w:color w:val="auto"/>
          <w:highlight w:val="none"/>
        </w:rPr>
        <w:t>》（川（202</w:t>
      </w:r>
      <w:r>
        <w:rPr>
          <w:rFonts w:hint="eastAsia"/>
          <w:color w:val="auto"/>
          <w:highlight w:val="none"/>
        </w:rPr>
        <w:t>6</w:t>
      </w:r>
      <w:r>
        <w:rPr>
          <w:color w:val="auto"/>
          <w:highlight w:val="none"/>
        </w:rPr>
        <w:t>）沙湾区不动</w:t>
      </w:r>
      <w:r>
        <w:rPr>
          <w:rFonts w:hint="eastAsia"/>
          <w:color w:val="auto"/>
          <w:highlight w:val="none"/>
        </w:rPr>
        <w:t>产权第0000726</w:t>
      </w:r>
      <w:r>
        <w:rPr>
          <w:color w:val="auto"/>
          <w:highlight w:val="none"/>
        </w:rPr>
        <w:t>号）</w:t>
      </w:r>
      <w:r>
        <w:rPr>
          <w:rFonts w:hint="eastAsia"/>
          <w:color w:val="auto"/>
          <w:highlight w:val="none"/>
        </w:rPr>
        <w:t>、（川（2026）沙湾区不动产权第0000727号）</w:t>
      </w:r>
      <w:r>
        <w:rPr>
          <w:color w:val="auto"/>
          <w:highlight w:val="none"/>
        </w:rPr>
        <w:t>。</w:t>
      </w:r>
      <w:r>
        <w:rPr>
          <w:rFonts w:hint="eastAsia"/>
          <w:color w:val="auto"/>
          <w:highlight w:val="none"/>
        </w:rPr>
        <w:t>在严格执行本报告提出的环境保护措施后，施工期和运营期对居住和公共环境没有严重干扰、对周边环境影响较小</w:t>
      </w:r>
      <w:r>
        <w:rPr>
          <w:color w:val="auto"/>
          <w:highlight w:val="none"/>
        </w:rPr>
        <w:t>。</w:t>
      </w:r>
    </w:p>
    <w:p w14:paraId="1977AC98">
      <w:pPr>
        <w:pStyle w:val="42"/>
        <w:adjustRightInd w:val="0"/>
        <w:ind w:firstLine="480"/>
        <w:rPr>
          <w:color w:val="auto"/>
          <w:highlight w:val="none"/>
        </w:rPr>
      </w:pPr>
      <w:r>
        <w:rPr>
          <w:rStyle w:val="83"/>
          <w:color w:val="auto"/>
          <w:highlight w:val="none"/>
        </w:rPr>
        <w:t>（</w:t>
      </w:r>
      <w:r>
        <w:rPr>
          <w:rStyle w:val="83"/>
          <w:rFonts w:hint="eastAsia"/>
          <w:color w:val="auto"/>
          <w:highlight w:val="none"/>
        </w:rPr>
        <w:t>6</w:t>
      </w:r>
      <w:r>
        <w:rPr>
          <w:rStyle w:val="83"/>
          <w:color w:val="auto"/>
          <w:highlight w:val="none"/>
        </w:rPr>
        <w:t>）根据建设单位提供的《锂矿全成分检测报告》（四川省捷信隆检测技术有限公司，外委字（202</w:t>
      </w:r>
      <w:r>
        <w:rPr>
          <w:rStyle w:val="83"/>
          <w:rFonts w:hint="eastAsia"/>
          <w:color w:val="auto"/>
          <w:highlight w:val="none"/>
        </w:rPr>
        <w:t>6</w:t>
      </w:r>
      <w:r>
        <w:rPr>
          <w:rStyle w:val="83"/>
          <w:color w:val="auto"/>
          <w:highlight w:val="none"/>
        </w:rPr>
        <w:t>）Q-</w:t>
      </w:r>
      <w:r>
        <w:rPr>
          <w:rStyle w:val="83"/>
          <w:rFonts w:hint="eastAsia"/>
          <w:color w:val="auto"/>
          <w:highlight w:val="none"/>
        </w:rPr>
        <w:t>195</w:t>
      </w:r>
      <w:r>
        <w:rPr>
          <w:rStyle w:val="83"/>
          <w:color w:val="auto"/>
          <w:highlight w:val="none"/>
        </w:rPr>
        <w:t>），本项目原料中国家管控的重金属铅、汞、镉、铬、砷、铊和锑均未检出。项目拟采取分区防</w:t>
      </w:r>
      <w:r>
        <w:rPr>
          <w:color w:val="auto"/>
          <w:highlight w:val="none"/>
        </w:rPr>
        <w:t>渗、强化大气污染治理等污染防治措施，从源头和生产过程上控制项目对区域地下水和土壤环境的污染源强。</w:t>
      </w:r>
    </w:p>
    <w:p w14:paraId="1F2508E8">
      <w:pPr>
        <w:pStyle w:val="42"/>
        <w:adjustRightInd w:val="0"/>
        <w:ind w:firstLine="482"/>
        <w:rPr>
          <w:b/>
          <w:bCs/>
          <w:color w:val="auto"/>
          <w:highlight w:val="none"/>
        </w:rPr>
      </w:pPr>
      <w:r>
        <w:rPr>
          <w:b/>
          <w:bCs/>
          <w:color w:val="auto"/>
          <w:highlight w:val="none"/>
        </w:rPr>
        <w:t>3、主要关注的环境问题</w:t>
      </w:r>
    </w:p>
    <w:p w14:paraId="6AD35CE8">
      <w:pPr>
        <w:pStyle w:val="42"/>
        <w:adjustRightInd w:val="0"/>
        <w:ind w:firstLine="480"/>
        <w:rPr>
          <w:color w:val="auto"/>
          <w:highlight w:val="none"/>
        </w:rPr>
      </w:pPr>
      <w:r>
        <w:rPr>
          <w:color w:val="auto"/>
          <w:highlight w:val="none"/>
        </w:rPr>
        <w:t>本项目主要关注的环境问题是建设项目投入运营后主要污染物的产生、控制和环境风险。本项目的主要环境问题是：</w:t>
      </w:r>
    </w:p>
    <w:p w14:paraId="49A02C10">
      <w:pPr>
        <w:pStyle w:val="42"/>
        <w:adjustRightInd w:val="0"/>
        <w:ind w:firstLine="480"/>
        <w:rPr>
          <w:color w:val="auto"/>
          <w:highlight w:val="none"/>
        </w:rPr>
      </w:pPr>
      <w:r>
        <w:rPr>
          <w:color w:val="auto"/>
          <w:highlight w:val="none"/>
        </w:rPr>
        <w:t>（1）通过对本项目所在地区环境质量现状分析，弄清区域的大气环境、地表水环境、声环境、地下水环境和生态环境质量现状，对其进行评价。</w:t>
      </w:r>
    </w:p>
    <w:p w14:paraId="20C73E5A">
      <w:pPr>
        <w:pStyle w:val="42"/>
        <w:adjustRightInd w:val="0"/>
        <w:ind w:firstLine="480"/>
        <w:rPr>
          <w:color w:val="auto"/>
          <w:highlight w:val="none"/>
        </w:rPr>
      </w:pPr>
      <w:r>
        <w:rPr>
          <w:color w:val="auto"/>
          <w:highlight w:val="none"/>
        </w:rPr>
        <w:t>（2）重点分析项目生产废水水质情况和零排放的可行性。</w:t>
      </w:r>
    </w:p>
    <w:p w14:paraId="16AFC2B0">
      <w:pPr>
        <w:pStyle w:val="42"/>
        <w:adjustRightInd w:val="0"/>
        <w:ind w:firstLine="480"/>
        <w:rPr>
          <w:color w:val="auto"/>
          <w:highlight w:val="none"/>
        </w:rPr>
      </w:pPr>
      <w:r>
        <w:rPr>
          <w:color w:val="auto"/>
          <w:highlight w:val="none"/>
        </w:rPr>
        <w:t>（3）通过环境影响评价和对项目采取的污染防治措施分析，提出相应的环保对策和建议，最大限度地降低其对环境造成的负面影响，充分发挥项目建设所产生的社会效益、经济效益和环境效益。</w:t>
      </w:r>
    </w:p>
    <w:p w14:paraId="6FCC920E">
      <w:pPr>
        <w:pStyle w:val="42"/>
        <w:adjustRightInd w:val="0"/>
        <w:ind w:firstLine="482"/>
        <w:rPr>
          <w:b/>
          <w:bCs/>
          <w:color w:val="auto"/>
          <w:highlight w:val="none"/>
        </w:rPr>
      </w:pPr>
      <w:r>
        <w:rPr>
          <w:b/>
          <w:bCs/>
          <w:color w:val="auto"/>
          <w:highlight w:val="none"/>
        </w:rPr>
        <w:t>4、项目相关判定情况</w:t>
      </w:r>
    </w:p>
    <w:p w14:paraId="160C252A">
      <w:pPr>
        <w:pStyle w:val="42"/>
        <w:adjustRightInd w:val="0"/>
        <w:ind w:firstLine="480"/>
        <w:rPr>
          <w:color w:val="auto"/>
          <w:highlight w:val="none"/>
        </w:rPr>
      </w:pPr>
      <w:r>
        <w:rPr>
          <w:color w:val="auto"/>
          <w:highlight w:val="none"/>
        </w:rPr>
        <w:t>根据建设单位提供的资料，该项目相关判定情况如下所示：</w:t>
      </w:r>
    </w:p>
    <w:p w14:paraId="6AFA7C52">
      <w:pPr>
        <w:pStyle w:val="42"/>
        <w:adjustRightInd w:val="0"/>
        <w:ind w:firstLine="480"/>
        <w:rPr>
          <w:color w:val="auto"/>
          <w:highlight w:val="none"/>
        </w:rPr>
      </w:pPr>
      <w:r>
        <w:rPr>
          <w:color w:val="auto"/>
          <w:highlight w:val="none"/>
        </w:rPr>
        <w:t>（1）产业政策符合性判定</w:t>
      </w:r>
    </w:p>
    <w:p w14:paraId="26803B3E">
      <w:pPr>
        <w:pStyle w:val="42"/>
        <w:adjustRightInd w:val="0"/>
        <w:ind w:firstLine="480"/>
        <w:rPr>
          <w:color w:val="auto"/>
          <w:highlight w:val="none"/>
        </w:rPr>
      </w:pPr>
      <w:r>
        <w:rPr>
          <w:color w:val="auto"/>
          <w:highlight w:val="none"/>
        </w:rPr>
        <w:t>根据国家发展和改革委员会《产业结构调整指导目录（2024年本）》，本项目属于B09有色金属矿采选业--B0939其他稀有金属采选，不在</w:t>
      </w:r>
      <w:r>
        <w:rPr>
          <w:rFonts w:hint="eastAsia"/>
          <w:color w:val="auto"/>
          <w:highlight w:val="none"/>
        </w:rPr>
        <w:t>“</w:t>
      </w:r>
      <w:r>
        <w:rPr>
          <w:color w:val="auto"/>
          <w:highlight w:val="none"/>
        </w:rPr>
        <w:t>鼓励类</w:t>
      </w:r>
      <w:r>
        <w:rPr>
          <w:rFonts w:hint="eastAsia"/>
          <w:color w:val="auto"/>
          <w:highlight w:val="none"/>
        </w:rPr>
        <w:t>”</w:t>
      </w:r>
      <w:r>
        <w:rPr>
          <w:color w:val="auto"/>
          <w:highlight w:val="none"/>
        </w:rPr>
        <w:t>、</w:t>
      </w:r>
      <w:r>
        <w:rPr>
          <w:rFonts w:hint="eastAsia"/>
          <w:color w:val="auto"/>
          <w:highlight w:val="none"/>
        </w:rPr>
        <w:t>“</w:t>
      </w:r>
      <w:r>
        <w:rPr>
          <w:color w:val="auto"/>
          <w:highlight w:val="none"/>
        </w:rPr>
        <w:t>限制类</w:t>
      </w:r>
      <w:r>
        <w:rPr>
          <w:rFonts w:hint="eastAsia"/>
          <w:color w:val="auto"/>
          <w:highlight w:val="none"/>
        </w:rPr>
        <w:t>”</w:t>
      </w:r>
      <w:r>
        <w:rPr>
          <w:color w:val="auto"/>
          <w:highlight w:val="none"/>
        </w:rPr>
        <w:t>、</w:t>
      </w:r>
      <w:r>
        <w:rPr>
          <w:rFonts w:hint="eastAsia"/>
          <w:color w:val="auto"/>
          <w:highlight w:val="none"/>
        </w:rPr>
        <w:t>“</w:t>
      </w:r>
      <w:r>
        <w:rPr>
          <w:color w:val="auto"/>
          <w:highlight w:val="none"/>
        </w:rPr>
        <w:t>淘汰类</w:t>
      </w:r>
      <w:r>
        <w:rPr>
          <w:rFonts w:hint="eastAsia"/>
          <w:color w:val="auto"/>
          <w:highlight w:val="none"/>
        </w:rPr>
        <w:t>”</w:t>
      </w:r>
      <w:r>
        <w:rPr>
          <w:color w:val="auto"/>
          <w:highlight w:val="none"/>
        </w:rPr>
        <w:t>之列，视为</w:t>
      </w:r>
      <w:r>
        <w:rPr>
          <w:rFonts w:hint="eastAsia"/>
          <w:color w:val="auto"/>
          <w:highlight w:val="none"/>
        </w:rPr>
        <w:t>“</w:t>
      </w:r>
      <w:r>
        <w:rPr>
          <w:color w:val="auto"/>
          <w:highlight w:val="none"/>
        </w:rPr>
        <w:t>允许类</w:t>
      </w:r>
      <w:r>
        <w:rPr>
          <w:rFonts w:hint="eastAsia"/>
          <w:color w:val="auto"/>
          <w:highlight w:val="none"/>
        </w:rPr>
        <w:t>”</w:t>
      </w:r>
      <w:r>
        <w:rPr>
          <w:color w:val="auto"/>
          <w:highlight w:val="none"/>
        </w:rPr>
        <w:t>。本项目使用的设备均不在《产业结构调整指导目录（2024年本）》及《部分工业行业淘汰落后生产工艺装备和产品指导目录（2010年本）》淘汰之列。</w:t>
      </w:r>
    </w:p>
    <w:p w14:paraId="206D9144">
      <w:pPr>
        <w:pStyle w:val="42"/>
        <w:adjustRightInd w:val="0"/>
        <w:ind w:firstLine="480"/>
        <w:rPr>
          <w:color w:val="auto"/>
          <w:highlight w:val="none"/>
        </w:rPr>
      </w:pPr>
      <w:r>
        <w:rPr>
          <w:color w:val="auto"/>
          <w:highlight w:val="none"/>
        </w:rPr>
        <w:t>本项目已经获得沙湾区发展和改革局立项，备案号：</w:t>
      </w:r>
      <w:r>
        <w:rPr>
          <w:rFonts w:hint="eastAsia"/>
          <w:color w:val="auto"/>
          <w:highlight w:val="none"/>
        </w:rPr>
        <w:t>川投资备【2603-511111-04-01-373348】FGQB-0034 号</w:t>
      </w:r>
      <w:r>
        <w:rPr>
          <w:color w:val="auto"/>
          <w:highlight w:val="none"/>
        </w:rPr>
        <w:t>。</w:t>
      </w:r>
    </w:p>
    <w:p w14:paraId="266AAC14">
      <w:pPr>
        <w:pStyle w:val="42"/>
        <w:adjustRightInd w:val="0"/>
        <w:ind w:firstLine="480"/>
        <w:rPr>
          <w:color w:val="auto"/>
          <w:highlight w:val="none"/>
        </w:rPr>
      </w:pPr>
      <w:r>
        <w:rPr>
          <w:color w:val="auto"/>
          <w:highlight w:val="none"/>
        </w:rPr>
        <w:t>因此，项目建设符合国家现行产业政策。</w:t>
      </w:r>
    </w:p>
    <w:p w14:paraId="655854F4">
      <w:pPr>
        <w:pStyle w:val="42"/>
        <w:adjustRightInd w:val="0"/>
        <w:ind w:firstLine="480"/>
        <w:rPr>
          <w:color w:val="auto"/>
          <w:highlight w:val="none"/>
        </w:rPr>
      </w:pPr>
      <w:r>
        <w:rPr>
          <w:color w:val="auto"/>
          <w:highlight w:val="none"/>
        </w:rPr>
        <w:t>（2）与规划环评符合性</w:t>
      </w:r>
    </w:p>
    <w:p w14:paraId="08BFFEBE">
      <w:pPr>
        <w:pStyle w:val="42"/>
        <w:adjustRightInd w:val="0"/>
        <w:ind w:firstLine="480"/>
        <w:rPr>
          <w:color w:val="auto"/>
          <w:highlight w:val="none"/>
        </w:rPr>
      </w:pPr>
      <w:r>
        <w:rPr>
          <w:color w:val="auto"/>
          <w:highlight w:val="none"/>
        </w:rPr>
        <w:t>本项目位于四川乐山沙湾经济开发区</w:t>
      </w:r>
      <w:r>
        <w:rPr>
          <w:rFonts w:hint="eastAsia"/>
          <w:color w:val="auto"/>
          <w:highlight w:val="none"/>
        </w:rPr>
        <w:t>（原</w:t>
      </w:r>
      <w:r>
        <w:rPr>
          <w:color w:val="auto"/>
          <w:highlight w:val="none"/>
        </w:rPr>
        <w:t>乐山（沙湾）不锈钢产业园区内），根据《乐山（沙湾）不锈钢产业园区环境影响跟踪评价报告书》及《关于印发&lt;乐山（沙湾）不锈钢产业园区环境影响跟踪评价报告书审查意见&gt;的函》（乐市环函〔2019〕226号），乐山（沙湾）不锈钢产业园区产业定位为：冶金产品下游产品加工、机械制造加工、建材、物流。</w:t>
      </w:r>
    </w:p>
    <w:p w14:paraId="489C7A4B">
      <w:pPr>
        <w:pStyle w:val="42"/>
        <w:adjustRightInd w:val="0"/>
        <w:ind w:firstLine="480"/>
        <w:rPr>
          <w:color w:val="auto"/>
          <w:highlight w:val="none"/>
        </w:rPr>
      </w:pPr>
      <w:r>
        <w:rPr>
          <w:color w:val="auto"/>
          <w:highlight w:val="none"/>
        </w:rPr>
        <w:t>本项目为锂辉石选矿项目，不属于园区负面清单禁止准入的项目类型，属于与园区主导产业相容的、不形成交叉影响的产业，为园区允许类。</w:t>
      </w:r>
    </w:p>
    <w:p w14:paraId="360C5CB9">
      <w:pPr>
        <w:pStyle w:val="42"/>
        <w:adjustRightInd w:val="0"/>
        <w:ind w:firstLine="480"/>
        <w:rPr>
          <w:color w:val="auto"/>
          <w:highlight w:val="none"/>
        </w:rPr>
      </w:pPr>
      <w:r>
        <w:rPr>
          <w:color w:val="auto"/>
          <w:highlight w:val="none"/>
        </w:rPr>
        <w:t>（3）选址合理性判定</w:t>
      </w:r>
    </w:p>
    <w:p w14:paraId="134DF801">
      <w:pPr>
        <w:pStyle w:val="42"/>
        <w:adjustRightInd w:val="0"/>
        <w:ind w:firstLine="480"/>
        <w:rPr>
          <w:color w:val="auto"/>
          <w:highlight w:val="none"/>
        </w:rPr>
      </w:pPr>
      <w:r>
        <w:rPr>
          <w:color w:val="auto"/>
          <w:highlight w:val="none"/>
        </w:rPr>
        <w:t>本项目使用土地性质为工业用地，符合项目区域土地利用规划要求。本项目符合《乐山（沙湾）不锈钢产业园区环境影响跟踪评价报告书》及《关于印发&lt;乐山（沙湾）不锈钢产业园区环境影响跟踪评价报告书审查意见&gt;的函》（乐市环函〔2019〕226号）的要求。本项目划定的50m卫生防护距离内无居民、学校等环境敏感目标。</w:t>
      </w:r>
      <w:r>
        <w:rPr>
          <w:rFonts w:hint="eastAsia"/>
          <w:color w:val="auto"/>
          <w:highlight w:val="none"/>
        </w:rPr>
        <w:t>本项目不涉及乐山市大渡河安谷电站库区集中式饮用水水源保护区、四川沙湾大渡河国家湿地公园，且本项目生产废水循环使用，不外排。</w:t>
      </w:r>
      <w:r>
        <w:rPr>
          <w:color w:val="auto"/>
          <w:highlight w:val="none"/>
        </w:rPr>
        <w:t>因此，本项目选址合理。</w:t>
      </w:r>
    </w:p>
    <w:p w14:paraId="31300D30">
      <w:pPr>
        <w:pStyle w:val="42"/>
        <w:adjustRightInd w:val="0"/>
        <w:ind w:firstLine="482"/>
        <w:rPr>
          <w:b/>
          <w:bCs/>
          <w:color w:val="auto"/>
          <w:highlight w:val="none"/>
        </w:rPr>
      </w:pPr>
      <w:r>
        <w:rPr>
          <w:b/>
          <w:bCs/>
          <w:color w:val="auto"/>
          <w:highlight w:val="none"/>
        </w:rPr>
        <w:t>5、评价工作过程</w:t>
      </w:r>
    </w:p>
    <w:p w14:paraId="1B76C793">
      <w:pPr>
        <w:pStyle w:val="42"/>
        <w:adjustRightInd w:val="0"/>
        <w:ind w:firstLine="480"/>
        <w:rPr>
          <w:color w:val="auto"/>
          <w:highlight w:val="none"/>
        </w:rPr>
      </w:pPr>
      <w:r>
        <w:rPr>
          <w:color w:val="auto"/>
          <w:highlight w:val="none"/>
        </w:rPr>
        <w:t>我公司在接受建设单位环评委托后，随即组织技术人员赴现场进行踏勘，在现场调查和资料收集的基础上，开展了深入细致的报告编制工作。本次环评工作主要分为以下几个阶段：</w:t>
      </w:r>
    </w:p>
    <w:p w14:paraId="36D323C6">
      <w:pPr>
        <w:pStyle w:val="42"/>
        <w:adjustRightInd w:val="0"/>
        <w:ind w:firstLine="480"/>
        <w:rPr>
          <w:color w:val="auto"/>
          <w:highlight w:val="none"/>
        </w:rPr>
      </w:pPr>
      <w:r>
        <w:rPr>
          <w:color w:val="auto"/>
          <w:highlight w:val="none"/>
        </w:rPr>
        <w:t>第一阶段：根据建设单位提供的项目可研等有关资料，首先确定项目是否符合国家和地方有关法规、政策及相关规划；然后，根据建设单位提供的关于本项目的资料，进行初步的工程分析，识别环境影响因素、筛选评价因子，明确评价重点、环境保护目标，确定评价工作等级、评价范围和标准。</w:t>
      </w:r>
    </w:p>
    <w:p w14:paraId="5D1046CF">
      <w:pPr>
        <w:pStyle w:val="42"/>
        <w:adjustRightInd w:val="0"/>
        <w:ind w:firstLine="480"/>
        <w:rPr>
          <w:color w:val="auto"/>
          <w:highlight w:val="none"/>
        </w:rPr>
      </w:pPr>
      <w:r>
        <w:rPr>
          <w:color w:val="auto"/>
          <w:highlight w:val="none"/>
        </w:rPr>
        <w:t>第二阶段：对项目区域环境现状本底质量进行现状监测，以便了解选址所在地环境现状质量状况；在此基础上，进行详细的工程分析，确定各污染因素污染源强，然后进行各环境要素影响预测与评价、各专题环境影响分析与评价。</w:t>
      </w:r>
    </w:p>
    <w:p w14:paraId="547951E8">
      <w:pPr>
        <w:pStyle w:val="42"/>
        <w:adjustRightInd w:val="0"/>
        <w:ind w:firstLine="480"/>
        <w:rPr>
          <w:color w:val="auto"/>
          <w:highlight w:val="none"/>
        </w:rPr>
      </w:pPr>
      <w:r>
        <w:rPr>
          <w:color w:val="auto"/>
          <w:highlight w:val="none"/>
        </w:rPr>
        <w:t>第三阶段：对项目采取环保措施进行技术经济论证，给出项目环境可行结论。依据环境影响评价技术导则的有关技术要求，在认真分析预测和吸纳公众参与意见的基础上，编制完成了环境影响报告书。</w:t>
      </w:r>
    </w:p>
    <w:p w14:paraId="4D4821E6">
      <w:pPr>
        <w:pStyle w:val="42"/>
        <w:adjustRightInd w:val="0"/>
        <w:ind w:firstLine="482"/>
        <w:rPr>
          <w:b/>
          <w:bCs/>
          <w:color w:val="auto"/>
          <w:highlight w:val="none"/>
        </w:rPr>
      </w:pPr>
      <w:r>
        <w:rPr>
          <w:b/>
          <w:bCs/>
          <w:color w:val="auto"/>
          <w:highlight w:val="none"/>
        </w:rPr>
        <w:t>6、环评结论</w:t>
      </w:r>
    </w:p>
    <w:p w14:paraId="63494E9E">
      <w:pPr>
        <w:pStyle w:val="42"/>
        <w:adjustRightInd w:val="0"/>
        <w:ind w:firstLine="480"/>
        <w:rPr>
          <w:color w:val="auto"/>
          <w:highlight w:val="none"/>
        </w:rPr>
      </w:pPr>
      <w:r>
        <w:rPr>
          <w:rFonts w:hint="eastAsia"/>
          <w:color w:val="auto"/>
          <w:highlight w:val="none"/>
        </w:rPr>
        <w:t>乐山市豪宸新能源科技有限公司沙湾豪宸新建36万吨锂矿综合利用项目</w:t>
      </w:r>
      <w:r>
        <w:rPr>
          <w:color w:val="auto"/>
          <w:highlight w:val="none"/>
        </w:rPr>
        <w:t>位于乐山市沙湾区嘉农镇凤凰路1号（四川乐山沙湾经济开发区）内，</w:t>
      </w:r>
      <w:r>
        <w:rPr>
          <w:rFonts w:hint="eastAsia"/>
          <w:color w:val="auto"/>
          <w:highlight w:val="none"/>
        </w:rPr>
        <w:t>项目符合国家产业政策，选址合理，工程建成后具有良好的社会、经济效益；拟建项目在采取报告书所提出的各项环保措施后，可实现废气、废水、噪声的达标排放，同时对各类固废均采取了合理可靠的分类处置措施，项目对周边环境影响较小，环境风险处于可接受水平，建设单位开展的公众参与调查结果表明项目周边群众对项目建设表示理解和支持。综上所述，从环保角度来讲，在落实各项环保措施的基础上，本项目在拟建地建设是可行的</w:t>
      </w:r>
      <w:r>
        <w:rPr>
          <w:color w:val="auto"/>
          <w:highlight w:val="none"/>
        </w:rPr>
        <w:t>。</w:t>
      </w:r>
    </w:p>
    <w:p w14:paraId="0E59E9FB">
      <w:pPr>
        <w:pStyle w:val="42"/>
        <w:adjustRightInd w:val="0"/>
        <w:ind w:firstLine="480"/>
        <w:rPr>
          <w:color w:val="auto"/>
          <w:highlight w:val="none"/>
        </w:rPr>
      </w:pPr>
    </w:p>
    <w:p w14:paraId="2A71E8D9">
      <w:pPr>
        <w:pStyle w:val="42"/>
        <w:adjustRightInd w:val="0"/>
        <w:ind w:firstLine="480"/>
        <w:rPr>
          <w:color w:val="auto"/>
          <w:highlight w:val="none"/>
        </w:rPr>
      </w:pPr>
    </w:p>
    <w:p w14:paraId="6EFE9C2E">
      <w:pPr>
        <w:pStyle w:val="42"/>
        <w:adjustRightInd w:val="0"/>
        <w:ind w:firstLine="480"/>
        <w:rPr>
          <w:color w:val="auto"/>
          <w:highlight w:val="none"/>
        </w:rPr>
        <w:sectPr>
          <w:pgSz w:w="11906" w:h="16838"/>
          <w:pgMar w:top="1440" w:right="1800" w:bottom="1440" w:left="1800" w:header="851" w:footer="992" w:gutter="0"/>
          <w:cols w:space="425" w:num="1"/>
          <w:titlePg/>
          <w:docGrid w:type="lines" w:linePitch="326" w:charSpace="0"/>
        </w:sectPr>
      </w:pPr>
    </w:p>
    <w:sdt>
      <w:sdtPr>
        <w:rPr>
          <w:rFonts w:eastAsia="宋体" w:cs="Times New Roman"/>
          <w:color w:val="auto"/>
          <w:kern w:val="2"/>
          <w:sz w:val="24"/>
          <w:szCs w:val="21"/>
          <w:highlight w:val="none"/>
          <w:lang w:val="zh-CN"/>
        </w:rPr>
        <w:id w:val="2090349459"/>
        <w:docPartObj>
          <w:docPartGallery w:val="Table of Contents"/>
          <w:docPartUnique/>
        </w:docPartObj>
      </w:sdtPr>
      <w:sdtEndPr>
        <w:rPr>
          <w:rFonts w:eastAsia="宋体" w:cs="Times New Roman"/>
          <w:b/>
          <w:bCs/>
          <w:color w:val="auto"/>
          <w:kern w:val="2"/>
          <w:sz w:val="24"/>
          <w:szCs w:val="21"/>
          <w:highlight w:val="none"/>
          <w:lang w:val="zh-CN"/>
        </w:rPr>
      </w:sdtEndPr>
      <w:sdtContent>
        <w:p w14:paraId="38BA7843">
          <w:pPr>
            <w:pStyle w:val="47"/>
            <w:adjustRightInd w:val="0"/>
            <w:jc w:val="center"/>
            <w:rPr>
              <w:rFonts w:eastAsia="宋体" w:cs="Times New Roman"/>
              <w:b/>
              <w:color w:val="auto"/>
              <w:highlight w:val="none"/>
            </w:rPr>
          </w:pPr>
          <w:r>
            <w:rPr>
              <w:rFonts w:eastAsia="宋体" w:cs="Times New Roman"/>
              <w:b/>
              <w:color w:val="auto"/>
              <w:sz w:val="32"/>
              <w:highlight w:val="none"/>
              <w:lang w:val="zh-CN"/>
            </w:rPr>
            <w:t>目</w:t>
          </w:r>
          <w:r>
            <w:rPr>
              <w:rFonts w:eastAsia="宋体" w:cs="Times New Roman"/>
              <w:b/>
              <w:color w:val="auto"/>
              <w:sz w:val="32"/>
              <w:highlight w:val="none"/>
            </w:rPr>
            <w:t xml:space="preserve">  </w:t>
          </w:r>
          <w:r>
            <w:rPr>
              <w:rFonts w:eastAsia="宋体" w:cs="Times New Roman"/>
              <w:b/>
              <w:color w:val="auto"/>
              <w:sz w:val="32"/>
              <w:highlight w:val="none"/>
              <w:lang w:val="zh-CN"/>
            </w:rPr>
            <w:t>录</w:t>
          </w:r>
        </w:p>
        <w:p w14:paraId="2272D685">
          <w:pPr>
            <w:pStyle w:val="23"/>
            <w:tabs>
              <w:tab w:val="right" w:leader="dot" w:pos="8306"/>
              <w:tab w:val="clear" w:pos="8296"/>
            </w:tabs>
          </w:pPr>
          <w:r>
            <w:rPr>
              <w:rFonts w:cs="Times New Roman"/>
              <w:color w:val="auto"/>
              <w:highlight w:val="none"/>
            </w:rPr>
            <w:fldChar w:fldCharType="begin"/>
          </w:r>
          <w:r>
            <w:rPr>
              <w:rFonts w:cs="Times New Roman"/>
              <w:color w:val="auto"/>
              <w:highlight w:val="none"/>
            </w:rPr>
            <w:instrText xml:space="preserve"> TOC \o "1-3" \h \z \u </w:instrText>
          </w:r>
          <w:r>
            <w:rPr>
              <w:rFonts w:cs="Times New Roman"/>
              <w:color w:val="auto"/>
              <w:highlight w:val="none"/>
            </w:rPr>
            <w:fldChar w:fldCharType="separate"/>
          </w:r>
          <w:r>
            <w:rPr>
              <w:rFonts w:cs="Times New Roman"/>
              <w:color w:val="auto"/>
              <w:highlight w:val="none"/>
            </w:rPr>
            <w:fldChar w:fldCharType="begin"/>
          </w:r>
          <w:r>
            <w:rPr>
              <w:rFonts w:cs="Times New Roman"/>
              <w:highlight w:val="none"/>
            </w:rPr>
            <w:instrText xml:space="preserve"> HYPERLINK \l _Toc20560 </w:instrText>
          </w:r>
          <w:r>
            <w:rPr>
              <w:rFonts w:cs="Times New Roman"/>
              <w:highlight w:val="none"/>
            </w:rPr>
            <w:fldChar w:fldCharType="separate"/>
          </w:r>
          <w:r>
            <w:rPr>
              <w:rFonts w:hint="default" w:cs="Times New Roman"/>
            </w:rPr>
            <w:t xml:space="preserve">1. </w:t>
          </w:r>
          <w:r>
            <w:rPr>
              <w:rFonts w:cs="Times New Roman"/>
              <w:highlight w:val="none"/>
            </w:rPr>
            <w:t>总则</w:t>
          </w:r>
          <w:r>
            <w:tab/>
          </w:r>
          <w:r>
            <w:fldChar w:fldCharType="begin"/>
          </w:r>
          <w:r>
            <w:instrText xml:space="preserve"> PAGEREF _Toc20560 \h </w:instrText>
          </w:r>
          <w:r>
            <w:fldChar w:fldCharType="separate"/>
          </w:r>
          <w:r>
            <w:t>1</w:t>
          </w:r>
          <w:r>
            <w:fldChar w:fldCharType="end"/>
          </w:r>
          <w:r>
            <w:rPr>
              <w:rFonts w:cs="Times New Roman"/>
              <w:color w:val="auto"/>
              <w:highlight w:val="none"/>
            </w:rPr>
            <w:fldChar w:fldCharType="end"/>
          </w:r>
        </w:p>
        <w:p w14:paraId="46A07796">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_Toc28481 </w:instrText>
          </w:r>
          <w:r>
            <w:rPr>
              <w:rFonts w:cs="Times New Roman"/>
              <w:bCs/>
              <w:highlight w:val="none"/>
              <w:lang w:val="zh-CN"/>
            </w:rPr>
            <w:fldChar w:fldCharType="separate"/>
          </w:r>
          <w:r>
            <w:rPr>
              <w:rFonts w:hint="default" w:cs="Times New Roman"/>
            </w:rPr>
            <w:t xml:space="preserve">1.1. </w:t>
          </w:r>
          <w:r>
            <w:rPr>
              <w:rFonts w:cs="Times New Roman"/>
              <w:highlight w:val="none"/>
            </w:rPr>
            <w:t>编制依据</w:t>
          </w:r>
          <w:r>
            <w:tab/>
          </w:r>
          <w:r>
            <w:fldChar w:fldCharType="begin"/>
          </w:r>
          <w:r>
            <w:instrText xml:space="preserve"> PAGEREF _Toc28481 \h </w:instrText>
          </w:r>
          <w:r>
            <w:fldChar w:fldCharType="separate"/>
          </w:r>
          <w:r>
            <w:t>1</w:t>
          </w:r>
          <w:r>
            <w:fldChar w:fldCharType="end"/>
          </w:r>
          <w:r>
            <w:rPr>
              <w:rFonts w:cs="Times New Roman"/>
              <w:bCs/>
              <w:color w:val="auto"/>
              <w:highlight w:val="none"/>
              <w:lang w:val="zh-CN"/>
            </w:rPr>
            <w:fldChar w:fldCharType="end"/>
          </w:r>
        </w:p>
        <w:p w14:paraId="1B3E09C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_Toc28084 </w:instrText>
          </w:r>
          <w:r>
            <w:rPr>
              <w:rFonts w:cs="Times New Roman"/>
              <w:bCs/>
              <w:highlight w:val="none"/>
              <w:lang w:val="zh-CN"/>
            </w:rPr>
            <w:fldChar w:fldCharType="separate"/>
          </w:r>
          <w:r>
            <w:rPr>
              <w:rFonts w:hint="default" w:cs="Times New Roman"/>
            </w:rPr>
            <w:t xml:space="preserve">1.1.1. </w:t>
          </w:r>
          <w:r>
            <w:rPr>
              <w:rFonts w:cs="Times New Roman"/>
              <w:highlight w:val="none"/>
            </w:rPr>
            <w:t>国家法律法规和政策</w:t>
          </w:r>
          <w:r>
            <w:tab/>
          </w:r>
          <w:r>
            <w:fldChar w:fldCharType="begin"/>
          </w:r>
          <w:r>
            <w:instrText xml:space="preserve"> PAGEREF _Toc28084 \h </w:instrText>
          </w:r>
          <w:r>
            <w:fldChar w:fldCharType="separate"/>
          </w:r>
          <w:r>
            <w:t>1</w:t>
          </w:r>
          <w:r>
            <w:fldChar w:fldCharType="end"/>
          </w:r>
          <w:r>
            <w:rPr>
              <w:rFonts w:cs="Times New Roman"/>
              <w:bCs/>
              <w:color w:val="auto"/>
              <w:highlight w:val="none"/>
              <w:lang w:val="zh-CN"/>
            </w:rPr>
            <w:fldChar w:fldCharType="end"/>
          </w:r>
        </w:p>
        <w:p w14:paraId="582E763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_Toc22197 </w:instrText>
          </w:r>
          <w:r>
            <w:rPr>
              <w:rFonts w:cs="Times New Roman"/>
              <w:bCs/>
              <w:highlight w:val="none"/>
              <w:lang w:val="zh-CN"/>
            </w:rPr>
            <w:fldChar w:fldCharType="separate"/>
          </w:r>
          <w:r>
            <w:rPr>
              <w:rFonts w:hint="default" w:cs="Times New Roman"/>
            </w:rPr>
            <w:t xml:space="preserve">1.1.2. </w:t>
          </w:r>
          <w:r>
            <w:rPr>
              <w:rFonts w:cs="Times New Roman"/>
              <w:highlight w:val="none"/>
            </w:rPr>
            <w:t>地方法规及相关文件</w:t>
          </w:r>
          <w:r>
            <w:tab/>
          </w:r>
          <w:r>
            <w:fldChar w:fldCharType="begin"/>
          </w:r>
          <w:r>
            <w:instrText xml:space="preserve"> PAGEREF _Toc22197 \h </w:instrText>
          </w:r>
          <w:r>
            <w:fldChar w:fldCharType="separate"/>
          </w:r>
          <w:r>
            <w:t>2</w:t>
          </w:r>
          <w:r>
            <w:fldChar w:fldCharType="end"/>
          </w:r>
          <w:r>
            <w:rPr>
              <w:rFonts w:cs="Times New Roman"/>
              <w:bCs/>
              <w:color w:val="auto"/>
              <w:highlight w:val="none"/>
              <w:lang w:val="zh-CN"/>
            </w:rPr>
            <w:fldChar w:fldCharType="end"/>
          </w:r>
        </w:p>
        <w:p w14:paraId="003EC79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_Toc19481 </w:instrText>
          </w:r>
          <w:r>
            <w:rPr>
              <w:rFonts w:cs="Times New Roman"/>
              <w:bCs/>
              <w:highlight w:val="none"/>
              <w:lang w:val="zh-CN"/>
            </w:rPr>
            <w:fldChar w:fldCharType="separate"/>
          </w:r>
          <w:r>
            <w:rPr>
              <w:rFonts w:hint="default" w:cs="Times New Roman"/>
            </w:rPr>
            <w:t xml:space="preserve">1.1.3. </w:t>
          </w:r>
          <w:r>
            <w:rPr>
              <w:rFonts w:cs="Times New Roman"/>
              <w:highlight w:val="none"/>
            </w:rPr>
            <w:t>技术规范和技术导则</w:t>
          </w:r>
          <w:r>
            <w:tab/>
          </w:r>
          <w:r>
            <w:fldChar w:fldCharType="begin"/>
          </w:r>
          <w:r>
            <w:instrText xml:space="preserve"> PAGEREF _Toc19481 \h </w:instrText>
          </w:r>
          <w:r>
            <w:fldChar w:fldCharType="separate"/>
          </w:r>
          <w:r>
            <w:t>3</w:t>
          </w:r>
          <w:r>
            <w:fldChar w:fldCharType="end"/>
          </w:r>
          <w:r>
            <w:rPr>
              <w:rFonts w:cs="Times New Roman"/>
              <w:bCs/>
              <w:color w:val="auto"/>
              <w:highlight w:val="none"/>
              <w:lang w:val="zh-CN"/>
            </w:rPr>
            <w:fldChar w:fldCharType="end"/>
          </w:r>
        </w:p>
        <w:p w14:paraId="2693DAE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_Toc618 </w:instrText>
          </w:r>
          <w:r>
            <w:rPr>
              <w:rFonts w:cs="Times New Roman"/>
              <w:bCs/>
              <w:highlight w:val="none"/>
              <w:lang w:val="zh-CN"/>
            </w:rPr>
            <w:fldChar w:fldCharType="separate"/>
          </w:r>
          <w:r>
            <w:rPr>
              <w:rFonts w:hint="default" w:cs="Times New Roman"/>
            </w:rPr>
            <w:t xml:space="preserve">1.1.4. </w:t>
          </w:r>
          <w:r>
            <w:rPr>
              <w:rFonts w:cs="Times New Roman"/>
              <w:highlight w:val="none"/>
            </w:rPr>
            <w:t>其他相关资料</w:t>
          </w:r>
          <w:r>
            <w:tab/>
          </w:r>
          <w:r>
            <w:fldChar w:fldCharType="begin"/>
          </w:r>
          <w:r>
            <w:instrText xml:space="preserve"> PAGEREF _Toc618 \h </w:instrText>
          </w:r>
          <w:r>
            <w:fldChar w:fldCharType="separate"/>
          </w:r>
          <w:r>
            <w:t>3</w:t>
          </w:r>
          <w:r>
            <w:fldChar w:fldCharType="end"/>
          </w:r>
          <w:r>
            <w:rPr>
              <w:rFonts w:cs="Times New Roman"/>
              <w:bCs/>
              <w:color w:val="auto"/>
              <w:highlight w:val="none"/>
              <w:lang w:val="zh-CN"/>
            </w:rPr>
            <w:fldChar w:fldCharType="end"/>
          </w:r>
        </w:p>
        <w:p w14:paraId="2CE63558">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_Toc25838 </w:instrText>
          </w:r>
          <w:r>
            <w:rPr>
              <w:rFonts w:cs="Times New Roman"/>
              <w:bCs/>
              <w:highlight w:val="none"/>
              <w:lang w:val="zh-CN"/>
            </w:rPr>
            <w:fldChar w:fldCharType="separate"/>
          </w:r>
          <w:r>
            <w:rPr>
              <w:rFonts w:hint="default" w:cs="Times New Roman"/>
            </w:rPr>
            <w:t xml:space="preserve">1.2. </w:t>
          </w:r>
          <w:r>
            <w:rPr>
              <w:rFonts w:cs="Times New Roman"/>
              <w:highlight w:val="none"/>
            </w:rPr>
            <w:t>评价目的和评价原则</w:t>
          </w:r>
          <w:r>
            <w:tab/>
          </w:r>
          <w:r>
            <w:fldChar w:fldCharType="begin"/>
          </w:r>
          <w:r>
            <w:instrText xml:space="preserve"> PAGEREF _Toc25838 \h </w:instrText>
          </w:r>
          <w:r>
            <w:fldChar w:fldCharType="separate"/>
          </w:r>
          <w:r>
            <w:t>4</w:t>
          </w:r>
          <w:r>
            <w:fldChar w:fldCharType="end"/>
          </w:r>
          <w:r>
            <w:rPr>
              <w:rFonts w:cs="Times New Roman"/>
              <w:bCs/>
              <w:color w:val="auto"/>
              <w:highlight w:val="none"/>
              <w:lang w:val="zh-CN"/>
            </w:rPr>
            <w:fldChar w:fldCharType="end"/>
          </w:r>
        </w:p>
        <w:p w14:paraId="2D55375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_Toc4650 </w:instrText>
          </w:r>
          <w:r>
            <w:rPr>
              <w:rFonts w:cs="Times New Roman"/>
              <w:bCs/>
              <w:highlight w:val="none"/>
              <w:lang w:val="zh-CN"/>
            </w:rPr>
            <w:fldChar w:fldCharType="separate"/>
          </w:r>
          <w:r>
            <w:rPr>
              <w:rFonts w:hint="default" w:cs="Times New Roman"/>
            </w:rPr>
            <w:t xml:space="preserve">1.2.1. </w:t>
          </w:r>
          <w:r>
            <w:rPr>
              <w:rFonts w:cs="Times New Roman"/>
              <w:highlight w:val="none"/>
            </w:rPr>
            <w:t>评价目的</w:t>
          </w:r>
          <w:r>
            <w:tab/>
          </w:r>
          <w:r>
            <w:fldChar w:fldCharType="begin"/>
          </w:r>
          <w:r>
            <w:instrText xml:space="preserve"> PAGEREF _Toc4650 \h </w:instrText>
          </w:r>
          <w:r>
            <w:fldChar w:fldCharType="separate"/>
          </w:r>
          <w:r>
            <w:t>4</w:t>
          </w:r>
          <w:r>
            <w:fldChar w:fldCharType="end"/>
          </w:r>
          <w:r>
            <w:rPr>
              <w:rFonts w:cs="Times New Roman"/>
              <w:bCs/>
              <w:color w:val="auto"/>
              <w:highlight w:val="none"/>
              <w:lang w:val="zh-CN"/>
            </w:rPr>
            <w:fldChar w:fldCharType="end"/>
          </w:r>
        </w:p>
        <w:p w14:paraId="6CE95F3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_Toc7307 </w:instrText>
          </w:r>
          <w:r>
            <w:rPr>
              <w:rFonts w:cs="Times New Roman"/>
              <w:bCs/>
              <w:highlight w:val="none"/>
              <w:lang w:val="zh-CN"/>
            </w:rPr>
            <w:fldChar w:fldCharType="separate"/>
          </w:r>
          <w:r>
            <w:rPr>
              <w:rFonts w:hint="default" w:cs="Times New Roman"/>
            </w:rPr>
            <w:t xml:space="preserve">1.2.2. </w:t>
          </w:r>
          <w:r>
            <w:rPr>
              <w:rFonts w:cs="Times New Roman"/>
              <w:highlight w:val="none"/>
            </w:rPr>
            <w:t>评价原则</w:t>
          </w:r>
          <w:r>
            <w:tab/>
          </w:r>
          <w:r>
            <w:fldChar w:fldCharType="begin"/>
          </w:r>
          <w:r>
            <w:instrText xml:space="preserve"> PAGEREF _Toc7307 \h </w:instrText>
          </w:r>
          <w:r>
            <w:fldChar w:fldCharType="separate"/>
          </w:r>
          <w:r>
            <w:t>5</w:t>
          </w:r>
          <w:r>
            <w:fldChar w:fldCharType="end"/>
          </w:r>
          <w:r>
            <w:rPr>
              <w:rFonts w:cs="Times New Roman"/>
              <w:bCs/>
              <w:color w:val="auto"/>
              <w:highlight w:val="none"/>
              <w:lang w:val="zh-CN"/>
            </w:rPr>
            <w:fldChar w:fldCharType="end"/>
          </w:r>
        </w:p>
        <w:p w14:paraId="5C81D615">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_Toc21981 </w:instrText>
          </w:r>
          <w:r>
            <w:rPr>
              <w:rFonts w:cs="Times New Roman"/>
              <w:bCs/>
              <w:highlight w:val="none"/>
              <w:lang w:val="zh-CN"/>
            </w:rPr>
            <w:fldChar w:fldCharType="separate"/>
          </w:r>
          <w:r>
            <w:rPr>
              <w:rFonts w:hint="default" w:cs="Times New Roman"/>
            </w:rPr>
            <w:t xml:space="preserve">1.3. </w:t>
          </w:r>
          <w:r>
            <w:rPr>
              <w:rFonts w:cs="Times New Roman"/>
              <w:highlight w:val="none"/>
            </w:rPr>
            <w:t>评价重点和评价时段</w:t>
          </w:r>
          <w:r>
            <w:tab/>
          </w:r>
          <w:r>
            <w:fldChar w:fldCharType="begin"/>
          </w:r>
          <w:r>
            <w:instrText xml:space="preserve"> PAGEREF _Toc21981 \h </w:instrText>
          </w:r>
          <w:r>
            <w:fldChar w:fldCharType="separate"/>
          </w:r>
          <w:r>
            <w:t>6</w:t>
          </w:r>
          <w:r>
            <w:fldChar w:fldCharType="end"/>
          </w:r>
          <w:r>
            <w:rPr>
              <w:rFonts w:cs="Times New Roman"/>
              <w:bCs/>
              <w:color w:val="auto"/>
              <w:highlight w:val="none"/>
              <w:lang w:val="zh-CN"/>
            </w:rPr>
            <w:fldChar w:fldCharType="end"/>
          </w:r>
        </w:p>
        <w:p w14:paraId="4BFEA76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_Toc13434 </w:instrText>
          </w:r>
          <w:r>
            <w:rPr>
              <w:rFonts w:cs="Times New Roman"/>
              <w:bCs/>
              <w:highlight w:val="none"/>
              <w:lang w:val="zh-CN"/>
            </w:rPr>
            <w:fldChar w:fldCharType="separate"/>
          </w:r>
          <w:r>
            <w:rPr>
              <w:rFonts w:hint="default" w:cs="Times New Roman"/>
            </w:rPr>
            <w:t xml:space="preserve">1.3.1. </w:t>
          </w:r>
          <w:r>
            <w:rPr>
              <w:rFonts w:cs="Times New Roman"/>
              <w:highlight w:val="none"/>
            </w:rPr>
            <w:t>评价重点</w:t>
          </w:r>
          <w:r>
            <w:tab/>
          </w:r>
          <w:r>
            <w:fldChar w:fldCharType="begin"/>
          </w:r>
          <w:r>
            <w:instrText xml:space="preserve"> PAGEREF _Toc13434 \h </w:instrText>
          </w:r>
          <w:r>
            <w:fldChar w:fldCharType="separate"/>
          </w:r>
          <w:r>
            <w:t>6</w:t>
          </w:r>
          <w:r>
            <w:fldChar w:fldCharType="end"/>
          </w:r>
          <w:r>
            <w:rPr>
              <w:rFonts w:cs="Times New Roman"/>
              <w:bCs/>
              <w:color w:val="auto"/>
              <w:highlight w:val="none"/>
              <w:lang w:val="zh-CN"/>
            </w:rPr>
            <w:fldChar w:fldCharType="end"/>
          </w:r>
        </w:p>
        <w:p w14:paraId="25616D0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_Toc32025 </w:instrText>
          </w:r>
          <w:r>
            <w:rPr>
              <w:rFonts w:cs="Times New Roman"/>
              <w:bCs/>
              <w:highlight w:val="none"/>
              <w:lang w:val="zh-CN"/>
            </w:rPr>
            <w:fldChar w:fldCharType="separate"/>
          </w:r>
          <w:r>
            <w:rPr>
              <w:rFonts w:hint="default" w:cs="Times New Roman"/>
            </w:rPr>
            <w:t xml:space="preserve">1.3.2. </w:t>
          </w:r>
          <w:r>
            <w:rPr>
              <w:rFonts w:cs="Times New Roman"/>
              <w:highlight w:val="none"/>
            </w:rPr>
            <w:t>评价时段</w:t>
          </w:r>
          <w:r>
            <w:tab/>
          </w:r>
          <w:r>
            <w:fldChar w:fldCharType="begin"/>
          </w:r>
          <w:r>
            <w:instrText xml:space="preserve"> PAGEREF _Toc32025 \h </w:instrText>
          </w:r>
          <w:r>
            <w:fldChar w:fldCharType="separate"/>
          </w:r>
          <w:r>
            <w:t>6</w:t>
          </w:r>
          <w:r>
            <w:fldChar w:fldCharType="end"/>
          </w:r>
          <w:r>
            <w:rPr>
              <w:rFonts w:cs="Times New Roman"/>
              <w:bCs/>
              <w:color w:val="auto"/>
              <w:highlight w:val="none"/>
              <w:lang w:val="zh-CN"/>
            </w:rPr>
            <w:fldChar w:fldCharType="end"/>
          </w:r>
        </w:p>
        <w:p w14:paraId="4A601725">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_Toc10570 </w:instrText>
          </w:r>
          <w:r>
            <w:rPr>
              <w:rFonts w:cs="Times New Roman"/>
              <w:bCs/>
              <w:highlight w:val="none"/>
              <w:lang w:val="zh-CN"/>
            </w:rPr>
            <w:fldChar w:fldCharType="separate"/>
          </w:r>
          <w:r>
            <w:rPr>
              <w:rFonts w:hint="default" w:cs="Times New Roman"/>
            </w:rPr>
            <w:t xml:space="preserve">1.4. </w:t>
          </w:r>
          <w:r>
            <w:rPr>
              <w:rFonts w:cs="Times New Roman"/>
              <w:highlight w:val="none"/>
            </w:rPr>
            <w:t>政策、规划和选址符合性分析</w:t>
          </w:r>
          <w:r>
            <w:tab/>
          </w:r>
          <w:r>
            <w:fldChar w:fldCharType="begin"/>
          </w:r>
          <w:r>
            <w:instrText xml:space="preserve"> PAGEREF _Toc10570 \h </w:instrText>
          </w:r>
          <w:r>
            <w:fldChar w:fldCharType="separate"/>
          </w:r>
          <w:r>
            <w:t>6</w:t>
          </w:r>
          <w:r>
            <w:fldChar w:fldCharType="end"/>
          </w:r>
          <w:r>
            <w:rPr>
              <w:rFonts w:cs="Times New Roman"/>
              <w:bCs/>
              <w:color w:val="auto"/>
              <w:highlight w:val="none"/>
              <w:lang w:val="zh-CN"/>
            </w:rPr>
            <w:fldChar w:fldCharType="end"/>
          </w:r>
        </w:p>
        <w:p w14:paraId="3154EF0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_Toc14398 </w:instrText>
          </w:r>
          <w:r>
            <w:rPr>
              <w:rFonts w:cs="Times New Roman"/>
              <w:bCs/>
              <w:highlight w:val="none"/>
              <w:lang w:val="zh-CN"/>
            </w:rPr>
            <w:fldChar w:fldCharType="separate"/>
          </w:r>
          <w:r>
            <w:rPr>
              <w:rFonts w:hint="default" w:cs="Times New Roman"/>
            </w:rPr>
            <w:t xml:space="preserve">1.4.1. </w:t>
          </w:r>
          <w:r>
            <w:rPr>
              <w:rFonts w:cs="Times New Roman"/>
              <w:highlight w:val="none"/>
            </w:rPr>
            <w:t>政策符合性分析</w:t>
          </w:r>
          <w:r>
            <w:tab/>
          </w:r>
          <w:r>
            <w:fldChar w:fldCharType="begin"/>
          </w:r>
          <w:r>
            <w:instrText xml:space="preserve"> PAGEREF _Toc14398 \h </w:instrText>
          </w:r>
          <w:r>
            <w:fldChar w:fldCharType="separate"/>
          </w:r>
          <w:r>
            <w:t>6</w:t>
          </w:r>
          <w:r>
            <w:fldChar w:fldCharType="end"/>
          </w:r>
          <w:r>
            <w:rPr>
              <w:rFonts w:cs="Times New Roman"/>
              <w:bCs/>
              <w:color w:val="auto"/>
              <w:highlight w:val="none"/>
              <w:lang w:val="zh-CN"/>
            </w:rPr>
            <w:fldChar w:fldCharType="end"/>
          </w:r>
        </w:p>
        <w:p w14:paraId="061EF0F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_Toc8124 </w:instrText>
          </w:r>
          <w:r>
            <w:rPr>
              <w:rFonts w:cs="Times New Roman"/>
              <w:bCs/>
              <w:highlight w:val="none"/>
              <w:lang w:val="zh-CN"/>
            </w:rPr>
            <w:fldChar w:fldCharType="separate"/>
          </w:r>
          <w:r>
            <w:rPr>
              <w:rFonts w:hint="default" w:cs="Times New Roman"/>
            </w:rPr>
            <w:t xml:space="preserve">1.4.2. </w:t>
          </w:r>
          <w:r>
            <w:rPr>
              <w:rFonts w:cs="Times New Roman"/>
              <w:highlight w:val="none"/>
            </w:rPr>
            <w:t>规划符合性分析</w:t>
          </w:r>
          <w:r>
            <w:tab/>
          </w:r>
          <w:r>
            <w:fldChar w:fldCharType="begin"/>
          </w:r>
          <w:r>
            <w:instrText xml:space="preserve"> PAGEREF _Toc8124 \h </w:instrText>
          </w:r>
          <w:r>
            <w:fldChar w:fldCharType="separate"/>
          </w:r>
          <w:r>
            <w:t>39</w:t>
          </w:r>
          <w:r>
            <w:fldChar w:fldCharType="end"/>
          </w:r>
          <w:r>
            <w:rPr>
              <w:rFonts w:cs="Times New Roman"/>
              <w:bCs/>
              <w:color w:val="auto"/>
              <w:highlight w:val="none"/>
              <w:lang w:val="zh-CN"/>
            </w:rPr>
            <w:fldChar w:fldCharType="end"/>
          </w:r>
        </w:p>
        <w:p w14:paraId="360338F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_Toc32609 </w:instrText>
          </w:r>
          <w:r>
            <w:rPr>
              <w:rFonts w:cs="Times New Roman"/>
              <w:bCs/>
              <w:highlight w:val="none"/>
              <w:lang w:val="zh-CN"/>
            </w:rPr>
            <w:fldChar w:fldCharType="separate"/>
          </w:r>
          <w:r>
            <w:rPr>
              <w:rFonts w:hint="default" w:cs="Times New Roman"/>
            </w:rPr>
            <w:t xml:space="preserve">1.4.3. </w:t>
          </w:r>
          <w:r>
            <w:rPr>
              <w:rFonts w:cs="Times New Roman"/>
              <w:highlight w:val="none"/>
            </w:rPr>
            <w:t>选址符合性分析</w:t>
          </w:r>
          <w:r>
            <w:tab/>
          </w:r>
          <w:r>
            <w:fldChar w:fldCharType="begin"/>
          </w:r>
          <w:r>
            <w:instrText xml:space="preserve"> PAGEREF _Toc32609 \h </w:instrText>
          </w:r>
          <w:r>
            <w:fldChar w:fldCharType="separate"/>
          </w:r>
          <w:r>
            <w:t>73</w:t>
          </w:r>
          <w:r>
            <w:fldChar w:fldCharType="end"/>
          </w:r>
          <w:r>
            <w:rPr>
              <w:rFonts w:cs="Times New Roman"/>
              <w:bCs/>
              <w:color w:val="auto"/>
              <w:highlight w:val="none"/>
              <w:lang w:val="zh-CN"/>
            </w:rPr>
            <w:fldChar w:fldCharType="end"/>
          </w:r>
        </w:p>
        <w:p w14:paraId="056E46D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_Toc25733 </w:instrText>
          </w:r>
          <w:r>
            <w:rPr>
              <w:rFonts w:cs="Times New Roman"/>
              <w:bCs/>
              <w:highlight w:val="none"/>
              <w:lang w:val="zh-CN"/>
            </w:rPr>
            <w:fldChar w:fldCharType="separate"/>
          </w:r>
          <w:r>
            <w:rPr>
              <w:rFonts w:hint="default" w:cs="Times New Roman"/>
            </w:rPr>
            <w:t xml:space="preserve">1.5. </w:t>
          </w:r>
          <w:r>
            <w:rPr>
              <w:rFonts w:cs="Times New Roman"/>
              <w:highlight w:val="none"/>
            </w:rPr>
            <w:t>环境影响识别和评价因子筛选</w:t>
          </w:r>
          <w:r>
            <w:tab/>
          </w:r>
          <w:r>
            <w:fldChar w:fldCharType="begin"/>
          </w:r>
          <w:r>
            <w:instrText xml:space="preserve"> PAGEREF _Toc25733 \h </w:instrText>
          </w:r>
          <w:r>
            <w:fldChar w:fldCharType="separate"/>
          </w:r>
          <w:r>
            <w:t>74</w:t>
          </w:r>
          <w:r>
            <w:fldChar w:fldCharType="end"/>
          </w:r>
          <w:r>
            <w:rPr>
              <w:rFonts w:cs="Times New Roman"/>
              <w:bCs/>
              <w:color w:val="auto"/>
              <w:highlight w:val="none"/>
              <w:lang w:val="zh-CN"/>
            </w:rPr>
            <w:fldChar w:fldCharType="end"/>
          </w:r>
        </w:p>
        <w:p w14:paraId="0969880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_Toc5519 </w:instrText>
          </w:r>
          <w:r>
            <w:rPr>
              <w:rFonts w:cs="Times New Roman"/>
              <w:bCs/>
              <w:highlight w:val="none"/>
              <w:lang w:val="zh-CN"/>
            </w:rPr>
            <w:fldChar w:fldCharType="separate"/>
          </w:r>
          <w:r>
            <w:rPr>
              <w:rFonts w:hint="default" w:cs="Times New Roman"/>
            </w:rPr>
            <w:t xml:space="preserve">1.5.1. </w:t>
          </w:r>
          <w:r>
            <w:rPr>
              <w:rFonts w:cs="Times New Roman"/>
              <w:highlight w:val="none"/>
            </w:rPr>
            <w:t>环境影响因素识别</w:t>
          </w:r>
          <w:r>
            <w:tab/>
          </w:r>
          <w:r>
            <w:fldChar w:fldCharType="begin"/>
          </w:r>
          <w:r>
            <w:instrText xml:space="preserve"> PAGEREF _Toc5519 \h </w:instrText>
          </w:r>
          <w:r>
            <w:fldChar w:fldCharType="separate"/>
          </w:r>
          <w:r>
            <w:t>74</w:t>
          </w:r>
          <w:r>
            <w:fldChar w:fldCharType="end"/>
          </w:r>
          <w:r>
            <w:rPr>
              <w:rFonts w:cs="Times New Roman"/>
              <w:bCs/>
              <w:color w:val="auto"/>
              <w:highlight w:val="none"/>
              <w:lang w:val="zh-CN"/>
            </w:rPr>
            <w:fldChar w:fldCharType="end"/>
          </w:r>
        </w:p>
        <w:p w14:paraId="67FC2A5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_Toc23295 </w:instrText>
          </w:r>
          <w:r>
            <w:rPr>
              <w:rFonts w:cs="Times New Roman"/>
              <w:bCs/>
              <w:highlight w:val="none"/>
              <w:lang w:val="zh-CN"/>
            </w:rPr>
            <w:fldChar w:fldCharType="separate"/>
          </w:r>
          <w:r>
            <w:rPr>
              <w:rFonts w:hint="default" w:cs="Times New Roman"/>
            </w:rPr>
            <w:t xml:space="preserve">1.5.2. </w:t>
          </w:r>
          <w:r>
            <w:rPr>
              <w:rFonts w:cs="Times New Roman"/>
              <w:highlight w:val="none"/>
            </w:rPr>
            <w:t>评价因子筛选</w:t>
          </w:r>
          <w:r>
            <w:tab/>
          </w:r>
          <w:r>
            <w:fldChar w:fldCharType="begin"/>
          </w:r>
          <w:r>
            <w:instrText xml:space="preserve"> PAGEREF _Toc23295 \h </w:instrText>
          </w:r>
          <w:r>
            <w:fldChar w:fldCharType="separate"/>
          </w:r>
          <w:r>
            <w:t>75</w:t>
          </w:r>
          <w:r>
            <w:fldChar w:fldCharType="end"/>
          </w:r>
          <w:r>
            <w:rPr>
              <w:rFonts w:cs="Times New Roman"/>
              <w:bCs/>
              <w:color w:val="auto"/>
              <w:highlight w:val="none"/>
              <w:lang w:val="zh-CN"/>
            </w:rPr>
            <w:fldChar w:fldCharType="end"/>
          </w:r>
        </w:p>
        <w:p w14:paraId="52BEA83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_Toc21300 </w:instrText>
          </w:r>
          <w:r>
            <w:rPr>
              <w:rFonts w:cs="Times New Roman"/>
              <w:bCs/>
              <w:highlight w:val="none"/>
              <w:lang w:val="zh-CN"/>
            </w:rPr>
            <w:fldChar w:fldCharType="separate"/>
          </w:r>
          <w:r>
            <w:rPr>
              <w:rFonts w:hint="default" w:cs="Times New Roman"/>
            </w:rPr>
            <w:t xml:space="preserve">1.6. </w:t>
          </w:r>
          <w:r>
            <w:rPr>
              <w:rFonts w:cs="Times New Roman"/>
              <w:highlight w:val="none"/>
            </w:rPr>
            <w:t>评价标准</w:t>
          </w:r>
          <w:r>
            <w:tab/>
          </w:r>
          <w:r>
            <w:fldChar w:fldCharType="begin"/>
          </w:r>
          <w:r>
            <w:instrText xml:space="preserve"> PAGEREF _Toc21300 \h </w:instrText>
          </w:r>
          <w:r>
            <w:fldChar w:fldCharType="separate"/>
          </w:r>
          <w:r>
            <w:t>75</w:t>
          </w:r>
          <w:r>
            <w:fldChar w:fldCharType="end"/>
          </w:r>
          <w:r>
            <w:rPr>
              <w:rFonts w:cs="Times New Roman"/>
              <w:bCs/>
              <w:color w:val="auto"/>
              <w:highlight w:val="none"/>
              <w:lang w:val="zh-CN"/>
            </w:rPr>
            <w:fldChar w:fldCharType="end"/>
          </w:r>
        </w:p>
        <w:p w14:paraId="7CA9FC3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_Toc23163 </w:instrText>
          </w:r>
          <w:r>
            <w:rPr>
              <w:rFonts w:cs="Times New Roman"/>
              <w:bCs/>
              <w:highlight w:val="none"/>
              <w:lang w:val="zh-CN"/>
            </w:rPr>
            <w:fldChar w:fldCharType="separate"/>
          </w:r>
          <w:r>
            <w:rPr>
              <w:rFonts w:hint="default" w:cs="Times New Roman"/>
            </w:rPr>
            <w:t xml:space="preserve">1.6.1. </w:t>
          </w:r>
          <w:r>
            <w:rPr>
              <w:rFonts w:cs="Times New Roman"/>
              <w:highlight w:val="none"/>
            </w:rPr>
            <w:t>环境功能区划</w:t>
          </w:r>
          <w:r>
            <w:tab/>
          </w:r>
          <w:r>
            <w:fldChar w:fldCharType="begin"/>
          </w:r>
          <w:r>
            <w:instrText xml:space="preserve"> PAGEREF _Toc23163 \h </w:instrText>
          </w:r>
          <w:r>
            <w:fldChar w:fldCharType="separate"/>
          </w:r>
          <w:r>
            <w:t>75</w:t>
          </w:r>
          <w:r>
            <w:fldChar w:fldCharType="end"/>
          </w:r>
          <w:r>
            <w:rPr>
              <w:rFonts w:cs="Times New Roman"/>
              <w:bCs/>
              <w:color w:val="auto"/>
              <w:highlight w:val="none"/>
              <w:lang w:val="zh-CN"/>
            </w:rPr>
            <w:fldChar w:fldCharType="end"/>
          </w:r>
        </w:p>
        <w:p w14:paraId="31603EE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_Toc22693 </w:instrText>
          </w:r>
          <w:r>
            <w:rPr>
              <w:rFonts w:cs="Times New Roman"/>
              <w:bCs/>
              <w:highlight w:val="none"/>
              <w:lang w:val="zh-CN"/>
            </w:rPr>
            <w:fldChar w:fldCharType="separate"/>
          </w:r>
          <w:r>
            <w:rPr>
              <w:rFonts w:hint="default" w:cs="Times New Roman"/>
            </w:rPr>
            <w:t xml:space="preserve">1.6.2. </w:t>
          </w:r>
          <w:r>
            <w:rPr>
              <w:rFonts w:cs="Times New Roman"/>
              <w:highlight w:val="none"/>
            </w:rPr>
            <w:t>环境质量标准</w:t>
          </w:r>
          <w:r>
            <w:tab/>
          </w:r>
          <w:r>
            <w:fldChar w:fldCharType="begin"/>
          </w:r>
          <w:r>
            <w:instrText xml:space="preserve"> PAGEREF _Toc22693 \h </w:instrText>
          </w:r>
          <w:r>
            <w:fldChar w:fldCharType="separate"/>
          </w:r>
          <w:r>
            <w:t>76</w:t>
          </w:r>
          <w:r>
            <w:fldChar w:fldCharType="end"/>
          </w:r>
          <w:r>
            <w:rPr>
              <w:rFonts w:cs="Times New Roman"/>
              <w:bCs/>
              <w:color w:val="auto"/>
              <w:highlight w:val="none"/>
              <w:lang w:val="zh-CN"/>
            </w:rPr>
            <w:fldChar w:fldCharType="end"/>
          </w:r>
        </w:p>
        <w:p w14:paraId="492D0730">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_Toc14103 </w:instrText>
          </w:r>
          <w:r>
            <w:rPr>
              <w:rFonts w:cs="Times New Roman"/>
              <w:bCs/>
              <w:highlight w:val="none"/>
              <w:lang w:val="zh-CN"/>
            </w:rPr>
            <w:fldChar w:fldCharType="separate"/>
          </w:r>
          <w:r>
            <w:rPr>
              <w:rFonts w:hint="default" w:cs="Times New Roman"/>
            </w:rPr>
            <w:t xml:space="preserve">1.6.3. </w:t>
          </w:r>
          <w:r>
            <w:rPr>
              <w:rFonts w:cs="Times New Roman"/>
              <w:highlight w:val="none"/>
            </w:rPr>
            <w:t>污染物排放标准</w:t>
          </w:r>
          <w:r>
            <w:tab/>
          </w:r>
          <w:r>
            <w:fldChar w:fldCharType="begin"/>
          </w:r>
          <w:r>
            <w:instrText xml:space="preserve"> PAGEREF _Toc14103 \h </w:instrText>
          </w:r>
          <w:r>
            <w:fldChar w:fldCharType="separate"/>
          </w:r>
          <w:r>
            <w:t>80</w:t>
          </w:r>
          <w:r>
            <w:fldChar w:fldCharType="end"/>
          </w:r>
          <w:r>
            <w:rPr>
              <w:rFonts w:cs="Times New Roman"/>
              <w:bCs/>
              <w:color w:val="auto"/>
              <w:highlight w:val="none"/>
              <w:lang w:val="zh-CN"/>
            </w:rPr>
            <w:fldChar w:fldCharType="end"/>
          </w:r>
        </w:p>
        <w:p w14:paraId="15770EDB">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_Toc4645 </w:instrText>
          </w:r>
          <w:r>
            <w:rPr>
              <w:rFonts w:cs="Times New Roman"/>
              <w:bCs/>
              <w:highlight w:val="none"/>
              <w:lang w:val="zh-CN"/>
            </w:rPr>
            <w:fldChar w:fldCharType="separate"/>
          </w:r>
          <w:r>
            <w:rPr>
              <w:rFonts w:hint="default" w:cs="Times New Roman"/>
            </w:rPr>
            <w:t xml:space="preserve">1.7. </w:t>
          </w:r>
          <w:r>
            <w:rPr>
              <w:rFonts w:cs="Times New Roman"/>
              <w:highlight w:val="none"/>
            </w:rPr>
            <w:t>评价等级和评价范围</w:t>
          </w:r>
          <w:r>
            <w:tab/>
          </w:r>
          <w:r>
            <w:fldChar w:fldCharType="begin"/>
          </w:r>
          <w:r>
            <w:instrText xml:space="preserve"> PAGEREF _Toc4645 \h </w:instrText>
          </w:r>
          <w:r>
            <w:fldChar w:fldCharType="separate"/>
          </w:r>
          <w:r>
            <w:t>82</w:t>
          </w:r>
          <w:r>
            <w:fldChar w:fldCharType="end"/>
          </w:r>
          <w:r>
            <w:rPr>
              <w:rFonts w:cs="Times New Roman"/>
              <w:bCs/>
              <w:color w:val="auto"/>
              <w:highlight w:val="none"/>
              <w:lang w:val="zh-CN"/>
            </w:rPr>
            <w:fldChar w:fldCharType="end"/>
          </w:r>
        </w:p>
        <w:p w14:paraId="5B59009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_Toc23102 </w:instrText>
          </w:r>
          <w:r>
            <w:rPr>
              <w:rFonts w:cs="Times New Roman"/>
              <w:bCs/>
              <w:highlight w:val="none"/>
              <w:lang w:val="zh-CN"/>
            </w:rPr>
            <w:fldChar w:fldCharType="separate"/>
          </w:r>
          <w:r>
            <w:rPr>
              <w:rFonts w:hint="default" w:cs="Times New Roman"/>
            </w:rPr>
            <w:t xml:space="preserve">1.7.1. </w:t>
          </w:r>
          <w:r>
            <w:rPr>
              <w:rFonts w:cs="Times New Roman"/>
              <w:highlight w:val="none"/>
            </w:rPr>
            <w:t>地表水环境评价</w:t>
          </w:r>
          <w:r>
            <w:tab/>
          </w:r>
          <w:r>
            <w:fldChar w:fldCharType="begin"/>
          </w:r>
          <w:r>
            <w:instrText xml:space="preserve"> PAGEREF _Toc23102 \h </w:instrText>
          </w:r>
          <w:r>
            <w:fldChar w:fldCharType="separate"/>
          </w:r>
          <w:r>
            <w:t>82</w:t>
          </w:r>
          <w:r>
            <w:fldChar w:fldCharType="end"/>
          </w:r>
          <w:r>
            <w:rPr>
              <w:rFonts w:cs="Times New Roman"/>
              <w:bCs/>
              <w:color w:val="auto"/>
              <w:highlight w:val="none"/>
              <w:lang w:val="zh-CN"/>
            </w:rPr>
            <w:fldChar w:fldCharType="end"/>
          </w:r>
        </w:p>
        <w:p w14:paraId="05B2A3B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_Toc216 </w:instrText>
          </w:r>
          <w:r>
            <w:rPr>
              <w:rFonts w:cs="Times New Roman"/>
              <w:bCs/>
              <w:highlight w:val="none"/>
              <w:lang w:val="zh-CN"/>
            </w:rPr>
            <w:fldChar w:fldCharType="separate"/>
          </w:r>
          <w:r>
            <w:rPr>
              <w:rFonts w:hint="default" w:cs="Times New Roman"/>
            </w:rPr>
            <w:t xml:space="preserve">1.7.2. </w:t>
          </w:r>
          <w:r>
            <w:rPr>
              <w:rFonts w:cs="Times New Roman"/>
              <w:highlight w:val="none"/>
            </w:rPr>
            <w:t>地下水环境评价工作等级</w:t>
          </w:r>
          <w:r>
            <w:tab/>
          </w:r>
          <w:r>
            <w:fldChar w:fldCharType="begin"/>
          </w:r>
          <w:r>
            <w:instrText xml:space="preserve"> PAGEREF _Toc216 \h </w:instrText>
          </w:r>
          <w:r>
            <w:fldChar w:fldCharType="separate"/>
          </w:r>
          <w:r>
            <w:t>83</w:t>
          </w:r>
          <w:r>
            <w:fldChar w:fldCharType="end"/>
          </w:r>
          <w:r>
            <w:rPr>
              <w:rFonts w:cs="Times New Roman"/>
              <w:bCs/>
              <w:color w:val="auto"/>
              <w:highlight w:val="none"/>
              <w:lang w:val="zh-CN"/>
            </w:rPr>
            <w:fldChar w:fldCharType="end"/>
          </w:r>
        </w:p>
        <w:p w14:paraId="029CF8E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_Toc12356 </w:instrText>
          </w:r>
          <w:r>
            <w:rPr>
              <w:rFonts w:cs="Times New Roman"/>
              <w:bCs/>
              <w:highlight w:val="none"/>
              <w:lang w:val="zh-CN"/>
            </w:rPr>
            <w:fldChar w:fldCharType="separate"/>
          </w:r>
          <w:r>
            <w:rPr>
              <w:rFonts w:hint="default" w:cs="Times New Roman"/>
            </w:rPr>
            <w:t xml:space="preserve">1.7.3. </w:t>
          </w:r>
          <w:r>
            <w:rPr>
              <w:rFonts w:cs="Times New Roman"/>
              <w:highlight w:val="none"/>
            </w:rPr>
            <w:t>大气环境评价</w:t>
          </w:r>
          <w:r>
            <w:tab/>
          </w:r>
          <w:r>
            <w:fldChar w:fldCharType="begin"/>
          </w:r>
          <w:r>
            <w:instrText xml:space="preserve"> PAGEREF _Toc12356 \h </w:instrText>
          </w:r>
          <w:r>
            <w:fldChar w:fldCharType="separate"/>
          </w:r>
          <w:r>
            <w:t>87</w:t>
          </w:r>
          <w:r>
            <w:fldChar w:fldCharType="end"/>
          </w:r>
          <w:r>
            <w:rPr>
              <w:rFonts w:cs="Times New Roman"/>
              <w:bCs/>
              <w:color w:val="auto"/>
              <w:highlight w:val="none"/>
              <w:lang w:val="zh-CN"/>
            </w:rPr>
            <w:fldChar w:fldCharType="end"/>
          </w:r>
        </w:p>
        <w:p w14:paraId="4143908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_Toc6273 </w:instrText>
          </w:r>
          <w:r>
            <w:rPr>
              <w:rFonts w:cs="Times New Roman"/>
              <w:bCs/>
              <w:highlight w:val="none"/>
              <w:lang w:val="zh-CN"/>
            </w:rPr>
            <w:fldChar w:fldCharType="separate"/>
          </w:r>
          <w:r>
            <w:rPr>
              <w:rFonts w:hint="default" w:cs="Times New Roman"/>
            </w:rPr>
            <w:t xml:space="preserve">1.7.4. </w:t>
          </w:r>
          <w:r>
            <w:rPr>
              <w:rFonts w:cs="Times New Roman"/>
              <w:highlight w:val="none"/>
            </w:rPr>
            <w:t>声环境评价工作等级</w:t>
          </w:r>
          <w:r>
            <w:tab/>
          </w:r>
          <w:r>
            <w:fldChar w:fldCharType="begin"/>
          </w:r>
          <w:r>
            <w:instrText xml:space="preserve"> PAGEREF _Toc6273 \h </w:instrText>
          </w:r>
          <w:r>
            <w:fldChar w:fldCharType="separate"/>
          </w:r>
          <w:r>
            <w:t>92</w:t>
          </w:r>
          <w:r>
            <w:fldChar w:fldCharType="end"/>
          </w:r>
          <w:r>
            <w:rPr>
              <w:rFonts w:cs="Times New Roman"/>
              <w:bCs/>
              <w:color w:val="auto"/>
              <w:highlight w:val="none"/>
              <w:lang w:val="zh-CN"/>
            </w:rPr>
            <w:fldChar w:fldCharType="end"/>
          </w:r>
        </w:p>
        <w:p w14:paraId="143B968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_Toc7095 </w:instrText>
          </w:r>
          <w:r>
            <w:rPr>
              <w:rFonts w:cs="Times New Roman"/>
              <w:bCs/>
              <w:highlight w:val="none"/>
              <w:lang w:val="zh-CN"/>
            </w:rPr>
            <w:fldChar w:fldCharType="separate"/>
          </w:r>
          <w:r>
            <w:rPr>
              <w:rFonts w:hint="default" w:cs="Times New Roman"/>
            </w:rPr>
            <w:t xml:space="preserve">1.7.5. </w:t>
          </w:r>
          <w:r>
            <w:rPr>
              <w:rFonts w:cs="Times New Roman"/>
              <w:highlight w:val="none"/>
            </w:rPr>
            <w:t>土壤环境评价</w:t>
          </w:r>
          <w:r>
            <w:tab/>
          </w:r>
          <w:r>
            <w:fldChar w:fldCharType="begin"/>
          </w:r>
          <w:r>
            <w:instrText xml:space="preserve"> PAGEREF _Toc7095 \h </w:instrText>
          </w:r>
          <w:r>
            <w:fldChar w:fldCharType="separate"/>
          </w:r>
          <w:r>
            <w:t>93</w:t>
          </w:r>
          <w:r>
            <w:fldChar w:fldCharType="end"/>
          </w:r>
          <w:r>
            <w:rPr>
              <w:rFonts w:cs="Times New Roman"/>
              <w:bCs/>
              <w:color w:val="auto"/>
              <w:highlight w:val="none"/>
              <w:lang w:val="zh-CN"/>
            </w:rPr>
            <w:fldChar w:fldCharType="end"/>
          </w:r>
        </w:p>
        <w:p w14:paraId="6FEAA1F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_Toc16383 </w:instrText>
          </w:r>
          <w:r>
            <w:rPr>
              <w:rFonts w:cs="Times New Roman"/>
              <w:bCs/>
              <w:highlight w:val="none"/>
              <w:lang w:val="zh-CN"/>
            </w:rPr>
            <w:fldChar w:fldCharType="separate"/>
          </w:r>
          <w:r>
            <w:rPr>
              <w:rFonts w:hint="default" w:cs="Times New Roman"/>
            </w:rPr>
            <w:t xml:space="preserve">1.7.6. </w:t>
          </w:r>
          <w:r>
            <w:rPr>
              <w:rFonts w:cs="Times New Roman"/>
              <w:highlight w:val="none"/>
            </w:rPr>
            <w:t>生态环境评价</w:t>
          </w:r>
          <w:r>
            <w:tab/>
          </w:r>
          <w:r>
            <w:fldChar w:fldCharType="begin"/>
          </w:r>
          <w:r>
            <w:instrText xml:space="preserve"> PAGEREF _Toc16383 \h </w:instrText>
          </w:r>
          <w:r>
            <w:fldChar w:fldCharType="separate"/>
          </w:r>
          <w:r>
            <w:t>94</w:t>
          </w:r>
          <w:r>
            <w:fldChar w:fldCharType="end"/>
          </w:r>
          <w:r>
            <w:rPr>
              <w:rFonts w:cs="Times New Roman"/>
              <w:bCs/>
              <w:color w:val="auto"/>
              <w:highlight w:val="none"/>
              <w:lang w:val="zh-CN"/>
            </w:rPr>
            <w:fldChar w:fldCharType="end"/>
          </w:r>
        </w:p>
        <w:p w14:paraId="59D03AF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_Toc25690 </w:instrText>
          </w:r>
          <w:r>
            <w:rPr>
              <w:rFonts w:cs="Times New Roman"/>
              <w:bCs/>
              <w:highlight w:val="none"/>
              <w:lang w:val="zh-CN"/>
            </w:rPr>
            <w:fldChar w:fldCharType="separate"/>
          </w:r>
          <w:r>
            <w:rPr>
              <w:rFonts w:hint="default" w:cs="Times New Roman"/>
            </w:rPr>
            <w:t xml:space="preserve">1.7.7. </w:t>
          </w:r>
          <w:r>
            <w:rPr>
              <w:rFonts w:cs="Times New Roman"/>
              <w:highlight w:val="none"/>
            </w:rPr>
            <w:t>环境风险</w:t>
          </w:r>
          <w:r>
            <w:tab/>
          </w:r>
          <w:r>
            <w:fldChar w:fldCharType="begin"/>
          </w:r>
          <w:r>
            <w:instrText xml:space="preserve"> PAGEREF _Toc25690 \h </w:instrText>
          </w:r>
          <w:r>
            <w:fldChar w:fldCharType="separate"/>
          </w:r>
          <w:r>
            <w:t>95</w:t>
          </w:r>
          <w:r>
            <w:fldChar w:fldCharType="end"/>
          </w:r>
          <w:r>
            <w:rPr>
              <w:rFonts w:cs="Times New Roman"/>
              <w:bCs/>
              <w:color w:val="auto"/>
              <w:highlight w:val="none"/>
              <w:lang w:val="zh-CN"/>
            </w:rPr>
            <w:fldChar w:fldCharType="end"/>
          </w:r>
        </w:p>
        <w:p w14:paraId="4B1643E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_Toc13027 </w:instrText>
          </w:r>
          <w:r>
            <w:rPr>
              <w:rFonts w:cs="Times New Roman"/>
              <w:bCs/>
              <w:highlight w:val="none"/>
              <w:lang w:val="zh-CN"/>
            </w:rPr>
            <w:fldChar w:fldCharType="separate"/>
          </w:r>
          <w:r>
            <w:rPr>
              <w:rFonts w:hint="default" w:cs="Times New Roman"/>
            </w:rPr>
            <w:t xml:space="preserve">1.8. </w:t>
          </w:r>
          <w:r>
            <w:rPr>
              <w:rFonts w:cs="Times New Roman"/>
              <w:highlight w:val="none"/>
            </w:rPr>
            <w:t>外环境关系及环境保护目标</w:t>
          </w:r>
          <w:r>
            <w:tab/>
          </w:r>
          <w:r>
            <w:fldChar w:fldCharType="begin"/>
          </w:r>
          <w:r>
            <w:instrText xml:space="preserve"> PAGEREF _Toc13027 \h </w:instrText>
          </w:r>
          <w:r>
            <w:fldChar w:fldCharType="separate"/>
          </w:r>
          <w:r>
            <w:t>96</w:t>
          </w:r>
          <w:r>
            <w:fldChar w:fldCharType="end"/>
          </w:r>
          <w:r>
            <w:rPr>
              <w:rFonts w:cs="Times New Roman"/>
              <w:bCs/>
              <w:color w:val="auto"/>
              <w:highlight w:val="none"/>
              <w:lang w:val="zh-CN"/>
            </w:rPr>
            <w:fldChar w:fldCharType="end"/>
          </w:r>
        </w:p>
        <w:p w14:paraId="1FCB325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_Toc1771 </w:instrText>
          </w:r>
          <w:r>
            <w:rPr>
              <w:rFonts w:cs="Times New Roman"/>
              <w:bCs/>
              <w:highlight w:val="none"/>
              <w:lang w:val="zh-CN"/>
            </w:rPr>
            <w:fldChar w:fldCharType="separate"/>
          </w:r>
          <w:r>
            <w:rPr>
              <w:rFonts w:hint="default" w:cs="Times New Roman"/>
            </w:rPr>
            <w:t xml:space="preserve">1.8.1. </w:t>
          </w:r>
          <w:r>
            <w:rPr>
              <w:rFonts w:cs="Times New Roman"/>
              <w:highlight w:val="none"/>
            </w:rPr>
            <w:t>外环境关系</w:t>
          </w:r>
          <w:r>
            <w:tab/>
          </w:r>
          <w:r>
            <w:fldChar w:fldCharType="begin"/>
          </w:r>
          <w:r>
            <w:instrText xml:space="preserve"> PAGEREF _Toc1771 \h </w:instrText>
          </w:r>
          <w:r>
            <w:fldChar w:fldCharType="separate"/>
          </w:r>
          <w:r>
            <w:t>96</w:t>
          </w:r>
          <w:r>
            <w:fldChar w:fldCharType="end"/>
          </w:r>
          <w:r>
            <w:rPr>
              <w:rFonts w:cs="Times New Roman"/>
              <w:bCs/>
              <w:color w:val="auto"/>
              <w:highlight w:val="none"/>
              <w:lang w:val="zh-CN"/>
            </w:rPr>
            <w:fldChar w:fldCharType="end"/>
          </w:r>
        </w:p>
        <w:p w14:paraId="7AA80DA4">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_Toc13468 </w:instrText>
          </w:r>
          <w:r>
            <w:rPr>
              <w:rFonts w:cs="Times New Roman"/>
              <w:bCs/>
              <w:highlight w:val="none"/>
              <w:lang w:val="zh-CN"/>
            </w:rPr>
            <w:fldChar w:fldCharType="separate"/>
          </w:r>
          <w:r>
            <w:rPr>
              <w:rFonts w:hint="default" w:cs="Times New Roman"/>
            </w:rPr>
            <w:t xml:space="preserve">1.8.2. </w:t>
          </w:r>
          <w:r>
            <w:rPr>
              <w:rFonts w:cs="Times New Roman"/>
              <w:highlight w:val="none"/>
            </w:rPr>
            <w:t>项目环境保护目标</w:t>
          </w:r>
          <w:r>
            <w:tab/>
          </w:r>
          <w:r>
            <w:fldChar w:fldCharType="begin"/>
          </w:r>
          <w:r>
            <w:instrText xml:space="preserve"> PAGEREF _Toc13468 \h </w:instrText>
          </w:r>
          <w:r>
            <w:fldChar w:fldCharType="separate"/>
          </w:r>
          <w:r>
            <w:t>96</w:t>
          </w:r>
          <w:r>
            <w:fldChar w:fldCharType="end"/>
          </w:r>
          <w:r>
            <w:rPr>
              <w:rFonts w:cs="Times New Roman"/>
              <w:bCs/>
              <w:color w:val="auto"/>
              <w:highlight w:val="none"/>
              <w:lang w:val="zh-CN"/>
            </w:rPr>
            <w:fldChar w:fldCharType="end"/>
          </w:r>
        </w:p>
        <w:p w14:paraId="7DE6973D">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_Toc13343 </w:instrText>
          </w:r>
          <w:r>
            <w:rPr>
              <w:rFonts w:cs="Times New Roman"/>
              <w:bCs/>
              <w:highlight w:val="none"/>
              <w:lang w:val="zh-CN"/>
            </w:rPr>
            <w:fldChar w:fldCharType="separate"/>
          </w:r>
          <w:r>
            <w:rPr>
              <w:rFonts w:hint="default" w:cs="Times New Roman"/>
            </w:rPr>
            <w:t xml:space="preserve">1.9. </w:t>
          </w:r>
          <w:r>
            <w:rPr>
              <w:rFonts w:cs="Times New Roman"/>
              <w:highlight w:val="none"/>
            </w:rPr>
            <w:t>评价工作程序</w:t>
          </w:r>
          <w:r>
            <w:tab/>
          </w:r>
          <w:r>
            <w:fldChar w:fldCharType="begin"/>
          </w:r>
          <w:r>
            <w:instrText xml:space="preserve"> PAGEREF _Toc13343 \h </w:instrText>
          </w:r>
          <w:r>
            <w:fldChar w:fldCharType="separate"/>
          </w:r>
          <w:r>
            <w:t>102</w:t>
          </w:r>
          <w:r>
            <w:fldChar w:fldCharType="end"/>
          </w:r>
          <w:r>
            <w:rPr>
              <w:rFonts w:cs="Times New Roman"/>
              <w:bCs/>
              <w:color w:val="auto"/>
              <w:highlight w:val="none"/>
              <w:lang w:val="zh-CN"/>
            </w:rPr>
            <w:fldChar w:fldCharType="end"/>
          </w:r>
        </w:p>
        <w:p w14:paraId="412D4BBF">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_Toc18947 </w:instrText>
          </w:r>
          <w:r>
            <w:rPr>
              <w:rFonts w:cs="Times New Roman"/>
              <w:bCs/>
              <w:highlight w:val="none"/>
              <w:lang w:val="zh-CN"/>
            </w:rPr>
            <w:fldChar w:fldCharType="separate"/>
          </w:r>
          <w:r>
            <w:rPr>
              <w:rFonts w:hint="default" w:cs="Times New Roman"/>
            </w:rPr>
            <w:t xml:space="preserve">2. </w:t>
          </w:r>
          <w:r>
            <w:rPr>
              <w:rFonts w:cs="Times New Roman"/>
              <w:highlight w:val="none"/>
            </w:rPr>
            <w:t>工程概况</w:t>
          </w:r>
          <w:r>
            <w:tab/>
          </w:r>
          <w:r>
            <w:fldChar w:fldCharType="begin"/>
          </w:r>
          <w:r>
            <w:instrText xml:space="preserve"> PAGEREF _Toc18947 \h </w:instrText>
          </w:r>
          <w:r>
            <w:fldChar w:fldCharType="separate"/>
          </w:r>
          <w:r>
            <w:t>104</w:t>
          </w:r>
          <w:r>
            <w:fldChar w:fldCharType="end"/>
          </w:r>
          <w:r>
            <w:rPr>
              <w:rFonts w:cs="Times New Roman"/>
              <w:bCs/>
              <w:color w:val="auto"/>
              <w:highlight w:val="none"/>
              <w:lang w:val="zh-CN"/>
            </w:rPr>
            <w:fldChar w:fldCharType="end"/>
          </w:r>
        </w:p>
        <w:p w14:paraId="091E01FB">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_Toc124 </w:instrText>
          </w:r>
          <w:r>
            <w:rPr>
              <w:rFonts w:cs="Times New Roman"/>
              <w:bCs/>
              <w:highlight w:val="none"/>
              <w:lang w:val="zh-CN"/>
            </w:rPr>
            <w:fldChar w:fldCharType="separate"/>
          </w:r>
          <w:r>
            <w:rPr>
              <w:rFonts w:hint="default" w:cs="Times New Roman"/>
            </w:rPr>
            <w:t xml:space="preserve">2.1. </w:t>
          </w:r>
          <w:r>
            <w:rPr>
              <w:rFonts w:cs="Times New Roman"/>
              <w:highlight w:val="none"/>
            </w:rPr>
            <w:t>建设项目概况</w:t>
          </w:r>
          <w:r>
            <w:tab/>
          </w:r>
          <w:r>
            <w:fldChar w:fldCharType="begin"/>
          </w:r>
          <w:r>
            <w:instrText xml:space="preserve"> PAGEREF _Toc124 \h </w:instrText>
          </w:r>
          <w:r>
            <w:fldChar w:fldCharType="separate"/>
          </w:r>
          <w:r>
            <w:t>104</w:t>
          </w:r>
          <w:r>
            <w:fldChar w:fldCharType="end"/>
          </w:r>
          <w:r>
            <w:rPr>
              <w:rFonts w:cs="Times New Roman"/>
              <w:bCs/>
              <w:color w:val="auto"/>
              <w:highlight w:val="none"/>
              <w:lang w:val="zh-CN"/>
            </w:rPr>
            <w:fldChar w:fldCharType="end"/>
          </w:r>
        </w:p>
        <w:p w14:paraId="4DA81824">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_Toc5203 </w:instrText>
          </w:r>
          <w:r>
            <w:rPr>
              <w:rFonts w:cs="Times New Roman"/>
              <w:bCs/>
              <w:highlight w:val="none"/>
              <w:lang w:val="zh-CN"/>
            </w:rPr>
            <w:fldChar w:fldCharType="separate"/>
          </w:r>
          <w:r>
            <w:rPr>
              <w:rFonts w:hint="default" w:cs="Times New Roman"/>
            </w:rPr>
            <w:t xml:space="preserve">2.2. </w:t>
          </w:r>
          <w:r>
            <w:rPr>
              <w:rFonts w:cs="Times New Roman"/>
              <w:highlight w:val="none"/>
            </w:rPr>
            <w:t>产品方案</w:t>
          </w:r>
          <w:r>
            <w:tab/>
          </w:r>
          <w:r>
            <w:fldChar w:fldCharType="begin"/>
          </w:r>
          <w:r>
            <w:instrText xml:space="preserve"> PAGEREF _Toc5203 \h </w:instrText>
          </w:r>
          <w:r>
            <w:fldChar w:fldCharType="separate"/>
          </w:r>
          <w:r>
            <w:t>104</w:t>
          </w:r>
          <w:r>
            <w:fldChar w:fldCharType="end"/>
          </w:r>
          <w:r>
            <w:rPr>
              <w:rFonts w:cs="Times New Roman"/>
              <w:bCs/>
              <w:color w:val="auto"/>
              <w:highlight w:val="none"/>
              <w:lang w:val="zh-CN"/>
            </w:rPr>
            <w:fldChar w:fldCharType="end"/>
          </w:r>
        </w:p>
        <w:p w14:paraId="0144044F">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_Toc5109 </w:instrText>
          </w:r>
          <w:r>
            <w:rPr>
              <w:rFonts w:cs="Times New Roman"/>
              <w:bCs/>
              <w:highlight w:val="none"/>
              <w:lang w:val="zh-CN"/>
            </w:rPr>
            <w:fldChar w:fldCharType="separate"/>
          </w:r>
          <w:r>
            <w:rPr>
              <w:rFonts w:hint="default" w:cs="Times New Roman"/>
            </w:rPr>
            <w:t xml:space="preserve">2.3. </w:t>
          </w:r>
          <w:r>
            <w:rPr>
              <w:rFonts w:cs="Times New Roman"/>
              <w:highlight w:val="none"/>
            </w:rPr>
            <w:t>项目主要建设内容及组成</w:t>
          </w:r>
          <w:r>
            <w:tab/>
          </w:r>
          <w:r>
            <w:fldChar w:fldCharType="begin"/>
          </w:r>
          <w:r>
            <w:instrText xml:space="preserve"> PAGEREF _Toc5109 \h </w:instrText>
          </w:r>
          <w:r>
            <w:fldChar w:fldCharType="separate"/>
          </w:r>
          <w:r>
            <w:t>105</w:t>
          </w:r>
          <w:r>
            <w:fldChar w:fldCharType="end"/>
          </w:r>
          <w:r>
            <w:rPr>
              <w:rFonts w:cs="Times New Roman"/>
              <w:bCs/>
              <w:color w:val="auto"/>
              <w:highlight w:val="none"/>
              <w:lang w:val="zh-CN"/>
            </w:rPr>
            <w:fldChar w:fldCharType="end"/>
          </w:r>
        </w:p>
        <w:p w14:paraId="1479DC29">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_Toc207 </w:instrText>
          </w:r>
          <w:r>
            <w:rPr>
              <w:rFonts w:cs="Times New Roman"/>
              <w:bCs/>
              <w:highlight w:val="none"/>
              <w:lang w:val="zh-CN"/>
            </w:rPr>
            <w:fldChar w:fldCharType="separate"/>
          </w:r>
          <w:r>
            <w:rPr>
              <w:rFonts w:hint="default" w:cs="Times New Roman"/>
            </w:rPr>
            <w:t xml:space="preserve">2.4. </w:t>
          </w:r>
          <w:r>
            <w:rPr>
              <w:rFonts w:hint="eastAsia" w:cs="Times New Roman"/>
              <w:highlight w:val="none"/>
            </w:rPr>
            <w:t>依托可行性分析</w:t>
          </w:r>
          <w:r>
            <w:tab/>
          </w:r>
          <w:r>
            <w:fldChar w:fldCharType="begin"/>
          </w:r>
          <w:r>
            <w:instrText xml:space="preserve"> PAGEREF _Toc207 \h </w:instrText>
          </w:r>
          <w:r>
            <w:fldChar w:fldCharType="separate"/>
          </w:r>
          <w:r>
            <w:t>110</w:t>
          </w:r>
          <w:r>
            <w:fldChar w:fldCharType="end"/>
          </w:r>
          <w:r>
            <w:rPr>
              <w:rFonts w:cs="Times New Roman"/>
              <w:bCs/>
              <w:color w:val="auto"/>
              <w:highlight w:val="none"/>
              <w:lang w:val="zh-CN"/>
            </w:rPr>
            <w:fldChar w:fldCharType="end"/>
          </w:r>
        </w:p>
        <w:p w14:paraId="28268711">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_Toc24435 </w:instrText>
          </w:r>
          <w:r>
            <w:rPr>
              <w:rFonts w:cs="Times New Roman"/>
              <w:bCs/>
              <w:highlight w:val="none"/>
              <w:lang w:val="zh-CN"/>
            </w:rPr>
            <w:fldChar w:fldCharType="separate"/>
          </w:r>
          <w:r>
            <w:rPr>
              <w:rFonts w:hint="default" w:cs="Times New Roman"/>
            </w:rPr>
            <w:t xml:space="preserve">2.5. </w:t>
          </w:r>
          <w:r>
            <w:rPr>
              <w:rFonts w:cs="Times New Roman"/>
              <w:highlight w:val="none"/>
            </w:rPr>
            <w:t>主要原辅料及能耗</w:t>
          </w:r>
          <w:r>
            <w:tab/>
          </w:r>
          <w:r>
            <w:fldChar w:fldCharType="begin"/>
          </w:r>
          <w:r>
            <w:instrText xml:space="preserve"> PAGEREF _Toc24435 \h </w:instrText>
          </w:r>
          <w:r>
            <w:fldChar w:fldCharType="separate"/>
          </w:r>
          <w:r>
            <w:t>111</w:t>
          </w:r>
          <w:r>
            <w:fldChar w:fldCharType="end"/>
          </w:r>
          <w:r>
            <w:rPr>
              <w:rFonts w:cs="Times New Roman"/>
              <w:bCs/>
              <w:color w:val="auto"/>
              <w:highlight w:val="none"/>
              <w:lang w:val="zh-CN"/>
            </w:rPr>
            <w:fldChar w:fldCharType="end"/>
          </w:r>
        </w:p>
        <w:p w14:paraId="6892029B">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_Toc23201 </w:instrText>
          </w:r>
          <w:r>
            <w:rPr>
              <w:rFonts w:cs="Times New Roman"/>
              <w:bCs/>
              <w:highlight w:val="none"/>
              <w:lang w:val="zh-CN"/>
            </w:rPr>
            <w:fldChar w:fldCharType="separate"/>
          </w:r>
          <w:r>
            <w:rPr>
              <w:rFonts w:hint="default" w:cs="Times New Roman"/>
            </w:rPr>
            <w:t xml:space="preserve">2.6. </w:t>
          </w:r>
          <w:r>
            <w:rPr>
              <w:rFonts w:cs="Times New Roman"/>
              <w:highlight w:val="none"/>
            </w:rPr>
            <w:t>项目主要生产设备</w:t>
          </w:r>
          <w:r>
            <w:tab/>
          </w:r>
          <w:r>
            <w:fldChar w:fldCharType="begin"/>
          </w:r>
          <w:r>
            <w:instrText xml:space="preserve"> PAGEREF _Toc23201 \h </w:instrText>
          </w:r>
          <w:r>
            <w:fldChar w:fldCharType="separate"/>
          </w:r>
          <w:r>
            <w:t>115</w:t>
          </w:r>
          <w:r>
            <w:fldChar w:fldCharType="end"/>
          </w:r>
          <w:r>
            <w:rPr>
              <w:rFonts w:cs="Times New Roman"/>
              <w:bCs/>
              <w:color w:val="auto"/>
              <w:highlight w:val="none"/>
              <w:lang w:val="zh-CN"/>
            </w:rPr>
            <w:fldChar w:fldCharType="end"/>
          </w:r>
        </w:p>
        <w:p w14:paraId="4D8A47D8">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_Toc20409 </w:instrText>
          </w:r>
          <w:r>
            <w:rPr>
              <w:rFonts w:cs="Times New Roman"/>
              <w:bCs/>
              <w:highlight w:val="none"/>
              <w:lang w:val="zh-CN"/>
            </w:rPr>
            <w:fldChar w:fldCharType="separate"/>
          </w:r>
          <w:r>
            <w:rPr>
              <w:rFonts w:hint="default" w:cs="Times New Roman"/>
            </w:rPr>
            <w:t xml:space="preserve">2.7. </w:t>
          </w:r>
          <w:r>
            <w:rPr>
              <w:rFonts w:cs="Times New Roman"/>
              <w:highlight w:val="none"/>
            </w:rPr>
            <w:t>公用工程</w:t>
          </w:r>
          <w:r>
            <w:tab/>
          </w:r>
          <w:r>
            <w:fldChar w:fldCharType="begin"/>
          </w:r>
          <w:r>
            <w:instrText xml:space="preserve"> PAGEREF _Toc20409 \h </w:instrText>
          </w:r>
          <w:r>
            <w:fldChar w:fldCharType="separate"/>
          </w:r>
          <w:r>
            <w:t>117</w:t>
          </w:r>
          <w:r>
            <w:fldChar w:fldCharType="end"/>
          </w:r>
          <w:r>
            <w:rPr>
              <w:rFonts w:cs="Times New Roman"/>
              <w:bCs/>
              <w:color w:val="auto"/>
              <w:highlight w:val="none"/>
              <w:lang w:val="zh-CN"/>
            </w:rPr>
            <w:fldChar w:fldCharType="end"/>
          </w:r>
        </w:p>
        <w:p w14:paraId="5452FFA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_Toc30909 </w:instrText>
          </w:r>
          <w:r>
            <w:rPr>
              <w:rFonts w:cs="Times New Roman"/>
              <w:bCs/>
              <w:highlight w:val="none"/>
              <w:lang w:val="zh-CN"/>
            </w:rPr>
            <w:fldChar w:fldCharType="separate"/>
          </w:r>
          <w:r>
            <w:rPr>
              <w:rFonts w:hint="default" w:cs="Times New Roman"/>
            </w:rPr>
            <w:t xml:space="preserve">2.7.1. </w:t>
          </w:r>
          <w:r>
            <w:rPr>
              <w:rFonts w:cs="Times New Roman"/>
              <w:highlight w:val="none"/>
            </w:rPr>
            <w:t>供水工程</w:t>
          </w:r>
          <w:r>
            <w:tab/>
          </w:r>
          <w:r>
            <w:fldChar w:fldCharType="begin"/>
          </w:r>
          <w:r>
            <w:instrText xml:space="preserve"> PAGEREF _Toc30909 \h </w:instrText>
          </w:r>
          <w:r>
            <w:fldChar w:fldCharType="separate"/>
          </w:r>
          <w:r>
            <w:t>117</w:t>
          </w:r>
          <w:r>
            <w:fldChar w:fldCharType="end"/>
          </w:r>
          <w:r>
            <w:rPr>
              <w:rFonts w:cs="Times New Roman"/>
              <w:bCs/>
              <w:color w:val="auto"/>
              <w:highlight w:val="none"/>
              <w:lang w:val="zh-CN"/>
            </w:rPr>
            <w:fldChar w:fldCharType="end"/>
          </w:r>
        </w:p>
        <w:p w14:paraId="530FC80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_Toc28732 </w:instrText>
          </w:r>
          <w:r>
            <w:rPr>
              <w:rFonts w:cs="Times New Roman"/>
              <w:bCs/>
              <w:highlight w:val="none"/>
              <w:lang w:val="zh-CN"/>
            </w:rPr>
            <w:fldChar w:fldCharType="separate"/>
          </w:r>
          <w:r>
            <w:rPr>
              <w:rFonts w:hint="default" w:cs="Times New Roman"/>
            </w:rPr>
            <w:t xml:space="preserve">2.7.2. </w:t>
          </w:r>
          <w:r>
            <w:rPr>
              <w:rFonts w:cs="Times New Roman"/>
              <w:highlight w:val="none"/>
            </w:rPr>
            <w:t>排水工程</w:t>
          </w:r>
          <w:r>
            <w:tab/>
          </w:r>
          <w:r>
            <w:fldChar w:fldCharType="begin"/>
          </w:r>
          <w:r>
            <w:instrText xml:space="preserve"> PAGEREF _Toc28732 \h </w:instrText>
          </w:r>
          <w:r>
            <w:fldChar w:fldCharType="separate"/>
          </w:r>
          <w:r>
            <w:t>117</w:t>
          </w:r>
          <w:r>
            <w:fldChar w:fldCharType="end"/>
          </w:r>
          <w:r>
            <w:rPr>
              <w:rFonts w:cs="Times New Roman"/>
              <w:bCs/>
              <w:color w:val="auto"/>
              <w:highlight w:val="none"/>
              <w:lang w:val="zh-CN"/>
            </w:rPr>
            <w:fldChar w:fldCharType="end"/>
          </w:r>
        </w:p>
        <w:p w14:paraId="6DDAA36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_Toc20426 </w:instrText>
          </w:r>
          <w:r>
            <w:rPr>
              <w:rFonts w:cs="Times New Roman"/>
              <w:bCs/>
              <w:highlight w:val="none"/>
              <w:lang w:val="zh-CN"/>
            </w:rPr>
            <w:fldChar w:fldCharType="separate"/>
          </w:r>
          <w:r>
            <w:rPr>
              <w:rFonts w:hint="default" w:cs="Times New Roman"/>
            </w:rPr>
            <w:t xml:space="preserve">2.7.3. </w:t>
          </w:r>
          <w:r>
            <w:rPr>
              <w:rFonts w:cs="Times New Roman"/>
              <w:highlight w:val="none"/>
            </w:rPr>
            <w:t>供电工程</w:t>
          </w:r>
          <w:r>
            <w:tab/>
          </w:r>
          <w:r>
            <w:fldChar w:fldCharType="begin"/>
          </w:r>
          <w:r>
            <w:instrText xml:space="preserve"> PAGEREF _Toc20426 \h </w:instrText>
          </w:r>
          <w:r>
            <w:fldChar w:fldCharType="separate"/>
          </w:r>
          <w:r>
            <w:t>118</w:t>
          </w:r>
          <w:r>
            <w:fldChar w:fldCharType="end"/>
          </w:r>
          <w:r>
            <w:rPr>
              <w:rFonts w:cs="Times New Roman"/>
              <w:bCs/>
              <w:color w:val="auto"/>
              <w:highlight w:val="none"/>
              <w:lang w:val="zh-CN"/>
            </w:rPr>
            <w:fldChar w:fldCharType="end"/>
          </w:r>
        </w:p>
        <w:p w14:paraId="61769A54">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_Toc17898 </w:instrText>
          </w:r>
          <w:r>
            <w:rPr>
              <w:rFonts w:cs="Times New Roman"/>
              <w:bCs/>
              <w:highlight w:val="none"/>
              <w:lang w:val="zh-CN"/>
            </w:rPr>
            <w:fldChar w:fldCharType="separate"/>
          </w:r>
          <w:r>
            <w:rPr>
              <w:rFonts w:hint="default" w:cs="Times New Roman"/>
            </w:rPr>
            <w:t xml:space="preserve">2.7.4. </w:t>
          </w:r>
          <w:r>
            <w:rPr>
              <w:rFonts w:cs="Times New Roman"/>
              <w:highlight w:val="none"/>
            </w:rPr>
            <w:t>消防工程</w:t>
          </w:r>
          <w:r>
            <w:tab/>
          </w:r>
          <w:r>
            <w:fldChar w:fldCharType="begin"/>
          </w:r>
          <w:r>
            <w:instrText xml:space="preserve"> PAGEREF _Toc17898 \h </w:instrText>
          </w:r>
          <w:r>
            <w:fldChar w:fldCharType="separate"/>
          </w:r>
          <w:r>
            <w:t>118</w:t>
          </w:r>
          <w:r>
            <w:fldChar w:fldCharType="end"/>
          </w:r>
          <w:r>
            <w:rPr>
              <w:rFonts w:cs="Times New Roman"/>
              <w:bCs/>
              <w:color w:val="auto"/>
              <w:highlight w:val="none"/>
              <w:lang w:val="zh-CN"/>
            </w:rPr>
            <w:fldChar w:fldCharType="end"/>
          </w:r>
        </w:p>
        <w:p w14:paraId="2E14036C">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_Toc12383 </w:instrText>
          </w:r>
          <w:r>
            <w:rPr>
              <w:rFonts w:cs="Times New Roman"/>
              <w:bCs/>
              <w:highlight w:val="none"/>
              <w:lang w:val="zh-CN"/>
            </w:rPr>
            <w:fldChar w:fldCharType="separate"/>
          </w:r>
          <w:r>
            <w:rPr>
              <w:rFonts w:hint="default" w:cs="Times New Roman"/>
            </w:rPr>
            <w:t xml:space="preserve">2.8. </w:t>
          </w:r>
          <w:r>
            <w:rPr>
              <w:rFonts w:cs="Times New Roman"/>
              <w:highlight w:val="none"/>
            </w:rPr>
            <w:t>项目总平面布置合理性分析</w:t>
          </w:r>
          <w:r>
            <w:tab/>
          </w:r>
          <w:r>
            <w:fldChar w:fldCharType="begin"/>
          </w:r>
          <w:r>
            <w:instrText xml:space="preserve"> PAGEREF _Toc12383 \h </w:instrText>
          </w:r>
          <w:r>
            <w:fldChar w:fldCharType="separate"/>
          </w:r>
          <w:r>
            <w:t>118</w:t>
          </w:r>
          <w:r>
            <w:fldChar w:fldCharType="end"/>
          </w:r>
          <w:r>
            <w:rPr>
              <w:rFonts w:cs="Times New Roman"/>
              <w:bCs/>
              <w:color w:val="auto"/>
              <w:highlight w:val="none"/>
              <w:lang w:val="zh-CN"/>
            </w:rPr>
            <w:fldChar w:fldCharType="end"/>
          </w:r>
        </w:p>
        <w:p w14:paraId="38AB747B">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_Toc10482 </w:instrText>
          </w:r>
          <w:r>
            <w:rPr>
              <w:rFonts w:cs="Times New Roman"/>
              <w:bCs/>
              <w:highlight w:val="none"/>
              <w:lang w:val="zh-CN"/>
            </w:rPr>
            <w:fldChar w:fldCharType="separate"/>
          </w:r>
          <w:r>
            <w:rPr>
              <w:rFonts w:hint="default" w:cs="Times New Roman"/>
            </w:rPr>
            <w:t xml:space="preserve">2.9. </w:t>
          </w:r>
          <w:r>
            <w:rPr>
              <w:rFonts w:cs="Times New Roman"/>
              <w:highlight w:val="none"/>
            </w:rPr>
            <w:t>劳动定员及工作制度</w:t>
          </w:r>
          <w:r>
            <w:tab/>
          </w:r>
          <w:r>
            <w:fldChar w:fldCharType="begin"/>
          </w:r>
          <w:r>
            <w:instrText xml:space="preserve"> PAGEREF _Toc10482 \h </w:instrText>
          </w:r>
          <w:r>
            <w:fldChar w:fldCharType="separate"/>
          </w:r>
          <w:r>
            <w:t>120</w:t>
          </w:r>
          <w:r>
            <w:fldChar w:fldCharType="end"/>
          </w:r>
          <w:r>
            <w:rPr>
              <w:rFonts w:cs="Times New Roman"/>
              <w:bCs/>
              <w:color w:val="auto"/>
              <w:highlight w:val="none"/>
              <w:lang w:val="zh-CN"/>
            </w:rPr>
            <w:fldChar w:fldCharType="end"/>
          </w:r>
        </w:p>
        <w:p w14:paraId="01597C40">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_Toc31763 </w:instrText>
          </w:r>
          <w:r>
            <w:rPr>
              <w:rFonts w:cs="Times New Roman"/>
              <w:bCs/>
              <w:highlight w:val="none"/>
              <w:lang w:val="zh-CN"/>
            </w:rPr>
            <w:fldChar w:fldCharType="separate"/>
          </w:r>
          <w:r>
            <w:rPr>
              <w:rFonts w:hint="default" w:cs="Times New Roman"/>
            </w:rPr>
            <w:t xml:space="preserve">3. </w:t>
          </w:r>
          <w:r>
            <w:rPr>
              <w:rFonts w:hint="eastAsia" w:cs="Times New Roman"/>
              <w:highlight w:val="none"/>
            </w:rPr>
            <w:t>建设项目</w:t>
          </w:r>
          <w:r>
            <w:rPr>
              <w:rFonts w:cs="Times New Roman"/>
              <w:highlight w:val="none"/>
            </w:rPr>
            <w:t>工程分析</w:t>
          </w:r>
          <w:r>
            <w:tab/>
          </w:r>
          <w:r>
            <w:fldChar w:fldCharType="begin"/>
          </w:r>
          <w:r>
            <w:instrText xml:space="preserve"> PAGEREF _Toc31763 \h </w:instrText>
          </w:r>
          <w:r>
            <w:fldChar w:fldCharType="separate"/>
          </w:r>
          <w:r>
            <w:t>122</w:t>
          </w:r>
          <w:r>
            <w:fldChar w:fldCharType="end"/>
          </w:r>
          <w:r>
            <w:rPr>
              <w:rFonts w:cs="Times New Roman"/>
              <w:bCs/>
              <w:color w:val="auto"/>
              <w:highlight w:val="none"/>
              <w:lang w:val="zh-CN"/>
            </w:rPr>
            <w:fldChar w:fldCharType="end"/>
          </w:r>
        </w:p>
        <w:p w14:paraId="4235F524">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_Toc24078 </w:instrText>
          </w:r>
          <w:r>
            <w:rPr>
              <w:rFonts w:cs="Times New Roman"/>
              <w:bCs/>
              <w:highlight w:val="none"/>
              <w:lang w:val="zh-CN"/>
            </w:rPr>
            <w:fldChar w:fldCharType="separate"/>
          </w:r>
          <w:r>
            <w:rPr>
              <w:rFonts w:hint="default" w:cs="Times New Roman"/>
            </w:rPr>
            <w:t xml:space="preserve">3.1. </w:t>
          </w:r>
          <w:r>
            <w:rPr>
              <w:rFonts w:cs="Times New Roman"/>
              <w:highlight w:val="none"/>
            </w:rPr>
            <w:t>施工期工程分析</w:t>
          </w:r>
          <w:r>
            <w:tab/>
          </w:r>
          <w:r>
            <w:fldChar w:fldCharType="begin"/>
          </w:r>
          <w:r>
            <w:instrText xml:space="preserve"> PAGEREF _Toc24078 \h </w:instrText>
          </w:r>
          <w:r>
            <w:fldChar w:fldCharType="separate"/>
          </w:r>
          <w:r>
            <w:t>122</w:t>
          </w:r>
          <w:r>
            <w:fldChar w:fldCharType="end"/>
          </w:r>
          <w:r>
            <w:rPr>
              <w:rFonts w:cs="Times New Roman"/>
              <w:bCs/>
              <w:color w:val="auto"/>
              <w:highlight w:val="none"/>
              <w:lang w:val="zh-CN"/>
            </w:rPr>
            <w:fldChar w:fldCharType="end"/>
          </w:r>
        </w:p>
        <w:p w14:paraId="5F3A2CB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_Toc12344 </w:instrText>
          </w:r>
          <w:r>
            <w:rPr>
              <w:rFonts w:cs="Times New Roman"/>
              <w:bCs/>
              <w:highlight w:val="none"/>
              <w:lang w:val="zh-CN"/>
            </w:rPr>
            <w:fldChar w:fldCharType="separate"/>
          </w:r>
          <w:r>
            <w:rPr>
              <w:rFonts w:hint="default" w:cs="Times New Roman"/>
            </w:rPr>
            <w:t xml:space="preserve">3.1.1. </w:t>
          </w:r>
          <w:r>
            <w:rPr>
              <w:rFonts w:cs="Times New Roman"/>
              <w:highlight w:val="none"/>
            </w:rPr>
            <w:t>施工期生产工艺流程及产污节点分析</w:t>
          </w:r>
          <w:r>
            <w:tab/>
          </w:r>
          <w:r>
            <w:fldChar w:fldCharType="begin"/>
          </w:r>
          <w:r>
            <w:instrText xml:space="preserve"> PAGEREF _Toc12344 \h </w:instrText>
          </w:r>
          <w:r>
            <w:fldChar w:fldCharType="separate"/>
          </w:r>
          <w:r>
            <w:t>122</w:t>
          </w:r>
          <w:r>
            <w:fldChar w:fldCharType="end"/>
          </w:r>
          <w:r>
            <w:rPr>
              <w:rFonts w:cs="Times New Roman"/>
              <w:bCs/>
              <w:color w:val="auto"/>
              <w:highlight w:val="none"/>
              <w:lang w:val="zh-CN"/>
            </w:rPr>
            <w:fldChar w:fldCharType="end"/>
          </w:r>
        </w:p>
        <w:p w14:paraId="6F2F259F">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_Toc29406 </w:instrText>
          </w:r>
          <w:r>
            <w:rPr>
              <w:rFonts w:cs="Times New Roman"/>
              <w:bCs/>
              <w:highlight w:val="none"/>
              <w:lang w:val="zh-CN"/>
            </w:rPr>
            <w:fldChar w:fldCharType="separate"/>
          </w:r>
          <w:r>
            <w:rPr>
              <w:rFonts w:hint="default" w:cs="Times New Roman"/>
            </w:rPr>
            <w:t xml:space="preserve">3.1.2. </w:t>
          </w:r>
          <w:r>
            <w:rPr>
              <w:rFonts w:cs="Times New Roman"/>
              <w:highlight w:val="none"/>
            </w:rPr>
            <w:t>施工期主要污染工序</w:t>
          </w:r>
          <w:r>
            <w:tab/>
          </w:r>
          <w:r>
            <w:fldChar w:fldCharType="begin"/>
          </w:r>
          <w:r>
            <w:instrText xml:space="preserve"> PAGEREF _Toc29406 \h </w:instrText>
          </w:r>
          <w:r>
            <w:fldChar w:fldCharType="separate"/>
          </w:r>
          <w:r>
            <w:t>122</w:t>
          </w:r>
          <w:r>
            <w:fldChar w:fldCharType="end"/>
          </w:r>
          <w:r>
            <w:rPr>
              <w:rFonts w:cs="Times New Roman"/>
              <w:bCs/>
              <w:color w:val="auto"/>
              <w:highlight w:val="none"/>
              <w:lang w:val="zh-CN"/>
            </w:rPr>
            <w:fldChar w:fldCharType="end"/>
          </w:r>
        </w:p>
        <w:p w14:paraId="77803EC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_Toc23346 </w:instrText>
          </w:r>
          <w:r>
            <w:rPr>
              <w:rFonts w:cs="Times New Roman"/>
              <w:bCs/>
              <w:highlight w:val="none"/>
              <w:lang w:val="zh-CN"/>
            </w:rPr>
            <w:fldChar w:fldCharType="separate"/>
          </w:r>
          <w:r>
            <w:rPr>
              <w:rFonts w:hint="default" w:cs="Times New Roman"/>
            </w:rPr>
            <w:t xml:space="preserve">3.1.3. </w:t>
          </w:r>
          <w:r>
            <w:rPr>
              <w:rFonts w:cs="Times New Roman"/>
              <w:highlight w:val="none"/>
            </w:rPr>
            <w:t>施工期源强及治理措施</w:t>
          </w:r>
          <w:r>
            <w:tab/>
          </w:r>
          <w:r>
            <w:fldChar w:fldCharType="begin"/>
          </w:r>
          <w:r>
            <w:instrText xml:space="preserve"> PAGEREF _Toc23346 \h </w:instrText>
          </w:r>
          <w:r>
            <w:fldChar w:fldCharType="separate"/>
          </w:r>
          <w:r>
            <w:t>123</w:t>
          </w:r>
          <w:r>
            <w:fldChar w:fldCharType="end"/>
          </w:r>
          <w:r>
            <w:rPr>
              <w:rFonts w:cs="Times New Roman"/>
              <w:bCs/>
              <w:color w:val="auto"/>
              <w:highlight w:val="none"/>
              <w:lang w:val="zh-CN"/>
            </w:rPr>
            <w:fldChar w:fldCharType="end"/>
          </w:r>
        </w:p>
        <w:p w14:paraId="44961466">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_Toc15953 </w:instrText>
          </w:r>
          <w:r>
            <w:rPr>
              <w:rFonts w:cs="Times New Roman"/>
              <w:bCs/>
              <w:highlight w:val="none"/>
              <w:lang w:val="zh-CN"/>
            </w:rPr>
            <w:fldChar w:fldCharType="separate"/>
          </w:r>
          <w:r>
            <w:rPr>
              <w:rFonts w:hint="default" w:cs="Times New Roman"/>
            </w:rPr>
            <w:t xml:space="preserve">3.2. </w:t>
          </w:r>
          <w:r>
            <w:rPr>
              <w:rFonts w:cs="Times New Roman"/>
              <w:highlight w:val="none"/>
            </w:rPr>
            <w:t>营运期工程分析</w:t>
          </w:r>
          <w:r>
            <w:tab/>
          </w:r>
          <w:r>
            <w:fldChar w:fldCharType="begin"/>
          </w:r>
          <w:r>
            <w:instrText xml:space="preserve"> PAGEREF _Toc15953 \h </w:instrText>
          </w:r>
          <w:r>
            <w:fldChar w:fldCharType="separate"/>
          </w:r>
          <w:r>
            <w:t>128</w:t>
          </w:r>
          <w:r>
            <w:fldChar w:fldCharType="end"/>
          </w:r>
          <w:r>
            <w:rPr>
              <w:rFonts w:cs="Times New Roman"/>
              <w:bCs/>
              <w:color w:val="auto"/>
              <w:highlight w:val="none"/>
              <w:lang w:val="zh-CN"/>
            </w:rPr>
            <w:fldChar w:fldCharType="end"/>
          </w:r>
        </w:p>
        <w:p w14:paraId="4F79F71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_Toc31182 </w:instrText>
          </w:r>
          <w:r>
            <w:rPr>
              <w:rFonts w:cs="Times New Roman"/>
              <w:bCs/>
              <w:highlight w:val="none"/>
              <w:lang w:val="zh-CN"/>
            </w:rPr>
            <w:fldChar w:fldCharType="separate"/>
          </w:r>
          <w:r>
            <w:rPr>
              <w:rFonts w:hint="default" w:cs="Times New Roman"/>
            </w:rPr>
            <w:t xml:space="preserve">3.2.1. </w:t>
          </w:r>
          <w:r>
            <w:rPr>
              <w:rFonts w:cs="Times New Roman"/>
              <w:highlight w:val="none"/>
            </w:rPr>
            <w:t>运营期工艺流程及产污环节分析</w:t>
          </w:r>
          <w:r>
            <w:tab/>
          </w:r>
          <w:r>
            <w:fldChar w:fldCharType="begin"/>
          </w:r>
          <w:r>
            <w:instrText xml:space="preserve"> PAGEREF _Toc31182 \h </w:instrText>
          </w:r>
          <w:r>
            <w:fldChar w:fldCharType="separate"/>
          </w:r>
          <w:r>
            <w:t>128</w:t>
          </w:r>
          <w:r>
            <w:fldChar w:fldCharType="end"/>
          </w:r>
          <w:r>
            <w:rPr>
              <w:rFonts w:cs="Times New Roman"/>
              <w:bCs/>
              <w:color w:val="auto"/>
              <w:highlight w:val="none"/>
              <w:lang w:val="zh-CN"/>
            </w:rPr>
            <w:fldChar w:fldCharType="end"/>
          </w:r>
        </w:p>
        <w:p w14:paraId="0BE72FA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_Toc11578 </w:instrText>
          </w:r>
          <w:r>
            <w:rPr>
              <w:rFonts w:cs="Times New Roman"/>
              <w:bCs/>
              <w:highlight w:val="none"/>
              <w:lang w:val="zh-CN"/>
            </w:rPr>
            <w:fldChar w:fldCharType="separate"/>
          </w:r>
          <w:r>
            <w:rPr>
              <w:rFonts w:hint="default" w:cs="Times New Roman"/>
            </w:rPr>
            <w:t xml:space="preserve">3.2.2. </w:t>
          </w:r>
          <w:r>
            <w:rPr>
              <w:rFonts w:cs="Times New Roman"/>
              <w:highlight w:val="none"/>
            </w:rPr>
            <w:t>产污环节汇总</w:t>
          </w:r>
          <w:r>
            <w:tab/>
          </w:r>
          <w:r>
            <w:fldChar w:fldCharType="begin"/>
          </w:r>
          <w:r>
            <w:instrText xml:space="preserve"> PAGEREF _Toc11578 \h </w:instrText>
          </w:r>
          <w:r>
            <w:fldChar w:fldCharType="separate"/>
          </w:r>
          <w:r>
            <w:t>134</w:t>
          </w:r>
          <w:r>
            <w:fldChar w:fldCharType="end"/>
          </w:r>
          <w:r>
            <w:rPr>
              <w:rFonts w:cs="Times New Roman"/>
              <w:bCs/>
              <w:color w:val="auto"/>
              <w:highlight w:val="none"/>
              <w:lang w:val="zh-CN"/>
            </w:rPr>
            <w:fldChar w:fldCharType="end"/>
          </w:r>
        </w:p>
        <w:p w14:paraId="0E149AD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_Toc25603 </w:instrText>
          </w:r>
          <w:r>
            <w:rPr>
              <w:rFonts w:cs="Times New Roman"/>
              <w:bCs/>
              <w:highlight w:val="none"/>
              <w:lang w:val="zh-CN"/>
            </w:rPr>
            <w:fldChar w:fldCharType="separate"/>
          </w:r>
          <w:r>
            <w:rPr>
              <w:rFonts w:hint="default" w:cs="Times New Roman"/>
            </w:rPr>
            <w:t xml:space="preserve">3.2.3. </w:t>
          </w:r>
          <w:r>
            <w:rPr>
              <w:rFonts w:cs="Times New Roman"/>
              <w:highlight w:val="none"/>
            </w:rPr>
            <w:t>物料平衡及水平衡分析</w:t>
          </w:r>
          <w:r>
            <w:tab/>
          </w:r>
          <w:r>
            <w:fldChar w:fldCharType="begin"/>
          </w:r>
          <w:r>
            <w:instrText xml:space="preserve"> PAGEREF _Toc25603 \h </w:instrText>
          </w:r>
          <w:r>
            <w:fldChar w:fldCharType="separate"/>
          </w:r>
          <w:r>
            <w:t>135</w:t>
          </w:r>
          <w:r>
            <w:fldChar w:fldCharType="end"/>
          </w:r>
          <w:r>
            <w:rPr>
              <w:rFonts w:cs="Times New Roman"/>
              <w:bCs/>
              <w:color w:val="auto"/>
              <w:highlight w:val="none"/>
              <w:lang w:val="zh-CN"/>
            </w:rPr>
            <w:fldChar w:fldCharType="end"/>
          </w:r>
        </w:p>
        <w:p w14:paraId="6CF64FC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_Toc1136 </w:instrText>
          </w:r>
          <w:r>
            <w:rPr>
              <w:rFonts w:cs="Times New Roman"/>
              <w:bCs/>
              <w:highlight w:val="none"/>
              <w:lang w:val="zh-CN"/>
            </w:rPr>
            <w:fldChar w:fldCharType="separate"/>
          </w:r>
          <w:r>
            <w:rPr>
              <w:rFonts w:hint="default" w:cs="Times New Roman"/>
            </w:rPr>
            <w:t xml:space="preserve">3.2.4. </w:t>
          </w:r>
          <w:r>
            <w:rPr>
              <w:rFonts w:cs="Times New Roman"/>
              <w:highlight w:val="none"/>
            </w:rPr>
            <w:t>运营期污染源核算及治理措施</w:t>
          </w:r>
          <w:r>
            <w:tab/>
          </w:r>
          <w:r>
            <w:fldChar w:fldCharType="begin"/>
          </w:r>
          <w:r>
            <w:instrText xml:space="preserve"> PAGEREF _Toc1136 \h </w:instrText>
          </w:r>
          <w:r>
            <w:fldChar w:fldCharType="separate"/>
          </w:r>
          <w:r>
            <w:t>140</w:t>
          </w:r>
          <w:r>
            <w:fldChar w:fldCharType="end"/>
          </w:r>
          <w:r>
            <w:rPr>
              <w:rFonts w:cs="Times New Roman"/>
              <w:bCs/>
              <w:color w:val="auto"/>
              <w:highlight w:val="none"/>
              <w:lang w:val="zh-CN"/>
            </w:rPr>
            <w:fldChar w:fldCharType="end"/>
          </w:r>
        </w:p>
        <w:p w14:paraId="084B1EEA">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_Toc27904 </w:instrText>
          </w:r>
          <w:r>
            <w:rPr>
              <w:rFonts w:cs="Times New Roman"/>
              <w:bCs/>
              <w:highlight w:val="none"/>
              <w:lang w:val="zh-CN"/>
            </w:rPr>
            <w:fldChar w:fldCharType="separate"/>
          </w:r>
          <w:r>
            <w:rPr>
              <w:rFonts w:hint="default" w:cs="Times New Roman"/>
            </w:rPr>
            <w:t xml:space="preserve">3.3. </w:t>
          </w:r>
          <w:r>
            <w:rPr>
              <w:rFonts w:cs="Times New Roman"/>
              <w:highlight w:val="none"/>
            </w:rPr>
            <w:t>总量控制</w:t>
          </w:r>
          <w:r>
            <w:tab/>
          </w:r>
          <w:r>
            <w:fldChar w:fldCharType="begin"/>
          </w:r>
          <w:r>
            <w:instrText xml:space="preserve"> PAGEREF _Toc27904 \h </w:instrText>
          </w:r>
          <w:r>
            <w:fldChar w:fldCharType="separate"/>
          </w:r>
          <w:r>
            <w:t>164</w:t>
          </w:r>
          <w:r>
            <w:fldChar w:fldCharType="end"/>
          </w:r>
          <w:r>
            <w:rPr>
              <w:rFonts w:cs="Times New Roman"/>
              <w:bCs/>
              <w:color w:val="auto"/>
              <w:highlight w:val="none"/>
              <w:lang w:val="zh-CN"/>
            </w:rPr>
            <w:fldChar w:fldCharType="end"/>
          </w:r>
        </w:p>
        <w:p w14:paraId="5EE6693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_Toc19770 </w:instrText>
          </w:r>
          <w:r>
            <w:rPr>
              <w:rFonts w:cs="Times New Roman"/>
              <w:bCs/>
              <w:highlight w:val="none"/>
              <w:lang w:val="zh-CN"/>
            </w:rPr>
            <w:fldChar w:fldCharType="separate"/>
          </w:r>
          <w:r>
            <w:rPr>
              <w:rFonts w:hint="default" w:cs="Times New Roman"/>
            </w:rPr>
            <w:t xml:space="preserve">3.3.1. </w:t>
          </w:r>
          <w:r>
            <w:rPr>
              <w:rFonts w:cs="Times New Roman"/>
              <w:highlight w:val="none"/>
            </w:rPr>
            <w:t>总量控制因子</w:t>
          </w:r>
          <w:r>
            <w:tab/>
          </w:r>
          <w:r>
            <w:fldChar w:fldCharType="begin"/>
          </w:r>
          <w:r>
            <w:instrText xml:space="preserve"> PAGEREF _Toc19770 \h </w:instrText>
          </w:r>
          <w:r>
            <w:fldChar w:fldCharType="separate"/>
          </w:r>
          <w:r>
            <w:t>164</w:t>
          </w:r>
          <w:r>
            <w:fldChar w:fldCharType="end"/>
          </w:r>
          <w:r>
            <w:rPr>
              <w:rFonts w:cs="Times New Roman"/>
              <w:bCs/>
              <w:color w:val="auto"/>
              <w:highlight w:val="none"/>
              <w:lang w:val="zh-CN"/>
            </w:rPr>
            <w:fldChar w:fldCharType="end"/>
          </w:r>
        </w:p>
        <w:p w14:paraId="30C49ED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_Toc14460 </w:instrText>
          </w:r>
          <w:r>
            <w:rPr>
              <w:rFonts w:cs="Times New Roman"/>
              <w:bCs/>
              <w:highlight w:val="none"/>
              <w:lang w:val="zh-CN"/>
            </w:rPr>
            <w:fldChar w:fldCharType="separate"/>
          </w:r>
          <w:r>
            <w:rPr>
              <w:rFonts w:hint="default" w:cs="Times New Roman"/>
            </w:rPr>
            <w:t xml:space="preserve">3.3.2. </w:t>
          </w:r>
          <w:r>
            <w:rPr>
              <w:rFonts w:cs="Times New Roman"/>
              <w:highlight w:val="none"/>
            </w:rPr>
            <w:t>污染物排放总量</w:t>
          </w:r>
          <w:r>
            <w:tab/>
          </w:r>
          <w:r>
            <w:fldChar w:fldCharType="begin"/>
          </w:r>
          <w:r>
            <w:instrText xml:space="preserve"> PAGEREF _Toc14460 \h </w:instrText>
          </w:r>
          <w:r>
            <w:fldChar w:fldCharType="separate"/>
          </w:r>
          <w:r>
            <w:t>165</w:t>
          </w:r>
          <w:r>
            <w:fldChar w:fldCharType="end"/>
          </w:r>
          <w:r>
            <w:rPr>
              <w:rFonts w:cs="Times New Roman"/>
              <w:bCs/>
              <w:color w:val="auto"/>
              <w:highlight w:val="none"/>
              <w:lang w:val="zh-CN"/>
            </w:rPr>
            <w:fldChar w:fldCharType="end"/>
          </w:r>
        </w:p>
        <w:p w14:paraId="666C4A7C">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_Toc1493 </w:instrText>
          </w:r>
          <w:r>
            <w:rPr>
              <w:rFonts w:cs="Times New Roman"/>
              <w:bCs/>
              <w:highlight w:val="none"/>
              <w:lang w:val="zh-CN"/>
            </w:rPr>
            <w:fldChar w:fldCharType="separate"/>
          </w:r>
          <w:r>
            <w:rPr>
              <w:rFonts w:hint="default" w:cs="Times New Roman"/>
            </w:rPr>
            <w:t xml:space="preserve">3.4. </w:t>
          </w:r>
          <w:r>
            <w:rPr>
              <w:rFonts w:cs="Times New Roman"/>
              <w:highlight w:val="none"/>
            </w:rPr>
            <w:t>清洁生产水平</w:t>
          </w:r>
          <w:r>
            <w:tab/>
          </w:r>
          <w:r>
            <w:fldChar w:fldCharType="begin"/>
          </w:r>
          <w:r>
            <w:instrText xml:space="preserve"> PAGEREF _Toc1493 \h </w:instrText>
          </w:r>
          <w:r>
            <w:fldChar w:fldCharType="separate"/>
          </w:r>
          <w:r>
            <w:t>166</w:t>
          </w:r>
          <w:r>
            <w:fldChar w:fldCharType="end"/>
          </w:r>
          <w:r>
            <w:rPr>
              <w:rFonts w:cs="Times New Roman"/>
              <w:bCs/>
              <w:color w:val="auto"/>
              <w:highlight w:val="none"/>
              <w:lang w:val="zh-CN"/>
            </w:rPr>
            <w:fldChar w:fldCharType="end"/>
          </w:r>
        </w:p>
        <w:p w14:paraId="34A382F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_Toc6042 </w:instrText>
          </w:r>
          <w:r>
            <w:rPr>
              <w:rFonts w:cs="Times New Roman"/>
              <w:bCs/>
              <w:highlight w:val="none"/>
              <w:lang w:val="zh-CN"/>
            </w:rPr>
            <w:fldChar w:fldCharType="separate"/>
          </w:r>
          <w:r>
            <w:rPr>
              <w:rFonts w:hint="default" w:cs="Times New Roman"/>
            </w:rPr>
            <w:t xml:space="preserve">3.4.1. </w:t>
          </w:r>
          <w:r>
            <w:rPr>
              <w:rFonts w:cs="Times New Roman"/>
              <w:highlight w:val="none"/>
            </w:rPr>
            <w:t>资源综合利用指标分析</w:t>
          </w:r>
          <w:r>
            <w:tab/>
          </w:r>
          <w:r>
            <w:fldChar w:fldCharType="begin"/>
          </w:r>
          <w:r>
            <w:instrText xml:space="preserve"> PAGEREF _Toc6042 \h </w:instrText>
          </w:r>
          <w:r>
            <w:fldChar w:fldCharType="separate"/>
          </w:r>
          <w:r>
            <w:t>166</w:t>
          </w:r>
          <w:r>
            <w:fldChar w:fldCharType="end"/>
          </w:r>
          <w:r>
            <w:rPr>
              <w:rFonts w:cs="Times New Roman"/>
              <w:bCs/>
              <w:color w:val="auto"/>
              <w:highlight w:val="none"/>
              <w:lang w:val="zh-CN"/>
            </w:rPr>
            <w:fldChar w:fldCharType="end"/>
          </w:r>
        </w:p>
        <w:p w14:paraId="09F5B32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_Toc16205 </w:instrText>
          </w:r>
          <w:r>
            <w:rPr>
              <w:rFonts w:cs="Times New Roman"/>
              <w:bCs/>
              <w:highlight w:val="none"/>
              <w:lang w:val="zh-CN"/>
            </w:rPr>
            <w:fldChar w:fldCharType="separate"/>
          </w:r>
          <w:r>
            <w:rPr>
              <w:rFonts w:hint="default" w:cs="Times New Roman"/>
            </w:rPr>
            <w:t xml:space="preserve">3.4.2. </w:t>
          </w:r>
          <w:r>
            <w:rPr>
              <w:rFonts w:cs="Times New Roman"/>
              <w:highlight w:val="none"/>
            </w:rPr>
            <w:t>清洁生产水平分析</w:t>
          </w:r>
          <w:r>
            <w:tab/>
          </w:r>
          <w:r>
            <w:fldChar w:fldCharType="begin"/>
          </w:r>
          <w:r>
            <w:instrText xml:space="preserve"> PAGEREF _Toc16205 \h </w:instrText>
          </w:r>
          <w:r>
            <w:fldChar w:fldCharType="separate"/>
          </w:r>
          <w:r>
            <w:t>167</w:t>
          </w:r>
          <w:r>
            <w:fldChar w:fldCharType="end"/>
          </w:r>
          <w:r>
            <w:rPr>
              <w:rFonts w:cs="Times New Roman"/>
              <w:bCs/>
              <w:color w:val="auto"/>
              <w:highlight w:val="none"/>
              <w:lang w:val="zh-CN"/>
            </w:rPr>
            <w:fldChar w:fldCharType="end"/>
          </w:r>
        </w:p>
        <w:p w14:paraId="0228856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_Toc4579 </w:instrText>
          </w:r>
          <w:r>
            <w:rPr>
              <w:rFonts w:cs="Times New Roman"/>
              <w:bCs/>
              <w:highlight w:val="none"/>
              <w:lang w:val="zh-CN"/>
            </w:rPr>
            <w:fldChar w:fldCharType="separate"/>
          </w:r>
          <w:r>
            <w:rPr>
              <w:rFonts w:hint="default" w:cs="Times New Roman"/>
            </w:rPr>
            <w:t xml:space="preserve">3.4.3. </w:t>
          </w:r>
          <w:r>
            <w:rPr>
              <w:rFonts w:cs="Times New Roman"/>
              <w:highlight w:val="none"/>
            </w:rPr>
            <w:t>小结</w:t>
          </w:r>
          <w:r>
            <w:tab/>
          </w:r>
          <w:r>
            <w:fldChar w:fldCharType="begin"/>
          </w:r>
          <w:r>
            <w:instrText xml:space="preserve"> PAGEREF _Toc4579 \h </w:instrText>
          </w:r>
          <w:r>
            <w:fldChar w:fldCharType="separate"/>
          </w:r>
          <w:r>
            <w:t>168</w:t>
          </w:r>
          <w:r>
            <w:fldChar w:fldCharType="end"/>
          </w:r>
          <w:r>
            <w:rPr>
              <w:rFonts w:cs="Times New Roman"/>
              <w:bCs/>
              <w:color w:val="auto"/>
              <w:highlight w:val="none"/>
              <w:lang w:val="zh-CN"/>
            </w:rPr>
            <w:fldChar w:fldCharType="end"/>
          </w:r>
        </w:p>
        <w:p w14:paraId="721D521F">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_Toc23300 </w:instrText>
          </w:r>
          <w:r>
            <w:rPr>
              <w:rFonts w:cs="Times New Roman"/>
              <w:bCs/>
              <w:highlight w:val="none"/>
              <w:lang w:val="zh-CN"/>
            </w:rPr>
            <w:fldChar w:fldCharType="separate"/>
          </w:r>
          <w:r>
            <w:rPr>
              <w:rFonts w:hint="default" w:cs="Times New Roman"/>
            </w:rPr>
            <w:t xml:space="preserve">4. </w:t>
          </w:r>
          <w:r>
            <w:rPr>
              <w:rFonts w:hint="eastAsia" w:cs="Times New Roman"/>
              <w:highlight w:val="none"/>
            </w:rPr>
            <w:t>环境现状调查与评价</w:t>
          </w:r>
          <w:r>
            <w:tab/>
          </w:r>
          <w:r>
            <w:fldChar w:fldCharType="begin"/>
          </w:r>
          <w:r>
            <w:instrText xml:space="preserve"> PAGEREF _Toc23300 \h </w:instrText>
          </w:r>
          <w:r>
            <w:fldChar w:fldCharType="separate"/>
          </w:r>
          <w:r>
            <w:t>169</w:t>
          </w:r>
          <w:r>
            <w:fldChar w:fldCharType="end"/>
          </w:r>
          <w:r>
            <w:rPr>
              <w:rFonts w:cs="Times New Roman"/>
              <w:bCs/>
              <w:color w:val="auto"/>
              <w:highlight w:val="none"/>
              <w:lang w:val="zh-CN"/>
            </w:rPr>
            <w:fldChar w:fldCharType="end"/>
          </w:r>
        </w:p>
        <w:p w14:paraId="60658E06">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_Toc8999 </w:instrText>
          </w:r>
          <w:r>
            <w:rPr>
              <w:rFonts w:cs="Times New Roman"/>
              <w:bCs/>
              <w:highlight w:val="none"/>
              <w:lang w:val="zh-CN"/>
            </w:rPr>
            <w:fldChar w:fldCharType="separate"/>
          </w:r>
          <w:r>
            <w:rPr>
              <w:rFonts w:hint="default"/>
            </w:rPr>
            <w:t xml:space="preserve">4.1. </w:t>
          </w:r>
          <w:r>
            <w:rPr>
              <w:highlight w:val="none"/>
            </w:rPr>
            <w:t>自然环境现状调查与评价</w:t>
          </w:r>
          <w:r>
            <w:tab/>
          </w:r>
          <w:r>
            <w:fldChar w:fldCharType="begin"/>
          </w:r>
          <w:r>
            <w:instrText xml:space="preserve"> PAGEREF _Toc8999 \h </w:instrText>
          </w:r>
          <w:r>
            <w:fldChar w:fldCharType="separate"/>
          </w:r>
          <w:r>
            <w:t>169</w:t>
          </w:r>
          <w:r>
            <w:fldChar w:fldCharType="end"/>
          </w:r>
          <w:r>
            <w:rPr>
              <w:rFonts w:cs="Times New Roman"/>
              <w:bCs/>
              <w:color w:val="auto"/>
              <w:highlight w:val="none"/>
              <w:lang w:val="zh-CN"/>
            </w:rPr>
            <w:fldChar w:fldCharType="end"/>
          </w:r>
        </w:p>
        <w:p w14:paraId="72164C10">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_Toc28064 </w:instrText>
          </w:r>
          <w:r>
            <w:rPr>
              <w:rFonts w:cs="Times New Roman"/>
              <w:bCs/>
              <w:highlight w:val="none"/>
              <w:lang w:val="zh-CN"/>
            </w:rPr>
            <w:fldChar w:fldCharType="separate"/>
          </w:r>
          <w:r>
            <w:rPr>
              <w:rFonts w:hint="default"/>
            </w:rPr>
            <w:t xml:space="preserve">4.1.1. </w:t>
          </w:r>
          <w:r>
            <w:rPr>
              <w:highlight w:val="none"/>
            </w:rPr>
            <w:t>地理位置</w:t>
          </w:r>
          <w:r>
            <w:tab/>
          </w:r>
          <w:r>
            <w:fldChar w:fldCharType="begin"/>
          </w:r>
          <w:r>
            <w:instrText xml:space="preserve"> PAGEREF _Toc28064 \h </w:instrText>
          </w:r>
          <w:r>
            <w:fldChar w:fldCharType="separate"/>
          </w:r>
          <w:r>
            <w:t>169</w:t>
          </w:r>
          <w:r>
            <w:fldChar w:fldCharType="end"/>
          </w:r>
          <w:r>
            <w:rPr>
              <w:rFonts w:cs="Times New Roman"/>
              <w:bCs/>
              <w:color w:val="auto"/>
              <w:highlight w:val="none"/>
              <w:lang w:val="zh-CN"/>
            </w:rPr>
            <w:fldChar w:fldCharType="end"/>
          </w:r>
        </w:p>
        <w:p w14:paraId="2F928C8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_Toc15678 </w:instrText>
          </w:r>
          <w:r>
            <w:rPr>
              <w:rFonts w:cs="Times New Roman"/>
              <w:bCs/>
              <w:highlight w:val="none"/>
              <w:lang w:val="zh-CN"/>
            </w:rPr>
            <w:fldChar w:fldCharType="separate"/>
          </w:r>
          <w:r>
            <w:rPr>
              <w:rFonts w:hint="default"/>
            </w:rPr>
            <w:t xml:space="preserve">4.1.2. </w:t>
          </w:r>
          <w:r>
            <w:rPr>
              <w:highlight w:val="none"/>
            </w:rPr>
            <w:t>地形、地貌</w:t>
          </w:r>
          <w:r>
            <w:tab/>
          </w:r>
          <w:r>
            <w:fldChar w:fldCharType="begin"/>
          </w:r>
          <w:r>
            <w:instrText xml:space="preserve"> PAGEREF _Toc15678 \h </w:instrText>
          </w:r>
          <w:r>
            <w:fldChar w:fldCharType="separate"/>
          </w:r>
          <w:r>
            <w:t>169</w:t>
          </w:r>
          <w:r>
            <w:fldChar w:fldCharType="end"/>
          </w:r>
          <w:r>
            <w:rPr>
              <w:rFonts w:cs="Times New Roman"/>
              <w:bCs/>
              <w:color w:val="auto"/>
              <w:highlight w:val="none"/>
              <w:lang w:val="zh-CN"/>
            </w:rPr>
            <w:fldChar w:fldCharType="end"/>
          </w:r>
        </w:p>
        <w:p w14:paraId="29CE970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_Toc14901 </w:instrText>
          </w:r>
          <w:r>
            <w:rPr>
              <w:rFonts w:cs="Times New Roman"/>
              <w:bCs/>
              <w:highlight w:val="none"/>
              <w:lang w:val="zh-CN"/>
            </w:rPr>
            <w:fldChar w:fldCharType="separate"/>
          </w:r>
          <w:r>
            <w:rPr>
              <w:rFonts w:hint="default"/>
            </w:rPr>
            <w:t xml:space="preserve">4.1.3. </w:t>
          </w:r>
          <w:r>
            <w:rPr>
              <w:highlight w:val="none"/>
            </w:rPr>
            <w:t>气象气候</w:t>
          </w:r>
          <w:r>
            <w:tab/>
          </w:r>
          <w:r>
            <w:fldChar w:fldCharType="begin"/>
          </w:r>
          <w:r>
            <w:instrText xml:space="preserve"> PAGEREF _Toc14901 \h </w:instrText>
          </w:r>
          <w:r>
            <w:fldChar w:fldCharType="separate"/>
          </w:r>
          <w:r>
            <w:t>170</w:t>
          </w:r>
          <w:r>
            <w:fldChar w:fldCharType="end"/>
          </w:r>
          <w:r>
            <w:rPr>
              <w:rFonts w:cs="Times New Roman"/>
              <w:bCs/>
              <w:color w:val="auto"/>
              <w:highlight w:val="none"/>
              <w:lang w:val="zh-CN"/>
            </w:rPr>
            <w:fldChar w:fldCharType="end"/>
          </w:r>
        </w:p>
        <w:p w14:paraId="586B909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_Toc21766 </w:instrText>
          </w:r>
          <w:r>
            <w:rPr>
              <w:rFonts w:cs="Times New Roman"/>
              <w:bCs/>
              <w:highlight w:val="none"/>
              <w:lang w:val="zh-CN"/>
            </w:rPr>
            <w:fldChar w:fldCharType="separate"/>
          </w:r>
          <w:r>
            <w:rPr>
              <w:rFonts w:hint="default"/>
            </w:rPr>
            <w:t xml:space="preserve">4.1.4. </w:t>
          </w:r>
          <w:r>
            <w:rPr>
              <w:highlight w:val="none"/>
            </w:rPr>
            <w:t>水文地质</w:t>
          </w:r>
          <w:r>
            <w:tab/>
          </w:r>
          <w:r>
            <w:fldChar w:fldCharType="begin"/>
          </w:r>
          <w:r>
            <w:instrText xml:space="preserve"> PAGEREF _Toc21766 \h </w:instrText>
          </w:r>
          <w:r>
            <w:fldChar w:fldCharType="separate"/>
          </w:r>
          <w:r>
            <w:t>171</w:t>
          </w:r>
          <w:r>
            <w:fldChar w:fldCharType="end"/>
          </w:r>
          <w:r>
            <w:rPr>
              <w:rFonts w:cs="Times New Roman"/>
              <w:bCs/>
              <w:color w:val="auto"/>
              <w:highlight w:val="none"/>
              <w:lang w:val="zh-CN"/>
            </w:rPr>
            <w:fldChar w:fldCharType="end"/>
          </w:r>
        </w:p>
        <w:p w14:paraId="4595BA40">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_Toc4067 </w:instrText>
          </w:r>
          <w:r>
            <w:rPr>
              <w:rFonts w:cs="Times New Roman"/>
              <w:bCs/>
              <w:highlight w:val="none"/>
              <w:lang w:val="zh-CN"/>
            </w:rPr>
            <w:fldChar w:fldCharType="separate"/>
          </w:r>
          <w:r>
            <w:rPr>
              <w:rFonts w:hint="default"/>
            </w:rPr>
            <w:t xml:space="preserve">4.1.5. </w:t>
          </w:r>
          <w:r>
            <w:rPr>
              <w:highlight w:val="none"/>
            </w:rPr>
            <w:t>矿产资源</w:t>
          </w:r>
          <w:r>
            <w:tab/>
          </w:r>
          <w:r>
            <w:fldChar w:fldCharType="begin"/>
          </w:r>
          <w:r>
            <w:instrText xml:space="preserve"> PAGEREF _Toc4067 \h </w:instrText>
          </w:r>
          <w:r>
            <w:fldChar w:fldCharType="separate"/>
          </w:r>
          <w:r>
            <w:t>174</w:t>
          </w:r>
          <w:r>
            <w:fldChar w:fldCharType="end"/>
          </w:r>
          <w:r>
            <w:rPr>
              <w:rFonts w:cs="Times New Roman"/>
              <w:bCs/>
              <w:color w:val="auto"/>
              <w:highlight w:val="none"/>
              <w:lang w:val="zh-CN"/>
            </w:rPr>
            <w:fldChar w:fldCharType="end"/>
          </w:r>
        </w:p>
        <w:p w14:paraId="7D73BF3F">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_Toc15372 </w:instrText>
          </w:r>
          <w:r>
            <w:rPr>
              <w:rFonts w:cs="Times New Roman"/>
              <w:bCs/>
              <w:highlight w:val="none"/>
              <w:lang w:val="zh-CN"/>
            </w:rPr>
            <w:fldChar w:fldCharType="separate"/>
          </w:r>
          <w:r>
            <w:rPr>
              <w:rFonts w:hint="default"/>
            </w:rPr>
            <w:t xml:space="preserve">4.1.6. </w:t>
          </w:r>
          <w:r>
            <w:rPr>
              <w:highlight w:val="none"/>
            </w:rPr>
            <w:t>自然资源</w:t>
          </w:r>
          <w:r>
            <w:tab/>
          </w:r>
          <w:r>
            <w:fldChar w:fldCharType="begin"/>
          </w:r>
          <w:r>
            <w:instrText xml:space="preserve"> PAGEREF _Toc15372 \h </w:instrText>
          </w:r>
          <w:r>
            <w:fldChar w:fldCharType="separate"/>
          </w:r>
          <w:r>
            <w:t>174</w:t>
          </w:r>
          <w:r>
            <w:fldChar w:fldCharType="end"/>
          </w:r>
          <w:r>
            <w:rPr>
              <w:rFonts w:cs="Times New Roman"/>
              <w:bCs/>
              <w:color w:val="auto"/>
              <w:highlight w:val="none"/>
              <w:lang w:val="zh-CN"/>
            </w:rPr>
            <w:fldChar w:fldCharType="end"/>
          </w:r>
        </w:p>
        <w:p w14:paraId="0F12B4A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_Toc25922 </w:instrText>
          </w:r>
          <w:r>
            <w:rPr>
              <w:rFonts w:cs="Times New Roman"/>
              <w:bCs/>
              <w:highlight w:val="none"/>
              <w:lang w:val="zh-CN"/>
            </w:rPr>
            <w:fldChar w:fldCharType="separate"/>
          </w:r>
          <w:r>
            <w:rPr>
              <w:rFonts w:hint="default"/>
            </w:rPr>
            <w:t xml:space="preserve">4.2. </w:t>
          </w:r>
          <w:r>
            <w:rPr>
              <w:highlight w:val="none"/>
            </w:rPr>
            <w:t>环境质量现状调查与评价</w:t>
          </w:r>
          <w:r>
            <w:tab/>
          </w:r>
          <w:r>
            <w:fldChar w:fldCharType="begin"/>
          </w:r>
          <w:r>
            <w:instrText xml:space="preserve"> PAGEREF _Toc25922 \h </w:instrText>
          </w:r>
          <w:r>
            <w:fldChar w:fldCharType="separate"/>
          </w:r>
          <w:r>
            <w:t>176</w:t>
          </w:r>
          <w:r>
            <w:fldChar w:fldCharType="end"/>
          </w:r>
          <w:r>
            <w:rPr>
              <w:rFonts w:cs="Times New Roman"/>
              <w:bCs/>
              <w:color w:val="auto"/>
              <w:highlight w:val="none"/>
              <w:lang w:val="zh-CN"/>
            </w:rPr>
            <w:fldChar w:fldCharType="end"/>
          </w:r>
        </w:p>
        <w:p w14:paraId="57E1B63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_Toc21696 </w:instrText>
          </w:r>
          <w:r>
            <w:rPr>
              <w:rFonts w:cs="Times New Roman"/>
              <w:bCs/>
              <w:highlight w:val="none"/>
              <w:lang w:val="zh-CN"/>
            </w:rPr>
            <w:fldChar w:fldCharType="separate"/>
          </w:r>
          <w:r>
            <w:rPr>
              <w:rFonts w:hint="default"/>
            </w:rPr>
            <w:t xml:space="preserve">4.2.1. </w:t>
          </w:r>
          <w:r>
            <w:rPr>
              <w:highlight w:val="none"/>
            </w:rPr>
            <w:t>环境空气质量现状与评价</w:t>
          </w:r>
          <w:r>
            <w:tab/>
          </w:r>
          <w:r>
            <w:fldChar w:fldCharType="begin"/>
          </w:r>
          <w:r>
            <w:instrText xml:space="preserve"> PAGEREF _Toc21696 \h </w:instrText>
          </w:r>
          <w:r>
            <w:fldChar w:fldCharType="separate"/>
          </w:r>
          <w:r>
            <w:t>176</w:t>
          </w:r>
          <w:r>
            <w:fldChar w:fldCharType="end"/>
          </w:r>
          <w:r>
            <w:rPr>
              <w:rFonts w:cs="Times New Roman"/>
              <w:bCs/>
              <w:color w:val="auto"/>
              <w:highlight w:val="none"/>
              <w:lang w:val="zh-CN"/>
            </w:rPr>
            <w:fldChar w:fldCharType="end"/>
          </w:r>
        </w:p>
        <w:p w14:paraId="3900BAF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_Toc10321 </w:instrText>
          </w:r>
          <w:r>
            <w:rPr>
              <w:rFonts w:cs="Times New Roman"/>
              <w:bCs/>
              <w:highlight w:val="none"/>
              <w:lang w:val="zh-CN"/>
            </w:rPr>
            <w:fldChar w:fldCharType="separate"/>
          </w:r>
          <w:r>
            <w:rPr>
              <w:rFonts w:hint="default"/>
            </w:rPr>
            <w:t xml:space="preserve">4.2.2. </w:t>
          </w:r>
          <w:r>
            <w:rPr>
              <w:highlight w:val="none"/>
            </w:rPr>
            <w:t>地表水环境质量现状与评价</w:t>
          </w:r>
          <w:r>
            <w:tab/>
          </w:r>
          <w:r>
            <w:fldChar w:fldCharType="begin"/>
          </w:r>
          <w:r>
            <w:instrText xml:space="preserve"> PAGEREF _Toc10321 \h </w:instrText>
          </w:r>
          <w:r>
            <w:fldChar w:fldCharType="separate"/>
          </w:r>
          <w:r>
            <w:t>177</w:t>
          </w:r>
          <w:r>
            <w:fldChar w:fldCharType="end"/>
          </w:r>
          <w:r>
            <w:rPr>
              <w:rFonts w:cs="Times New Roman"/>
              <w:bCs/>
              <w:color w:val="auto"/>
              <w:highlight w:val="none"/>
              <w:lang w:val="zh-CN"/>
            </w:rPr>
            <w:fldChar w:fldCharType="end"/>
          </w:r>
        </w:p>
        <w:p w14:paraId="6F86AD3E">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_Toc23858 </w:instrText>
          </w:r>
          <w:r>
            <w:rPr>
              <w:rFonts w:cs="Times New Roman"/>
              <w:bCs/>
              <w:highlight w:val="none"/>
              <w:lang w:val="zh-CN"/>
            </w:rPr>
            <w:fldChar w:fldCharType="separate"/>
          </w:r>
          <w:r>
            <w:rPr>
              <w:rFonts w:hint="default"/>
            </w:rPr>
            <w:t xml:space="preserve">4.2.3. </w:t>
          </w:r>
          <w:r>
            <w:rPr>
              <w:highlight w:val="none"/>
            </w:rPr>
            <w:t>声环境质量现状与评价</w:t>
          </w:r>
          <w:r>
            <w:tab/>
          </w:r>
          <w:r>
            <w:fldChar w:fldCharType="begin"/>
          </w:r>
          <w:r>
            <w:instrText xml:space="preserve"> PAGEREF _Toc23858 \h </w:instrText>
          </w:r>
          <w:r>
            <w:fldChar w:fldCharType="separate"/>
          </w:r>
          <w:r>
            <w:t>178</w:t>
          </w:r>
          <w:r>
            <w:fldChar w:fldCharType="end"/>
          </w:r>
          <w:r>
            <w:rPr>
              <w:rFonts w:cs="Times New Roman"/>
              <w:bCs/>
              <w:color w:val="auto"/>
              <w:highlight w:val="none"/>
              <w:lang w:val="zh-CN"/>
            </w:rPr>
            <w:fldChar w:fldCharType="end"/>
          </w:r>
        </w:p>
        <w:p w14:paraId="7FB3277F">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_Toc11972 </w:instrText>
          </w:r>
          <w:r>
            <w:rPr>
              <w:rFonts w:cs="Times New Roman"/>
              <w:bCs/>
              <w:highlight w:val="none"/>
              <w:lang w:val="zh-CN"/>
            </w:rPr>
            <w:fldChar w:fldCharType="separate"/>
          </w:r>
          <w:r>
            <w:rPr>
              <w:rFonts w:hint="default"/>
            </w:rPr>
            <w:t xml:space="preserve">4.2.4. </w:t>
          </w:r>
          <w:r>
            <w:rPr>
              <w:highlight w:val="none"/>
            </w:rPr>
            <w:t>地下水环境质量现状与评价</w:t>
          </w:r>
          <w:r>
            <w:tab/>
          </w:r>
          <w:r>
            <w:fldChar w:fldCharType="begin"/>
          </w:r>
          <w:r>
            <w:instrText xml:space="preserve"> PAGEREF _Toc11972 \h </w:instrText>
          </w:r>
          <w:r>
            <w:fldChar w:fldCharType="separate"/>
          </w:r>
          <w:r>
            <w:t>179</w:t>
          </w:r>
          <w:r>
            <w:fldChar w:fldCharType="end"/>
          </w:r>
          <w:r>
            <w:rPr>
              <w:rFonts w:cs="Times New Roman"/>
              <w:bCs/>
              <w:color w:val="auto"/>
              <w:highlight w:val="none"/>
              <w:lang w:val="zh-CN"/>
            </w:rPr>
            <w:fldChar w:fldCharType="end"/>
          </w:r>
        </w:p>
        <w:p w14:paraId="54A167F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_Toc11417 </w:instrText>
          </w:r>
          <w:r>
            <w:rPr>
              <w:rFonts w:cs="Times New Roman"/>
              <w:bCs/>
              <w:highlight w:val="none"/>
              <w:lang w:val="zh-CN"/>
            </w:rPr>
            <w:fldChar w:fldCharType="separate"/>
          </w:r>
          <w:r>
            <w:rPr>
              <w:rFonts w:hint="default"/>
            </w:rPr>
            <w:t xml:space="preserve">4.2.5. </w:t>
          </w:r>
          <w:r>
            <w:rPr>
              <w:highlight w:val="none"/>
            </w:rPr>
            <w:t>土壤环境质量现状与评价</w:t>
          </w:r>
          <w:r>
            <w:tab/>
          </w:r>
          <w:r>
            <w:fldChar w:fldCharType="begin"/>
          </w:r>
          <w:r>
            <w:instrText xml:space="preserve"> PAGEREF _Toc11417 \h </w:instrText>
          </w:r>
          <w:r>
            <w:fldChar w:fldCharType="separate"/>
          </w:r>
          <w:r>
            <w:t>197</w:t>
          </w:r>
          <w:r>
            <w:fldChar w:fldCharType="end"/>
          </w:r>
          <w:r>
            <w:rPr>
              <w:rFonts w:cs="Times New Roman"/>
              <w:bCs/>
              <w:color w:val="auto"/>
              <w:highlight w:val="none"/>
              <w:lang w:val="zh-CN"/>
            </w:rPr>
            <w:fldChar w:fldCharType="end"/>
          </w:r>
        </w:p>
        <w:p w14:paraId="6148D7F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_Toc20970 </w:instrText>
          </w:r>
          <w:r>
            <w:rPr>
              <w:rFonts w:cs="Times New Roman"/>
              <w:bCs/>
              <w:highlight w:val="none"/>
              <w:lang w:val="zh-CN"/>
            </w:rPr>
            <w:fldChar w:fldCharType="separate"/>
          </w:r>
          <w:r>
            <w:rPr>
              <w:rFonts w:hint="default"/>
            </w:rPr>
            <w:t xml:space="preserve">4.2.6. </w:t>
          </w:r>
          <w:r>
            <w:rPr>
              <w:highlight w:val="none"/>
            </w:rPr>
            <w:t>生态环境质量现状</w:t>
          </w:r>
          <w:r>
            <w:tab/>
          </w:r>
          <w:r>
            <w:fldChar w:fldCharType="begin"/>
          </w:r>
          <w:r>
            <w:instrText xml:space="preserve"> PAGEREF _Toc20970 \h </w:instrText>
          </w:r>
          <w:r>
            <w:fldChar w:fldCharType="separate"/>
          </w:r>
          <w:r>
            <w:t>200</w:t>
          </w:r>
          <w:r>
            <w:fldChar w:fldCharType="end"/>
          </w:r>
          <w:r>
            <w:rPr>
              <w:rFonts w:cs="Times New Roman"/>
              <w:bCs/>
              <w:color w:val="auto"/>
              <w:highlight w:val="none"/>
              <w:lang w:val="zh-CN"/>
            </w:rPr>
            <w:fldChar w:fldCharType="end"/>
          </w:r>
        </w:p>
        <w:p w14:paraId="0A5AD52A">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_Toc25144 </w:instrText>
          </w:r>
          <w:r>
            <w:rPr>
              <w:rFonts w:cs="Times New Roman"/>
              <w:bCs/>
              <w:highlight w:val="none"/>
              <w:lang w:val="zh-CN"/>
            </w:rPr>
            <w:fldChar w:fldCharType="separate"/>
          </w:r>
          <w:r>
            <w:rPr>
              <w:rFonts w:hint="default" w:cs="Times New Roman"/>
            </w:rPr>
            <w:t xml:space="preserve">5. </w:t>
          </w:r>
          <w:r>
            <w:rPr>
              <w:rFonts w:cs="Times New Roman"/>
              <w:highlight w:val="none"/>
            </w:rPr>
            <w:t>环境影响</w:t>
          </w:r>
          <w:r>
            <w:rPr>
              <w:rFonts w:hint="eastAsia" w:cs="Times New Roman"/>
              <w:highlight w:val="none"/>
            </w:rPr>
            <w:t>预测与评价</w:t>
          </w:r>
          <w:r>
            <w:tab/>
          </w:r>
          <w:r>
            <w:fldChar w:fldCharType="begin"/>
          </w:r>
          <w:r>
            <w:instrText xml:space="preserve"> PAGEREF _Toc25144 \h </w:instrText>
          </w:r>
          <w:r>
            <w:fldChar w:fldCharType="separate"/>
          </w:r>
          <w:r>
            <w:t>201</w:t>
          </w:r>
          <w:r>
            <w:fldChar w:fldCharType="end"/>
          </w:r>
          <w:r>
            <w:rPr>
              <w:rFonts w:cs="Times New Roman"/>
              <w:bCs/>
              <w:color w:val="auto"/>
              <w:highlight w:val="none"/>
              <w:lang w:val="zh-CN"/>
            </w:rPr>
            <w:fldChar w:fldCharType="end"/>
          </w:r>
        </w:p>
        <w:p w14:paraId="68B54713">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_Toc23161 </w:instrText>
          </w:r>
          <w:r>
            <w:rPr>
              <w:rFonts w:cs="Times New Roman"/>
              <w:bCs/>
              <w:highlight w:val="none"/>
              <w:lang w:val="zh-CN"/>
            </w:rPr>
            <w:fldChar w:fldCharType="separate"/>
          </w:r>
          <w:r>
            <w:rPr>
              <w:rFonts w:hint="default" w:cs="Times New Roman"/>
            </w:rPr>
            <w:t xml:space="preserve">5.1. </w:t>
          </w:r>
          <w:r>
            <w:rPr>
              <w:rFonts w:cs="Times New Roman"/>
              <w:highlight w:val="none"/>
            </w:rPr>
            <w:t>施工期环境</w:t>
          </w:r>
          <w:r>
            <w:rPr>
              <w:rFonts w:hint="eastAsia" w:cs="Times New Roman"/>
              <w:highlight w:val="none"/>
            </w:rPr>
            <w:t>影响分析</w:t>
          </w:r>
          <w:r>
            <w:tab/>
          </w:r>
          <w:r>
            <w:fldChar w:fldCharType="begin"/>
          </w:r>
          <w:r>
            <w:instrText xml:space="preserve"> PAGEREF _Toc23161 \h </w:instrText>
          </w:r>
          <w:r>
            <w:fldChar w:fldCharType="separate"/>
          </w:r>
          <w:r>
            <w:t>201</w:t>
          </w:r>
          <w:r>
            <w:fldChar w:fldCharType="end"/>
          </w:r>
          <w:r>
            <w:rPr>
              <w:rFonts w:cs="Times New Roman"/>
              <w:bCs/>
              <w:color w:val="auto"/>
              <w:highlight w:val="none"/>
              <w:lang w:val="zh-CN"/>
            </w:rPr>
            <w:fldChar w:fldCharType="end"/>
          </w:r>
        </w:p>
        <w:p w14:paraId="78AC71D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_Toc14437 </w:instrText>
          </w:r>
          <w:r>
            <w:rPr>
              <w:rFonts w:cs="Times New Roman"/>
              <w:bCs/>
              <w:highlight w:val="none"/>
              <w:lang w:val="zh-CN"/>
            </w:rPr>
            <w:fldChar w:fldCharType="separate"/>
          </w:r>
          <w:r>
            <w:rPr>
              <w:rFonts w:hint="default" w:cs="Times New Roman"/>
            </w:rPr>
            <w:t xml:space="preserve">5.1.1. </w:t>
          </w:r>
          <w:r>
            <w:rPr>
              <w:rFonts w:cs="Times New Roman"/>
              <w:highlight w:val="none"/>
            </w:rPr>
            <w:t>施工期大气环境</w:t>
          </w:r>
          <w:r>
            <w:rPr>
              <w:rFonts w:hint="eastAsia" w:cs="Times New Roman"/>
              <w:highlight w:val="none"/>
            </w:rPr>
            <w:t>影响分析</w:t>
          </w:r>
          <w:r>
            <w:tab/>
          </w:r>
          <w:r>
            <w:fldChar w:fldCharType="begin"/>
          </w:r>
          <w:r>
            <w:instrText xml:space="preserve"> PAGEREF _Toc14437 \h </w:instrText>
          </w:r>
          <w:r>
            <w:fldChar w:fldCharType="separate"/>
          </w:r>
          <w:r>
            <w:t>201</w:t>
          </w:r>
          <w:r>
            <w:fldChar w:fldCharType="end"/>
          </w:r>
          <w:r>
            <w:rPr>
              <w:rFonts w:cs="Times New Roman"/>
              <w:bCs/>
              <w:color w:val="auto"/>
              <w:highlight w:val="none"/>
              <w:lang w:val="zh-CN"/>
            </w:rPr>
            <w:fldChar w:fldCharType="end"/>
          </w:r>
        </w:p>
        <w:p w14:paraId="7A050CDE">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_Toc17411 </w:instrText>
          </w:r>
          <w:r>
            <w:rPr>
              <w:rFonts w:cs="Times New Roman"/>
              <w:bCs/>
              <w:highlight w:val="none"/>
              <w:lang w:val="zh-CN"/>
            </w:rPr>
            <w:fldChar w:fldCharType="separate"/>
          </w:r>
          <w:r>
            <w:rPr>
              <w:rFonts w:hint="default" w:cs="Times New Roman"/>
            </w:rPr>
            <w:t xml:space="preserve">5.1.2. </w:t>
          </w:r>
          <w:r>
            <w:rPr>
              <w:rFonts w:cs="Times New Roman"/>
              <w:highlight w:val="none"/>
            </w:rPr>
            <w:t>施工期地表水环境</w:t>
          </w:r>
          <w:r>
            <w:rPr>
              <w:rFonts w:hint="eastAsia" w:cs="Times New Roman"/>
              <w:highlight w:val="none"/>
            </w:rPr>
            <w:t>影响分析</w:t>
          </w:r>
          <w:r>
            <w:tab/>
          </w:r>
          <w:r>
            <w:fldChar w:fldCharType="begin"/>
          </w:r>
          <w:r>
            <w:instrText xml:space="preserve"> PAGEREF _Toc17411 \h </w:instrText>
          </w:r>
          <w:r>
            <w:fldChar w:fldCharType="separate"/>
          </w:r>
          <w:r>
            <w:t>204</w:t>
          </w:r>
          <w:r>
            <w:fldChar w:fldCharType="end"/>
          </w:r>
          <w:r>
            <w:rPr>
              <w:rFonts w:cs="Times New Roman"/>
              <w:bCs/>
              <w:color w:val="auto"/>
              <w:highlight w:val="none"/>
              <w:lang w:val="zh-CN"/>
            </w:rPr>
            <w:fldChar w:fldCharType="end"/>
          </w:r>
        </w:p>
        <w:p w14:paraId="48C2525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_Toc1205 </w:instrText>
          </w:r>
          <w:r>
            <w:rPr>
              <w:rFonts w:cs="Times New Roman"/>
              <w:bCs/>
              <w:highlight w:val="none"/>
              <w:lang w:val="zh-CN"/>
            </w:rPr>
            <w:fldChar w:fldCharType="separate"/>
          </w:r>
          <w:r>
            <w:rPr>
              <w:rFonts w:hint="default" w:cs="Times New Roman"/>
            </w:rPr>
            <w:t xml:space="preserve">5.1.3. </w:t>
          </w:r>
          <w:r>
            <w:rPr>
              <w:rFonts w:cs="Times New Roman"/>
              <w:highlight w:val="none"/>
            </w:rPr>
            <w:t>施工期声环境</w:t>
          </w:r>
          <w:r>
            <w:rPr>
              <w:rFonts w:hint="eastAsia" w:cs="Times New Roman"/>
              <w:highlight w:val="none"/>
            </w:rPr>
            <w:t>影响分析</w:t>
          </w:r>
          <w:r>
            <w:tab/>
          </w:r>
          <w:r>
            <w:fldChar w:fldCharType="begin"/>
          </w:r>
          <w:r>
            <w:instrText xml:space="preserve"> PAGEREF _Toc1205 \h </w:instrText>
          </w:r>
          <w:r>
            <w:fldChar w:fldCharType="separate"/>
          </w:r>
          <w:r>
            <w:t>204</w:t>
          </w:r>
          <w:r>
            <w:fldChar w:fldCharType="end"/>
          </w:r>
          <w:r>
            <w:rPr>
              <w:rFonts w:cs="Times New Roman"/>
              <w:bCs/>
              <w:color w:val="auto"/>
              <w:highlight w:val="none"/>
              <w:lang w:val="zh-CN"/>
            </w:rPr>
            <w:fldChar w:fldCharType="end"/>
          </w:r>
        </w:p>
        <w:p w14:paraId="29F7991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_Toc23786 </w:instrText>
          </w:r>
          <w:r>
            <w:rPr>
              <w:rFonts w:cs="Times New Roman"/>
              <w:bCs/>
              <w:highlight w:val="none"/>
              <w:lang w:val="zh-CN"/>
            </w:rPr>
            <w:fldChar w:fldCharType="separate"/>
          </w:r>
          <w:r>
            <w:rPr>
              <w:rFonts w:hint="default" w:cs="Times New Roman"/>
            </w:rPr>
            <w:t xml:space="preserve">5.1.4. </w:t>
          </w:r>
          <w:r>
            <w:rPr>
              <w:rFonts w:cs="Times New Roman"/>
              <w:highlight w:val="none"/>
            </w:rPr>
            <w:t>施工期固体废物</w:t>
          </w:r>
          <w:r>
            <w:rPr>
              <w:rFonts w:hint="eastAsia" w:cs="Times New Roman"/>
              <w:highlight w:val="none"/>
            </w:rPr>
            <w:t>环境影响分析</w:t>
          </w:r>
          <w:r>
            <w:tab/>
          </w:r>
          <w:r>
            <w:fldChar w:fldCharType="begin"/>
          </w:r>
          <w:r>
            <w:instrText xml:space="preserve"> PAGEREF _Toc23786 \h </w:instrText>
          </w:r>
          <w:r>
            <w:fldChar w:fldCharType="separate"/>
          </w:r>
          <w:r>
            <w:t>206</w:t>
          </w:r>
          <w:r>
            <w:fldChar w:fldCharType="end"/>
          </w:r>
          <w:r>
            <w:rPr>
              <w:rFonts w:cs="Times New Roman"/>
              <w:bCs/>
              <w:color w:val="auto"/>
              <w:highlight w:val="none"/>
              <w:lang w:val="zh-CN"/>
            </w:rPr>
            <w:fldChar w:fldCharType="end"/>
          </w:r>
        </w:p>
        <w:p w14:paraId="0601FE34">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_Toc30365 </w:instrText>
          </w:r>
          <w:r>
            <w:rPr>
              <w:rFonts w:cs="Times New Roman"/>
              <w:bCs/>
              <w:highlight w:val="none"/>
              <w:lang w:val="zh-CN"/>
            </w:rPr>
            <w:fldChar w:fldCharType="separate"/>
          </w:r>
          <w:r>
            <w:rPr>
              <w:rFonts w:hint="default" w:cs="Times New Roman"/>
            </w:rPr>
            <w:t xml:space="preserve">5.1.5. </w:t>
          </w:r>
          <w:r>
            <w:rPr>
              <w:rFonts w:cs="Times New Roman"/>
              <w:highlight w:val="none"/>
            </w:rPr>
            <w:t>施工期生态环境</w:t>
          </w:r>
          <w:r>
            <w:rPr>
              <w:rFonts w:hint="eastAsia" w:cs="Times New Roman"/>
              <w:highlight w:val="none"/>
            </w:rPr>
            <w:t>影响分析</w:t>
          </w:r>
          <w:r>
            <w:tab/>
          </w:r>
          <w:r>
            <w:fldChar w:fldCharType="begin"/>
          </w:r>
          <w:r>
            <w:instrText xml:space="preserve"> PAGEREF _Toc30365 \h </w:instrText>
          </w:r>
          <w:r>
            <w:fldChar w:fldCharType="separate"/>
          </w:r>
          <w:r>
            <w:t>207</w:t>
          </w:r>
          <w:r>
            <w:fldChar w:fldCharType="end"/>
          </w:r>
          <w:r>
            <w:rPr>
              <w:rFonts w:cs="Times New Roman"/>
              <w:bCs/>
              <w:color w:val="auto"/>
              <w:highlight w:val="none"/>
              <w:lang w:val="zh-CN"/>
            </w:rPr>
            <w:fldChar w:fldCharType="end"/>
          </w:r>
        </w:p>
        <w:p w14:paraId="00916B89">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_Toc12033 </w:instrText>
          </w:r>
          <w:r>
            <w:rPr>
              <w:rFonts w:cs="Times New Roman"/>
              <w:bCs/>
              <w:highlight w:val="none"/>
              <w:lang w:val="zh-CN"/>
            </w:rPr>
            <w:fldChar w:fldCharType="separate"/>
          </w:r>
          <w:r>
            <w:rPr>
              <w:rFonts w:hint="default" w:cs="Times New Roman"/>
            </w:rPr>
            <w:t xml:space="preserve">5.2. </w:t>
          </w:r>
          <w:r>
            <w:rPr>
              <w:rFonts w:cs="Times New Roman"/>
              <w:highlight w:val="none"/>
            </w:rPr>
            <w:t>营运期环境影响分析</w:t>
          </w:r>
          <w:r>
            <w:tab/>
          </w:r>
          <w:r>
            <w:fldChar w:fldCharType="begin"/>
          </w:r>
          <w:r>
            <w:instrText xml:space="preserve"> PAGEREF _Toc12033 \h </w:instrText>
          </w:r>
          <w:r>
            <w:fldChar w:fldCharType="separate"/>
          </w:r>
          <w:r>
            <w:t>207</w:t>
          </w:r>
          <w:r>
            <w:fldChar w:fldCharType="end"/>
          </w:r>
          <w:r>
            <w:rPr>
              <w:rFonts w:cs="Times New Roman"/>
              <w:bCs/>
              <w:color w:val="auto"/>
              <w:highlight w:val="none"/>
              <w:lang w:val="zh-CN"/>
            </w:rPr>
            <w:fldChar w:fldCharType="end"/>
          </w:r>
        </w:p>
        <w:p w14:paraId="6A08839C">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_Toc28680 </w:instrText>
          </w:r>
          <w:r>
            <w:rPr>
              <w:rFonts w:cs="Times New Roman"/>
              <w:bCs/>
              <w:highlight w:val="none"/>
              <w:lang w:val="zh-CN"/>
            </w:rPr>
            <w:fldChar w:fldCharType="separate"/>
          </w:r>
          <w:r>
            <w:rPr>
              <w:rFonts w:hint="default" w:cs="Times New Roman"/>
            </w:rPr>
            <w:t xml:space="preserve">6. </w:t>
          </w:r>
          <w:r>
            <w:rPr>
              <w:rFonts w:cs="Times New Roman"/>
              <w:highlight w:val="none"/>
            </w:rPr>
            <w:t>环境风险分析</w:t>
          </w:r>
          <w:r>
            <w:tab/>
          </w:r>
          <w:r>
            <w:fldChar w:fldCharType="begin"/>
          </w:r>
          <w:r>
            <w:instrText xml:space="preserve"> PAGEREF _Toc28680 \h </w:instrText>
          </w:r>
          <w:r>
            <w:fldChar w:fldCharType="separate"/>
          </w:r>
          <w:r>
            <w:t>208</w:t>
          </w:r>
          <w:r>
            <w:fldChar w:fldCharType="end"/>
          </w:r>
          <w:r>
            <w:rPr>
              <w:rFonts w:cs="Times New Roman"/>
              <w:bCs/>
              <w:color w:val="auto"/>
              <w:highlight w:val="none"/>
              <w:lang w:val="zh-CN"/>
            </w:rPr>
            <w:fldChar w:fldCharType="end"/>
          </w:r>
        </w:p>
        <w:p w14:paraId="28BEB950">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_Toc15946 </w:instrText>
          </w:r>
          <w:r>
            <w:rPr>
              <w:rFonts w:cs="Times New Roman"/>
              <w:bCs/>
              <w:highlight w:val="none"/>
              <w:lang w:val="zh-CN"/>
            </w:rPr>
            <w:fldChar w:fldCharType="separate"/>
          </w:r>
          <w:r>
            <w:rPr>
              <w:rFonts w:hint="default" w:cs="Times New Roman"/>
            </w:rPr>
            <w:t xml:space="preserve">6.1. </w:t>
          </w:r>
          <w:r>
            <w:rPr>
              <w:rFonts w:cs="Times New Roman"/>
              <w:highlight w:val="none"/>
            </w:rPr>
            <w:t>环境风险评价目的</w:t>
          </w:r>
          <w:r>
            <w:tab/>
          </w:r>
          <w:r>
            <w:fldChar w:fldCharType="begin"/>
          </w:r>
          <w:r>
            <w:instrText xml:space="preserve"> PAGEREF _Toc15946 \h </w:instrText>
          </w:r>
          <w:r>
            <w:fldChar w:fldCharType="separate"/>
          </w:r>
          <w:r>
            <w:t>208</w:t>
          </w:r>
          <w:r>
            <w:fldChar w:fldCharType="end"/>
          </w:r>
          <w:r>
            <w:rPr>
              <w:rFonts w:cs="Times New Roman"/>
              <w:bCs/>
              <w:color w:val="auto"/>
              <w:highlight w:val="none"/>
              <w:lang w:val="zh-CN"/>
            </w:rPr>
            <w:fldChar w:fldCharType="end"/>
          </w:r>
        </w:p>
        <w:p w14:paraId="79F6A13C">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_Toc28594 </w:instrText>
          </w:r>
          <w:r>
            <w:rPr>
              <w:rFonts w:cs="Times New Roman"/>
              <w:bCs/>
              <w:highlight w:val="none"/>
              <w:lang w:val="zh-CN"/>
            </w:rPr>
            <w:fldChar w:fldCharType="separate"/>
          </w:r>
          <w:r>
            <w:rPr>
              <w:rFonts w:hint="default" w:cs="Times New Roman"/>
            </w:rPr>
            <w:t xml:space="preserve">6.2. </w:t>
          </w:r>
          <w:r>
            <w:rPr>
              <w:rFonts w:cs="Times New Roman"/>
              <w:highlight w:val="none"/>
            </w:rPr>
            <w:t>环境风险评价依据</w:t>
          </w:r>
          <w:r>
            <w:tab/>
          </w:r>
          <w:r>
            <w:fldChar w:fldCharType="begin"/>
          </w:r>
          <w:r>
            <w:instrText xml:space="preserve"> PAGEREF _Toc28594 \h </w:instrText>
          </w:r>
          <w:r>
            <w:fldChar w:fldCharType="separate"/>
          </w:r>
          <w:r>
            <w:t>208</w:t>
          </w:r>
          <w:r>
            <w:fldChar w:fldCharType="end"/>
          </w:r>
          <w:r>
            <w:rPr>
              <w:rFonts w:cs="Times New Roman"/>
              <w:bCs/>
              <w:color w:val="auto"/>
              <w:highlight w:val="none"/>
              <w:lang w:val="zh-CN"/>
            </w:rPr>
            <w:fldChar w:fldCharType="end"/>
          </w:r>
        </w:p>
        <w:p w14:paraId="3EE903B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_Toc22114 </w:instrText>
          </w:r>
          <w:r>
            <w:rPr>
              <w:rFonts w:cs="Times New Roman"/>
              <w:bCs/>
              <w:highlight w:val="none"/>
              <w:lang w:val="zh-CN"/>
            </w:rPr>
            <w:fldChar w:fldCharType="separate"/>
          </w:r>
          <w:r>
            <w:rPr>
              <w:rFonts w:hint="default" w:cs="Times New Roman"/>
            </w:rPr>
            <w:t xml:space="preserve">6.2.1. </w:t>
          </w:r>
          <w:r>
            <w:rPr>
              <w:rFonts w:cs="Times New Roman"/>
              <w:highlight w:val="none"/>
            </w:rPr>
            <w:t>风险物质识别</w:t>
          </w:r>
          <w:r>
            <w:tab/>
          </w:r>
          <w:r>
            <w:fldChar w:fldCharType="begin"/>
          </w:r>
          <w:r>
            <w:instrText xml:space="preserve"> PAGEREF _Toc22114 \h </w:instrText>
          </w:r>
          <w:r>
            <w:fldChar w:fldCharType="separate"/>
          </w:r>
          <w:r>
            <w:t>208</w:t>
          </w:r>
          <w:r>
            <w:fldChar w:fldCharType="end"/>
          </w:r>
          <w:r>
            <w:rPr>
              <w:rFonts w:cs="Times New Roman"/>
              <w:bCs/>
              <w:color w:val="auto"/>
              <w:highlight w:val="none"/>
              <w:lang w:val="zh-CN"/>
            </w:rPr>
            <w:fldChar w:fldCharType="end"/>
          </w:r>
        </w:p>
        <w:p w14:paraId="460FDB5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_Toc841 </w:instrText>
          </w:r>
          <w:r>
            <w:rPr>
              <w:rFonts w:cs="Times New Roman"/>
              <w:bCs/>
              <w:highlight w:val="none"/>
              <w:lang w:val="zh-CN"/>
            </w:rPr>
            <w:fldChar w:fldCharType="separate"/>
          </w:r>
          <w:r>
            <w:rPr>
              <w:rFonts w:hint="default" w:cs="Times New Roman"/>
            </w:rPr>
            <w:t xml:space="preserve">6.2.2. </w:t>
          </w:r>
          <w:r>
            <w:rPr>
              <w:rFonts w:cs="Times New Roman"/>
              <w:highlight w:val="none"/>
            </w:rPr>
            <w:t>风险潜势初判</w:t>
          </w:r>
          <w:r>
            <w:tab/>
          </w:r>
          <w:r>
            <w:fldChar w:fldCharType="begin"/>
          </w:r>
          <w:r>
            <w:instrText xml:space="preserve"> PAGEREF _Toc841 \h </w:instrText>
          </w:r>
          <w:r>
            <w:fldChar w:fldCharType="separate"/>
          </w:r>
          <w:r>
            <w:t>208</w:t>
          </w:r>
          <w:r>
            <w:fldChar w:fldCharType="end"/>
          </w:r>
          <w:r>
            <w:rPr>
              <w:rFonts w:cs="Times New Roman"/>
              <w:bCs/>
              <w:color w:val="auto"/>
              <w:highlight w:val="none"/>
              <w:lang w:val="zh-CN"/>
            </w:rPr>
            <w:fldChar w:fldCharType="end"/>
          </w:r>
        </w:p>
        <w:p w14:paraId="6A15172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_Toc9376 </w:instrText>
          </w:r>
          <w:r>
            <w:rPr>
              <w:rFonts w:cs="Times New Roman"/>
              <w:bCs/>
              <w:highlight w:val="none"/>
              <w:lang w:val="zh-CN"/>
            </w:rPr>
            <w:fldChar w:fldCharType="separate"/>
          </w:r>
          <w:r>
            <w:rPr>
              <w:rFonts w:hint="default" w:cs="Times New Roman"/>
            </w:rPr>
            <w:t xml:space="preserve">6.3. </w:t>
          </w:r>
          <w:r>
            <w:rPr>
              <w:rFonts w:cs="Times New Roman"/>
              <w:highlight w:val="none"/>
            </w:rPr>
            <w:t>环境风险识别</w:t>
          </w:r>
          <w:r>
            <w:tab/>
          </w:r>
          <w:r>
            <w:fldChar w:fldCharType="begin"/>
          </w:r>
          <w:r>
            <w:instrText xml:space="preserve"> PAGEREF _Toc9376 \h </w:instrText>
          </w:r>
          <w:r>
            <w:fldChar w:fldCharType="separate"/>
          </w:r>
          <w:r>
            <w:t>210</w:t>
          </w:r>
          <w:r>
            <w:fldChar w:fldCharType="end"/>
          </w:r>
          <w:r>
            <w:rPr>
              <w:rFonts w:cs="Times New Roman"/>
              <w:bCs/>
              <w:color w:val="auto"/>
              <w:highlight w:val="none"/>
              <w:lang w:val="zh-CN"/>
            </w:rPr>
            <w:fldChar w:fldCharType="end"/>
          </w:r>
        </w:p>
        <w:p w14:paraId="0FA6366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_Toc10145 </w:instrText>
          </w:r>
          <w:r>
            <w:rPr>
              <w:rFonts w:cs="Times New Roman"/>
              <w:bCs/>
              <w:highlight w:val="none"/>
              <w:lang w:val="zh-CN"/>
            </w:rPr>
            <w:fldChar w:fldCharType="separate"/>
          </w:r>
          <w:r>
            <w:rPr>
              <w:rFonts w:hint="default" w:cs="Times New Roman"/>
            </w:rPr>
            <w:t xml:space="preserve">6.3.1. </w:t>
          </w:r>
          <w:r>
            <w:rPr>
              <w:rFonts w:cs="Times New Roman"/>
              <w:highlight w:val="none"/>
            </w:rPr>
            <w:t>物质风险性识别</w:t>
          </w:r>
          <w:r>
            <w:tab/>
          </w:r>
          <w:r>
            <w:fldChar w:fldCharType="begin"/>
          </w:r>
          <w:r>
            <w:instrText xml:space="preserve"> PAGEREF _Toc10145 \h </w:instrText>
          </w:r>
          <w:r>
            <w:fldChar w:fldCharType="separate"/>
          </w:r>
          <w:r>
            <w:t>210</w:t>
          </w:r>
          <w:r>
            <w:fldChar w:fldCharType="end"/>
          </w:r>
          <w:r>
            <w:rPr>
              <w:rFonts w:cs="Times New Roman"/>
              <w:bCs/>
              <w:color w:val="auto"/>
              <w:highlight w:val="none"/>
              <w:lang w:val="zh-CN"/>
            </w:rPr>
            <w:fldChar w:fldCharType="end"/>
          </w:r>
        </w:p>
        <w:p w14:paraId="532C066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_Toc3069 </w:instrText>
          </w:r>
          <w:r>
            <w:rPr>
              <w:rFonts w:cs="Times New Roman"/>
              <w:bCs/>
              <w:highlight w:val="none"/>
              <w:lang w:val="zh-CN"/>
            </w:rPr>
            <w:fldChar w:fldCharType="separate"/>
          </w:r>
          <w:r>
            <w:rPr>
              <w:rFonts w:hint="default" w:cs="Times New Roman"/>
            </w:rPr>
            <w:t xml:space="preserve">6.3.2. </w:t>
          </w:r>
          <w:r>
            <w:rPr>
              <w:rFonts w:cs="Times New Roman"/>
              <w:highlight w:val="none"/>
            </w:rPr>
            <w:t>生产系统风险性识别</w:t>
          </w:r>
          <w:r>
            <w:tab/>
          </w:r>
          <w:r>
            <w:fldChar w:fldCharType="begin"/>
          </w:r>
          <w:r>
            <w:instrText xml:space="preserve"> PAGEREF _Toc3069 \h </w:instrText>
          </w:r>
          <w:r>
            <w:fldChar w:fldCharType="separate"/>
          </w:r>
          <w:r>
            <w:t>211</w:t>
          </w:r>
          <w:r>
            <w:fldChar w:fldCharType="end"/>
          </w:r>
          <w:r>
            <w:rPr>
              <w:rFonts w:cs="Times New Roman"/>
              <w:bCs/>
              <w:color w:val="auto"/>
              <w:highlight w:val="none"/>
              <w:lang w:val="zh-CN"/>
            </w:rPr>
            <w:fldChar w:fldCharType="end"/>
          </w:r>
        </w:p>
        <w:p w14:paraId="3A5D68F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_Toc28544 </w:instrText>
          </w:r>
          <w:r>
            <w:rPr>
              <w:rFonts w:cs="Times New Roman"/>
              <w:bCs/>
              <w:highlight w:val="none"/>
              <w:lang w:val="zh-CN"/>
            </w:rPr>
            <w:fldChar w:fldCharType="separate"/>
          </w:r>
          <w:r>
            <w:rPr>
              <w:rFonts w:hint="default" w:cs="Times New Roman"/>
            </w:rPr>
            <w:t xml:space="preserve">6.3.3. </w:t>
          </w:r>
          <w:r>
            <w:rPr>
              <w:rFonts w:cs="Times New Roman"/>
              <w:highlight w:val="none"/>
            </w:rPr>
            <w:t>环境风险事故类型</w:t>
          </w:r>
          <w:r>
            <w:tab/>
          </w:r>
          <w:r>
            <w:fldChar w:fldCharType="begin"/>
          </w:r>
          <w:r>
            <w:instrText xml:space="preserve"> PAGEREF _Toc28544 \h </w:instrText>
          </w:r>
          <w:r>
            <w:fldChar w:fldCharType="separate"/>
          </w:r>
          <w:r>
            <w:t>211</w:t>
          </w:r>
          <w:r>
            <w:fldChar w:fldCharType="end"/>
          </w:r>
          <w:r>
            <w:rPr>
              <w:rFonts w:cs="Times New Roman"/>
              <w:bCs/>
              <w:color w:val="auto"/>
              <w:highlight w:val="none"/>
              <w:lang w:val="zh-CN"/>
            </w:rPr>
            <w:fldChar w:fldCharType="end"/>
          </w:r>
        </w:p>
        <w:p w14:paraId="641ABE25">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_Toc18729 </w:instrText>
          </w:r>
          <w:r>
            <w:rPr>
              <w:rFonts w:cs="Times New Roman"/>
              <w:bCs/>
              <w:highlight w:val="none"/>
              <w:lang w:val="zh-CN"/>
            </w:rPr>
            <w:fldChar w:fldCharType="separate"/>
          </w:r>
          <w:r>
            <w:rPr>
              <w:rFonts w:hint="default" w:cs="Times New Roman"/>
            </w:rPr>
            <w:t xml:space="preserve">6.4. </w:t>
          </w:r>
          <w:r>
            <w:rPr>
              <w:rFonts w:cs="Times New Roman"/>
              <w:highlight w:val="none"/>
            </w:rPr>
            <w:t>环境风险敏感目标</w:t>
          </w:r>
          <w:r>
            <w:tab/>
          </w:r>
          <w:r>
            <w:fldChar w:fldCharType="begin"/>
          </w:r>
          <w:r>
            <w:instrText xml:space="preserve"> PAGEREF _Toc18729 \h </w:instrText>
          </w:r>
          <w:r>
            <w:fldChar w:fldCharType="separate"/>
          </w:r>
          <w:r>
            <w:t>212</w:t>
          </w:r>
          <w:r>
            <w:fldChar w:fldCharType="end"/>
          </w:r>
          <w:r>
            <w:rPr>
              <w:rFonts w:cs="Times New Roman"/>
              <w:bCs/>
              <w:color w:val="auto"/>
              <w:highlight w:val="none"/>
              <w:lang w:val="zh-CN"/>
            </w:rPr>
            <w:fldChar w:fldCharType="end"/>
          </w:r>
        </w:p>
        <w:p w14:paraId="43E92A99">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_Toc19912 </w:instrText>
          </w:r>
          <w:r>
            <w:rPr>
              <w:rFonts w:cs="Times New Roman"/>
              <w:bCs/>
              <w:highlight w:val="none"/>
              <w:lang w:val="zh-CN"/>
            </w:rPr>
            <w:fldChar w:fldCharType="separate"/>
          </w:r>
          <w:r>
            <w:rPr>
              <w:rFonts w:hint="default" w:cs="Times New Roman"/>
            </w:rPr>
            <w:t xml:space="preserve">6.5. </w:t>
          </w:r>
          <w:r>
            <w:rPr>
              <w:rFonts w:cs="Times New Roman"/>
              <w:highlight w:val="none"/>
            </w:rPr>
            <w:t>环境影响途径</w:t>
          </w:r>
          <w:r>
            <w:tab/>
          </w:r>
          <w:r>
            <w:fldChar w:fldCharType="begin"/>
          </w:r>
          <w:r>
            <w:instrText xml:space="preserve"> PAGEREF _Toc19912 \h </w:instrText>
          </w:r>
          <w:r>
            <w:fldChar w:fldCharType="separate"/>
          </w:r>
          <w:r>
            <w:t>212</w:t>
          </w:r>
          <w:r>
            <w:fldChar w:fldCharType="end"/>
          </w:r>
          <w:r>
            <w:rPr>
              <w:rFonts w:cs="Times New Roman"/>
              <w:bCs/>
              <w:color w:val="auto"/>
              <w:highlight w:val="none"/>
              <w:lang w:val="zh-CN"/>
            </w:rPr>
            <w:fldChar w:fldCharType="end"/>
          </w:r>
        </w:p>
        <w:p w14:paraId="75D08AEF">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_Toc28810 </w:instrText>
          </w:r>
          <w:r>
            <w:rPr>
              <w:rFonts w:cs="Times New Roman"/>
              <w:bCs/>
              <w:highlight w:val="none"/>
              <w:lang w:val="zh-CN"/>
            </w:rPr>
            <w:fldChar w:fldCharType="separate"/>
          </w:r>
          <w:r>
            <w:rPr>
              <w:rFonts w:hint="default" w:cs="Times New Roman"/>
            </w:rPr>
            <w:t xml:space="preserve">6.6. </w:t>
          </w:r>
          <w:r>
            <w:rPr>
              <w:rFonts w:cs="Times New Roman"/>
              <w:highlight w:val="none"/>
            </w:rPr>
            <w:t>环境风险分析</w:t>
          </w:r>
          <w:r>
            <w:tab/>
          </w:r>
          <w:r>
            <w:fldChar w:fldCharType="begin"/>
          </w:r>
          <w:r>
            <w:instrText xml:space="preserve"> PAGEREF _Toc28810 \h </w:instrText>
          </w:r>
          <w:r>
            <w:fldChar w:fldCharType="separate"/>
          </w:r>
          <w:r>
            <w:t>212</w:t>
          </w:r>
          <w:r>
            <w:fldChar w:fldCharType="end"/>
          </w:r>
          <w:r>
            <w:rPr>
              <w:rFonts w:cs="Times New Roman"/>
              <w:bCs/>
              <w:color w:val="auto"/>
              <w:highlight w:val="none"/>
              <w:lang w:val="zh-CN"/>
            </w:rPr>
            <w:fldChar w:fldCharType="end"/>
          </w:r>
        </w:p>
        <w:p w14:paraId="2EAC7DAD">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_Toc1556 </w:instrText>
          </w:r>
          <w:r>
            <w:rPr>
              <w:rFonts w:cs="Times New Roman"/>
              <w:bCs/>
              <w:highlight w:val="none"/>
              <w:lang w:val="zh-CN"/>
            </w:rPr>
            <w:fldChar w:fldCharType="separate"/>
          </w:r>
          <w:r>
            <w:rPr>
              <w:rFonts w:hint="default" w:cs="Times New Roman"/>
            </w:rPr>
            <w:t xml:space="preserve">6.7. </w:t>
          </w:r>
          <w:r>
            <w:rPr>
              <w:rFonts w:cs="Times New Roman"/>
              <w:highlight w:val="none"/>
            </w:rPr>
            <w:t>环境风险防范措施及应急要求</w:t>
          </w:r>
          <w:r>
            <w:tab/>
          </w:r>
          <w:r>
            <w:fldChar w:fldCharType="begin"/>
          </w:r>
          <w:r>
            <w:instrText xml:space="preserve"> PAGEREF _Toc1556 \h </w:instrText>
          </w:r>
          <w:r>
            <w:fldChar w:fldCharType="separate"/>
          </w:r>
          <w:r>
            <w:t>213</w:t>
          </w:r>
          <w:r>
            <w:fldChar w:fldCharType="end"/>
          </w:r>
          <w:r>
            <w:rPr>
              <w:rFonts w:cs="Times New Roman"/>
              <w:bCs/>
              <w:color w:val="auto"/>
              <w:highlight w:val="none"/>
              <w:lang w:val="zh-CN"/>
            </w:rPr>
            <w:fldChar w:fldCharType="end"/>
          </w:r>
        </w:p>
        <w:p w14:paraId="00CC684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_Toc23799 </w:instrText>
          </w:r>
          <w:r>
            <w:rPr>
              <w:rFonts w:cs="Times New Roman"/>
              <w:bCs/>
              <w:highlight w:val="none"/>
              <w:lang w:val="zh-CN"/>
            </w:rPr>
            <w:fldChar w:fldCharType="separate"/>
          </w:r>
          <w:r>
            <w:rPr>
              <w:rFonts w:hint="default" w:cs="Times New Roman"/>
            </w:rPr>
            <w:t xml:space="preserve">6.7.1. </w:t>
          </w:r>
          <w:r>
            <w:rPr>
              <w:rFonts w:cs="Times New Roman"/>
              <w:highlight w:val="none"/>
            </w:rPr>
            <w:t>环境风险防范措施</w:t>
          </w:r>
          <w:r>
            <w:tab/>
          </w:r>
          <w:r>
            <w:fldChar w:fldCharType="begin"/>
          </w:r>
          <w:r>
            <w:instrText xml:space="preserve"> PAGEREF _Toc23799 \h </w:instrText>
          </w:r>
          <w:r>
            <w:fldChar w:fldCharType="separate"/>
          </w:r>
          <w:r>
            <w:t>213</w:t>
          </w:r>
          <w:r>
            <w:fldChar w:fldCharType="end"/>
          </w:r>
          <w:r>
            <w:rPr>
              <w:rFonts w:cs="Times New Roman"/>
              <w:bCs/>
              <w:color w:val="auto"/>
              <w:highlight w:val="none"/>
              <w:lang w:val="zh-CN"/>
            </w:rPr>
            <w:fldChar w:fldCharType="end"/>
          </w:r>
        </w:p>
        <w:p w14:paraId="7B23EA8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_Toc7928 </w:instrText>
          </w:r>
          <w:r>
            <w:rPr>
              <w:rFonts w:cs="Times New Roman"/>
              <w:bCs/>
              <w:highlight w:val="none"/>
              <w:lang w:val="zh-CN"/>
            </w:rPr>
            <w:fldChar w:fldCharType="separate"/>
          </w:r>
          <w:r>
            <w:rPr>
              <w:rFonts w:hint="default" w:cs="Times New Roman"/>
            </w:rPr>
            <w:t xml:space="preserve">6.7.2. </w:t>
          </w:r>
          <w:r>
            <w:rPr>
              <w:rFonts w:cs="Times New Roman"/>
              <w:highlight w:val="none"/>
            </w:rPr>
            <w:t>风险事故应急预案</w:t>
          </w:r>
          <w:r>
            <w:tab/>
          </w:r>
          <w:r>
            <w:fldChar w:fldCharType="begin"/>
          </w:r>
          <w:r>
            <w:instrText xml:space="preserve"> PAGEREF _Toc7928 \h </w:instrText>
          </w:r>
          <w:r>
            <w:fldChar w:fldCharType="separate"/>
          </w:r>
          <w:r>
            <w:t>218</w:t>
          </w:r>
          <w:r>
            <w:fldChar w:fldCharType="end"/>
          </w:r>
          <w:r>
            <w:rPr>
              <w:rFonts w:cs="Times New Roman"/>
              <w:bCs/>
              <w:color w:val="auto"/>
              <w:highlight w:val="none"/>
              <w:lang w:val="zh-CN"/>
            </w:rPr>
            <w:fldChar w:fldCharType="end"/>
          </w:r>
        </w:p>
        <w:p w14:paraId="26336A6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_Toc7524 </w:instrText>
          </w:r>
          <w:r>
            <w:rPr>
              <w:rFonts w:cs="Times New Roman"/>
              <w:bCs/>
              <w:highlight w:val="none"/>
              <w:lang w:val="zh-CN"/>
            </w:rPr>
            <w:fldChar w:fldCharType="separate"/>
          </w:r>
          <w:r>
            <w:rPr>
              <w:rFonts w:hint="default" w:cs="Times New Roman"/>
            </w:rPr>
            <w:t xml:space="preserve">6.7.3. </w:t>
          </w:r>
          <w:r>
            <w:rPr>
              <w:rFonts w:cs="Times New Roman"/>
              <w:highlight w:val="none"/>
            </w:rPr>
            <w:t>重污染天气应急预案</w:t>
          </w:r>
          <w:r>
            <w:tab/>
          </w:r>
          <w:r>
            <w:fldChar w:fldCharType="begin"/>
          </w:r>
          <w:r>
            <w:instrText xml:space="preserve"> PAGEREF _Toc7524 \h </w:instrText>
          </w:r>
          <w:r>
            <w:fldChar w:fldCharType="separate"/>
          </w:r>
          <w:r>
            <w:t>222</w:t>
          </w:r>
          <w:r>
            <w:fldChar w:fldCharType="end"/>
          </w:r>
          <w:r>
            <w:rPr>
              <w:rFonts w:cs="Times New Roman"/>
              <w:bCs/>
              <w:color w:val="auto"/>
              <w:highlight w:val="none"/>
              <w:lang w:val="zh-CN"/>
            </w:rPr>
            <w:fldChar w:fldCharType="end"/>
          </w:r>
        </w:p>
        <w:p w14:paraId="0742B60A">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_Toc19334 </w:instrText>
          </w:r>
          <w:r>
            <w:rPr>
              <w:rFonts w:cs="Times New Roman"/>
              <w:bCs/>
              <w:highlight w:val="none"/>
              <w:lang w:val="zh-CN"/>
            </w:rPr>
            <w:fldChar w:fldCharType="separate"/>
          </w:r>
          <w:r>
            <w:rPr>
              <w:rFonts w:hint="default" w:cs="Times New Roman"/>
            </w:rPr>
            <w:t xml:space="preserve">6.8. </w:t>
          </w:r>
          <w:r>
            <w:rPr>
              <w:rFonts w:cs="Times New Roman"/>
              <w:highlight w:val="none"/>
            </w:rPr>
            <w:t>风险事故投资</w:t>
          </w:r>
          <w:r>
            <w:tab/>
          </w:r>
          <w:r>
            <w:fldChar w:fldCharType="begin"/>
          </w:r>
          <w:r>
            <w:instrText xml:space="preserve"> PAGEREF _Toc19334 \h </w:instrText>
          </w:r>
          <w:r>
            <w:fldChar w:fldCharType="separate"/>
          </w:r>
          <w:r>
            <w:t>224</w:t>
          </w:r>
          <w:r>
            <w:fldChar w:fldCharType="end"/>
          </w:r>
          <w:r>
            <w:rPr>
              <w:rFonts w:cs="Times New Roman"/>
              <w:bCs/>
              <w:color w:val="auto"/>
              <w:highlight w:val="none"/>
              <w:lang w:val="zh-CN"/>
            </w:rPr>
            <w:fldChar w:fldCharType="end"/>
          </w:r>
        </w:p>
        <w:p w14:paraId="6E3427D3">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_Toc8415 </w:instrText>
          </w:r>
          <w:r>
            <w:rPr>
              <w:rFonts w:cs="Times New Roman"/>
              <w:bCs/>
              <w:highlight w:val="none"/>
              <w:lang w:val="zh-CN"/>
            </w:rPr>
            <w:fldChar w:fldCharType="separate"/>
          </w:r>
          <w:r>
            <w:rPr>
              <w:rFonts w:hint="default" w:cs="Times New Roman"/>
            </w:rPr>
            <w:t xml:space="preserve">6.9. </w:t>
          </w:r>
          <w:r>
            <w:rPr>
              <w:rFonts w:cs="Times New Roman"/>
              <w:highlight w:val="none"/>
            </w:rPr>
            <w:t>风险分析结论</w:t>
          </w:r>
          <w:r>
            <w:tab/>
          </w:r>
          <w:r>
            <w:fldChar w:fldCharType="begin"/>
          </w:r>
          <w:r>
            <w:instrText xml:space="preserve"> PAGEREF _Toc8415 \h </w:instrText>
          </w:r>
          <w:r>
            <w:fldChar w:fldCharType="separate"/>
          </w:r>
          <w:r>
            <w:t>225</w:t>
          </w:r>
          <w:r>
            <w:fldChar w:fldCharType="end"/>
          </w:r>
          <w:r>
            <w:rPr>
              <w:rFonts w:cs="Times New Roman"/>
              <w:bCs/>
              <w:color w:val="auto"/>
              <w:highlight w:val="none"/>
              <w:lang w:val="zh-CN"/>
            </w:rPr>
            <w:fldChar w:fldCharType="end"/>
          </w:r>
        </w:p>
        <w:p w14:paraId="622035D0">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_Toc11723 </w:instrText>
          </w:r>
          <w:r>
            <w:rPr>
              <w:rFonts w:cs="Times New Roman"/>
              <w:bCs/>
              <w:highlight w:val="none"/>
              <w:lang w:val="zh-CN"/>
            </w:rPr>
            <w:fldChar w:fldCharType="separate"/>
          </w:r>
          <w:r>
            <w:rPr>
              <w:rFonts w:hint="default"/>
            </w:rPr>
            <w:t xml:space="preserve">7. </w:t>
          </w:r>
          <w:r>
            <w:rPr>
              <w:highlight w:val="none"/>
            </w:rPr>
            <w:t>环境保护措施及其可行性论证</w:t>
          </w:r>
          <w:r>
            <w:tab/>
          </w:r>
          <w:r>
            <w:fldChar w:fldCharType="begin"/>
          </w:r>
          <w:r>
            <w:instrText xml:space="preserve"> PAGEREF _Toc11723 \h </w:instrText>
          </w:r>
          <w:r>
            <w:fldChar w:fldCharType="separate"/>
          </w:r>
          <w:r>
            <w:t>227</w:t>
          </w:r>
          <w:r>
            <w:fldChar w:fldCharType="end"/>
          </w:r>
          <w:r>
            <w:rPr>
              <w:rFonts w:cs="Times New Roman"/>
              <w:bCs/>
              <w:color w:val="auto"/>
              <w:highlight w:val="none"/>
              <w:lang w:val="zh-CN"/>
            </w:rPr>
            <w:fldChar w:fldCharType="end"/>
          </w:r>
        </w:p>
        <w:p w14:paraId="37400E21">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_Toc7054 </w:instrText>
          </w:r>
          <w:r>
            <w:rPr>
              <w:rFonts w:cs="Times New Roman"/>
              <w:bCs/>
              <w:highlight w:val="none"/>
              <w:lang w:val="zh-CN"/>
            </w:rPr>
            <w:fldChar w:fldCharType="separate"/>
          </w:r>
          <w:r>
            <w:rPr>
              <w:rFonts w:hint="default"/>
            </w:rPr>
            <w:t xml:space="preserve">7.1. </w:t>
          </w:r>
          <w:r>
            <w:rPr>
              <w:highlight w:val="none"/>
            </w:rPr>
            <w:t>施工期环境保护措施及其可行性论证</w:t>
          </w:r>
          <w:r>
            <w:tab/>
          </w:r>
          <w:r>
            <w:fldChar w:fldCharType="begin"/>
          </w:r>
          <w:r>
            <w:instrText xml:space="preserve"> PAGEREF _Toc7054 \h </w:instrText>
          </w:r>
          <w:r>
            <w:fldChar w:fldCharType="separate"/>
          </w:r>
          <w:r>
            <w:t>227</w:t>
          </w:r>
          <w:r>
            <w:fldChar w:fldCharType="end"/>
          </w:r>
          <w:r>
            <w:rPr>
              <w:rFonts w:cs="Times New Roman"/>
              <w:bCs/>
              <w:color w:val="auto"/>
              <w:highlight w:val="none"/>
              <w:lang w:val="zh-CN"/>
            </w:rPr>
            <w:fldChar w:fldCharType="end"/>
          </w:r>
        </w:p>
        <w:p w14:paraId="17924D5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_Toc8798 </w:instrText>
          </w:r>
          <w:r>
            <w:rPr>
              <w:rFonts w:cs="Times New Roman"/>
              <w:bCs/>
              <w:highlight w:val="none"/>
              <w:lang w:val="zh-CN"/>
            </w:rPr>
            <w:fldChar w:fldCharType="separate"/>
          </w:r>
          <w:r>
            <w:rPr>
              <w:rFonts w:hint="default" w:cs="Times New Roman"/>
            </w:rPr>
            <w:t xml:space="preserve">7.1.1. </w:t>
          </w:r>
          <w:r>
            <w:rPr>
              <w:rFonts w:cs="Times New Roman"/>
              <w:highlight w:val="none"/>
            </w:rPr>
            <w:t>施工期废气治理措施分析</w:t>
          </w:r>
          <w:r>
            <w:tab/>
          </w:r>
          <w:r>
            <w:fldChar w:fldCharType="begin"/>
          </w:r>
          <w:r>
            <w:instrText xml:space="preserve"> PAGEREF _Toc8798 \h </w:instrText>
          </w:r>
          <w:r>
            <w:fldChar w:fldCharType="separate"/>
          </w:r>
          <w:r>
            <w:t>227</w:t>
          </w:r>
          <w:r>
            <w:fldChar w:fldCharType="end"/>
          </w:r>
          <w:r>
            <w:rPr>
              <w:rFonts w:cs="Times New Roman"/>
              <w:bCs/>
              <w:color w:val="auto"/>
              <w:highlight w:val="none"/>
              <w:lang w:val="zh-CN"/>
            </w:rPr>
            <w:fldChar w:fldCharType="end"/>
          </w:r>
        </w:p>
        <w:p w14:paraId="763FF45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_Toc13458 </w:instrText>
          </w:r>
          <w:r>
            <w:rPr>
              <w:rFonts w:cs="Times New Roman"/>
              <w:bCs/>
              <w:highlight w:val="none"/>
              <w:lang w:val="zh-CN"/>
            </w:rPr>
            <w:fldChar w:fldCharType="separate"/>
          </w:r>
          <w:r>
            <w:rPr>
              <w:rFonts w:hint="default" w:cs="Times New Roman"/>
            </w:rPr>
            <w:t xml:space="preserve">7.1.2. </w:t>
          </w:r>
          <w:r>
            <w:rPr>
              <w:rFonts w:cs="Times New Roman"/>
              <w:highlight w:val="none"/>
            </w:rPr>
            <w:t>施工废水污染防治措施</w:t>
          </w:r>
          <w:r>
            <w:rPr>
              <w:rFonts w:hint="eastAsia" w:cs="Times New Roman"/>
              <w:highlight w:val="none"/>
            </w:rPr>
            <w:t>分析</w:t>
          </w:r>
          <w:r>
            <w:tab/>
          </w:r>
          <w:r>
            <w:fldChar w:fldCharType="begin"/>
          </w:r>
          <w:r>
            <w:instrText xml:space="preserve"> PAGEREF _Toc13458 \h </w:instrText>
          </w:r>
          <w:r>
            <w:fldChar w:fldCharType="separate"/>
          </w:r>
          <w:r>
            <w:t>227</w:t>
          </w:r>
          <w:r>
            <w:fldChar w:fldCharType="end"/>
          </w:r>
          <w:r>
            <w:rPr>
              <w:rFonts w:cs="Times New Roman"/>
              <w:bCs/>
              <w:color w:val="auto"/>
              <w:highlight w:val="none"/>
              <w:lang w:val="zh-CN"/>
            </w:rPr>
            <w:fldChar w:fldCharType="end"/>
          </w:r>
        </w:p>
        <w:p w14:paraId="1625339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_Toc1336 </w:instrText>
          </w:r>
          <w:r>
            <w:rPr>
              <w:rFonts w:cs="Times New Roman"/>
              <w:bCs/>
              <w:highlight w:val="none"/>
              <w:lang w:val="zh-CN"/>
            </w:rPr>
            <w:fldChar w:fldCharType="separate"/>
          </w:r>
          <w:r>
            <w:rPr>
              <w:rFonts w:hint="default" w:cs="Times New Roman"/>
            </w:rPr>
            <w:t xml:space="preserve">7.1.3. </w:t>
          </w:r>
          <w:r>
            <w:rPr>
              <w:rFonts w:cs="Times New Roman"/>
              <w:highlight w:val="none"/>
            </w:rPr>
            <w:t>施工噪声治理措施分析</w:t>
          </w:r>
          <w:r>
            <w:tab/>
          </w:r>
          <w:r>
            <w:fldChar w:fldCharType="begin"/>
          </w:r>
          <w:r>
            <w:instrText xml:space="preserve"> PAGEREF _Toc1336 \h </w:instrText>
          </w:r>
          <w:r>
            <w:fldChar w:fldCharType="separate"/>
          </w:r>
          <w:r>
            <w:t>228</w:t>
          </w:r>
          <w:r>
            <w:fldChar w:fldCharType="end"/>
          </w:r>
          <w:r>
            <w:rPr>
              <w:rFonts w:cs="Times New Roman"/>
              <w:bCs/>
              <w:color w:val="auto"/>
              <w:highlight w:val="none"/>
              <w:lang w:val="zh-CN"/>
            </w:rPr>
            <w:fldChar w:fldCharType="end"/>
          </w:r>
        </w:p>
        <w:p w14:paraId="1DBDF85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_Toc19444 </w:instrText>
          </w:r>
          <w:r>
            <w:rPr>
              <w:rFonts w:cs="Times New Roman"/>
              <w:bCs/>
              <w:highlight w:val="none"/>
              <w:lang w:val="zh-CN"/>
            </w:rPr>
            <w:fldChar w:fldCharType="separate"/>
          </w:r>
          <w:r>
            <w:rPr>
              <w:rFonts w:hint="default" w:cs="Times New Roman"/>
            </w:rPr>
            <w:t xml:space="preserve">7.1.4. </w:t>
          </w:r>
          <w:r>
            <w:rPr>
              <w:rFonts w:cs="Times New Roman"/>
              <w:highlight w:val="none"/>
            </w:rPr>
            <w:t>施工固体废物治理措施分析</w:t>
          </w:r>
          <w:r>
            <w:tab/>
          </w:r>
          <w:r>
            <w:fldChar w:fldCharType="begin"/>
          </w:r>
          <w:r>
            <w:instrText xml:space="preserve"> PAGEREF _Toc19444 \h </w:instrText>
          </w:r>
          <w:r>
            <w:fldChar w:fldCharType="separate"/>
          </w:r>
          <w:r>
            <w:t>229</w:t>
          </w:r>
          <w:r>
            <w:fldChar w:fldCharType="end"/>
          </w:r>
          <w:r>
            <w:rPr>
              <w:rFonts w:cs="Times New Roman"/>
              <w:bCs/>
              <w:color w:val="auto"/>
              <w:highlight w:val="none"/>
              <w:lang w:val="zh-CN"/>
            </w:rPr>
            <w:fldChar w:fldCharType="end"/>
          </w:r>
        </w:p>
        <w:p w14:paraId="54A882AE">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_Toc8806 </w:instrText>
          </w:r>
          <w:r>
            <w:rPr>
              <w:rFonts w:cs="Times New Roman"/>
              <w:bCs/>
              <w:highlight w:val="none"/>
              <w:lang w:val="zh-CN"/>
            </w:rPr>
            <w:fldChar w:fldCharType="separate"/>
          </w:r>
          <w:r>
            <w:rPr>
              <w:rFonts w:hint="default"/>
            </w:rPr>
            <w:t xml:space="preserve">7.2. </w:t>
          </w:r>
          <w:r>
            <w:rPr>
              <w:highlight w:val="none"/>
            </w:rPr>
            <w:t>运营期环境保护措施及其可行性论证</w:t>
          </w:r>
          <w:r>
            <w:tab/>
          </w:r>
          <w:r>
            <w:fldChar w:fldCharType="begin"/>
          </w:r>
          <w:r>
            <w:instrText xml:space="preserve"> PAGEREF _Toc8806 \h </w:instrText>
          </w:r>
          <w:r>
            <w:fldChar w:fldCharType="separate"/>
          </w:r>
          <w:r>
            <w:t>229</w:t>
          </w:r>
          <w:r>
            <w:fldChar w:fldCharType="end"/>
          </w:r>
          <w:r>
            <w:rPr>
              <w:rFonts w:cs="Times New Roman"/>
              <w:bCs/>
              <w:color w:val="auto"/>
              <w:highlight w:val="none"/>
              <w:lang w:val="zh-CN"/>
            </w:rPr>
            <w:fldChar w:fldCharType="end"/>
          </w:r>
        </w:p>
        <w:p w14:paraId="23F3398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_Toc24842 </w:instrText>
          </w:r>
          <w:r>
            <w:rPr>
              <w:rFonts w:cs="Times New Roman"/>
              <w:bCs/>
              <w:highlight w:val="none"/>
              <w:lang w:val="zh-CN"/>
            </w:rPr>
            <w:fldChar w:fldCharType="separate"/>
          </w:r>
          <w:r>
            <w:rPr>
              <w:rFonts w:hint="default"/>
            </w:rPr>
            <w:t xml:space="preserve">7.2.1. </w:t>
          </w:r>
          <w:r>
            <w:rPr>
              <w:highlight w:val="none"/>
            </w:rPr>
            <w:t>废气环境保护措施及其可行性论证</w:t>
          </w:r>
          <w:r>
            <w:tab/>
          </w:r>
          <w:r>
            <w:fldChar w:fldCharType="begin"/>
          </w:r>
          <w:r>
            <w:instrText xml:space="preserve"> PAGEREF _Toc24842 \h </w:instrText>
          </w:r>
          <w:r>
            <w:fldChar w:fldCharType="separate"/>
          </w:r>
          <w:r>
            <w:t>229</w:t>
          </w:r>
          <w:r>
            <w:fldChar w:fldCharType="end"/>
          </w:r>
          <w:r>
            <w:rPr>
              <w:rFonts w:cs="Times New Roman"/>
              <w:bCs/>
              <w:color w:val="auto"/>
              <w:highlight w:val="none"/>
              <w:lang w:val="zh-CN"/>
            </w:rPr>
            <w:fldChar w:fldCharType="end"/>
          </w:r>
        </w:p>
        <w:p w14:paraId="630B9C5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_Toc22884 </w:instrText>
          </w:r>
          <w:r>
            <w:rPr>
              <w:rFonts w:cs="Times New Roman"/>
              <w:bCs/>
              <w:highlight w:val="none"/>
              <w:lang w:val="zh-CN"/>
            </w:rPr>
            <w:fldChar w:fldCharType="separate"/>
          </w:r>
          <w:r>
            <w:rPr>
              <w:rFonts w:hint="default" w:cs="Times New Roman"/>
            </w:rPr>
            <w:t xml:space="preserve">7.2.2. </w:t>
          </w:r>
          <w:r>
            <w:rPr>
              <w:rFonts w:cs="Times New Roman"/>
              <w:highlight w:val="none"/>
            </w:rPr>
            <w:t>地表水</w:t>
          </w:r>
          <w:r>
            <w:rPr>
              <w:highlight w:val="none"/>
            </w:rPr>
            <w:t>环境保护措施及其可行性论证</w:t>
          </w:r>
          <w:r>
            <w:tab/>
          </w:r>
          <w:r>
            <w:fldChar w:fldCharType="begin"/>
          </w:r>
          <w:r>
            <w:instrText xml:space="preserve"> PAGEREF _Toc22884 \h </w:instrText>
          </w:r>
          <w:r>
            <w:fldChar w:fldCharType="separate"/>
          </w:r>
          <w:r>
            <w:t>230</w:t>
          </w:r>
          <w:r>
            <w:fldChar w:fldCharType="end"/>
          </w:r>
          <w:r>
            <w:rPr>
              <w:rFonts w:cs="Times New Roman"/>
              <w:bCs/>
              <w:color w:val="auto"/>
              <w:highlight w:val="none"/>
              <w:lang w:val="zh-CN"/>
            </w:rPr>
            <w:fldChar w:fldCharType="end"/>
          </w:r>
        </w:p>
        <w:p w14:paraId="3A65C6D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_Toc9460 </w:instrText>
          </w:r>
          <w:r>
            <w:rPr>
              <w:rFonts w:cs="Times New Roman"/>
              <w:bCs/>
              <w:highlight w:val="none"/>
              <w:lang w:val="zh-CN"/>
            </w:rPr>
            <w:fldChar w:fldCharType="separate"/>
          </w:r>
          <w:r>
            <w:rPr>
              <w:rFonts w:hint="default" w:cs="Times New Roman"/>
            </w:rPr>
            <w:t xml:space="preserve">7.2.3. </w:t>
          </w:r>
          <w:r>
            <w:rPr>
              <w:rFonts w:cs="Times New Roman"/>
              <w:highlight w:val="none"/>
            </w:rPr>
            <w:t>噪声</w:t>
          </w:r>
          <w:r>
            <w:rPr>
              <w:highlight w:val="none"/>
            </w:rPr>
            <w:t>环境保护措施及其可行性论证</w:t>
          </w:r>
          <w:r>
            <w:tab/>
          </w:r>
          <w:r>
            <w:fldChar w:fldCharType="begin"/>
          </w:r>
          <w:r>
            <w:instrText xml:space="preserve"> PAGEREF _Toc9460 \h </w:instrText>
          </w:r>
          <w:r>
            <w:fldChar w:fldCharType="separate"/>
          </w:r>
          <w:r>
            <w:t>233</w:t>
          </w:r>
          <w:r>
            <w:fldChar w:fldCharType="end"/>
          </w:r>
          <w:r>
            <w:rPr>
              <w:rFonts w:cs="Times New Roman"/>
              <w:bCs/>
              <w:color w:val="auto"/>
              <w:highlight w:val="none"/>
              <w:lang w:val="zh-CN"/>
            </w:rPr>
            <w:fldChar w:fldCharType="end"/>
          </w:r>
        </w:p>
        <w:p w14:paraId="1300628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_Toc28695 </w:instrText>
          </w:r>
          <w:r>
            <w:rPr>
              <w:rFonts w:cs="Times New Roman"/>
              <w:bCs/>
              <w:highlight w:val="none"/>
              <w:lang w:val="zh-CN"/>
            </w:rPr>
            <w:fldChar w:fldCharType="separate"/>
          </w:r>
          <w:r>
            <w:rPr>
              <w:rFonts w:hint="default" w:cs="Times New Roman"/>
            </w:rPr>
            <w:t xml:space="preserve">7.2.4. </w:t>
          </w:r>
          <w:r>
            <w:rPr>
              <w:rFonts w:cs="Times New Roman"/>
              <w:highlight w:val="none"/>
            </w:rPr>
            <w:t>固体废物</w:t>
          </w:r>
          <w:r>
            <w:rPr>
              <w:highlight w:val="none"/>
            </w:rPr>
            <w:t>环境保护措施及其可行性论证</w:t>
          </w:r>
          <w:r>
            <w:tab/>
          </w:r>
          <w:r>
            <w:fldChar w:fldCharType="begin"/>
          </w:r>
          <w:r>
            <w:instrText xml:space="preserve"> PAGEREF _Toc28695 \h </w:instrText>
          </w:r>
          <w:r>
            <w:fldChar w:fldCharType="separate"/>
          </w:r>
          <w:r>
            <w:t>234</w:t>
          </w:r>
          <w:r>
            <w:fldChar w:fldCharType="end"/>
          </w:r>
          <w:r>
            <w:rPr>
              <w:rFonts w:cs="Times New Roman"/>
              <w:bCs/>
              <w:color w:val="auto"/>
              <w:highlight w:val="none"/>
              <w:lang w:val="zh-CN"/>
            </w:rPr>
            <w:fldChar w:fldCharType="end"/>
          </w:r>
        </w:p>
        <w:p w14:paraId="58D3414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_Toc25128 </w:instrText>
          </w:r>
          <w:r>
            <w:rPr>
              <w:rFonts w:cs="Times New Roman"/>
              <w:bCs/>
              <w:highlight w:val="none"/>
              <w:lang w:val="zh-CN"/>
            </w:rPr>
            <w:fldChar w:fldCharType="separate"/>
          </w:r>
          <w:r>
            <w:rPr>
              <w:rFonts w:hint="default"/>
            </w:rPr>
            <w:t xml:space="preserve">7.2.5. </w:t>
          </w:r>
          <w:r>
            <w:rPr>
              <w:highlight w:val="none"/>
            </w:rPr>
            <w:t>土壤环境保护措施及其可行性论证</w:t>
          </w:r>
          <w:r>
            <w:tab/>
          </w:r>
          <w:r>
            <w:fldChar w:fldCharType="begin"/>
          </w:r>
          <w:r>
            <w:instrText xml:space="preserve"> PAGEREF _Toc25128 \h </w:instrText>
          </w:r>
          <w:r>
            <w:fldChar w:fldCharType="separate"/>
          </w:r>
          <w:r>
            <w:t>236</w:t>
          </w:r>
          <w:r>
            <w:fldChar w:fldCharType="end"/>
          </w:r>
          <w:r>
            <w:rPr>
              <w:rFonts w:cs="Times New Roman"/>
              <w:bCs/>
              <w:color w:val="auto"/>
              <w:highlight w:val="none"/>
              <w:lang w:val="zh-CN"/>
            </w:rPr>
            <w:fldChar w:fldCharType="end"/>
          </w:r>
        </w:p>
        <w:p w14:paraId="31D1768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_Toc15035 </w:instrText>
          </w:r>
          <w:r>
            <w:rPr>
              <w:rFonts w:cs="Times New Roman"/>
              <w:bCs/>
              <w:highlight w:val="none"/>
              <w:lang w:val="zh-CN"/>
            </w:rPr>
            <w:fldChar w:fldCharType="separate"/>
          </w:r>
          <w:r>
            <w:rPr>
              <w:rFonts w:hint="default" w:cs="Times New Roman"/>
            </w:rPr>
            <w:t xml:space="preserve">7.2.6. </w:t>
          </w:r>
          <w:r>
            <w:rPr>
              <w:rFonts w:cs="Times New Roman"/>
              <w:highlight w:val="none"/>
            </w:rPr>
            <w:t>地下水</w:t>
          </w:r>
          <w:r>
            <w:rPr>
              <w:highlight w:val="none"/>
            </w:rPr>
            <w:t>环境保护措施及其可行性论证</w:t>
          </w:r>
          <w:r>
            <w:tab/>
          </w:r>
          <w:r>
            <w:fldChar w:fldCharType="begin"/>
          </w:r>
          <w:r>
            <w:instrText xml:space="preserve"> PAGEREF _Toc15035 \h </w:instrText>
          </w:r>
          <w:r>
            <w:fldChar w:fldCharType="separate"/>
          </w:r>
          <w:r>
            <w:t>237</w:t>
          </w:r>
          <w:r>
            <w:fldChar w:fldCharType="end"/>
          </w:r>
          <w:r>
            <w:rPr>
              <w:rFonts w:cs="Times New Roman"/>
              <w:bCs/>
              <w:color w:val="auto"/>
              <w:highlight w:val="none"/>
              <w:lang w:val="zh-CN"/>
            </w:rPr>
            <w:fldChar w:fldCharType="end"/>
          </w:r>
        </w:p>
        <w:p w14:paraId="38440120">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_Toc26909 </w:instrText>
          </w:r>
          <w:r>
            <w:rPr>
              <w:rFonts w:cs="Times New Roman"/>
              <w:bCs/>
              <w:highlight w:val="none"/>
              <w:lang w:val="zh-CN"/>
            </w:rPr>
            <w:fldChar w:fldCharType="separate"/>
          </w:r>
          <w:r>
            <w:rPr>
              <w:rFonts w:hint="default" w:cs="Times New Roman"/>
            </w:rPr>
            <w:t xml:space="preserve">7.3. </w:t>
          </w:r>
          <w:r>
            <w:rPr>
              <w:rFonts w:cs="Times New Roman"/>
              <w:highlight w:val="none"/>
            </w:rPr>
            <w:t>环保投资</w:t>
          </w:r>
          <w:r>
            <w:tab/>
          </w:r>
          <w:r>
            <w:fldChar w:fldCharType="begin"/>
          </w:r>
          <w:r>
            <w:instrText xml:space="preserve"> PAGEREF _Toc26909 \h </w:instrText>
          </w:r>
          <w:r>
            <w:fldChar w:fldCharType="separate"/>
          </w:r>
          <w:r>
            <w:t>240</w:t>
          </w:r>
          <w:r>
            <w:fldChar w:fldCharType="end"/>
          </w:r>
          <w:r>
            <w:rPr>
              <w:rFonts w:cs="Times New Roman"/>
              <w:bCs/>
              <w:color w:val="auto"/>
              <w:highlight w:val="none"/>
              <w:lang w:val="zh-CN"/>
            </w:rPr>
            <w:fldChar w:fldCharType="end"/>
          </w:r>
        </w:p>
        <w:p w14:paraId="53BA7273">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_Toc29595 </w:instrText>
          </w:r>
          <w:r>
            <w:rPr>
              <w:rFonts w:cs="Times New Roman"/>
              <w:bCs/>
              <w:highlight w:val="none"/>
              <w:lang w:val="zh-CN"/>
            </w:rPr>
            <w:fldChar w:fldCharType="separate"/>
          </w:r>
          <w:r>
            <w:rPr>
              <w:rFonts w:hint="default"/>
            </w:rPr>
            <w:t xml:space="preserve">7.4. </w:t>
          </w:r>
          <w:r>
            <w:rPr>
              <w:highlight w:val="none"/>
            </w:rPr>
            <w:t>环保治理措施技术、经济评述结论</w:t>
          </w:r>
          <w:r>
            <w:tab/>
          </w:r>
          <w:r>
            <w:fldChar w:fldCharType="begin"/>
          </w:r>
          <w:r>
            <w:instrText xml:space="preserve"> PAGEREF _Toc29595 \h </w:instrText>
          </w:r>
          <w:r>
            <w:fldChar w:fldCharType="separate"/>
          </w:r>
          <w:r>
            <w:t>242</w:t>
          </w:r>
          <w:r>
            <w:fldChar w:fldCharType="end"/>
          </w:r>
          <w:r>
            <w:rPr>
              <w:rFonts w:cs="Times New Roman"/>
              <w:bCs/>
              <w:color w:val="auto"/>
              <w:highlight w:val="none"/>
              <w:lang w:val="zh-CN"/>
            </w:rPr>
            <w:fldChar w:fldCharType="end"/>
          </w:r>
        </w:p>
        <w:p w14:paraId="0F6CA012">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_Toc32576 </w:instrText>
          </w:r>
          <w:r>
            <w:rPr>
              <w:rFonts w:cs="Times New Roman"/>
              <w:bCs/>
              <w:highlight w:val="none"/>
              <w:lang w:val="zh-CN"/>
            </w:rPr>
            <w:fldChar w:fldCharType="separate"/>
          </w:r>
          <w:r>
            <w:rPr>
              <w:rFonts w:hint="default"/>
            </w:rPr>
            <w:t xml:space="preserve">8. </w:t>
          </w:r>
          <w:r>
            <w:rPr>
              <w:highlight w:val="none"/>
            </w:rPr>
            <w:t>环境影响经济损益分析</w:t>
          </w:r>
          <w:r>
            <w:tab/>
          </w:r>
          <w:r>
            <w:fldChar w:fldCharType="begin"/>
          </w:r>
          <w:r>
            <w:instrText xml:space="preserve"> PAGEREF _Toc32576 \h </w:instrText>
          </w:r>
          <w:r>
            <w:fldChar w:fldCharType="separate"/>
          </w:r>
          <w:r>
            <w:t>243</w:t>
          </w:r>
          <w:r>
            <w:fldChar w:fldCharType="end"/>
          </w:r>
          <w:r>
            <w:rPr>
              <w:rFonts w:cs="Times New Roman"/>
              <w:bCs/>
              <w:color w:val="auto"/>
              <w:highlight w:val="none"/>
              <w:lang w:val="zh-CN"/>
            </w:rPr>
            <w:fldChar w:fldCharType="end"/>
          </w:r>
        </w:p>
        <w:p w14:paraId="255C391A">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_Toc15159 </w:instrText>
          </w:r>
          <w:r>
            <w:rPr>
              <w:rFonts w:cs="Times New Roman"/>
              <w:bCs/>
              <w:highlight w:val="none"/>
              <w:lang w:val="zh-CN"/>
            </w:rPr>
            <w:fldChar w:fldCharType="separate"/>
          </w:r>
          <w:r>
            <w:rPr>
              <w:rFonts w:hint="default" w:cs="Times New Roman"/>
            </w:rPr>
            <w:t xml:space="preserve">8.1. </w:t>
          </w:r>
          <w:r>
            <w:rPr>
              <w:rFonts w:cs="Times New Roman"/>
              <w:highlight w:val="none"/>
            </w:rPr>
            <w:t>经济效益</w:t>
          </w:r>
          <w:r>
            <w:tab/>
          </w:r>
          <w:r>
            <w:fldChar w:fldCharType="begin"/>
          </w:r>
          <w:r>
            <w:instrText xml:space="preserve"> PAGEREF _Toc15159 \h </w:instrText>
          </w:r>
          <w:r>
            <w:fldChar w:fldCharType="separate"/>
          </w:r>
          <w:r>
            <w:t>243</w:t>
          </w:r>
          <w:r>
            <w:fldChar w:fldCharType="end"/>
          </w:r>
          <w:r>
            <w:rPr>
              <w:rFonts w:cs="Times New Roman"/>
              <w:bCs/>
              <w:color w:val="auto"/>
              <w:highlight w:val="none"/>
              <w:lang w:val="zh-CN"/>
            </w:rPr>
            <w:fldChar w:fldCharType="end"/>
          </w:r>
        </w:p>
        <w:p w14:paraId="78112C04">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_Toc13391 </w:instrText>
          </w:r>
          <w:r>
            <w:rPr>
              <w:rFonts w:cs="Times New Roman"/>
              <w:bCs/>
              <w:highlight w:val="none"/>
              <w:lang w:val="zh-CN"/>
            </w:rPr>
            <w:fldChar w:fldCharType="separate"/>
          </w:r>
          <w:r>
            <w:rPr>
              <w:rFonts w:hint="default" w:cs="Times New Roman"/>
            </w:rPr>
            <w:t xml:space="preserve">8.2. </w:t>
          </w:r>
          <w:r>
            <w:rPr>
              <w:rFonts w:cs="Times New Roman"/>
              <w:highlight w:val="none"/>
            </w:rPr>
            <w:t>社会效益分析</w:t>
          </w:r>
          <w:r>
            <w:tab/>
          </w:r>
          <w:r>
            <w:fldChar w:fldCharType="begin"/>
          </w:r>
          <w:r>
            <w:instrText xml:space="preserve"> PAGEREF _Toc13391 \h </w:instrText>
          </w:r>
          <w:r>
            <w:fldChar w:fldCharType="separate"/>
          </w:r>
          <w:r>
            <w:t>243</w:t>
          </w:r>
          <w:r>
            <w:fldChar w:fldCharType="end"/>
          </w:r>
          <w:r>
            <w:rPr>
              <w:rFonts w:cs="Times New Roman"/>
              <w:bCs/>
              <w:color w:val="auto"/>
              <w:highlight w:val="none"/>
              <w:lang w:val="zh-CN"/>
            </w:rPr>
            <w:fldChar w:fldCharType="end"/>
          </w:r>
        </w:p>
        <w:p w14:paraId="63FEEDC9">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_Toc9475 </w:instrText>
          </w:r>
          <w:r>
            <w:rPr>
              <w:rFonts w:cs="Times New Roman"/>
              <w:bCs/>
              <w:highlight w:val="none"/>
              <w:lang w:val="zh-CN"/>
            </w:rPr>
            <w:fldChar w:fldCharType="separate"/>
          </w:r>
          <w:r>
            <w:rPr>
              <w:rFonts w:hint="default" w:cs="Times New Roman"/>
            </w:rPr>
            <w:t xml:space="preserve">8.3. </w:t>
          </w:r>
          <w:r>
            <w:rPr>
              <w:rFonts w:cs="Times New Roman"/>
              <w:highlight w:val="none"/>
            </w:rPr>
            <w:t>环境经济效益分析</w:t>
          </w:r>
          <w:r>
            <w:tab/>
          </w:r>
          <w:r>
            <w:fldChar w:fldCharType="begin"/>
          </w:r>
          <w:r>
            <w:instrText xml:space="preserve"> PAGEREF _Toc9475 \h </w:instrText>
          </w:r>
          <w:r>
            <w:fldChar w:fldCharType="separate"/>
          </w:r>
          <w:r>
            <w:t>243</w:t>
          </w:r>
          <w:r>
            <w:fldChar w:fldCharType="end"/>
          </w:r>
          <w:r>
            <w:rPr>
              <w:rFonts w:cs="Times New Roman"/>
              <w:bCs/>
              <w:color w:val="auto"/>
              <w:highlight w:val="none"/>
              <w:lang w:val="zh-CN"/>
            </w:rPr>
            <w:fldChar w:fldCharType="end"/>
          </w:r>
        </w:p>
        <w:p w14:paraId="57EED69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_Toc22049 </w:instrText>
          </w:r>
          <w:r>
            <w:rPr>
              <w:rFonts w:cs="Times New Roman"/>
              <w:bCs/>
              <w:highlight w:val="none"/>
              <w:lang w:val="zh-CN"/>
            </w:rPr>
            <w:fldChar w:fldCharType="separate"/>
          </w:r>
          <w:r>
            <w:rPr>
              <w:rFonts w:hint="default" w:cs="Times New Roman"/>
            </w:rPr>
            <w:t xml:space="preserve">8.3.1. </w:t>
          </w:r>
          <w:r>
            <w:rPr>
              <w:rFonts w:cs="Times New Roman"/>
              <w:highlight w:val="none"/>
            </w:rPr>
            <w:t>环境保护费用</w:t>
          </w:r>
          <w:r>
            <w:tab/>
          </w:r>
          <w:r>
            <w:fldChar w:fldCharType="begin"/>
          </w:r>
          <w:r>
            <w:instrText xml:space="preserve"> PAGEREF _Toc22049 \h </w:instrText>
          </w:r>
          <w:r>
            <w:fldChar w:fldCharType="separate"/>
          </w:r>
          <w:r>
            <w:t>243</w:t>
          </w:r>
          <w:r>
            <w:fldChar w:fldCharType="end"/>
          </w:r>
          <w:r>
            <w:rPr>
              <w:rFonts w:cs="Times New Roman"/>
              <w:bCs/>
              <w:color w:val="auto"/>
              <w:highlight w:val="none"/>
              <w:lang w:val="zh-CN"/>
            </w:rPr>
            <w:fldChar w:fldCharType="end"/>
          </w:r>
        </w:p>
        <w:p w14:paraId="2D19B95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_Toc13187 </w:instrText>
          </w:r>
          <w:r>
            <w:rPr>
              <w:rFonts w:cs="Times New Roman"/>
              <w:bCs/>
              <w:highlight w:val="none"/>
              <w:lang w:val="zh-CN"/>
            </w:rPr>
            <w:fldChar w:fldCharType="separate"/>
          </w:r>
          <w:r>
            <w:rPr>
              <w:rFonts w:hint="default" w:cs="Times New Roman"/>
            </w:rPr>
            <w:t xml:space="preserve">8.3.2. </w:t>
          </w:r>
          <w:r>
            <w:rPr>
              <w:rFonts w:cs="Times New Roman"/>
              <w:highlight w:val="none"/>
            </w:rPr>
            <w:t>环保设施效益</w:t>
          </w:r>
          <w:r>
            <w:tab/>
          </w:r>
          <w:r>
            <w:fldChar w:fldCharType="begin"/>
          </w:r>
          <w:r>
            <w:instrText xml:space="preserve"> PAGEREF _Toc13187 \h </w:instrText>
          </w:r>
          <w:r>
            <w:fldChar w:fldCharType="separate"/>
          </w:r>
          <w:r>
            <w:t>244</w:t>
          </w:r>
          <w:r>
            <w:fldChar w:fldCharType="end"/>
          </w:r>
          <w:r>
            <w:rPr>
              <w:rFonts w:cs="Times New Roman"/>
              <w:bCs/>
              <w:color w:val="auto"/>
              <w:highlight w:val="none"/>
              <w:lang w:val="zh-CN"/>
            </w:rPr>
            <w:fldChar w:fldCharType="end"/>
          </w:r>
        </w:p>
        <w:p w14:paraId="4C739AC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_Toc6617 </w:instrText>
          </w:r>
          <w:r>
            <w:rPr>
              <w:rFonts w:cs="Times New Roman"/>
              <w:bCs/>
              <w:highlight w:val="none"/>
              <w:lang w:val="zh-CN"/>
            </w:rPr>
            <w:fldChar w:fldCharType="separate"/>
          </w:r>
          <w:r>
            <w:rPr>
              <w:rFonts w:hint="default" w:cs="Times New Roman"/>
            </w:rPr>
            <w:t xml:space="preserve">8.3.3. </w:t>
          </w:r>
          <w:r>
            <w:rPr>
              <w:rFonts w:cs="Times New Roman"/>
              <w:highlight w:val="none"/>
            </w:rPr>
            <w:t>环境经济效益评价</w:t>
          </w:r>
          <w:r>
            <w:tab/>
          </w:r>
          <w:r>
            <w:fldChar w:fldCharType="begin"/>
          </w:r>
          <w:r>
            <w:instrText xml:space="preserve"> PAGEREF _Toc6617 \h </w:instrText>
          </w:r>
          <w:r>
            <w:fldChar w:fldCharType="separate"/>
          </w:r>
          <w:r>
            <w:t>245</w:t>
          </w:r>
          <w:r>
            <w:fldChar w:fldCharType="end"/>
          </w:r>
          <w:r>
            <w:rPr>
              <w:rFonts w:cs="Times New Roman"/>
              <w:bCs/>
              <w:color w:val="auto"/>
              <w:highlight w:val="none"/>
              <w:lang w:val="zh-CN"/>
            </w:rPr>
            <w:fldChar w:fldCharType="end"/>
          </w:r>
        </w:p>
        <w:p w14:paraId="0EA647D5">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_Toc14678 </w:instrText>
          </w:r>
          <w:r>
            <w:rPr>
              <w:rFonts w:cs="Times New Roman"/>
              <w:bCs/>
              <w:highlight w:val="none"/>
              <w:lang w:val="zh-CN"/>
            </w:rPr>
            <w:fldChar w:fldCharType="separate"/>
          </w:r>
          <w:r>
            <w:rPr>
              <w:rFonts w:hint="default" w:cs="Times New Roman"/>
            </w:rPr>
            <w:t xml:space="preserve">8.4. </w:t>
          </w:r>
          <w:r>
            <w:rPr>
              <w:rFonts w:cs="Times New Roman"/>
              <w:highlight w:val="none"/>
            </w:rPr>
            <w:t>小结</w:t>
          </w:r>
          <w:r>
            <w:tab/>
          </w:r>
          <w:r>
            <w:fldChar w:fldCharType="begin"/>
          </w:r>
          <w:r>
            <w:instrText xml:space="preserve"> PAGEREF _Toc14678 \h </w:instrText>
          </w:r>
          <w:r>
            <w:fldChar w:fldCharType="separate"/>
          </w:r>
          <w:r>
            <w:t>245</w:t>
          </w:r>
          <w:r>
            <w:fldChar w:fldCharType="end"/>
          </w:r>
          <w:r>
            <w:rPr>
              <w:rFonts w:cs="Times New Roman"/>
              <w:bCs/>
              <w:color w:val="auto"/>
              <w:highlight w:val="none"/>
              <w:lang w:val="zh-CN"/>
            </w:rPr>
            <w:fldChar w:fldCharType="end"/>
          </w:r>
        </w:p>
        <w:p w14:paraId="737AF162">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_Toc14735 </w:instrText>
          </w:r>
          <w:r>
            <w:rPr>
              <w:rFonts w:cs="Times New Roman"/>
              <w:bCs/>
              <w:highlight w:val="none"/>
              <w:lang w:val="zh-CN"/>
            </w:rPr>
            <w:fldChar w:fldCharType="separate"/>
          </w:r>
          <w:r>
            <w:rPr>
              <w:rFonts w:hint="default" w:cs="Times New Roman"/>
            </w:rPr>
            <w:t xml:space="preserve">9. </w:t>
          </w:r>
          <w:r>
            <w:rPr>
              <w:rFonts w:cs="Times New Roman"/>
              <w:highlight w:val="none"/>
            </w:rPr>
            <w:t>环境管理与监测计划</w:t>
          </w:r>
          <w:r>
            <w:tab/>
          </w:r>
          <w:r>
            <w:fldChar w:fldCharType="begin"/>
          </w:r>
          <w:r>
            <w:instrText xml:space="preserve"> PAGEREF _Toc14735 \h </w:instrText>
          </w:r>
          <w:r>
            <w:fldChar w:fldCharType="separate"/>
          </w:r>
          <w:r>
            <w:t>246</w:t>
          </w:r>
          <w:r>
            <w:fldChar w:fldCharType="end"/>
          </w:r>
          <w:r>
            <w:rPr>
              <w:rFonts w:cs="Times New Roman"/>
              <w:bCs/>
              <w:color w:val="auto"/>
              <w:highlight w:val="none"/>
              <w:lang w:val="zh-CN"/>
            </w:rPr>
            <w:fldChar w:fldCharType="end"/>
          </w:r>
        </w:p>
        <w:p w14:paraId="6B7609CB">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_Toc23108 </w:instrText>
          </w:r>
          <w:r>
            <w:rPr>
              <w:rFonts w:cs="Times New Roman"/>
              <w:bCs/>
              <w:highlight w:val="none"/>
              <w:lang w:val="zh-CN"/>
            </w:rPr>
            <w:fldChar w:fldCharType="separate"/>
          </w:r>
          <w:r>
            <w:rPr>
              <w:rFonts w:hint="default" w:cs="Times New Roman"/>
            </w:rPr>
            <w:t xml:space="preserve">9.1. </w:t>
          </w:r>
          <w:r>
            <w:rPr>
              <w:rFonts w:cs="Times New Roman"/>
              <w:highlight w:val="none"/>
            </w:rPr>
            <w:t>环境管理的目的和意义</w:t>
          </w:r>
          <w:r>
            <w:tab/>
          </w:r>
          <w:r>
            <w:fldChar w:fldCharType="begin"/>
          </w:r>
          <w:r>
            <w:instrText xml:space="preserve"> PAGEREF _Toc23108 \h </w:instrText>
          </w:r>
          <w:r>
            <w:fldChar w:fldCharType="separate"/>
          </w:r>
          <w:r>
            <w:t>246</w:t>
          </w:r>
          <w:r>
            <w:fldChar w:fldCharType="end"/>
          </w:r>
          <w:r>
            <w:rPr>
              <w:rFonts w:cs="Times New Roman"/>
              <w:bCs/>
              <w:color w:val="auto"/>
              <w:highlight w:val="none"/>
              <w:lang w:val="zh-CN"/>
            </w:rPr>
            <w:fldChar w:fldCharType="end"/>
          </w:r>
        </w:p>
        <w:p w14:paraId="7D5E6A47">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_Toc7099 </w:instrText>
          </w:r>
          <w:r>
            <w:rPr>
              <w:rFonts w:cs="Times New Roman"/>
              <w:bCs/>
              <w:highlight w:val="none"/>
              <w:lang w:val="zh-CN"/>
            </w:rPr>
            <w:fldChar w:fldCharType="separate"/>
          </w:r>
          <w:r>
            <w:rPr>
              <w:rFonts w:hint="default" w:cs="Times New Roman"/>
            </w:rPr>
            <w:t xml:space="preserve">9.2. </w:t>
          </w:r>
          <w:r>
            <w:rPr>
              <w:rFonts w:cs="Times New Roman"/>
              <w:highlight w:val="none"/>
            </w:rPr>
            <w:t>环境管理机构及职责</w:t>
          </w:r>
          <w:r>
            <w:tab/>
          </w:r>
          <w:r>
            <w:fldChar w:fldCharType="begin"/>
          </w:r>
          <w:r>
            <w:instrText xml:space="preserve"> PAGEREF _Toc7099 \h </w:instrText>
          </w:r>
          <w:r>
            <w:fldChar w:fldCharType="separate"/>
          </w:r>
          <w:r>
            <w:t>246</w:t>
          </w:r>
          <w:r>
            <w:fldChar w:fldCharType="end"/>
          </w:r>
          <w:r>
            <w:rPr>
              <w:rFonts w:cs="Times New Roman"/>
              <w:bCs/>
              <w:color w:val="auto"/>
              <w:highlight w:val="none"/>
              <w:lang w:val="zh-CN"/>
            </w:rPr>
            <w:fldChar w:fldCharType="end"/>
          </w:r>
        </w:p>
        <w:p w14:paraId="01AD08E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_Toc5507 </w:instrText>
          </w:r>
          <w:r>
            <w:rPr>
              <w:rFonts w:cs="Times New Roman"/>
              <w:bCs/>
              <w:highlight w:val="none"/>
              <w:lang w:val="zh-CN"/>
            </w:rPr>
            <w:fldChar w:fldCharType="separate"/>
          </w:r>
          <w:r>
            <w:rPr>
              <w:rFonts w:hint="default" w:cs="Times New Roman"/>
            </w:rPr>
            <w:t xml:space="preserve">9.2.1. </w:t>
          </w:r>
          <w:r>
            <w:rPr>
              <w:rFonts w:cs="Times New Roman"/>
              <w:highlight w:val="none"/>
            </w:rPr>
            <w:t>环境管理机构</w:t>
          </w:r>
          <w:r>
            <w:tab/>
          </w:r>
          <w:r>
            <w:fldChar w:fldCharType="begin"/>
          </w:r>
          <w:r>
            <w:instrText xml:space="preserve"> PAGEREF _Toc5507 \h </w:instrText>
          </w:r>
          <w:r>
            <w:fldChar w:fldCharType="separate"/>
          </w:r>
          <w:r>
            <w:t>246</w:t>
          </w:r>
          <w:r>
            <w:fldChar w:fldCharType="end"/>
          </w:r>
          <w:r>
            <w:rPr>
              <w:rFonts w:cs="Times New Roman"/>
              <w:bCs/>
              <w:color w:val="auto"/>
              <w:highlight w:val="none"/>
              <w:lang w:val="zh-CN"/>
            </w:rPr>
            <w:fldChar w:fldCharType="end"/>
          </w:r>
        </w:p>
        <w:p w14:paraId="2ADAD84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_Toc13004 </w:instrText>
          </w:r>
          <w:r>
            <w:rPr>
              <w:rFonts w:cs="Times New Roman"/>
              <w:bCs/>
              <w:highlight w:val="none"/>
              <w:lang w:val="zh-CN"/>
            </w:rPr>
            <w:fldChar w:fldCharType="separate"/>
          </w:r>
          <w:r>
            <w:rPr>
              <w:rFonts w:hint="default" w:cs="Times New Roman"/>
            </w:rPr>
            <w:t xml:space="preserve">9.2.2. </w:t>
          </w:r>
          <w:r>
            <w:rPr>
              <w:rFonts w:cs="Times New Roman"/>
              <w:highlight w:val="none"/>
            </w:rPr>
            <w:t>环境管理机构职责</w:t>
          </w:r>
          <w:r>
            <w:tab/>
          </w:r>
          <w:r>
            <w:fldChar w:fldCharType="begin"/>
          </w:r>
          <w:r>
            <w:instrText xml:space="preserve"> PAGEREF _Toc13004 \h </w:instrText>
          </w:r>
          <w:r>
            <w:fldChar w:fldCharType="separate"/>
          </w:r>
          <w:r>
            <w:t>246</w:t>
          </w:r>
          <w:r>
            <w:fldChar w:fldCharType="end"/>
          </w:r>
          <w:r>
            <w:rPr>
              <w:rFonts w:cs="Times New Roman"/>
              <w:bCs/>
              <w:color w:val="auto"/>
              <w:highlight w:val="none"/>
              <w:lang w:val="zh-CN"/>
            </w:rPr>
            <w:fldChar w:fldCharType="end"/>
          </w:r>
        </w:p>
        <w:p w14:paraId="0DACF80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_Toc11133 </w:instrText>
          </w:r>
          <w:r>
            <w:rPr>
              <w:rFonts w:cs="Times New Roman"/>
              <w:bCs/>
              <w:highlight w:val="none"/>
              <w:lang w:val="zh-CN"/>
            </w:rPr>
            <w:fldChar w:fldCharType="separate"/>
          </w:r>
          <w:r>
            <w:rPr>
              <w:rFonts w:hint="default" w:cs="Times New Roman"/>
            </w:rPr>
            <w:t xml:space="preserve">9.2.3. </w:t>
          </w:r>
          <w:r>
            <w:rPr>
              <w:rFonts w:cs="Times New Roman"/>
              <w:highlight w:val="none"/>
            </w:rPr>
            <w:t>执行机构工作内容</w:t>
          </w:r>
          <w:r>
            <w:tab/>
          </w:r>
          <w:r>
            <w:fldChar w:fldCharType="begin"/>
          </w:r>
          <w:r>
            <w:instrText xml:space="preserve"> PAGEREF _Toc11133 \h </w:instrText>
          </w:r>
          <w:r>
            <w:fldChar w:fldCharType="separate"/>
          </w:r>
          <w:r>
            <w:t>247</w:t>
          </w:r>
          <w:r>
            <w:fldChar w:fldCharType="end"/>
          </w:r>
          <w:r>
            <w:rPr>
              <w:rFonts w:cs="Times New Roman"/>
              <w:bCs/>
              <w:color w:val="auto"/>
              <w:highlight w:val="none"/>
              <w:lang w:val="zh-CN"/>
            </w:rPr>
            <w:fldChar w:fldCharType="end"/>
          </w:r>
        </w:p>
        <w:p w14:paraId="0B3A9861">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_Toc15991 </w:instrText>
          </w:r>
          <w:r>
            <w:rPr>
              <w:rFonts w:cs="Times New Roman"/>
              <w:bCs/>
              <w:highlight w:val="none"/>
              <w:lang w:val="zh-CN"/>
            </w:rPr>
            <w:fldChar w:fldCharType="separate"/>
          </w:r>
          <w:r>
            <w:rPr>
              <w:rFonts w:hint="default" w:cs="Times New Roman"/>
            </w:rPr>
            <w:t xml:space="preserve">9.3. </w:t>
          </w:r>
          <w:r>
            <w:rPr>
              <w:rFonts w:cs="Times New Roman"/>
              <w:highlight w:val="none"/>
            </w:rPr>
            <w:t>环境管理</w:t>
          </w:r>
          <w:r>
            <w:tab/>
          </w:r>
          <w:r>
            <w:fldChar w:fldCharType="begin"/>
          </w:r>
          <w:r>
            <w:instrText xml:space="preserve"> PAGEREF _Toc15991 \h </w:instrText>
          </w:r>
          <w:r>
            <w:fldChar w:fldCharType="separate"/>
          </w:r>
          <w:r>
            <w:t>247</w:t>
          </w:r>
          <w:r>
            <w:fldChar w:fldCharType="end"/>
          </w:r>
          <w:r>
            <w:rPr>
              <w:rFonts w:cs="Times New Roman"/>
              <w:bCs/>
              <w:color w:val="auto"/>
              <w:highlight w:val="none"/>
              <w:lang w:val="zh-CN"/>
            </w:rPr>
            <w:fldChar w:fldCharType="end"/>
          </w:r>
        </w:p>
        <w:p w14:paraId="73930EB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_Toc598 </w:instrText>
          </w:r>
          <w:r>
            <w:rPr>
              <w:rFonts w:cs="Times New Roman"/>
              <w:bCs/>
              <w:highlight w:val="none"/>
              <w:lang w:val="zh-CN"/>
            </w:rPr>
            <w:fldChar w:fldCharType="separate"/>
          </w:r>
          <w:r>
            <w:rPr>
              <w:rFonts w:hint="default" w:cs="Times New Roman"/>
            </w:rPr>
            <w:t xml:space="preserve">9.3.1. </w:t>
          </w:r>
          <w:r>
            <w:rPr>
              <w:rFonts w:cs="Times New Roman"/>
              <w:highlight w:val="none"/>
            </w:rPr>
            <w:t>环境管理总体规划</w:t>
          </w:r>
          <w:r>
            <w:tab/>
          </w:r>
          <w:r>
            <w:fldChar w:fldCharType="begin"/>
          </w:r>
          <w:r>
            <w:instrText xml:space="preserve"> PAGEREF _Toc598 \h </w:instrText>
          </w:r>
          <w:r>
            <w:fldChar w:fldCharType="separate"/>
          </w:r>
          <w:r>
            <w:t>247</w:t>
          </w:r>
          <w:r>
            <w:fldChar w:fldCharType="end"/>
          </w:r>
          <w:r>
            <w:rPr>
              <w:rFonts w:cs="Times New Roman"/>
              <w:bCs/>
              <w:color w:val="auto"/>
              <w:highlight w:val="none"/>
              <w:lang w:val="zh-CN"/>
            </w:rPr>
            <w:fldChar w:fldCharType="end"/>
          </w:r>
        </w:p>
        <w:p w14:paraId="0FB3098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_Toc9350 </w:instrText>
          </w:r>
          <w:r>
            <w:rPr>
              <w:rFonts w:cs="Times New Roman"/>
              <w:bCs/>
              <w:highlight w:val="none"/>
              <w:lang w:val="zh-CN"/>
            </w:rPr>
            <w:fldChar w:fldCharType="separate"/>
          </w:r>
          <w:r>
            <w:rPr>
              <w:rFonts w:hint="default" w:cs="Times New Roman"/>
            </w:rPr>
            <w:t xml:space="preserve">9.3.2. </w:t>
          </w:r>
          <w:r>
            <w:rPr>
              <w:rFonts w:cs="Times New Roman"/>
              <w:highlight w:val="none"/>
            </w:rPr>
            <w:t>环境管理指标体系</w:t>
          </w:r>
          <w:r>
            <w:tab/>
          </w:r>
          <w:r>
            <w:fldChar w:fldCharType="begin"/>
          </w:r>
          <w:r>
            <w:instrText xml:space="preserve"> PAGEREF _Toc9350 \h </w:instrText>
          </w:r>
          <w:r>
            <w:fldChar w:fldCharType="separate"/>
          </w:r>
          <w:r>
            <w:t>247</w:t>
          </w:r>
          <w:r>
            <w:fldChar w:fldCharType="end"/>
          </w:r>
          <w:r>
            <w:rPr>
              <w:rFonts w:cs="Times New Roman"/>
              <w:bCs/>
              <w:color w:val="auto"/>
              <w:highlight w:val="none"/>
              <w:lang w:val="zh-CN"/>
            </w:rPr>
            <w:fldChar w:fldCharType="end"/>
          </w:r>
        </w:p>
        <w:p w14:paraId="6287F1F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_Toc2045 </w:instrText>
          </w:r>
          <w:r>
            <w:rPr>
              <w:rFonts w:cs="Times New Roman"/>
              <w:bCs/>
              <w:highlight w:val="none"/>
              <w:lang w:val="zh-CN"/>
            </w:rPr>
            <w:fldChar w:fldCharType="separate"/>
          </w:r>
          <w:r>
            <w:rPr>
              <w:rFonts w:hint="default" w:cs="Times New Roman"/>
            </w:rPr>
            <w:t xml:space="preserve">9.3.3. </w:t>
          </w:r>
          <w:r>
            <w:rPr>
              <w:rFonts w:cs="Times New Roman"/>
              <w:highlight w:val="none"/>
            </w:rPr>
            <w:t>环境管理计划</w:t>
          </w:r>
          <w:r>
            <w:tab/>
          </w:r>
          <w:r>
            <w:fldChar w:fldCharType="begin"/>
          </w:r>
          <w:r>
            <w:instrText xml:space="preserve"> PAGEREF _Toc2045 \h </w:instrText>
          </w:r>
          <w:r>
            <w:fldChar w:fldCharType="separate"/>
          </w:r>
          <w:r>
            <w:t>248</w:t>
          </w:r>
          <w:r>
            <w:fldChar w:fldCharType="end"/>
          </w:r>
          <w:r>
            <w:rPr>
              <w:rFonts w:cs="Times New Roman"/>
              <w:bCs/>
              <w:color w:val="auto"/>
              <w:highlight w:val="none"/>
              <w:lang w:val="zh-CN"/>
            </w:rPr>
            <w:fldChar w:fldCharType="end"/>
          </w:r>
        </w:p>
        <w:p w14:paraId="54E34359">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_Toc1335 </w:instrText>
          </w:r>
          <w:r>
            <w:rPr>
              <w:rFonts w:cs="Times New Roman"/>
              <w:bCs/>
              <w:highlight w:val="none"/>
              <w:lang w:val="zh-CN"/>
            </w:rPr>
            <w:fldChar w:fldCharType="separate"/>
          </w:r>
          <w:r>
            <w:rPr>
              <w:rFonts w:hint="default" w:cs="Times New Roman"/>
            </w:rPr>
            <w:t xml:space="preserve">9.4. </w:t>
          </w:r>
          <w:r>
            <w:rPr>
              <w:rFonts w:cs="Times New Roman"/>
              <w:highlight w:val="none"/>
            </w:rPr>
            <w:t>环境监测计划</w:t>
          </w:r>
          <w:r>
            <w:tab/>
          </w:r>
          <w:r>
            <w:fldChar w:fldCharType="begin"/>
          </w:r>
          <w:r>
            <w:instrText xml:space="preserve"> PAGEREF _Toc1335 \h </w:instrText>
          </w:r>
          <w:r>
            <w:fldChar w:fldCharType="separate"/>
          </w:r>
          <w:r>
            <w:t>250</w:t>
          </w:r>
          <w:r>
            <w:fldChar w:fldCharType="end"/>
          </w:r>
          <w:r>
            <w:rPr>
              <w:rFonts w:cs="Times New Roman"/>
              <w:bCs/>
              <w:color w:val="auto"/>
              <w:highlight w:val="none"/>
              <w:lang w:val="zh-CN"/>
            </w:rPr>
            <w:fldChar w:fldCharType="end"/>
          </w:r>
        </w:p>
        <w:p w14:paraId="11FB0C8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_Toc17820 </w:instrText>
          </w:r>
          <w:r>
            <w:rPr>
              <w:rFonts w:cs="Times New Roman"/>
              <w:bCs/>
              <w:highlight w:val="none"/>
              <w:lang w:val="zh-CN"/>
            </w:rPr>
            <w:fldChar w:fldCharType="separate"/>
          </w:r>
          <w:r>
            <w:rPr>
              <w:rFonts w:hint="default" w:cs="Times New Roman"/>
            </w:rPr>
            <w:t xml:space="preserve">9.4.1. </w:t>
          </w:r>
          <w:r>
            <w:rPr>
              <w:rFonts w:cs="Times New Roman"/>
              <w:highlight w:val="none"/>
            </w:rPr>
            <w:t>环境监测的目的</w:t>
          </w:r>
          <w:r>
            <w:tab/>
          </w:r>
          <w:r>
            <w:fldChar w:fldCharType="begin"/>
          </w:r>
          <w:r>
            <w:instrText xml:space="preserve"> PAGEREF _Toc17820 \h </w:instrText>
          </w:r>
          <w:r>
            <w:fldChar w:fldCharType="separate"/>
          </w:r>
          <w:r>
            <w:t>250</w:t>
          </w:r>
          <w:r>
            <w:fldChar w:fldCharType="end"/>
          </w:r>
          <w:r>
            <w:rPr>
              <w:rFonts w:cs="Times New Roman"/>
              <w:bCs/>
              <w:color w:val="auto"/>
              <w:highlight w:val="none"/>
              <w:lang w:val="zh-CN"/>
            </w:rPr>
            <w:fldChar w:fldCharType="end"/>
          </w:r>
        </w:p>
        <w:p w14:paraId="6C07F4E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_Toc3939 </w:instrText>
          </w:r>
          <w:r>
            <w:rPr>
              <w:rFonts w:cs="Times New Roman"/>
              <w:bCs/>
              <w:highlight w:val="none"/>
              <w:lang w:val="zh-CN"/>
            </w:rPr>
            <w:fldChar w:fldCharType="separate"/>
          </w:r>
          <w:r>
            <w:rPr>
              <w:rFonts w:hint="default" w:cs="Times New Roman"/>
            </w:rPr>
            <w:t xml:space="preserve">9.4.2. </w:t>
          </w:r>
          <w:r>
            <w:rPr>
              <w:rFonts w:cs="Times New Roman"/>
              <w:highlight w:val="none"/>
            </w:rPr>
            <w:t>监测建立技术资料档案保管制度</w:t>
          </w:r>
          <w:r>
            <w:tab/>
          </w:r>
          <w:r>
            <w:fldChar w:fldCharType="begin"/>
          </w:r>
          <w:r>
            <w:instrText xml:space="preserve"> PAGEREF _Toc3939 \h </w:instrText>
          </w:r>
          <w:r>
            <w:fldChar w:fldCharType="separate"/>
          </w:r>
          <w:r>
            <w:t>250</w:t>
          </w:r>
          <w:r>
            <w:fldChar w:fldCharType="end"/>
          </w:r>
          <w:r>
            <w:rPr>
              <w:rFonts w:cs="Times New Roman"/>
              <w:bCs/>
              <w:color w:val="auto"/>
              <w:highlight w:val="none"/>
              <w:lang w:val="zh-CN"/>
            </w:rPr>
            <w:fldChar w:fldCharType="end"/>
          </w:r>
        </w:p>
        <w:p w14:paraId="63AC2D02">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_Toc14233 </w:instrText>
          </w:r>
          <w:r>
            <w:rPr>
              <w:rFonts w:cs="Times New Roman"/>
              <w:bCs/>
              <w:highlight w:val="none"/>
              <w:lang w:val="zh-CN"/>
            </w:rPr>
            <w:fldChar w:fldCharType="separate"/>
          </w:r>
          <w:r>
            <w:rPr>
              <w:rFonts w:hint="default" w:cs="Times New Roman"/>
            </w:rPr>
            <w:t xml:space="preserve">9.4.3. </w:t>
          </w:r>
          <w:r>
            <w:rPr>
              <w:rFonts w:cs="Times New Roman"/>
              <w:highlight w:val="none"/>
            </w:rPr>
            <w:t>环境监测计划</w:t>
          </w:r>
          <w:r>
            <w:tab/>
          </w:r>
          <w:r>
            <w:fldChar w:fldCharType="begin"/>
          </w:r>
          <w:r>
            <w:instrText xml:space="preserve"> PAGEREF _Toc14233 \h </w:instrText>
          </w:r>
          <w:r>
            <w:fldChar w:fldCharType="separate"/>
          </w:r>
          <w:r>
            <w:t>250</w:t>
          </w:r>
          <w:r>
            <w:fldChar w:fldCharType="end"/>
          </w:r>
          <w:r>
            <w:rPr>
              <w:rFonts w:cs="Times New Roman"/>
              <w:bCs/>
              <w:color w:val="auto"/>
              <w:highlight w:val="none"/>
              <w:lang w:val="zh-CN"/>
            </w:rPr>
            <w:fldChar w:fldCharType="end"/>
          </w:r>
        </w:p>
        <w:p w14:paraId="495DF5D2">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_Toc31493 </w:instrText>
          </w:r>
          <w:r>
            <w:rPr>
              <w:rFonts w:cs="Times New Roman"/>
              <w:bCs/>
              <w:highlight w:val="none"/>
              <w:lang w:val="zh-CN"/>
            </w:rPr>
            <w:fldChar w:fldCharType="separate"/>
          </w:r>
          <w:r>
            <w:rPr>
              <w:rFonts w:hint="default" w:cs="Times New Roman"/>
            </w:rPr>
            <w:t xml:space="preserve">9.5. </w:t>
          </w:r>
          <w:r>
            <w:rPr>
              <w:rFonts w:cs="Times New Roman"/>
              <w:highlight w:val="none"/>
            </w:rPr>
            <w:t>环境监理</w:t>
          </w:r>
          <w:r>
            <w:tab/>
          </w:r>
          <w:r>
            <w:fldChar w:fldCharType="begin"/>
          </w:r>
          <w:r>
            <w:instrText xml:space="preserve"> PAGEREF _Toc31493 \h </w:instrText>
          </w:r>
          <w:r>
            <w:fldChar w:fldCharType="separate"/>
          </w:r>
          <w:r>
            <w:t>252</w:t>
          </w:r>
          <w:r>
            <w:fldChar w:fldCharType="end"/>
          </w:r>
          <w:r>
            <w:rPr>
              <w:rFonts w:cs="Times New Roman"/>
              <w:bCs/>
              <w:color w:val="auto"/>
              <w:highlight w:val="none"/>
              <w:lang w:val="zh-CN"/>
            </w:rPr>
            <w:fldChar w:fldCharType="end"/>
          </w:r>
        </w:p>
        <w:p w14:paraId="1A608B2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_Toc22151 </w:instrText>
          </w:r>
          <w:r>
            <w:rPr>
              <w:rFonts w:cs="Times New Roman"/>
              <w:bCs/>
              <w:highlight w:val="none"/>
              <w:lang w:val="zh-CN"/>
            </w:rPr>
            <w:fldChar w:fldCharType="separate"/>
          </w:r>
          <w:r>
            <w:rPr>
              <w:rFonts w:hint="default" w:cs="Times New Roman"/>
            </w:rPr>
            <w:t xml:space="preserve">9.5.1. </w:t>
          </w:r>
          <w:r>
            <w:rPr>
              <w:rFonts w:cs="Times New Roman"/>
              <w:highlight w:val="none"/>
            </w:rPr>
            <w:t>环境监理的目的、依据及原则</w:t>
          </w:r>
          <w:r>
            <w:tab/>
          </w:r>
          <w:r>
            <w:fldChar w:fldCharType="begin"/>
          </w:r>
          <w:r>
            <w:instrText xml:space="preserve"> PAGEREF _Toc22151 \h </w:instrText>
          </w:r>
          <w:r>
            <w:fldChar w:fldCharType="separate"/>
          </w:r>
          <w:r>
            <w:t>252</w:t>
          </w:r>
          <w:r>
            <w:fldChar w:fldCharType="end"/>
          </w:r>
          <w:r>
            <w:rPr>
              <w:rFonts w:cs="Times New Roman"/>
              <w:bCs/>
              <w:color w:val="auto"/>
              <w:highlight w:val="none"/>
              <w:lang w:val="zh-CN"/>
            </w:rPr>
            <w:fldChar w:fldCharType="end"/>
          </w:r>
        </w:p>
        <w:p w14:paraId="2F9D004A">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_Toc1245 </w:instrText>
          </w:r>
          <w:r>
            <w:rPr>
              <w:rFonts w:cs="Times New Roman"/>
              <w:bCs/>
              <w:highlight w:val="none"/>
              <w:lang w:val="zh-CN"/>
            </w:rPr>
            <w:fldChar w:fldCharType="separate"/>
          </w:r>
          <w:r>
            <w:rPr>
              <w:rFonts w:hint="default" w:cs="Times New Roman"/>
            </w:rPr>
            <w:t xml:space="preserve">9.5.2. </w:t>
          </w:r>
          <w:r>
            <w:rPr>
              <w:rFonts w:cs="Times New Roman"/>
              <w:highlight w:val="none"/>
            </w:rPr>
            <w:t>环境监理机构、职责及人员</w:t>
          </w:r>
          <w:r>
            <w:tab/>
          </w:r>
          <w:r>
            <w:fldChar w:fldCharType="begin"/>
          </w:r>
          <w:r>
            <w:instrText xml:space="preserve"> PAGEREF _Toc1245 \h </w:instrText>
          </w:r>
          <w:r>
            <w:fldChar w:fldCharType="separate"/>
          </w:r>
          <w:r>
            <w:t>252</w:t>
          </w:r>
          <w:r>
            <w:fldChar w:fldCharType="end"/>
          </w:r>
          <w:r>
            <w:rPr>
              <w:rFonts w:cs="Times New Roman"/>
              <w:bCs/>
              <w:color w:val="auto"/>
              <w:highlight w:val="none"/>
              <w:lang w:val="zh-CN"/>
            </w:rPr>
            <w:fldChar w:fldCharType="end"/>
          </w:r>
        </w:p>
        <w:p w14:paraId="1799CE2E">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_Toc24761 </w:instrText>
          </w:r>
          <w:r>
            <w:rPr>
              <w:rFonts w:cs="Times New Roman"/>
              <w:bCs/>
              <w:highlight w:val="none"/>
              <w:lang w:val="zh-CN"/>
            </w:rPr>
            <w:fldChar w:fldCharType="separate"/>
          </w:r>
          <w:r>
            <w:rPr>
              <w:rFonts w:hint="default" w:cs="Times New Roman"/>
            </w:rPr>
            <w:t xml:space="preserve">9.5.3. </w:t>
          </w:r>
          <w:r>
            <w:rPr>
              <w:rFonts w:cs="Times New Roman"/>
              <w:highlight w:val="none"/>
            </w:rPr>
            <w:t>环境监理主要内容</w:t>
          </w:r>
          <w:r>
            <w:tab/>
          </w:r>
          <w:r>
            <w:fldChar w:fldCharType="begin"/>
          </w:r>
          <w:r>
            <w:instrText xml:space="preserve"> PAGEREF _Toc24761 \h </w:instrText>
          </w:r>
          <w:r>
            <w:fldChar w:fldCharType="separate"/>
          </w:r>
          <w:r>
            <w:t>252</w:t>
          </w:r>
          <w:r>
            <w:fldChar w:fldCharType="end"/>
          </w:r>
          <w:r>
            <w:rPr>
              <w:rFonts w:cs="Times New Roman"/>
              <w:bCs/>
              <w:color w:val="auto"/>
              <w:highlight w:val="none"/>
              <w:lang w:val="zh-CN"/>
            </w:rPr>
            <w:fldChar w:fldCharType="end"/>
          </w:r>
        </w:p>
        <w:p w14:paraId="47212B91">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_Toc23614 </w:instrText>
          </w:r>
          <w:r>
            <w:rPr>
              <w:rFonts w:cs="Times New Roman"/>
              <w:bCs/>
              <w:highlight w:val="none"/>
              <w:lang w:val="zh-CN"/>
            </w:rPr>
            <w:fldChar w:fldCharType="separate"/>
          </w:r>
          <w:r>
            <w:rPr>
              <w:rFonts w:hint="default" w:cs="Times New Roman"/>
            </w:rPr>
            <w:t xml:space="preserve">9.5.4. </w:t>
          </w:r>
          <w:r>
            <w:rPr>
              <w:rFonts w:cs="Times New Roman"/>
              <w:highlight w:val="none"/>
            </w:rPr>
            <w:t>本项目环境监理计划</w:t>
          </w:r>
          <w:r>
            <w:tab/>
          </w:r>
          <w:r>
            <w:fldChar w:fldCharType="begin"/>
          </w:r>
          <w:r>
            <w:instrText xml:space="preserve"> PAGEREF _Toc23614 \h </w:instrText>
          </w:r>
          <w:r>
            <w:fldChar w:fldCharType="separate"/>
          </w:r>
          <w:r>
            <w:t>253</w:t>
          </w:r>
          <w:r>
            <w:fldChar w:fldCharType="end"/>
          </w:r>
          <w:r>
            <w:rPr>
              <w:rFonts w:cs="Times New Roman"/>
              <w:bCs/>
              <w:color w:val="auto"/>
              <w:highlight w:val="none"/>
              <w:lang w:val="zh-CN"/>
            </w:rPr>
            <w:fldChar w:fldCharType="end"/>
          </w:r>
        </w:p>
        <w:p w14:paraId="04767E70">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_Toc12628 </w:instrText>
          </w:r>
          <w:r>
            <w:rPr>
              <w:rFonts w:cs="Times New Roman"/>
              <w:bCs/>
              <w:highlight w:val="none"/>
              <w:lang w:val="zh-CN"/>
            </w:rPr>
            <w:fldChar w:fldCharType="separate"/>
          </w:r>
          <w:r>
            <w:rPr>
              <w:rFonts w:hint="default" w:cs="Times New Roman"/>
            </w:rPr>
            <w:t xml:space="preserve">9.6. </w:t>
          </w:r>
          <w:r>
            <w:rPr>
              <w:rFonts w:cs="Times New Roman"/>
              <w:highlight w:val="none"/>
            </w:rPr>
            <w:t>环保设施竣工验收管理</w:t>
          </w:r>
          <w:r>
            <w:tab/>
          </w:r>
          <w:r>
            <w:fldChar w:fldCharType="begin"/>
          </w:r>
          <w:r>
            <w:instrText xml:space="preserve"> PAGEREF _Toc12628 \h </w:instrText>
          </w:r>
          <w:r>
            <w:fldChar w:fldCharType="separate"/>
          </w:r>
          <w:r>
            <w:t>254</w:t>
          </w:r>
          <w:r>
            <w:fldChar w:fldCharType="end"/>
          </w:r>
          <w:r>
            <w:rPr>
              <w:rFonts w:cs="Times New Roman"/>
              <w:bCs/>
              <w:color w:val="auto"/>
              <w:highlight w:val="none"/>
              <w:lang w:val="zh-CN"/>
            </w:rPr>
            <w:fldChar w:fldCharType="end"/>
          </w:r>
        </w:p>
        <w:p w14:paraId="69F27D2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_Toc15440 </w:instrText>
          </w:r>
          <w:r>
            <w:rPr>
              <w:rFonts w:cs="Times New Roman"/>
              <w:bCs/>
              <w:highlight w:val="none"/>
              <w:lang w:val="zh-CN"/>
            </w:rPr>
            <w:fldChar w:fldCharType="separate"/>
          </w:r>
          <w:r>
            <w:rPr>
              <w:rFonts w:hint="default" w:cs="Times New Roman"/>
            </w:rPr>
            <w:t xml:space="preserve">9.6.1. </w:t>
          </w:r>
          <w:r>
            <w:rPr>
              <w:rFonts w:cs="Times New Roman"/>
              <w:highlight w:val="none"/>
            </w:rPr>
            <w:t>环保工程设计要求</w:t>
          </w:r>
          <w:r>
            <w:tab/>
          </w:r>
          <w:r>
            <w:fldChar w:fldCharType="begin"/>
          </w:r>
          <w:r>
            <w:instrText xml:space="preserve"> PAGEREF _Toc15440 \h </w:instrText>
          </w:r>
          <w:r>
            <w:fldChar w:fldCharType="separate"/>
          </w:r>
          <w:r>
            <w:t>254</w:t>
          </w:r>
          <w:r>
            <w:fldChar w:fldCharType="end"/>
          </w:r>
          <w:r>
            <w:rPr>
              <w:rFonts w:cs="Times New Roman"/>
              <w:bCs/>
              <w:color w:val="auto"/>
              <w:highlight w:val="none"/>
              <w:lang w:val="zh-CN"/>
            </w:rPr>
            <w:fldChar w:fldCharType="end"/>
          </w:r>
        </w:p>
        <w:p w14:paraId="14FD44EF">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_Toc6422 </w:instrText>
          </w:r>
          <w:r>
            <w:rPr>
              <w:rFonts w:cs="Times New Roman"/>
              <w:bCs/>
              <w:highlight w:val="none"/>
              <w:lang w:val="zh-CN"/>
            </w:rPr>
            <w:fldChar w:fldCharType="separate"/>
          </w:r>
          <w:r>
            <w:rPr>
              <w:rFonts w:hint="default" w:cs="Times New Roman"/>
            </w:rPr>
            <w:t xml:space="preserve">9.6.2. </w:t>
          </w:r>
          <w:r>
            <w:rPr>
              <w:rFonts w:cs="Times New Roman"/>
              <w:highlight w:val="none"/>
            </w:rPr>
            <w:t>环保设施验收建议</w:t>
          </w:r>
          <w:r>
            <w:tab/>
          </w:r>
          <w:r>
            <w:fldChar w:fldCharType="begin"/>
          </w:r>
          <w:r>
            <w:instrText xml:space="preserve"> PAGEREF _Toc6422 \h </w:instrText>
          </w:r>
          <w:r>
            <w:fldChar w:fldCharType="separate"/>
          </w:r>
          <w:r>
            <w:t>254</w:t>
          </w:r>
          <w:r>
            <w:fldChar w:fldCharType="end"/>
          </w:r>
          <w:r>
            <w:rPr>
              <w:rFonts w:cs="Times New Roman"/>
              <w:bCs/>
              <w:color w:val="auto"/>
              <w:highlight w:val="none"/>
              <w:lang w:val="zh-CN"/>
            </w:rPr>
            <w:fldChar w:fldCharType="end"/>
          </w:r>
        </w:p>
        <w:p w14:paraId="411125C7">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_Toc29764 </w:instrText>
          </w:r>
          <w:r>
            <w:rPr>
              <w:rFonts w:cs="Times New Roman"/>
              <w:bCs/>
              <w:highlight w:val="none"/>
              <w:lang w:val="zh-CN"/>
            </w:rPr>
            <w:fldChar w:fldCharType="separate"/>
          </w:r>
          <w:r>
            <w:rPr>
              <w:rFonts w:hint="default" w:cs="Times New Roman"/>
            </w:rPr>
            <w:t xml:space="preserve">9.7. </w:t>
          </w:r>
          <w:r>
            <w:rPr>
              <w:rFonts w:cs="Times New Roman"/>
              <w:highlight w:val="none"/>
            </w:rPr>
            <w:t>排污口规范化管理</w:t>
          </w:r>
          <w:r>
            <w:tab/>
          </w:r>
          <w:r>
            <w:fldChar w:fldCharType="begin"/>
          </w:r>
          <w:r>
            <w:instrText xml:space="preserve"> PAGEREF _Toc29764 \h </w:instrText>
          </w:r>
          <w:r>
            <w:fldChar w:fldCharType="separate"/>
          </w:r>
          <w:r>
            <w:t>256</w:t>
          </w:r>
          <w:r>
            <w:fldChar w:fldCharType="end"/>
          </w:r>
          <w:r>
            <w:rPr>
              <w:rFonts w:cs="Times New Roman"/>
              <w:bCs/>
              <w:color w:val="auto"/>
              <w:highlight w:val="none"/>
              <w:lang w:val="zh-CN"/>
            </w:rPr>
            <w:fldChar w:fldCharType="end"/>
          </w:r>
        </w:p>
        <w:p w14:paraId="4AE2C474">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_Toc3626 </w:instrText>
          </w:r>
          <w:r>
            <w:rPr>
              <w:rFonts w:cs="Times New Roman"/>
              <w:bCs/>
              <w:highlight w:val="none"/>
              <w:lang w:val="zh-CN"/>
            </w:rPr>
            <w:fldChar w:fldCharType="separate"/>
          </w:r>
          <w:r>
            <w:rPr>
              <w:rFonts w:hint="default" w:cs="Times New Roman"/>
            </w:rPr>
            <w:t xml:space="preserve">9.7.1. </w:t>
          </w:r>
          <w:r>
            <w:rPr>
              <w:rFonts w:cs="Times New Roman"/>
              <w:highlight w:val="none"/>
            </w:rPr>
            <w:t>排污口规范化管理的基本原则</w:t>
          </w:r>
          <w:r>
            <w:tab/>
          </w:r>
          <w:r>
            <w:fldChar w:fldCharType="begin"/>
          </w:r>
          <w:r>
            <w:instrText xml:space="preserve"> PAGEREF _Toc3626 \h </w:instrText>
          </w:r>
          <w:r>
            <w:fldChar w:fldCharType="separate"/>
          </w:r>
          <w:r>
            <w:t>256</w:t>
          </w:r>
          <w:r>
            <w:fldChar w:fldCharType="end"/>
          </w:r>
          <w:r>
            <w:rPr>
              <w:rFonts w:cs="Times New Roman"/>
              <w:bCs/>
              <w:color w:val="auto"/>
              <w:highlight w:val="none"/>
              <w:lang w:val="zh-CN"/>
            </w:rPr>
            <w:fldChar w:fldCharType="end"/>
          </w:r>
        </w:p>
        <w:p w14:paraId="596779BB">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_Toc32337 </w:instrText>
          </w:r>
          <w:r>
            <w:rPr>
              <w:rFonts w:cs="Times New Roman"/>
              <w:bCs/>
              <w:highlight w:val="none"/>
              <w:lang w:val="zh-CN"/>
            </w:rPr>
            <w:fldChar w:fldCharType="separate"/>
          </w:r>
          <w:r>
            <w:rPr>
              <w:rFonts w:hint="default" w:cs="Times New Roman"/>
            </w:rPr>
            <w:t xml:space="preserve">9.7.2. </w:t>
          </w:r>
          <w:r>
            <w:rPr>
              <w:rFonts w:cs="Times New Roman"/>
              <w:highlight w:val="none"/>
            </w:rPr>
            <w:t>排污口的技术要求</w:t>
          </w:r>
          <w:r>
            <w:tab/>
          </w:r>
          <w:r>
            <w:fldChar w:fldCharType="begin"/>
          </w:r>
          <w:r>
            <w:instrText xml:space="preserve"> PAGEREF _Toc32337 \h </w:instrText>
          </w:r>
          <w:r>
            <w:fldChar w:fldCharType="separate"/>
          </w:r>
          <w:r>
            <w:t>256</w:t>
          </w:r>
          <w:r>
            <w:fldChar w:fldCharType="end"/>
          </w:r>
          <w:r>
            <w:rPr>
              <w:rFonts w:cs="Times New Roman"/>
              <w:bCs/>
              <w:color w:val="auto"/>
              <w:highlight w:val="none"/>
              <w:lang w:val="zh-CN"/>
            </w:rPr>
            <w:fldChar w:fldCharType="end"/>
          </w:r>
        </w:p>
        <w:p w14:paraId="39112DC4">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_Toc29633 </w:instrText>
          </w:r>
          <w:r>
            <w:rPr>
              <w:rFonts w:cs="Times New Roman"/>
              <w:bCs/>
              <w:highlight w:val="none"/>
              <w:lang w:val="zh-CN"/>
            </w:rPr>
            <w:fldChar w:fldCharType="separate"/>
          </w:r>
          <w:r>
            <w:rPr>
              <w:rFonts w:hint="default" w:cs="Times New Roman"/>
            </w:rPr>
            <w:t xml:space="preserve">9.7.3. </w:t>
          </w:r>
          <w:r>
            <w:rPr>
              <w:rFonts w:cs="Times New Roman"/>
              <w:highlight w:val="none"/>
            </w:rPr>
            <w:t>排污口立标管理</w:t>
          </w:r>
          <w:r>
            <w:tab/>
          </w:r>
          <w:r>
            <w:fldChar w:fldCharType="begin"/>
          </w:r>
          <w:r>
            <w:instrText xml:space="preserve"> PAGEREF _Toc29633 \h </w:instrText>
          </w:r>
          <w:r>
            <w:fldChar w:fldCharType="separate"/>
          </w:r>
          <w:r>
            <w:t>257</w:t>
          </w:r>
          <w:r>
            <w:fldChar w:fldCharType="end"/>
          </w:r>
          <w:r>
            <w:rPr>
              <w:rFonts w:cs="Times New Roman"/>
              <w:bCs/>
              <w:color w:val="auto"/>
              <w:highlight w:val="none"/>
              <w:lang w:val="zh-CN"/>
            </w:rPr>
            <w:fldChar w:fldCharType="end"/>
          </w:r>
        </w:p>
        <w:p w14:paraId="0040121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_Toc884 </w:instrText>
          </w:r>
          <w:r>
            <w:rPr>
              <w:rFonts w:cs="Times New Roman"/>
              <w:bCs/>
              <w:highlight w:val="none"/>
              <w:lang w:val="zh-CN"/>
            </w:rPr>
            <w:fldChar w:fldCharType="separate"/>
          </w:r>
          <w:r>
            <w:rPr>
              <w:rFonts w:hint="default" w:cs="Times New Roman"/>
            </w:rPr>
            <w:t xml:space="preserve">9.7.4. </w:t>
          </w:r>
          <w:r>
            <w:rPr>
              <w:rFonts w:cs="Times New Roman"/>
              <w:highlight w:val="none"/>
            </w:rPr>
            <w:t>排污口建档管理</w:t>
          </w:r>
          <w:r>
            <w:tab/>
          </w:r>
          <w:r>
            <w:fldChar w:fldCharType="begin"/>
          </w:r>
          <w:r>
            <w:instrText xml:space="preserve"> PAGEREF _Toc884 \h </w:instrText>
          </w:r>
          <w:r>
            <w:fldChar w:fldCharType="separate"/>
          </w:r>
          <w:r>
            <w:t>257</w:t>
          </w:r>
          <w:r>
            <w:fldChar w:fldCharType="end"/>
          </w:r>
          <w:r>
            <w:rPr>
              <w:rFonts w:cs="Times New Roman"/>
              <w:bCs/>
              <w:color w:val="auto"/>
              <w:highlight w:val="none"/>
              <w:lang w:val="zh-CN"/>
            </w:rPr>
            <w:fldChar w:fldCharType="end"/>
          </w:r>
        </w:p>
        <w:p w14:paraId="09A85427">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_Toc32582 </w:instrText>
          </w:r>
          <w:r>
            <w:rPr>
              <w:rFonts w:cs="Times New Roman"/>
              <w:bCs/>
              <w:highlight w:val="none"/>
              <w:lang w:val="zh-CN"/>
            </w:rPr>
            <w:fldChar w:fldCharType="separate"/>
          </w:r>
          <w:r>
            <w:rPr>
              <w:rFonts w:hint="default"/>
            </w:rPr>
            <w:t xml:space="preserve">9.7.5. </w:t>
          </w:r>
          <w:r>
            <w:rPr>
              <w:rFonts w:hint="eastAsia"/>
              <w:highlight w:val="none"/>
            </w:rPr>
            <w:t>污染物排放口监测点位设置</w:t>
          </w:r>
          <w:r>
            <w:tab/>
          </w:r>
          <w:r>
            <w:fldChar w:fldCharType="begin"/>
          </w:r>
          <w:r>
            <w:instrText xml:space="preserve"> PAGEREF _Toc32582 \h </w:instrText>
          </w:r>
          <w:r>
            <w:fldChar w:fldCharType="separate"/>
          </w:r>
          <w:r>
            <w:t>258</w:t>
          </w:r>
          <w:r>
            <w:fldChar w:fldCharType="end"/>
          </w:r>
          <w:r>
            <w:rPr>
              <w:rFonts w:cs="Times New Roman"/>
              <w:bCs/>
              <w:color w:val="auto"/>
              <w:highlight w:val="none"/>
              <w:lang w:val="zh-CN"/>
            </w:rPr>
            <w:fldChar w:fldCharType="end"/>
          </w:r>
        </w:p>
        <w:p w14:paraId="41916DF6">
          <w:pPr>
            <w:pStyle w:val="23"/>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_Toc23106 </w:instrText>
          </w:r>
          <w:r>
            <w:rPr>
              <w:rFonts w:cs="Times New Roman"/>
              <w:bCs/>
              <w:highlight w:val="none"/>
              <w:lang w:val="zh-CN"/>
            </w:rPr>
            <w:fldChar w:fldCharType="separate"/>
          </w:r>
          <w:r>
            <w:rPr>
              <w:rFonts w:hint="default"/>
            </w:rPr>
            <w:t xml:space="preserve">10. </w:t>
          </w:r>
          <w:r>
            <w:rPr>
              <w:highlight w:val="none"/>
            </w:rPr>
            <w:t>环境影响评价结论</w:t>
          </w:r>
          <w:r>
            <w:tab/>
          </w:r>
          <w:r>
            <w:fldChar w:fldCharType="begin"/>
          </w:r>
          <w:r>
            <w:instrText xml:space="preserve"> PAGEREF _Toc23106 \h </w:instrText>
          </w:r>
          <w:r>
            <w:fldChar w:fldCharType="separate"/>
          </w:r>
          <w:r>
            <w:t>259</w:t>
          </w:r>
          <w:r>
            <w:fldChar w:fldCharType="end"/>
          </w:r>
          <w:r>
            <w:rPr>
              <w:rFonts w:cs="Times New Roman"/>
              <w:bCs/>
              <w:color w:val="auto"/>
              <w:highlight w:val="none"/>
              <w:lang w:val="zh-CN"/>
            </w:rPr>
            <w:fldChar w:fldCharType="end"/>
          </w:r>
        </w:p>
        <w:p w14:paraId="7A532291">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_Toc12392 </w:instrText>
          </w:r>
          <w:r>
            <w:rPr>
              <w:rFonts w:cs="Times New Roman"/>
              <w:bCs/>
              <w:highlight w:val="none"/>
              <w:lang w:val="zh-CN"/>
            </w:rPr>
            <w:fldChar w:fldCharType="separate"/>
          </w:r>
          <w:r>
            <w:rPr>
              <w:rFonts w:hint="default" w:cs="Times New Roman"/>
            </w:rPr>
            <w:t xml:space="preserve">10.1. </w:t>
          </w:r>
          <w:r>
            <w:rPr>
              <w:rFonts w:cs="Times New Roman"/>
              <w:highlight w:val="none"/>
            </w:rPr>
            <w:t>结论</w:t>
          </w:r>
          <w:r>
            <w:tab/>
          </w:r>
          <w:r>
            <w:fldChar w:fldCharType="begin"/>
          </w:r>
          <w:r>
            <w:instrText xml:space="preserve"> PAGEREF _Toc12392 \h </w:instrText>
          </w:r>
          <w:r>
            <w:fldChar w:fldCharType="separate"/>
          </w:r>
          <w:r>
            <w:t>259</w:t>
          </w:r>
          <w:r>
            <w:fldChar w:fldCharType="end"/>
          </w:r>
          <w:r>
            <w:rPr>
              <w:rFonts w:cs="Times New Roman"/>
              <w:bCs/>
              <w:color w:val="auto"/>
              <w:highlight w:val="none"/>
              <w:lang w:val="zh-CN"/>
            </w:rPr>
            <w:fldChar w:fldCharType="end"/>
          </w:r>
        </w:p>
        <w:p w14:paraId="6B06ABF5">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_Toc16728 </w:instrText>
          </w:r>
          <w:r>
            <w:rPr>
              <w:rFonts w:cs="Times New Roman"/>
              <w:bCs/>
              <w:highlight w:val="none"/>
              <w:lang w:val="zh-CN"/>
            </w:rPr>
            <w:fldChar w:fldCharType="separate"/>
          </w:r>
          <w:r>
            <w:rPr>
              <w:rFonts w:hint="default" w:cs="Times New Roman"/>
            </w:rPr>
            <w:t xml:space="preserve">10.1.1. </w:t>
          </w:r>
          <w:r>
            <w:rPr>
              <w:rFonts w:cs="Times New Roman"/>
              <w:highlight w:val="none"/>
            </w:rPr>
            <w:t>项目概况</w:t>
          </w:r>
          <w:r>
            <w:tab/>
          </w:r>
          <w:r>
            <w:fldChar w:fldCharType="begin"/>
          </w:r>
          <w:r>
            <w:instrText xml:space="preserve"> PAGEREF _Toc16728 \h </w:instrText>
          </w:r>
          <w:r>
            <w:fldChar w:fldCharType="separate"/>
          </w:r>
          <w:r>
            <w:t>259</w:t>
          </w:r>
          <w:r>
            <w:fldChar w:fldCharType="end"/>
          </w:r>
          <w:r>
            <w:rPr>
              <w:rFonts w:cs="Times New Roman"/>
              <w:bCs/>
              <w:color w:val="auto"/>
              <w:highlight w:val="none"/>
              <w:lang w:val="zh-CN"/>
            </w:rPr>
            <w:fldChar w:fldCharType="end"/>
          </w:r>
        </w:p>
        <w:p w14:paraId="29D2639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_Toc14933 </w:instrText>
          </w:r>
          <w:r>
            <w:rPr>
              <w:rFonts w:cs="Times New Roman"/>
              <w:bCs/>
              <w:highlight w:val="none"/>
              <w:lang w:val="zh-CN"/>
            </w:rPr>
            <w:fldChar w:fldCharType="separate"/>
          </w:r>
          <w:r>
            <w:rPr>
              <w:rFonts w:hint="default" w:cs="Times New Roman"/>
            </w:rPr>
            <w:t xml:space="preserve">10.1.2. </w:t>
          </w:r>
          <w:r>
            <w:rPr>
              <w:rFonts w:cs="Times New Roman"/>
              <w:highlight w:val="none"/>
            </w:rPr>
            <w:t>产业政策符合性</w:t>
          </w:r>
          <w:r>
            <w:tab/>
          </w:r>
          <w:r>
            <w:fldChar w:fldCharType="begin"/>
          </w:r>
          <w:r>
            <w:instrText xml:space="preserve"> PAGEREF _Toc14933 \h </w:instrText>
          </w:r>
          <w:r>
            <w:fldChar w:fldCharType="separate"/>
          </w:r>
          <w:r>
            <w:t>259</w:t>
          </w:r>
          <w:r>
            <w:fldChar w:fldCharType="end"/>
          </w:r>
          <w:r>
            <w:rPr>
              <w:rFonts w:cs="Times New Roman"/>
              <w:bCs/>
              <w:color w:val="auto"/>
              <w:highlight w:val="none"/>
              <w:lang w:val="zh-CN"/>
            </w:rPr>
            <w:fldChar w:fldCharType="end"/>
          </w:r>
        </w:p>
        <w:p w14:paraId="5AA9965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_Toc23075 </w:instrText>
          </w:r>
          <w:r>
            <w:rPr>
              <w:rFonts w:cs="Times New Roman"/>
              <w:bCs/>
              <w:highlight w:val="none"/>
              <w:lang w:val="zh-CN"/>
            </w:rPr>
            <w:fldChar w:fldCharType="separate"/>
          </w:r>
          <w:r>
            <w:rPr>
              <w:rFonts w:hint="default" w:cs="Times New Roman"/>
            </w:rPr>
            <w:t xml:space="preserve">10.1.3. </w:t>
          </w:r>
          <w:r>
            <w:rPr>
              <w:rFonts w:cs="Times New Roman"/>
              <w:highlight w:val="none"/>
            </w:rPr>
            <w:t>项目规划符合性</w:t>
          </w:r>
          <w:r>
            <w:tab/>
          </w:r>
          <w:r>
            <w:fldChar w:fldCharType="begin"/>
          </w:r>
          <w:r>
            <w:instrText xml:space="preserve"> PAGEREF _Toc23075 \h </w:instrText>
          </w:r>
          <w:r>
            <w:fldChar w:fldCharType="separate"/>
          </w:r>
          <w:r>
            <w:t>259</w:t>
          </w:r>
          <w:r>
            <w:fldChar w:fldCharType="end"/>
          </w:r>
          <w:r>
            <w:rPr>
              <w:rFonts w:cs="Times New Roman"/>
              <w:bCs/>
              <w:color w:val="auto"/>
              <w:highlight w:val="none"/>
              <w:lang w:val="zh-CN"/>
            </w:rPr>
            <w:fldChar w:fldCharType="end"/>
          </w:r>
        </w:p>
        <w:p w14:paraId="08A74C36">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_Toc28629 </w:instrText>
          </w:r>
          <w:r>
            <w:rPr>
              <w:rFonts w:cs="Times New Roman"/>
              <w:bCs/>
              <w:highlight w:val="none"/>
              <w:lang w:val="zh-CN"/>
            </w:rPr>
            <w:fldChar w:fldCharType="separate"/>
          </w:r>
          <w:r>
            <w:rPr>
              <w:rFonts w:hint="default" w:cs="Times New Roman"/>
            </w:rPr>
            <w:t xml:space="preserve">10.1.4. </w:t>
          </w:r>
          <w:r>
            <w:rPr>
              <w:rFonts w:cs="Times New Roman"/>
              <w:highlight w:val="none"/>
            </w:rPr>
            <w:t>项目区域环境质量现状</w:t>
          </w:r>
          <w:r>
            <w:tab/>
          </w:r>
          <w:r>
            <w:fldChar w:fldCharType="begin"/>
          </w:r>
          <w:r>
            <w:instrText xml:space="preserve"> PAGEREF _Toc28629 \h </w:instrText>
          </w:r>
          <w:r>
            <w:fldChar w:fldCharType="separate"/>
          </w:r>
          <w:r>
            <w:t>259</w:t>
          </w:r>
          <w:r>
            <w:fldChar w:fldCharType="end"/>
          </w:r>
          <w:r>
            <w:rPr>
              <w:rFonts w:cs="Times New Roman"/>
              <w:bCs/>
              <w:color w:val="auto"/>
              <w:highlight w:val="none"/>
              <w:lang w:val="zh-CN"/>
            </w:rPr>
            <w:fldChar w:fldCharType="end"/>
          </w:r>
        </w:p>
        <w:p w14:paraId="40BA6E4D">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_Toc20253 </w:instrText>
          </w:r>
          <w:r>
            <w:rPr>
              <w:rFonts w:cs="Times New Roman"/>
              <w:bCs/>
              <w:highlight w:val="none"/>
              <w:lang w:val="zh-CN"/>
            </w:rPr>
            <w:fldChar w:fldCharType="separate"/>
          </w:r>
          <w:r>
            <w:rPr>
              <w:rFonts w:hint="default" w:cs="Times New Roman"/>
            </w:rPr>
            <w:t xml:space="preserve">10.1.5. </w:t>
          </w:r>
          <w:r>
            <w:rPr>
              <w:rFonts w:cs="Times New Roman"/>
              <w:highlight w:val="none"/>
            </w:rPr>
            <w:t>主要环境影响评价结论</w:t>
          </w:r>
          <w:r>
            <w:tab/>
          </w:r>
          <w:r>
            <w:fldChar w:fldCharType="begin"/>
          </w:r>
          <w:r>
            <w:instrText xml:space="preserve"> PAGEREF _Toc20253 \h </w:instrText>
          </w:r>
          <w:r>
            <w:fldChar w:fldCharType="separate"/>
          </w:r>
          <w:r>
            <w:t>260</w:t>
          </w:r>
          <w:r>
            <w:fldChar w:fldCharType="end"/>
          </w:r>
          <w:r>
            <w:rPr>
              <w:rFonts w:cs="Times New Roman"/>
              <w:bCs/>
              <w:color w:val="auto"/>
              <w:highlight w:val="none"/>
              <w:lang w:val="zh-CN"/>
            </w:rPr>
            <w:fldChar w:fldCharType="end"/>
          </w:r>
        </w:p>
        <w:p w14:paraId="28A2374C">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_Toc4385 </w:instrText>
          </w:r>
          <w:r>
            <w:rPr>
              <w:rFonts w:cs="Times New Roman"/>
              <w:bCs/>
              <w:highlight w:val="none"/>
              <w:lang w:val="zh-CN"/>
            </w:rPr>
            <w:fldChar w:fldCharType="separate"/>
          </w:r>
          <w:r>
            <w:rPr>
              <w:rFonts w:hint="default" w:cs="Times New Roman"/>
            </w:rPr>
            <w:t xml:space="preserve">10.1.6. </w:t>
          </w:r>
          <w:r>
            <w:rPr>
              <w:rFonts w:cs="Times New Roman"/>
              <w:highlight w:val="none"/>
            </w:rPr>
            <w:t>总量控制指标</w:t>
          </w:r>
          <w:r>
            <w:tab/>
          </w:r>
          <w:r>
            <w:fldChar w:fldCharType="begin"/>
          </w:r>
          <w:r>
            <w:instrText xml:space="preserve"> PAGEREF _Toc4385 \h </w:instrText>
          </w:r>
          <w:r>
            <w:fldChar w:fldCharType="separate"/>
          </w:r>
          <w:r>
            <w:t>262</w:t>
          </w:r>
          <w:r>
            <w:fldChar w:fldCharType="end"/>
          </w:r>
          <w:r>
            <w:rPr>
              <w:rFonts w:cs="Times New Roman"/>
              <w:bCs/>
              <w:color w:val="auto"/>
              <w:highlight w:val="none"/>
              <w:lang w:val="zh-CN"/>
            </w:rPr>
            <w:fldChar w:fldCharType="end"/>
          </w:r>
        </w:p>
        <w:p w14:paraId="506EC7C8">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_Toc10411 </w:instrText>
          </w:r>
          <w:r>
            <w:rPr>
              <w:rFonts w:cs="Times New Roman"/>
              <w:bCs/>
              <w:highlight w:val="none"/>
              <w:lang w:val="zh-CN"/>
            </w:rPr>
            <w:fldChar w:fldCharType="separate"/>
          </w:r>
          <w:r>
            <w:rPr>
              <w:rFonts w:hint="default" w:cs="Times New Roman"/>
            </w:rPr>
            <w:t xml:space="preserve">10.1.7. </w:t>
          </w:r>
          <w:r>
            <w:rPr>
              <w:rFonts w:cs="Times New Roman"/>
              <w:highlight w:val="none"/>
            </w:rPr>
            <w:t>环境影响经济损益分析</w:t>
          </w:r>
          <w:r>
            <w:tab/>
          </w:r>
          <w:r>
            <w:fldChar w:fldCharType="begin"/>
          </w:r>
          <w:r>
            <w:instrText xml:space="preserve"> PAGEREF _Toc10411 \h </w:instrText>
          </w:r>
          <w:r>
            <w:fldChar w:fldCharType="separate"/>
          </w:r>
          <w:r>
            <w:t>262</w:t>
          </w:r>
          <w:r>
            <w:fldChar w:fldCharType="end"/>
          </w:r>
          <w:r>
            <w:rPr>
              <w:rFonts w:cs="Times New Roman"/>
              <w:bCs/>
              <w:color w:val="auto"/>
              <w:highlight w:val="none"/>
              <w:lang w:val="zh-CN"/>
            </w:rPr>
            <w:fldChar w:fldCharType="end"/>
          </w:r>
        </w:p>
        <w:p w14:paraId="23E59AD3">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_Toc4535 </w:instrText>
          </w:r>
          <w:r>
            <w:rPr>
              <w:rFonts w:cs="Times New Roman"/>
              <w:bCs/>
              <w:highlight w:val="none"/>
              <w:lang w:val="zh-CN"/>
            </w:rPr>
            <w:fldChar w:fldCharType="separate"/>
          </w:r>
          <w:r>
            <w:rPr>
              <w:rFonts w:hint="default" w:cs="Times New Roman"/>
            </w:rPr>
            <w:t xml:space="preserve">10.1.8. </w:t>
          </w:r>
          <w:r>
            <w:rPr>
              <w:rFonts w:cs="Times New Roman"/>
              <w:highlight w:val="none"/>
            </w:rPr>
            <w:t>公众参与</w:t>
          </w:r>
          <w:r>
            <w:tab/>
          </w:r>
          <w:r>
            <w:fldChar w:fldCharType="begin"/>
          </w:r>
          <w:r>
            <w:instrText xml:space="preserve"> PAGEREF _Toc4535 \h </w:instrText>
          </w:r>
          <w:r>
            <w:fldChar w:fldCharType="separate"/>
          </w:r>
          <w:r>
            <w:t>263</w:t>
          </w:r>
          <w:r>
            <w:fldChar w:fldCharType="end"/>
          </w:r>
          <w:r>
            <w:rPr>
              <w:rFonts w:cs="Times New Roman"/>
              <w:bCs/>
              <w:color w:val="auto"/>
              <w:highlight w:val="none"/>
              <w:lang w:val="zh-CN"/>
            </w:rPr>
            <w:fldChar w:fldCharType="end"/>
          </w:r>
        </w:p>
        <w:p w14:paraId="67A3CD69">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_Toc11847 </w:instrText>
          </w:r>
          <w:r>
            <w:rPr>
              <w:rFonts w:cs="Times New Roman"/>
              <w:bCs/>
              <w:highlight w:val="none"/>
              <w:lang w:val="zh-CN"/>
            </w:rPr>
            <w:fldChar w:fldCharType="separate"/>
          </w:r>
          <w:r>
            <w:rPr>
              <w:rFonts w:hint="default" w:cs="Times New Roman"/>
            </w:rPr>
            <w:t xml:space="preserve">10.1.9. </w:t>
          </w:r>
          <w:r>
            <w:rPr>
              <w:rFonts w:cs="Times New Roman"/>
              <w:highlight w:val="none"/>
            </w:rPr>
            <w:t>总结论</w:t>
          </w:r>
          <w:r>
            <w:tab/>
          </w:r>
          <w:r>
            <w:fldChar w:fldCharType="begin"/>
          </w:r>
          <w:r>
            <w:instrText xml:space="preserve"> PAGEREF _Toc11847 \h </w:instrText>
          </w:r>
          <w:r>
            <w:fldChar w:fldCharType="separate"/>
          </w:r>
          <w:r>
            <w:t>263</w:t>
          </w:r>
          <w:r>
            <w:fldChar w:fldCharType="end"/>
          </w:r>
          <w:r>
            <w:rPr>
              <w:rFonts w:cs="Times New Roman"/>
              <w:bCs/>
              <w:color w:val="auto"/>
              <w:highlight w:val="none"/>
              <w:lang w:val="zh-CN"/>
            </w:rPr>
            <w:fldChar w:fldCharType="end"/>
          </w:r>
        </w:p>
        <w:p w14:paraId="7BA14A02">
          <w:pPr>
            <w:pStyle w:val="26"/>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_Toc23920 </w:instrText>
          </w:r>
          <w:r>
            <w:rPr>
              <w:rFonts w:cs="Times New Roman"/>
              <w:bCs/>
              <w:highlight w:val="none"/>
              <w:lang w:val="zh-CN"/>
            </w:rPr>
            <w:fldChar w:fldCharType="separate"/>
          </w:r>
          <w:r>
            <w:rPr>
              <w:rFonts w:hint="default" w:cs="Times New Roman"/>
            </w:rPr>
            <w:t xml:space="preserve">10.2. </w:t>
          </w:r>
          <w:r>
            <w:rPr>
              <w:rFonts w:cs="Times New Roman"/>
              <w:highlight w:val="none"/>
            </w:rPr>
            <w:t>要求与建议</w:t>
          </w:r>
          <w:r>
            <w:tab/>
          </w:r>
          <w:r>
            <w:fldChar w:fldCharType="begin"/>
          </w:r>
          <w:r>
            <w:instrText xml:space="preserve"> PAGEREF _Toc23920 \h </w:instrText>
          </w:r>
          <w:r>
            <w:fldChar w:fldCharType="separate"/>
          </w:r>
          <w:r>
            <w:t>263</w:t>
          </w:r>
          <w:r>
            <w:fldChar w:fldCharType="end"/>
          </w:r>
          <w:r>
            <w:rPr>
              <w:rFonts w:cs="Times New Roman"/>
              <w:bCs/>
              <w:color w:val="auto"/>
              <w:highlight w:val="none"/>
              <w:lang w:val="zh-CN"/>
            </w:rPr>
            <w:fldChar w:fldCharType="end"/>
          </w:r>
        </w:p>
        <w:p w14:paraId="126C658E">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_Toc23960 </w:instrText>
          </w:r>
          <w:r>
            <w:rPr>
              <w:rFonts w:cs="Times New Roman"/>
              <w:bCs/>
              <w:highlight w:val="none"/>
              <w:lang w:val="zh-CN"/>
            </w:rPr>
            <w:fldChar w:fldCharType="separate"/>
          </w:r>
          <w:r>
            <w:rPr>
              <w:rFonts w:hint="default" w:cs="Times New Roman"/>
            </w:rPr>
            <w:t xml:space="preserve">10.2.1. </w:t>
          </w:r>
          <w:r>
            <w:rPr>
              <w:rFonts w:cs="Times New Roman"/>
              <w:highlight w:val="none"/>
            </w:rPr>
            <w:t>要求</w:t>
          </w:r>
          <w:r>
            <w:tab/>
          </w:r>
          <w:r>
            <w:fldChar w:fldCharType="begin"/>
          </w:r>
          <w:r>
            <w:instrText xml:space="preserve"> PAGEREF _Toc23960 \h </w:instrText>
          </w:r>
          <w:r>
            <w:fldChar w:fldCharType="separate"/>
          </w:r>
          <w:r>
            <w:t>263</w:t>
          </w:r>
          <w:r>
            <w:fldChar w:fldCharType="end"/>
          </w:r>
          <w:r>
            <w:rPr>
              <w:rFonts w:cs="Times New Roman"/>
              <w:bCs/>
              <w:color w:val="auto"/>
              <w:highlight w:val="none"/>
              <w:lang w:val="zh-CN"/>
            </w:rPr>
            <w:fldChar w:fldCharType="end"/>
          </w:r>
        </w:p>
        <w:p w14:paraId="22FAD63E">
          <w:pPr>
            <w:pStyle w:val="17"/>
            <w:tabs>
              <w:tab w:val="right" w:leader="dot" w:pos="8306"/>
              <w:tab w:val="clear" w:pos="8296"/>
            </w:tabs>
          </w:pPr>
          <w:r>
            <w:rPr>
              <w:rFonts w:cs="Times New Roman"/>
              <w:bCs/>
              <w:color w:val="auto"/>
              <w:highlight w:val="none"/>
              <w:lang w:val="zh-CN"/>
            </w:rPr>
            <w:fldChar w:fldCharType="begin"/>
          </w:r>
          <w:r>
            <w:rPr>
              <w:rFonts w:cs="Times New Roman"/>
              <w:bCs/>
              <w:highlight w:val="none"/>
              <w:lang w:val="zh-CN"/>
            </w:rPr>
            <w:instrText xml:space="preserve"> HYPERLINK \l _Toc8101 </w:instrText>
          </w:r>
          <w:r>
            <w:rPr>
              <w:rFonts w:cs="Times New Roman"/>
              <w:bCs/>
              <w:highlight w:val="none"/>
              <w:lang w:val="zh-CN"/>
            </w:rPr>
            <w:fldChar w:fldCharType="separate"/>
          </w:r>
          <w:r>
            <w:rPr>
              <w:rFonts w:hint="default" w:cs="Times New Roman"/>
            </w:rPr>
            <w:t xml:space="preserve">10.2.2. </w:t>
          </w:r>
          <w:r>
            <w:rPr>
              <w:rFonts w:cs="Times New Roman"/>
              <w:highlight w:val="none"/>
            </w:rPr>
            <w:t>建议</w:t>
          </w:r>
          <w:r>
            <w:tab/>
          </w:r>
          <w:r>
            <w:fldChar w:fldCharType="begin"/>
          </w:r>
          <w:r>
            <w:instrText xml:space="preserve"> PAGEREF _Toc8101 \h </w:instrText>
          </w:r>
          <w:r>
            <w:fldChar w:fldCharType="separate"/>
          </w:r>
          <w:r>
            <w:t>264</w:t>
          </w:r>
          <w:r>
            <w:fldChar w:fldCharType="end"/>
          </w:r>
          <w:r>
            <w:rPr>
              <w:rFonts w:cs="Times New Roman"/>
              <w:bCs/>
              <w:color w:val="auto"/>
              <w:highlight w:val="none"/>
              <w:lang w:val="zh-CN"/>
            </w:rPr>
            <w:fldChar w:fldCharType="end"/>
          </w:r>
        </w:p>
        <w:p w14:paraId="6BEF5E9A">
          <w:pPr>
            <w:adjustRightInd w:val="0"/>
            <w:ind w:firstLine="480"/>
            <w:rPr>
              <w:rFonts w:cs="Times New Roman"/>
              <w:color w:val="auto"/>
              <w:highlight w:val="none"/>
            </w:rPr>
          </w:pPr>
          <w:r>
            <w:rPr>
              <w:rFonts w:cs="Times New Roman"/>
              <w:bCs/>
              <w:color w:val="auto"/>
              <w:highlight w:val="none"/>
              <w:lang w:val="zh-CN"/>
            </w:rPr>
            <w:fldChar w:fldCharType="end"/>
          </w:r>
        </w:p>
      </w:sdtContent>
    </w:sdt>
    <w:p w14:paraId="590D2C82">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69716D16">
      <w:pPr>
        <w:adjustRightInd w:val="0"/>
        <w:ind w:firstLine="562"/>
        <w:jc w:val="center"/>
        <w:rPr>
          <w:rFonts w:cs="Times New Roman"/>
          <w:b/>
          <w:color w:val="auto"/>
          <w:sz w:val="28"/>
          <w:szCs w:val="28"/>
          <w:highlight w:val="none"/>
        </w:rPr>
      </w:pPr>
      <w:r>
        <w:rPr>
          <w:rFonts w:cs="Times New Roman"/>
          <w:b/>
          <w:color w:val="auto"/>
          <w:sz w:val="28"/>
          <w:szCs w:val="28"/>
          <w:highlight w:val="none"/>
        </w:rPr>
        <w:t>附图</w:t>
      </w:r>
    </w:p>
    <w:p w14:paraId="3F72DA7B">
      <w:pPr>
        <w:pStyle w:val="49"/>
        <w:numPr>
          <w:ilvl w:val="0"/>
          <w:numId w:val="4"/>
        </w:numPr>
        <w:adjustRightInd w:val="0"/>
        <w:ind w:firstLineChars="0"/>
        <w:rPr>
          <w:rFonts w:cs="Times New Roman"/>
          <w:color w:val="auto"/>
          <w:highlight w:val="none"/>
        </w:rPr>
      </w:pPr>
      <w:r>
        <w:rPr>
          <w:rFonts w:cs="Times New Roman"/>
          <w:color w:val="auto"/>
          <w:highlight w:val="none"/>
        </w:rPr>
        <w:t>项目地理位置图</w:t>
      </w:r>
    </w:p>
    <w:p w14:paraId="34347355">
      <w:pPr>
        <w:pStyle w:val="49"/>
        <w:numPr>
          <w:ilvl w:val="0"/>
          <w:numId w:val="4"/>
        </w:numPr>
        <w:adjustRightInd w:val="0"/>
        <w:ind w:firstLineChars="0"/>
        <w:rPr>
          <w:rFonts w:cs="Times New Roman"/>
          <w:color w:val="auto"/>
          <w:highlight w:val="none"/>
        </w:rPr>
      </w:pPr>
      <w:r>
        <w:rPr>
          <w:rFonts w:cs="Times New Roman"/>
          <w:color w:val="auto"/>
          <w:highlight w:val="none"/>
        </w:rPr>
        <w:t>本项目与规划位置关系图</w:t>
      </w:r>
    </w:p>
    <w:p w14:paraId="5B3944C4">
      <w:pPr>
        <w:pStyle w:val="49"/>
        <w:numPr>
          <w:ilvl w:val="0"/>
          <w:numId w:val="4"/>
        </w:numPr>
        <w:adjustRightInd w:val="0"/>
        <w:ind w:firstLineChars="0"/>
        <w:rPr>
          <w:rFonts w:cs="Times New Roman"/>
          <w:color w:val="auto"/>
          <w:highlight w:val="none"/>
        </w:rPr>
      </w:pPr>
      <w:r>
        <w:rPr>
          <w:rFonts w:cs="Times New Roman"/>
          <w:color w:val="auto"/>
          <w:highlight w:val="none"/>
        </w:rPr>
        <w:t>本项目外环境关系及大气评价范围图</w:t>
      </w:r>
    </w:p>
    <w:p w14:paraId="3F0FF895">
      <w:pPr>
        <w:pStyle w:val="49"/>
        <w:numPr>
          <w:ilvl w:val="0"/>
          <w:numId w:val="4"/>
        </w:numPr>
        <w:adjustRightInd w:val="0"/>
        <w:ind w:firstLineChars="0"/>
        <w:rPr>
          <w:rFonts w:cs="Times New Roman"/>
          <w:color w:val="auto"/>
          <w:highlight w:val="none"/>
        </w:rPr>
      </w:pPr>
      <w:r>
        <w:rPr>
          <w:rFonts w:cs="Times New Roman"/>
          <w:color w:val="auto"/>
          <w:highlight w:val="none"/>
        </w:rPr>
        <w:t>本项目近距离外环境关系图</w:t>
      </w:r>
    </w:p>
    <w:p w14:paraId="62C03CC0">
      <w:pPr>
        <w:pStyle w:val="49"/>
        <w:numPr>
          <w:ilvl w:val="0"/>
          <w:numId w:val="4"/>
        </w:numPr>
        <w:adjustRightInd w:val="0"/>
        <w:ind w:firstLineChars="0"/>
        <w:rPr>
          <w:rFonts w:cs="Times New Roman"/>
          <w:color w:val="auto"/>
          <w:highlight w:val="none"/>
        </w:rPr>
      </w:pPr>
      <w:r>
        <w:rPr>
          <w:rFonts w:cs="Times New Roman"/>
          <w:color w:val="auto"/>
          <w:highlight w:val="none"/>
        </w:rPr>
        <w:t>本项目总平面布置图</w:t>
      </w:r>
    </w:p>
    <w:p w14:paraId="03E77CAD">
      <w:pPr>
        <w:pStyle w:val="49"/>
        <w:numPr>
          <w:ilvl w:val="0"/>
          <w:numId w:val="4"/>
        </w:numPr>
        <w:adjustRightInd w:val="0"/>
        <w:ind w:firstLineChars="0"/>
        <w:rPr>
          <w:rFonts w:cs="Times New Roman"/>
          <w:color w:val="auto"/>
          <w:highlight w:val="none"/>
        </w:rPr>
      </w:pPr>
      <w:r>
        <w:rPr>
          <w:rFonts w:cs="Times New Roman"/>
          <w:color w:val="auto"/>
          <w:highlight w:val="none"/>
        </w:rPr>
        <w:t>本项目生产车间平面布置图</w:t>
      </w:r>
    </w:p>
    <w:p w14:paraId="62A6B40A">
      <w:pPr>
        <w:pStyle w:val="49"/>
        <w:numPr>
          <w:ilvl w:val="0"/>
          <w:numId w:val="4"/>
        </w:numPr>
        <w:adjustRightInd w:val="0"/>
        <w:ind w:firstLineChars="0"/>
        <w:rPr>
          <w:rFonts w:cs="Times New Roman"/>
          <w:color w:val="auto"/>
          <w:highlight w:val="none"/>
        </w:rPr>
      </w:pPr>
      <w:r>
        <w:rPr>
          <w:rFonts w:cs="Times New Roman"/>
          <w:color w:val="auto"/>
          <w:highlight w:val="none"/>
        </w:rPr>
        <w:t>本项目分区防渗图</w:t>
      </w:r>
    </w:p>
    <w:p w14:paraId="3055D081">
      <w:pPr>
        <w:pStyle w:val="49"/>
        <w:numPr>
          <w:ilvl w:val="0"/>
          <w:numId w:val="4"/>
        </w:numPr>
        <w:adjustRightInd w:val="0"/>
        <w:ind w:firstLineChars="0"/>
        <w:rPr>
          <w:rFonts w:cs="Times New Roman"/>
          <w:color w:val="auto"/>
          <w:highlight w:val="none"/>
        </w:rPr>
      </w:pPr>
      <w:r>
        <w:rPr>
          <w:rFonts w:hint="eastAsia" w:cs="Times New Roman"/>
          <w:color w:val="auto"/>
          <w:highlight w:val="none"/>
        </w:rPr>
        <w:t>本项目依托工程图</w:t>
      </w:r>
    </w:p>
    <w:p w14:paraId="672CBBC7">
      <w:pPr>
        <w:pStyle w:val="49"/>
        <w:numPr>
          <w:ilvl w:val="0"/>
          <w:numId w:val="4"/>
        </w:numPr>
        <w:adjustRightInd w:val="0"/>
        <w:ind w:firstLineChars="0"/>
        <w:rPr>
          <w:rFonts w:cs="Times New Roman"/>
          <w:color w:val="auto"/>
          <w:highlight w:val="none"/>
        </w:rPr>
      </w:pPr>
      <w:r>
        <w:rPr>
          <w:rFonts w:cs="Times New Roman"/>
          <w:color w:val="auto"/>
          <w:highlight w:val="none"/>
        </w:rPr>
        <w:t>本项目卫生防护距离图</w:t>
      </w:r>
    </w:p>
    <w:p w14:paraId="3A2CB61B">
      <w:pPr>
        <w:pStyle w:val="49"/>
        <w:numPr>
          <w:ilvl w:val="0"/>
          <w:numId w:val="4"/>
        </w:numPr>
        <w:adjustRightInd w:val="0"/>
        <w:ind w:firstLineChars="0"/>
        <w:rPr>
          <w:rFonts w:cs="Times New Roman"/>
          <w:color w:val="auto"/>
          <w:highlight w:val="none"/>
        </w:rPr>
      </w:pPr>
      <w:r>
        <w:rPr>
          <w:rFonts w:cs="Times New Roman"/>
          <w:color w:val="auto"/>
          <w:highlight w:val="none"/>
        </w:rPr>
        <w:t>本项目区与饮用水水源保护区位置示意图</w:t>
      </w:r>
    </w:p>
    <w:p w14:paraId="60530A77">
      <w:pPr>
        <w:pStyle w:val="49"/>
        <w:numPr>
          <w:ilvl w:val="0"/>
          <w:numId w:val="4"/>
        </w:numPr>
        <w:adjustRightInd w:val="0"/>
        <w:ind w:firstLineChars="0"/>
        <w:rPr>
          <w:rFonts w:cs="Times New Roman"/>
          <w:color w:val="auto"/>
          <w:highlight w:val="none"/>
        </w:rPr>
      </w:pPr>
      <w:r>
        <w:rPr>
          <w:rFonts w:cs="Times New Roman"/>
          <w:color w:val="auto"/>
          <w:highlight w:val="none"/>
        </w:rPr>
        <w:t>本项目区与四川沙湾大渡河国家湿地公园位置示意图</w:t>
      </w:r>
    </w:p>
    <w:p w14:paraId="6CC55D35">
      <w:pPr>
        <w:pStyle w:val="49"/>
        <w:numPr>
          <w:ilvl w:val="0"/>
          <w:numId w:val="4"/>
        </w:numPr>
        <w:adjustRightInd w:val="0"/>
        <w:ind w:firstLineChars="0"/>
        <w:rPr>
          <w:rFonts w:cs="Times New Roman"/>
          <w:color w:val="auto"/>
          <w:highlight w:val="none"/>
        </w:rPr>
      </w:pPr>
      <w:r>
        <w:rPr>
          <w:rFonts w:cs="Times New Roman"/>
          <w:color w:val="auto"/>
          <w:highlight w:val="none"/>
        </w:rPr>
        <w:t>本项目地下水评价范围图</w:t>
      </w:r>
    </w:p>
    <w:p w14:paraId="6A959C42">
      <w:pPr>
        <w:pStyle w:val="49"/>
        <w:numPr>
          <w:ilvl w:val="0"/>
          <w:numId w:val="4"/>
        </w:numPr>
        <w:adjustRightInd w:val="0"/>
        <w:ind w:firstLineChars="0"/>
        <w:rPr>
          <w:rFonts w:cs="Times New Roman"/>
          <w:color w:val="auto"/>
          <w:highlight w:val="none"/>
        </w:rPr>
      </w:pPr>
      <w:r>
        <w:rPr>
          <w:rFonts w:cs="Times New Roman"/>
          <w:color w:val="auto"/>
          <w:highlight w:val="none"/>
        </w:rPr>
        <w:t>区域水文地质图</w:t>
      </w:r>
    </w:p>
    <w:p w14:paraId="0898804C">
      <w:pPr>
        <w:pStyle w:val="49"/>
        <w:numPr>
          <w:ilvl w:val="0"/>
          <w:numId w:val="4"/>
        </w:numPr>
        <w:adjustRightInd w:val="0"/>
        <w:ind w:firstLineChars="0"/>
        <w:rPr>
          <w:rFonts w:cs="Times New Roman"/>
          <w:color w:val="auto"/>
          <w:highlight w:val="none"/>
        </w:rPr>
      </w:pPr>
      <w:r>
        <w:rPr>
          <w:rFonts w:hint="eastAsia" w:cs="Times New Roman"/>
          <w:color w:val="auto"/>
          <w:highlight w:val="none"/>
        </w:rPr>
        <w:t>本项目土壤和噪声评价范围图</w:t>
      </w:r>
    </w:p>
    <w:p w14:paraId="5D7EA1CC">
      <w:pPr>
        <w:pStyle w:val="49"/>
        <w:numPr>
          <w:ilvl w:val="0"/>
          <w:numId w:val="4"/>
        </w:numPr>
        <w:adjustRightInd w:val="0"/>
        <w:ind w:firstLineChars="0"/>
        <w:rPr>
          <w:rFonts w:cs="Times New Roman"/>
          <w:color w:val="auto"/>
          <w:highlight w:val="none"/>
        </w:rPr>
      </w:pPr>
      <w:r>
        <w:rPr>
          <w:rFonts w:hint="eastAsia" w:cs="Times New Roman"/>
          <w:color w:val="auto"/>
          <w:highlight w:val="none"/>
        </w:rPr>
        <w:t>厂区内物料运输路线图</w:t>
      </w:r>
    </w:p>
    <w:p w14:paraId="5E12062B">
      <w:pPr>
        <w:pStyle w:val="49"/>
        <w:numPr>
          <w:ilvl w:val="0"/>
          <w:numId w:val="4"/>
        </w:numPr>
        <w:adjustRightInd w:val="0"/>
        <w:ind w:firstLineChars="0"/>
        <w:rPr>
          <w:rFonts w:cs="Times New Roman"/>
          <w:color w:val="auto"/>
          <w:highlight w:val="none"/>
        </w:rPr>
      </w:pPr>
      <w:r>
        <w:rPr>
          <w:rFonts w:cs="Times New Roman"/>
          <w:color w:val="auto"/>
          <w:highlight w:val="none"/>
        </w:rPr>
        <w:t>环境现状监测布点图（土壤、噪声）</w:t>
      </w:r>
    </w:p>
    <w:p w14:paraId="74839182">
      <w:pPr>
        <w:pStyle w:val="49"/>
        <w:numPr>
          <w:ilvl w:val="0"/>
          <w:numId w:val="4"/>
        </w:numPr>
        <w:adjustRightInd w:val="0"/>
        <w:ind w:firstLineChars="0"/>
        <w:rPr>
          <w:rFonts w:cs="Times New Roman"/>
          <w:color w:val="auto"/>
          <w:highlight w:val="none"/>
        </w:rPr>
      </w:pPr>
      <w:r>
        <w:rPr>
          <w:rFonts w:hint="eastAsia" w:cs="Times New Roman"/>
          <w:color w:val="auto"/>
          <w:highlight w:val="none"/>
        </w:rPr>
        <w:t>环境现状监测大气引用监测点位</w:t>
      </w:r>
    </w:p>
    <w:p w14:paraId="76722C06">
      <w:pPr>
        <w:pStyle w:val="49"/>
        <w:numPr>
          <w:ilvl w:val="0"/>
          <w:numId w:val="4"/>
        </w:numPr>
        <w:adjustRightInd w:val="0"/>
        <w:ind w:firstLineChars="0"/>
        <w:rPr>
          <w:rFonts w:cs="Times New Roman"/>
          <w:color w:val="auto"/>
          <w:highlight w:val="none"/>
        </w:rPr>
      </w:pPr>
      <w:r>
        <w:rPr>
          <w:rFonts w:hint="eastAsia" w:cs="Times New Roman"/>
          <w:color w:val="auto"/>
          <w:highlight w:val="none"/>
        </w:rPr>
        <w:t>环境现状监测地下水引用监测点位</w:t>
      </w:r>
    </w:p>
    <w:p w14:paraId="150FCF81">
      <w:pPr>
        <w:pStyle w:val="49"/>
        <w:numPr>
          <w:ilvl w:val="0"/>
          <w:numId w:val="4"/>
        </w:numPr>
        <w:adjustRightInd w:val="0"/>
        <w:ind w:firstLineChars="0"/>
        <w:rPr>
          <w:rFonts w:cs="Times New Roman"/>
          <w:color w:val="auto"/>
          <w:highlight w:val="none"/>
        </w:rPr>
      </w:pPr>
      <w:r>
        <w:rPr>
          <w:rFonts w:cs="Times New Roman"/>
          <w:color w:val="auto"/>
          <w:highlight w:val="none"/>
        </w:rPr>
        <w:t>环境跟踪监测布点图</w:t>
      </w:r>
    </w:p>
    <w:p w14:paraId="1A983BF1">
      <w:pPr>
        <w:adjustRightInd w:val="0"/>
        <w:ind w:firstLine="562"/>
        <w:jc w:val="center"/>
        <w:rPr>
          <w:rFonts w:cs="Times New Roman"/>
          <w:b/>
          <w:color w:val="auto"/>
          <w:sz w:val="28"/>
          <w:szCs w:val="28"/>
          <w:highlight w:val="none"/>
        </w:rPr>
      </w:pPr>
      <w:r>
        <w:rPr>
          <w:rFonts w:cs="Times New Roman"/>
          <w:b/>
          <w:color w:val="auto"/>
          <w:sz w:val="28"/>
          <w:szCs w:val="28"/>
          <w:highlight w:val="none"/>
        </w:rPr>
        <w:t>附件</w:t>
      </w:r>
    </w:p>
    <w:p w14:paraId="5D40493E">
      <w:pPr>
        <w:pStyle w:val="49"/>
        <w:numPr>
          <w:ilvl w:val="1"/>
          <w:numId w:val="5"/>
        </w:numPr>
        <w:adjustRightInd w:val="0"/>
        <w:ind w:firstLineChars="0"/>
        <w:rPr>
          <w:rFonts w:cs="Times New Roman"/>
          <w:color w:val="auto"/>
          <w:highlight w:val="none"/>
        </w:rPr>
      </w:pPr>
      <w:r>
        <w:rPr>
          <w:rFonts w:cs="Times New Roman"/>
          <w:color w:val="auto"/>
          <w:highlight w:val="none"/>
        </w:rPr>
        <w:t>委托书</w:t>
      </w:r>
    </w:p>
    <w:p w14:paraId="0646AE50">
      <w:pPr>
        <w:pStyle w:val="49"/>
        <w:numPr>
          <w:ilvl w:val="1"/>
          <w:numId w:val="5"/>
        </w:numPr>
        <w:adjustRightInd w:val="0"/>
        <w:ind w:firstLineChars="0"/>
        <w:rPr>
          <w:rFonts w:cs="Times New Roman"/>
          <w:color w:val="auto"/>
          <w:highlight w:val="none"/>
        </w:rPr>
      </w:pPr>
      <w:r>
        <w:rPr>
          <w:rFonts w:cs="Times New Roman"/>
          <w:color w:val="auto"/>
          <w:highlight w:val="none"/>
        </w:rPr>
        <w:t>营业执照</w:t>
      </w:r>
    </w:p>
    <w:p w14:paraId="6099DDEB">
      <w:pPr>
        <w:pStyle w:val="49"/>
        <w:numPr>
          <w:ilvl w:val="1"/>
          <w:numId w:val="5"/>
        </w:numPr>
        <w:adjustRightInd w:val="0"/>
        <w:ind w:firstLineChars="0"/>
        <w:rPr>
          <w:rFonts w:cs="Times New Roman"/>
          <w:color w:val="auto"/>
          <w:highlight w:val="none"/>
        </w:rPr>
      </w:pPr>
      <w:r>
        <w:rPr>
          <w:rFonts w:cs="Times New Roman"/>
          <w:color w:val="auto"/>
          <w:highlight w:val="none"/>
        </w:rPr>
        <w:t>项目备案表</w:t>
      </w:r>
    </w:p>
    <w:p w14:paraId="09E37CAE">
      <w:pPr>
        <w:pStyle w:val="49"/>
        <w:numPr>
          <w:ilvl w:val="1"/>
          <w:numId w:val="5"/>
        </w:numPr>
        <w:adjustRightInd w:val="0"/>
        <w:ind w:firstLineChars="0"/>
        <w:rPr>
          <w:rFonts w:cs="Times New Roman"/>
          <w:color w:val="auto"/>
          <w:highlight w:val="none"/>
        </w:rPr>
      </w:pPr>
      <w:r>
        <w:rPr>
          <w:rFonts w:cs="Times New Roman"/>
          <w:color w:val="auto"/>
          <w:highlight w:val="none"/>
        </w:rPr>
        <w:t>土地证</w:t>
      </w:r>
    </w:p>
    <w:p w14:paraId="7732DFCC">
      <w:pPr>
        <w:pStyle w:val="49"/>
        <w:numPr>
          <w:ilvl w:val="1"/>
          <w:numId w:val="5"/>
        </w:numPr>
        <w:adjustRightInd w:val="0"/>
        <w:ind w:firstLineChars="0"/>
        <w:rPr>
          <w:rFonts w:cs="Times New Roman"/>
          <w:color w:val="auto"/>
          <w:highlight w:val="none"/>
        </w:rPr>
      </w:pPr>
      <w:r>
        <w:rPr>
          <w:rFonts w:cs="Times New Roman"/>
          <w:color w:val="auto"/>
          <w:highlight w:val="none"/>
        </w:rPr>
        <w:t>尾矿、黑砂购销意向协议</w:t>
      </w:r>
    </w:p>
    <w:p w14:paraId="75C084F9">
      <w:pPr>
        <w:pStyle w:val="49"/>
        <w:numPr>
          <w:ilvl w:val="1"/>
          <w:numId w:val="5"/>
        </w:numPr>
        <w:adjustRightInd w:val="0"/>
        <w:ind w:firstLineChars="0"/>
        <w:rPr>
          <w:rFonts w:cs="Times New Roman"/>
          <w:color w:val="auto"/>
          <w:highlight w:val="none"/>
        </w:rPr>
      </w:pPr>
      <w:r>
        <w:rPr>
          <w:rFonts w:hint="eastAsia" w:cs="Times New Roman"/>
          <w:color w:val="auto"/>
          <w:highlight w:val="none"/>
        </w:rPr>
        <w:t>四川省米兰诺陶瓷有限公司</w:t>
      </w:r>
      <w:r>
        <w:rPr>
          <w:rFonts w:cs="Times New Roman"/>
          <w:color w:val="auto"/>
          <w:highlight w:val="none"/>
        </w:rPr>
        <w:t>环评批复</w:t>
      </w:r>
      <w:r>
        <w:rPr>
          <w:rFonts w:hint="eastAsia" w:cs="Times New Roman"/>
          <w:color w:val="auto"/>
          <w:highlight w:val="none"/>
        </w:rPr>
        <w:t>及验收意见</w:t>
      </w:r>
    </w:p>
    <w:p w14:paraId="75BA4C00">
      <w:pPr>
        <w:pStyle w:val="49"/>
        <w:numPr>
          <w:ilvl w:val="1"/>
          <w:numId w:val="5"/>
        </w:numPr>
        <w:adjustRightInd w:val="0"/>
        <w:ind w:firstLineChars="0"/>
        <w:rPr>
          <w:rFonts w:cs="Times New Roman"/>
          <w:color w:val="auto"/>
          <w:highlight w:val="none"/>
        </w:rPr>
      </w:pPr>
      <w:r>
        <w:rPr>
          <w:rFonts w:hint="eastAsia" w:cs="Times New Roman"/>
          <w:color w:val="auto"/>
          <w:highlight w:val="none"/>
        </w:rPr>
        <w:t>四川香莱尔陶瓷有限公司</w:t>
      </w:r>
      <w:r>
        <w:rPr>
          <w:rFonts w:cs="Times New Roman"/>
          <w:color w:val="auto"/>
          <w:highlight w:val="none"/>
        </w:rPr>
        <w:t>环评批复</w:t>
      </w:r>
      <w:r>
        <w:rPr>
          <w:rFonts w:hint="eastAsia" w:cs="Times New Roman"/>
          <w:color w:val="auto"/>
          <w:highlight w:val="none"/>
        </w:rPr>
        <w:t>及验收意见</w:t>
      </w:r>
    </w:p>
    <w:p w14:paraId="07028C79">
      <w:pPr>
        <w:pStyle w:val="49"/>
        <w:numPr>
          <w:ilvl w:val="1"/>
          <w:numId w:val="5"/>
        </w:numPr>
        <w:adjustRightInd w:val="0"/>
        <w:ind w:firstLineChars="0"/>
        <w:rPr>
          <w:rFonts w:cs="Times New Roman"/>
          <w:color w:val="auto"/>
          <w:highlight w:val="none"/>
        </w:rPr>
      </w:pPr>
      <w:r>
        <w:rPr>
          <w:rFonts w:cs="Times New Roman"/>
          <w:color w:val="auto"/>
          <w:highlight w:val="none"/>
        </w:rPr>
        <w:t>尾矿、黑砂</w:t>
      </w:r>
      <w:r>
        <w:rPr>
          <w:rFonts w:hint="eastAsia" w:cs="Times New Roman"/>
          <w:color w:val="auto"/>
          <w:highlight w:val="none"/>
        </w:rPr>
        <w:t>应急</w:t>
      </w:r>
      <w:r>
        <w:rPr>
          <w:rFonts w:cs="Times New Roman"/>
          <w:color w:val="auto"/>
          <w:highlight w:val="none"/>
        </w:rPr>
        <w:t>购销意向协议</w:t>
      </w:r>
    </w:p>
    <w:p w14:paraId="07D3A3CD">
      <w:pPr>
        <w:pStyle w:val="49"/>
        <w:numPr>
          <w:ilvl w:val="1"/>
          <w:numId w:val="5"/>
        </w:numPr>
        <w:adjustRightInd w:val="0"/>
        <w:ind w:firstLineChars="0"/>
        <w:rPr>
          <w:rFonts w:cs="Times New Roman"/>
          <w:color w:val="auto"/>
          <w:highlight w:val="none"/>
        </w:rPr>
      </w:pPr>
      <w:r>
        <w:rPr>
          <w:rFonts w:hint="eastAsia" w:cs="Times New Roman"/>
          <w:color w:val="auto"/>
          <w:highlight w:val="none"/>
        </w:rPr>
        <w:t>夹江县广乐陶瓷有限公司</w:t>
      </w:r>
      <w:r>
        <w:rPr>
          <w:rFonts w:cs="Times New Roman"/>
          <w:color w:val="auto"/>
          <w:highlight w:val="none"/>
        </w:rPr>
        <w:t>环评批复及验收意见</w:t>
      </w:r>
    </w:p>
    <w:p w14:paraId="5D3F9888">
      <w:pPr>
        <w:pStyle w:val="49"/>
        <w:numPr>
          <w:ilvl w:val="1"/>
          <w:numId w:val="5"/>
        </w:numPr>
        <w:adjustRightInd w:val="0"/>
        <w:ind w:firstLineChars="0"/>
        <w:rPr>
          <w:rFonts w:cs="Times New Roman"/>
          <w:color w:val="auto"/>
          <w:highlight w:val="none"/>
        </w:rPr>
      </w:pPr>
      <w:r>
        <w:rPr>
          <w:rFonts w:hint="eastAsia" w:cs="Times New Roman"/>
          <w:color w:val="auto"/>
          <w:highlight w:val="none"/>
        </w:rPr>
        <w:t>夹江县索菲亚新型建材有限公司</w:t>
      </w:r>
      <w:r>
        <w:rPr>
          <w:rFonts w:cs="Times New Roman"/>
          <w:color w:val="auto"/>
          <w:highlight w:val="none"/>
        </w:rPr>
        <w:t>环评批复及验收意见</w:t>
      </w:r>
    </w:p>
    <w:p w14:paraId="6BCB87EC">
      <w:pPr>
        <w:pStyle w:val="49"/>
        <w:numPr>
          <w:ilvl w:val="1"/>
          <w:numId w:val="5"/>
        </w:numPr>
        <w:adjustRightInd w:val="0"/>
        <w:ind w:firstLineChars="0"/>
        <w:rPr>
          <w:rFonts w:cs="Times New Roman"/>
          <w:color w:val="auto"/>
          <w:highlight w:val="none"/>
        </w:rPr>
      </w:pPr>
      <w:r>
        <w:rPr>
          <w:rFonts w:cs="Times New Roman"/>
          <w:color w:val="auto"/>
          <w:highlight w:val="none"/>
        </w:rPr>
        <w:t>《关于印发&lt;乐山（沙湾）不锈钢产业园区环境影响跟踪评价报告书审查意见&gt;的函》（乐市环函〔2019〕226号）</w:t>
      </w:r>
    </w:p>
    <w:p w14:paraId="7A2A65DD">
      <w:pPr>
        <w:pStyle w:val="49"/>
        <w:numPr>
          <w:ilvl w:val="1"/>
          <w:numId w:val="5"/>
        </w:numPr>
        <w:adjustRightInd w:val="0"/>
        <w:ind w:firstLineChars="0"/>
        <w:rPr>
          <w:rFonts w:cs="Times New Roman"/>
          <w:color w:val="auto"/>
          <w:highlight w:val="none"/>
        </w:rPr>
      </w:pPr>
      <w:r>
        <w:rPr>
          <w:rFonts w:cs="Times New Roman"/>
          <w:color w:val="auto"/>
          <w:highlight w:val="none"/>
        </w:rPr>
        <w:t>饮用水水源保护区批复</w:t>
      </w:r>
    </w:p>
    <w:p w14:paraId="4792B650">
      <w:pPr>
        <w:pStyle w:val="49"/>
        <w:numPr>
          <w:ilvl w:val="1"/>
          <w:numId w:val="5"/>
        </w:numPr>
        <w:adjustRightInd w:val="0"/>
        <w:ind w:firstLineChars="0"/>
        <w:rPr>
          <w:rFonts w:cs="Times New Roman"/>
          <w:color w:val="auto"/>
          <w:highlight w:val="none"/>
        </w:rPr>
      </w:pPr>
      <w:r>
        <w:rPr>
          <w:rFonts w:cs="Times New Roman"/>
          <w:color w:val="auto"/>
          <w:highlight w:val="none"/>
        </w:rPr>
        <w:t>锂辉石原矿检测报告</w:t>
      </w:r>
    </w:p>
    <w:p w14:paraId="6268EB9C">
      <w:pPr>
        <w:pStyle w:val="49"/>
        <w:numPr>
          <w:ilvl w:val="1"/>
          <w:numId w:val="5"/>
        </w:numPr>
        <w:adjustRightInd w:val="0"/>
        <w:ind w:firstLineChars="0"/>
        <w:rPr>
          <w:rFonts w:cs="Times New Roman"/>
          <w:color w:val="auto"/>
          <w:highlight w:val="none"/>
        </w:rPr>
      </w:pPr>
      <w:r>
        <w:rPr>
          <w:rFonts w:cs="Times New Roman"/>
          <w:color w:val="auto"/>
          <w:highlight w:val="none"/>
        </w:rPr>
        <w:t>锂辉石原矿</w:t>
      </w:r>
      <w:r>
        <w:rPr>
          <w:rFonts w:hint="eastAsia" w:cs="Times New Roman"/>
          <w:color w:val="auto"/>
          <w:highlight w:val="none"/>
        </w:rPr>
        <w:t>放射性检测</w:t>
      </w:r>
      <w:r>
        <w:rPr>
          <w:rFonts w:cs="Times New Roman"/>
          <w:color w:val="auto"/>
          <w:highlight w:val="none"/>
        </w:rPr>
        <w:t>报告</w:t>
      </w:r>
    </w:p>
    <w:p w14:paraId="6E23A3A0">
      <w:pPr>
        <w:pStyle w:val="49"/>
        <w:numPr>
          <w:ilvl w:val="1"/>
          <w:numId w:val="5"/>
        </w:numPr>
        <w:adjustRightInd w:val="0"/>
        <w:ind w:firstLineChars="0"/>
        <w:rPr>
          <w:rFonts w:cs="Times New Roman"/>
          <w:color w:val="auto"/>
          <w:highlight w:val="none"/>
        </w:rPr>
      </w:pPr>
      <w:r>
        <w:rPr>
          <w:rFonts w:hint="eastAsia" w:cs="Times New Roman"/>
          <w:color w:val="auto"/>
          <w:highlight w:val="none"/>
        </w:rPr>
        <w:t>锂辉石尾矿监测报告</w:t>
      </w:r>
    </w:p>
    <w:p w14:paraId="684916CD">
      <w:pPr>
        <w:pStyle w:val="49"/>
        <w:numPr>
          <w:ilvl w:val="1"/>
          <w:numId w:val="5"/>
        </w:numPr>
        <w:adjustRightInd w:val="0"/>
        <w:ind w:firstLineChars="0"/>
        <w:rPr>
          <w:rFonts w:cs="Times New Roman"/>
          <w:color w:val="auto"/>
          <w:highlight w:val="none"/>
        </w:rPr>
      </w:pPr>
      <w:r>
        <w:rPr>
          <w:rFonts w:hint="eastAsia" w:cs="Times New Roman"/>
          <w:color w:val="auto"/>
          <w:highlight w:val="none"/>
        </w:rPr>
        <w:t>锂辉石尾矿满足陶瓷企业原料的说明</w:t>
      </w:r>
    </w:p>
    <w:p w14:paraId="56FCA30B">
      <w:pPr>
        <w:pStyle w:val="49"/>
        <w:numPr>
          <w:ilvl w:val="1"/>
          <w:numId w:val="5"/>
        </w:numPr>
        <w:adjustRightInd w:val="0"/>
        <w:ind w:firstLineChars="0"/>
        <w:rPr>
          <w:rFonts w:cs="Times New Roman"/>
          <w:color w:val="auto"/>
          <w:highlight w:val="none"/>
        </w:rPr>
      </w:pPr>
      <w:r>
        <w:rPr>
          <w:rFonts w:cs="Times New Roman"/>
          <w:color w:val="auto"/>
          <w:highlight w:val="none"/>
        </w:rPr>
        <w:t>乐山市全沫矿产品有限公司</w:t>
      </w:r>
      <w:r>
        <w:rPr>
          <w:rFonts w:hint="eastAsia" w:cs="Times New Roman"/>
          <w:color w:val="auto"/>
          <w:highlight w:val="none"/>
        </w:rPr>
        <w:t>废水监测报告</w:t>
      </w:r>
    </w:p>
    <w:p w14:paraId="3507BE67">
      <w:pPr>
        <w:pStyle w:val="49"/>
        <w:numPr>
          <w:ilvl w:val="1"/>
          <w:numId w:val="5"/>
        </w:numPr>
        <w:adjustRightInd w:val="0"/>
        <w:ind w:firstLineChars="0"/>
        <w:rPr>
          <w:rFonts w:cs="Times New Roman"/>
          <w:color w:val="auto"/>
          <w:highlight w:val="none"/>
        </w:rPr>
      </w:pPr>
      <w:r>
        <w:rPr>
          <w:rFonts w:cs="Times New Roman"/>
          <w:color w:val="auto"/>
          <w:highlight w:val="none"/>
        </w:rPr>
        <w:t>乐山市全沫矿产品有限公司夹江县锂矿精选项目（一期）环保竣工验收监测报告</w:t>
      </w:r>
    </w:p>
    <w:p w14:paraId="0520545B">
      <w:pPr>
        <w:pStyle w:val="49"/>
        <w:numPr>
          <w:ilvl w:val="1"/>
          <w:numId w:val="5"/>
        </w:numPr>
        <w:adjustRightInd w:val="0"/>
        <w:ind w:firstLineChars="0"/>
        <w:rPr>
          <w:rFonts w:cs="Times New Roman"/>
          <w:color w:val="auto"/>
          <w:highlight w:val="none"/>
        </w:rPr>
      </w:pPr>
      <w:r>
        <w:rPr>
          <w:rFonts w:cs="Times New Roman"/>
          <w:color w:val="auto"/>
          <w:highlight w:val="none"/>
        </w:rPr>
        <w:t>排放浓度承诺书</w:t>
      </w:r>
    </w:p>
    <w:p w14:paraId="4450DFDB">
      <w:pPr>
        <w:pStyle w:val="49"/>
        <w:numPr>
          <w:ilvl w:val="1"/>
          <w:numId w:val="5"/>
        </w:numPr>
        <w:adjustRightInd w:val="0"/>
        <w:ind w:firstLineChars="0"/>
        <w:rPr>
          <w:rFonts w:cs="Times New Roman"/>
          <w:color w:val="auto"/>
          <w:highlight w:val="none"/>
        </w:rPr>
      </w:pPr>
      <w:r>
        <w:rPr>
          <w:rFonts w:cs="Times New Roman"/>
          <w:color w:val="auto"/>
          <w:highlight w:val="none"/>
        </w:rPr>
        <w:t>关于锂矿石原料成分检测的承诺</w:t>
      </w:r>
    </w:p>
    <w:p w14:paraId="6DA8A242">
      <w:pPr>
        <w:pStyle w:val="49"/>
        <w:numPr>
          <w:ilvl w:val="1"/>
          <w:numId w:val="5"/>
        </w:numPr>
        <w:adjustRightInd w:val="0"/>
        <w:ind w:firstLineChars="0"/>
        <w:rPr>
          <w:rFonts w:cs="Times New Roman"/>
          <w:color w:val="auto"/>
          <w:highlight w:val="none"/>
        </w:rPr>
      </w:pPr>
      <w:r>
        <w:rPr>
          <w:rFonts w:hint="eastAsia" w:cs="Times New Roman"/>
          <w:color w:val="auto"/>
          <w:highlight w:val="none"/>
        </w:rPr>
        <w:t>土壤、噪声</w:t>
      </w:r>
      <w:r>
        <w:rPr>
          <w:rFonts w:cs="Times New Roman"/>
          <w:color w:val="auto"/>
          <w:highlight w:val="none"/>
        </w:rPr>
        <w:t>补充检测报告</w:t>
      </w:r>
    </w:p>
    <w:p w14:paraId="7965A5AD">
      <w:pPr>
        <w:pStyle w:val="49"/>
        <w:numPr>
          <w:ilvl w:val="1"/>
          <w:numId w:val="5"/>
        </w:numPr>
        <w:adjustRightInd w:val="0"/>
        <w:ind w:firstLineChars="0"/>
        <w:rPr>
          <w:rFonts w:cs="Times New Roman"/>
          <w:color w:val="auto"/>
          <w:highlight w:val="none"/>
        </w:rPr>
      </w:pPr>
      <w:r>
        <w:rPr>
          <w:rFonts w:hint="eastAsia" w:cs="Times New Roman"/>
          <w:color w:val="auto"/>
          <w:highlight w:val="none"/>
        </w:rPr>
        <w:t>大气环境、地下水引用监测报告</w:t>
      </w:r>
    </w:p>
    <w:p w14:paraId="4B91C6AC">
      <w:pPr>
        <w:pStyle w:val="49"/>
        <w:numPr>
          <w:ilvl w:val="1"/>
          <w:numId w:val="5"/>
        </w:numPr>
        <w:adjustRightInd w:val="0"/>
        <w:ind w:firstLineChars="0"/>
        <w:rPr>
          <w:rFonts w:cs="Times New Roman"/>
          <w:color w:val="auto"/>
          <w:highlight w:val="none"/>
        </w:rPr>
      </w:pPr>
      <w:r>
        <w:rPr>
          <w:rFonts w:hint="eastAsia" w:cs="Times New Roman"/>
          <w:color w:val="auto"/>
          <w:highlight w:val="none"/>
        </w:rPr>
        <w:t>停产</w:t>
      </w:r>
      <w:r>
        <w:rPr>
          <w:rFonts w:cs="Times New Roman"/>
          <w:color w:val="auto"/>
          <w:highlight w:val="none"/>
        </w:rPr>
        <w:t>承诺书</w:t>
      </w:r>
    </w:p>
    <w:p w14:paraId="327F92D2">
      <w:pPr>
        <w:pStyle w:val="49"/>
        <w:numPr>
          <w:ilvl w:val="1"/>
          <w:numId w:val="5"/>
        </w:numPr>
        <w:adjustRightInd w:val="0"/>
        <w:ind w:firstLineChars="0"/>
        <w:rPr>
          <w:rFonts w:cs="Times New Roman"/>
          <w:color w:val="auto"/>
          <w:highlight w:val="none"/>
        </w:rPr>
      </w:pPr>
      <w:r>
        <w:rPr>
          <w:rFonts w:cs="Times New Roman"/>
          <w:color w:val="auto"/>
          <w:highlight w:val="none"/>
        </w:rPr>
        <w:t>锂辉石选矿试验研究报告</w:t>
      </w:r>
    </w:p>
    <w:p w14:paraId="63305010">
      <w:pPr>
        <w:pStyle w:val="49"/>
        <w:numPr>
          <w:ilvl w:val="1"/>
          <w:numId w:val="5"/>
        </w:numPr>
        <w:adjustRightInd w:val="0"/>
        <w:ind w:firstLineChars="0"/>
        <w:rPr>
          <w:rFonts w:cs="Times New Roman"/>
          <w:color w:val="auto"/>
          <w:highlight w:val="none"/>
        </w:rPr>
      </w:pPr>
      <w:r>
        <w:rPr>
          <w:rFonts w:hint="eastAsia" w:cs="Times New Roman"/>
          <w:color w:val="auto"/>
          <w:highlight w:val="none"/>
        </w:rPr>
        <w:t>地勘报告</w:t>
      </w:r>
    </w:p>
    <w:p w14:paraId="4F7C647B">
      <w:pPr>
        <w:pStyle w:val="49"/>
        <w:numPr>
          <w:ilvl w:val="1"/>
          <w:numId w:val="5"/>
        </w:numPr>
        <w:adjustRightInd w:val="0"/>
        <w:ind w:firstLineChars="0"/>
        <w:rPr>
          <w:rFonts w:cs="Times New Roman"/>
          <w:color w:val="auto"/>
          <w:highlight w:val="none"/>
        </w:rPr>
      </w:pPr>
      <w:r>
        <w:rPr>
          <w:rFonts w:hint="eastAsia" w:cs="Times New Roman"/>
          <w:color w:val="auto"/>
          <w:highlight w:val="none"/>
        </w:rPr>
        <w:t>入园证明</w:t>
      </w:r>
    </w:p>
    <w:p w14:paraId="7227A762">
      <w:pPr>
        <w:pStyle w:val="49"/>
        <w:numPr>
          <w:ilvl w:val="1"/>
          <w:numId w:val="5"/>
        </w:numPr>
        <w:adjustRightInd w:val="0"/>
        <w:ind w:firstLineChars="0"/>
        <w:rPr>
          <w:rFonts w:cs="Times New Roman"/>
          <w:color w:val="auto"/>
          <w:highlight w:val="none"/>
        </w:rPr>
      </w:pPr>
      <w:r>
        <w:rPr>
          <w:rFonts w:hint="eastAsia" w:cs="Times New Roman"/>
          <w:color w:val="auto"/>
          <w:highlight w:val="none"/>
        </w:rPr>
        <w:t>租赁协议</w:t>
      </w:r>
    </w:p>
    <w:p w14:paraId="764D5F99">
      <w:pPr>
        <w:pStyle w:val="49"/>
        <w:numPr>
          <w:ilvl w:val="1"/>
          <w:numId w:val="5"/>
        </w:numPr>
        <w:adjustRightInd w:val="0"/>
        <w:ind w:firstLineChars="0"/>
        <w:rPr>
          <w:rFonts w:cs="Times New Roman"/>
          <w:color w:val="auto"/>
          <w:highlight w:val="none"/>
        </w:rPr>
      </w:pPr>
      <w:r>
        <w:rPr>
          <w:rFonts w:hint="eastAsia" w:cs="Times New Roman"/>
          <w:color w:val="auto"/>
          <w:highlight w:val="none"/>
        </w:rPr>
        <w:t>污水处理协议</w:t>
      </w:r>
    </w:p>
    <w:p w14:paraId="11595A4F">
      <w:pPr>
        <w:pStyle w:val="49"/>
        <w:adjustRightInd w:val="0"/>
        <w:ind w:firstLine="0" w:firstLineChars="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2BEA4791">
      <w:pPr>
        <w:pStyle w:val="2"/>
        <w:adjustRightInd w:val="0"/>
        <w:rPr>
          <w:rFonts w:cs="Times New Roman"/>
          <w:color w:val="auto"/>
          <w:highlight w:val="none"/>
        </w:rPr>
      </w:pPr>
      <w:bookmarkStart w:id="1" w:name="_Toc20560"/>
      <w:r>
        <w:rPr>
          <w:rFonts w:cs="Times New Roman"/>
          <w:color w:val="auto"/>
          <w:highlight w:val="none"/>
        </w:rPr>
        <w:t>总则</w:t>
      </w:r>
      <w:bookmarkEnd w:id="1"/>
    </w:p>
    <w:p w14:paraId="55C8485C">
      <w:pPr>
        <w:pStyle w:val="3"/>
        <w:adjustRightInd w:val="0"/>
        <w:rPr>
          <w:rFonts w:cs="Times New Roman"/>
          <w:color w:val="auto"/>
          <w:highlight w:val="none"/>
        </w:rPr>
      </w:pPr>
      <w:bookmarkStart w:id="2" w:name="_Toc28481"/>
      <w:r>
        <w:rPr>
          <w:rFonts w:cs="Times New Roman"/>
          <w:color w:val="auto"/>
          <w:highlight w:val="none"/>
        </w:rPr>
        <w:t>编制依据</w:t>
      </w:r>
      <w:bookmarkEnd w:id="2"/>
    </w:p>
    <w:p w14:paraId="7F8CE495">
      <w:pPr>
        <w:pStyle w:val="4"/>
        <w:adjustRightInd w:val="0"/>
        <w:rPr>
          <w:rFonts w:cs="Times New Roman"/>
          <w:color w:val="auto"/>
          <w:highlight w:val="none"/>
        </w:rPr>
      </w:pPr>
      <w:bookmarkStart w:id="3" w:name="_Toc28084"/>
      <w:r>
        <w:rPr>
          <w:rFonts w:cs="Times New Roman"/>
          <w:color w:val="auto"/>
          <w:highlight w:val="none"/>
        </w:rPr>
        <w:t>国家法律法规和政策</w:t>
      </w:r>
      <w:bookmarkEnd w:id="3"/>
    </w:p>
    <w:p w14:paraId="5B2A2F4C">
      <w:pPr>
        <w:adjustRightInd w:val="0"/>
        <w:ind w:firstLine="480"/>
        <w:rPr>
          <w:rFonts w:cs="Times New Roman"/>
          <w:color w:val="auto"/>
          <w:highlight w:val="none"/>
        </w:rPr>
      </w:pPr>
      <w:r>
        <w:rPr>
          <w:rFonts w:cs="Times New Roman"/>
          <w:color w:val="auto"/>
          <w:highlight w:val="none"/>
        </w:rPr>
        <w:t>（1）《中华人民共和国环境保护法》（2015年1月1日施行）；</w:t>
      </w:r>
    </w:p>
    <w:p w14:paraId="7C656A85">
      <w:pPr>
        <w:adjustRightInd w:val="0"/>
        <w:ind w:firstLine="480"/>
        <w:rPr>
          <w:rFonts w:cs="Times New Roman"/>
          <w:color w:val="auto"/>
          <w:highlight w:val="none"/>
        </w:rPr>
      </w:pPr>
      <w:r>
        <w:rPr>
          <w:rFonts w:cs="Times New Roman"/>
          <w:color w:val="auto"/>
          <w:highlight w:val="none"/>
        </w:rPr>
        <w:t>（2）《中华人民共和国环境影响评价法》（2019年1月1日施行）；</w:t>
      </w:r>
    </w:p>
    <w:p w14:paraId="59B47071">
      <w:pPr>
        <w:adjustRightInd w:val="0"/>
        <w:ind w:firstLine="480"/>
        <w:rPr>
          <w:rFonts w:cs="Times New Roman"/>
          <w:color w:val="auto"/>
          <w:highlight w:val="none"/>
        </w:rPr>
      </w:pPr>
      <w:r>
        <w:rPr>
          <w:rFonts w:cs="Times New Roman"/>
          <w:color w:val="auto"/>
          <w:highlight w:val="none"/>
        </w:rPr>
        <w:t>（3）《中华人民共和国大气污染防治法》（2018年10月26日施行）；</w:t>
      </w:r>
    </w:p>
    <w:p w14:paraId="7A4A9044">
      <w:pPr>
        <w:adjustRightInd w:val="0"/>
        <w:ind w:firstLine="480"/>
        <w:rPr>
          <w:rFonts w:cs="Times New Roman"/>
          <w:color w:val="auto"/>
          <w:highlight w:val="none"/>
        </w:rPr>
      </w:pPr>
      <w:r>
        <w:rPr>
          <w:rFonts w:cs="Times New Roman"/>
          <w:color w:val="auto"/>
          <w:highlight w:val="none"/>
        </w:rPr>
        <w:t>（4）《中华人民共和国水污染防治法》（2018年1月1日施行）；</w:t>
      </w:r>
    </w:p>
    <w:p w14:paraId="198D6C27">
      <w:pPr>
        <w:adjustRightInd w:val="0"/>
        <w:ind w:firstLine="480"/>
        <w:rPr>
          <w:rFonts w:cs="Times New Roman"/>
          <w:color w:val="auto"/>
          <w:highlight w:val="none"/>
        </w:rPr>
      </w:pPr>
      <w:r>
        <w:rPr>
          <w:rFonts w:cs="Times New Roman"/>
          <w:color w:val="auto"/>
          <w:highlight w:val="none"/>
        </w:rPr>
        <w:t>（5）《中华人民共和国噪声污染防治法》（2022年6月5日施行）；</w:t>
      </w:r>
    </w:p>
    <w:p w14:paraId="617AD9ED">
      <w:pPr>
        <w:adjustRightInd w:val="0"/>
        <w:ind w:firstLine="480"/>
        <w:rPr>
          <w:rFonts w:cs="Times New Roman"/>
          <w:color w:val="auto"/>
          <w:highlight w:val="none"/>
        </w:rPr>
      </w:pPr>
      <w:r>
        <w:rPr>
          <w:rFonts w:cs="Times New Roman"/>
          <w:color w:val="auto"/>
          <w:highlight w:val="none"/>
        </w:rPr>
        <w:t>（6）《中华人民共和国固体废物污染环境防治法》（2020年9月1日施行）；</w:t>
      </w:r>
    </w:p>
    <w:p w14:paraId="4107370F">
      <w:pPr>
        <w:adjustRightInd w:val="0"/>
        <w:ind w:firstLine="480"/>
        <w:rPr>
          <w:rFonts w:cs="Times New Roman"/>
          <w:color w:val="auto"/>
          <w:highlight w:val="none"/>
        </w:rPr>
      </w:pPr>
      <w:r>
        <w:rPr>
          <w:rFonts w:cs="Times New Roman"/>
          <w:color w:val="auto"/>
          <w:highlight w:val="none"/>
        </w:rPr>
        <w:t>（7）《中华人民共和国节约能源法》（2018年10月26日施行）；</w:t>
      </w:r>
    </w:p>
    <w:p w14:paraId="4CD80BBF">
      <w:pPr>
        <w:adjustRightInd w:val="0"/>
        <w:ind w:firstLine="480"/>
        <w:rPr>
          <w:rFonts w:cs="Times New Roman"/>
          <w:color w:val="auto"/>
          <w:highlight w:val="none"/>
        </w:rPr>
      </w:pPr>
      <w:r>
        <w:rPr>
          <w:rFonts w:cs="Times New Roman"/>
          <w:color w:val="auto"/>
          <w:highlight w:val="none"/>
        </w:rPr>
        <w:t>（8）《中华人民共和国水法》（2016年7月2日施行）；</w:t>
      </w:r>
    </w:p>
    <w:p w14:paraId="17477B4D">
      <w:pPr>
        <w:adjustRightInd w:val="0"/>
        <w:ind w:firstLine="480"/>
        <w:rPr>
          <w:rFonts w:cs="Times New Roman"/>
          <w:color w:val="auto"/>
          <w:highlight w:val="none"/>
        </w:rPr>
      </w:pPr>
      <w:r>
        <w:rPr>
          <w:rFonts w:cs="Times New Roman"/>
          <w:color w:val="auto"/>
          <w:highlight w:val="none"/>
        </w:rPr>
        <w:t>（9）《中华人民共和国土地管理法》（2020年1月1日施行）；</w:t>
      </w:r>
    </w:p>
    <w:p w14:paraId="2C51F571">
      <w:pPr>
        <w:adjustRightInd w:val="0"/>
        <w:ind w:firstLine="480"/>
        <w:rPr>
          <w:rFonts w:cs="Times New Roman"/>
          <w:color w:val="auto"/>
          <w:highlight w:val="none"/>
        </w:rPr>
      </w:pPr>
      <w:r>
        <w:rPr>
          <w:rFonts w:cs="Times New Roman"/>
          <w:color w:val="auto"/>
          <w:highlight w:val="none"/>
        </w:rPr>
        <w:t>（10）《中华人民共和国水土保持法》（2011年3月1日施行）；</w:t>
      </w:r>
    </w:p>
    <w:p w14:paraId="5F41B9EE">
      <w:pPr>
        <w:adjustRightInd w:val="0"/>
        <w:ind w:firstLine="480"/>
        <w:rPr>
          <w:rFonts w:cs="Times New Roman"/>
          <w:color w:val="auto"/>
          <w:highlight w:val="none"/>
        </w:rPr>
      </w:pPr>
      <w:r>
        <w:rPr>
          <w:rFonts w:cs="Times New Roman"/>
          <w:color w:val="auto"/>
          <w:highlight w:val="none"/>
        </w:rPr>
        <w:t>（11）《中华人民共和国清洁生产促进法》（2012年7月1日施行）；</w:t>
      </w:r>
    </w:p>
    <w:p w14:paraId="7786BD0B">
      <w:pPr>
        <w:adjustRightInd w:val="0"/>
        <w:ind w:firstLine="480"/>
        <w:rPr>
          <w:rFonts w:cs="Times New Roman"/>
          <w:color w:val="auto"/>
          <w:highlight w:val="none"/>
        </w:rPr>
      </w:pPr>
      <w:r>
        <w:rPr>
          <w:rFonts w:cs="Times New Roman"/>
          <w:color w:val="auto"/>
          <w:highlight w:val="none"/>
        </w:rPr>
        <w:t>（12）《中华人民共和国循环经济促进法》（2018年10月26日施行）；</w:t>
      </w:r>
    </w:p>
    <w:p w14:paraId="070F4A2F">
      <w:pPr>
        <w:pStyle w:val="42"/>
        <w:adjustRightInd w:val="0"/>
        <w:ind w:firstLine="480"/>
        <w:rPr>
          <w:color w:val="auto"/>
          <w:highlight w:val="none"/>
        </w:rPr>
      </w:pPr>
      <w:r>
        <w:rPr>
          <w:color w:val="auto"/>
          <w:highlight w:val="none"/>
        </w:rPr>
        <w:t>（13）《中华人民共和国土壤污染防治法》（2019年1月1日施行）；</w:t>
      </w:r>
    </w:p>
    <w:p w14:paraId="709D91DD">
      <w:pPr>
        <w:adjustRightInd w:val="0"/>
        <w:ind w:firstLine="480"/>
        <w:rPr>
          <w:rFonts w:cs="Times New Roman"/>
          <w:color w:val="auto"/>
          <w:highlight w:val="none"/>
        </w:rPr>
      </w:pPr>
      <w:r>
        <w:rPr>
          <w:rFonts w:cs="Times New Roman"/>
          <w:color w:val="auto"/>
          <w:highlight w:val="none"/>
        </w:rPr>
        <w:t>（14）《建设项目环境保护管理条例》（2017年7月16日修订）；</w:t>
      </w:r>
    </w:p>
    <w:p w14:paraId="67F1AC3E">
      <w:pPr>
        <w:pStyle w:val="42"/>
        <w:adjustRightInd w:val="0"/>
        <w:ind w:firstLine="480"/>
        <w:rPr>
          <w:color w:val="auto"/>
          <w:highlight w:val="none"/>
        </w:rPr>
      </w:pPr>
      <w:r>
        <w:rPr>
          <w:color w:val="auto"/>
          <w:highlight w:val="none"/>
        </w:rPr>
        <w:t>（15）《环境影响评价公众参与办法》（2019年1月1日施行）；</w:t>
      </w:r>
    </w:p>
    <w:p w14:paraId="3D69A229">
      <w:pPr>
        <w:pStyle w:val="42"/>
        <w:adjustRightInd w:val="0"/>
        <w:ind w:firstLine="480"/>
        <w:rPr>
          <w:color w:val="auto"/>
          <w:highlight w:val="none"/>
        </w:rPr>
      </w:pPr>
      <w:r>
        <w:rPr>
          <w:color w:val="auto"/>
          <w:highlight w:val="none"/>
        </w:rPr>
        <w:t>（16）《关于印发&lt;建设项目环境影响评价政府信息公开指南（试行）&gt;的通知》（环办〔2013〕103号）；</w:t>
      </w:r>
    </w:p>
    <w:p w14:paraId="187EDE5B">
      <w:pPr>
        <w:pStyle w:val="42"/>
        <w:adjustRightInd w:val="0"/>
        <w:ind w:firstLine="480"/>
        <w:rPr>
          <w:color w:val="auto"/>
          <w:highlight w:val="none"/>
        </w:rPr>
      </w:pPr>
      <w:r>
        <w:rPr>
          <w:color w:val="auto"/>
          <w:highlight w:val="none"/>
        </w:rPr>
        <w:t>（17）《中华人民共和国长江保护法》（2021年3月1日施行）；</w:t>
      </w:r>
    </w:p>
    <w:p w14:paraId="56250C45">
      <w:pPr>
        <w:pStyle w:val="42"/>
        <w:adjustRightInd w:val="0"/>
        <w:ind w:firstLine="480"/>
        <w:rPr>
          <w:color w:val="auto"/>
          <w:highlight w:val="none"/>
        </w:rPr>
      </w:pPr>
      <w:r>
        <w:rPr>
          <w:color w:val="auto"/>
          <w:highlight w:val="none"/>
        </w:rPr>
        <w:t>（18）《长江经济带发展负面清单指南（</w:t>
      </w:r>
      <w:bookmarkStart w:id="464" w:name="_GoBack"/>
      <w:r>
        <w:rPr>
          <w:color w:val="auto"/>
          <w:highlight w:val="none"/>
        </w:rPr>
        <w:t>试行</w:t>
      </w:r>
      <w:bookmarkEnd w:id="464"/>
      <w:r>
        <w:rPr>
          <w:color w:val="auto"/>
          <w:highlight w:val="none"/>
        </w:rPr>
        <w:t>，2022年版）》（长江办〔2022〕7号）；</w:t>
      </w:r>
    </w:p>
    <w:p w14:paraId="66548A48">
      <w:pPr>
        <w:pStyle w:val="42"/>
        <w:adjustRightInd w:val="0"/>
        <w:ind w:firstLine="480"/>
        <w:rPr>
          <w:color w:val="auto"/>
          <w:highlight w:val="none"/>
        </w:rPr>
      </w:pPr>
      <w:r>
        <w:rPr>
          <w:color w:val="auto"/>
          <w:highlight w:val="none"/>
        </w:rPr>
        <w:t>（19）《长江经济带生态环境保护规划》（环规财〔2017〕88号）；</w:t>
      </w:r>
    </w:p>
    <w:p w14:paraId="5449D67B">
      <w:pPr>
        <w:pStyle w:val="42"/>
        <w:adjustRightInd w:val="0"/>
        <w:ind w:firstLine="480"/>
        <w:rPr>
          <w:color w:val="auto"/>
          <w:highlight w:val="none"/>
        </w:rPr>
      </w:pPr>
      <w:r>
        <w:rPr>
          <w:color w:val="auto"/>
          <w:highlight w:val="none"/>
        </w:rPr>
        <w:t>（20）《突发环境事件应急管理办法》（2015年6月5日施行）；</w:t>
      </w:r>
    </w:p>
    <w:p w14:paraId="2FB5FCDC">
      <w:pPr>
        <w:adjustRightInd w:val="0"/>
        <w:ind w:firstLine="480"/>
        <w:rPr>
          <w:rFonts w:cs="Times New Roman"/>
          <w:color w:val="auto"/>
          <w:highlight w:val="none"/>
        </w:rPr>
      </w:pPr>
      <w:r>
        <w:rPr>
          <w:rFonts w:cs="Times New Roman"/>
          <w:color w:val="auto"/>
          <w:highlight w:val="none"/>
        </w:rPr>
        <w:t>（21）《危险化学品安全管理条例》（2013年12月7日修订）；</w:t>
      </w:r>
    </w:p>
    <w:p w14:paraId="73B24508">
      <w:pPr>
        <w:adjustRightInd w:val="0"/>
        <w:ind w:firstLine="480"/>
        <w:rPr>
          <w:rFonts w:cs="Times New Roman"/>
          <w:color w:val="auto"/>
          <w:highlight w:val="none"/>
        </w:rPr>
      </w:pPr>
      <w:r>
        <w:rPr>
          <w:rFonts w:cs="Times New Roman"/>
          <w:color w:val="auto"/>
          <w:highlight w:val="none"/>
        </w:rPr>
        <w:t>（22）《国务院关于印发水污染防治行动计划的通知》（国发〔2015〕17号）；</w:t>
      </w:r>
    </w:p>
    <w:p w14:paraId="190F3E31">
      <w:pPr>
        <w:adjustRightInd w:val="0"/>
        <w:ind w:firstLine="480"/>
        <w:rPr>
          <w:rFonts w:cs="Times New Roman"/>
          <w:color w:val="auto"/>
          <w:highlight w:val="none"/>
        </w:rPr>
      </w:pPr>
      <w:r>
        <w:rPr>
          <w:rFonts w:cs="Times New Roman"/>
          <w:color w:val="auto"/>
          <w:highlight w:val="none"/>
        </w:rPr>
        <w:t>（23）《关于印发&lt;土壤污染源头防控行动计划&gt;的通知》（环土壤〔2024〕80号）；</w:t>
      </w:r>
    </w:p>
    <w:p w14:paraId="78D1A20F">
      <w:pPr>
        <w:adjustRightInd w:val="0"/>
        <w:ind w:firstLine="480"/>
        <w:rPr>
          <w:rFonts w:cs="Times New Roman"/>
          <w:color w:val="auto"/>
          <w:highlight w:val="none"/>
        </w:rPr>
      </w:pPr>
      <w:r>
        <w:rPr>
          <w:rFonts w:cs="Times New Roman"/>
          <w:color w:val="auto"/>
          <w:highlight w:val="none"/>
        </w:rPr>
        <w:t>（24）《关于印发〈建设项目主要污染物排放总量指标审核及管理暂行办法〉的通知》（环发〔2014〕197号）；</w:t>
      </w:r>
    </w:p>
    <w:p w14:paraId="1D430580">
      <w:pPr>
        <w:adjustRightInd w:val="0"/>
        <w:ind w:firstLine="480"/>
        <w:rPr>
          <w:rFonts w:cs="Times New Roman"/>
          <w:color w:val="auto"/>
          <w:highlight w:val="none"/>
        </w:rPr>
      </w:pPr>
      <w:r>
        <w:rPr>
          <w:rFonts w:cs="Times New Roman"/>
          <w:color w:val="auto"/>
          <w:highlight w:val="none"/>
        </w:rPr>
        <w:t>（25）《关于全面加强生态环境保护坚决打好污染防治攻坚战的意见》（中共中央国务院2018年6月16日）；</w:t>
      </w:r>
    </w:p>
    <w:p w14:paraId="2F36B048">
      <w:pPr>
        <w:adjustRightInd w:val="0"/>
        <w:ind w:firstLine="480"/>
        <w:rPr>
          <w:rFonts w:cs="Times New Roman"/>
          <w:color w:val="auto"/>
          <w:highlight w:val="none"/>
        </w:rPr>
      </w:pPr>
      <w:r>
        <w:rPr>
          <w:rFonts w:cs="Times New Roman"/>
          <w:color w:val="auto"/>
          <w:highlight w:val="none"/>
        </w:rPr>
        <w:t>（26）《中共中央国务院关于深入打好污染防治攻坚战的意见》（中共中央国务院2021年11月7日）；</w:t>
      </w:r>
    </w:p>
    <w:p w14:paraId="60157725">
      <w:pPr>
        <w:adjustRightInd w:val="0"/>
        <w:ind w:firstLine="480"/>
        <w:rPr>
          <w:rFonts w:cs="Times New Roman"/>
          <w:color w:val="auto"/>
          <w:highlight w:val="none"/>
        </w:rPr>
      </w:pPr>
      <w:r>
        <w:rPr>
          <w:rFonts w:cs="Times New Roman"/>
          <w:color w:val="auto"/>
          <w:highlight w:val="none"/>
        </w:rPr>
        <w:t>（27）《空气质量持续改善行动计划》（国发〔2023〕24号）；</w:t>
      </w:r>
    </w:p>
    <w:p w14:paraId="3288C11A">
      <w:pPr>
        <w:adjustRightInd w:val="0"/>
        <w:ind w:firstLine="480"/>
        <w:rPr>
          <w:rFonts w:cs="Times New Roman"/>
          <w:color w:val="auto"/>
          <w:highlight w:val="none"/>
        </w:rPr>
      </w:pPr>
      <w:r>
        <w:rPr>
          <w:rFonts w:cs="Times New Roman"/>
          <w:color w:val="auto"/>
          <w:highlight w:val="none"/>
        </w:rPr>
        <w:t>（28）《中共四川省委四川省人民政府关于深入打好污染防治攻坚战的实施意见》（2022年9月22日）；</w:t>
      </w:r>
    </w:p>
    <w:p w14:paraId="4364C32F">
      <w:pPr>
        <w:adjustRightInd w:val="0"/>
        <w:ind w:firstLine="480"/>
        <w:rPr>
          <w:rFonts w:cs="Times New Roman"/>
          <w:color w:val="auto"/>
          <w:highlight w:val="none"/>
        </w:rPr>
      </w:pPr>
      <w:r>
        <w:rPr>
          <w:rFonts w:cs="Times New Roman"/>
          <w:color w:val="auto"/>
          <w:highlight w:val="none"/>
        </w:rPr>
        <w:t>（29）《中华人民共和国矿产资源法》（2025年7月1日）</w:t>
      </w:r>
      <w:r>
        <w:rPr>
          <w:rFonts w:hint="eastAsia" w:cs="Times New Roman"/>
          <w:color w:val="auto"/>
          <w:highlight w:val="none"/>
        </w:rPr>
        <w:t>；</w:t>
      </w:r>
    </w:p>
    <w:p w14:paraId="0BA0B985">
      <w:pPr>
        <w:adjustRightInd w:val="0"/>
        <w:ind w:firstLine="480"/>
        <w:rPr>
          <w:rFonts w:cs="Times New Roman"/>
          <w:color w:val="auto"/>
          <w:highlight w:val="none"/>
        </w:rPr>
      </w:pPr>
      <w:r>
        <w:rPr>
          <w:rFonts w:cs="Times New Roman"/>
          <w:color w:val="auto"/>
          <w:highlight w:val="none"/>
        </w:rPr>
        <w:t>（30）《国土资源部&lt;关于锂、锶、重晶石、石灰岩、菱镁矿和硼等矿产资源合理开发利用</w:t>
      </w:r>
      <w:r>
        <w:rPr>
          <w:rFonts w:hint="eastAsia" w:cs="Times New Roman"/>
          <w:color w:val="auto"/>
          <w:highlight w:val="none"/>
        </w:rPr>
        <w:t>“</w:t>
      </w:r>
      <w:r>
        <w:rPr>
          <w:rFonts w:cs="Times New Roman"/>
          <w:color w:val="auto"/>
          <w:highlight w:val="none"/>
        </w:rPr>
        <w:t>三率</w:t>
      </w:r>
      <w:r>
        <w:rPr>
          <w:rFonts w:hint="eastAsia" w:cs="Times New Roman"/>
          <w:color w:val="auto"/>
          <w:highlight w:val="none"/>
        </w:rPr>
        <w:t>”</w:t>
      </w:r>
      <w:r>
        <w:rPr>
          <w:rFonts w:cs="Times New Roman"/>
          <w:color w:val="auto"/>
          <w:highlight w:val="none"/>
        </w:rPr>
        <w:t>最低指标要求&gt;（试行）的公告》（2016年第30号）</w:t>
      </w:r>
      <w:r>
        <w:rPr>
          <w:rFonts w:hint="eastAsia" w:cs="Times New Roman"/>
          <w:color w:val="auto"/>
          <w:highlight w:val="none"/>
        </w:rPr>
        <w:t>；</w:t>
      </w:r>
    </w:p>
    <w:p w14:paraId="2FF9D5D2">
      <w:pPr>
        <w:adjustRightInd w:val="0"/>
        <w:ind w:firstLine="480"/>
        <w:rPr>
          <w:rFonts w:cs="Times New Roman"/>
          <w:color w:val="auto"/>
          <w:highlight w:val="none"/>
        </w:rPr>
      </w:pPr>
      <w:r>
        <w:rPr>
          <w:rFonts w:cs="Times New Roman"/>
          <w:color w:val="auto"/>
          <w:highlight w:val="none"/>
        </w:rPr>
        <w:t>（31）《危险化学品名录（2021版）》；</w:t>
      </w:r>
    </w:p>
    <w:p w14:paraId="1E8C9D1A">
      <w:pPr>
        <w:adjustRightInd w:val="0"/>
        <w:ind w:firstLine="480"/>
        <w:rPr>
          <w:rFonts w:cs="Times New Roman"/>
          <w:color w:val="auto"/>
          <w:highlight w:val="none"/>
        </w:rPr>
      </w:pPr>
      <w:r>
        <w:rPr>
          <w:rFonts w:cs="Times New Roman"/>
          <w:color w:val="auto"/>
          <w:highlight w:val="none"/>
        </w:rPr>
        <w:t>（32）《国家危险废物名录（2025年版）》</w:t>
      </w:r>
      <w:r>
        <w:rPr>
          <w:rFonts w:hint="eastAsia" w:cs="Times New Roman"/>
          <w:color w:val="auto"/>
          <w:highlight w:val="none"/>
        </w:rPr>
        <w:t>。</w:t>
      </w:r>
    </w:p>
    <w:p w14:paraId="1373B0AF">
      <w:pPr>
        <w:pStyle w:val="4"/>
        <w:adjustRightInd w:val="0"/>
        <w:rPr>
          <w:rFonts w:cs="Times New Roman"/>
          <w:color w:val="auto"/>
          <w:highlight w:val="none"/>
        </w:rPr>
      </w:pPr>
      <w:bookmarkStart w:id="4" w:name="_Toc22197"/>
      <w:r>
        <w:rPr>
          <w:rFonts w:cs="Times New Roman"/>
          <w:color w:val="auto"/>
          <w:highlight w:val="none"/>
        </w:rPr>
        <w:t>地方法规及相关文件</w:t>
      </w:r>
      <w:bookmarkEnd w:id="4"/>
    </w:p>
    <w:p w14:paraId="584DF2EE">
      <w:pPr>
        <w:adjustRightInd w:val="0"/>
        <w:ind w:firstLine="480"/>
        <w:rPr>
          <w:rFonts w:cs="Times New Roman"/>
          <w:color w:val="auto"/>
          <w:highlight w:val="none"/>
        </w:rPr>
      </w:pPr>
      <w:r>
        <w:rPr>
          <w:rFonts w:cs="Times New Roman"/>
          <w:color w:val="auto"/>
          <w:highlight w:val="none"/>
        </w:rPr>
        <w:t>（1）《四川省生态环境厅关于优化调整建设项目环境影响评价文件审批权限的公告》（四川省生态环境厅公告，2023年第7号）；</w:t>
      </w:r>
    </w:p>
    <w:p w14:paraId="416D67A2">
      <w:pPr>
        <w:adjustRightInd w:val="0"/>
        <w:ind w:firstLine="480"/>
        <w:rPr>
          <w:rFonts w:cs="Times New Roman"/>
          <w:color w:val="auto"/>
          <w:highlight w:val="none"/>
        </w:rPr>
      </w:pPr>
      <w:r>
        <w:rPr>
          <w:rFonts w:cs="Times New Roman"/>
          <w:color w:val="auto"/>
          <w:highlight w:val="none"/>
        </w:rPr>
        <w:t>（2）《四川省环境保护条例》（2017年9月22日修订，2018年1月1日施行）；</w:t>
      </w:r>
    </w:p>
    <w:p w14:paraId="1D2D7D28">
      <w:pPr>
        <w:adjustRightInd w:val="0"/>
        <w:ind w:firstLine="480"/>
        <w:rPr>
          <w:rFonts w:cs="Times New Roman"/>
          <w:color w:val="auto"/>
          <w:highlight w:val="none"/>
        </w:rPr>
      </w:pPr>
      <w:r>
        <w:rPr>
          <w:rFonts w:cs="Times New Roman"/>
          <w:color w:val="auto"/>
          <w:highlight w:val="none"/>
        </w:rPr>
        <w:t>（3）《四川省打赢蓝天保卫战等九个实施方案》（川府发〔2019〕4号）；</w:t>
      </w:r>
    </w:p>
    <w:p w14:paraId="7527300F">
      <w:pPr>
        <w:adjustRightInd w:val="0"/>
        <w:ind w:firstLine="480"/>
        <w:rPr>
          <w:rFonts w:cs="Times New Roman"/>
          <w:color w:val="auto"/>
          <w:highlight w:val="none"/>
        </w:rPr>
      </w:pPr>
      <w:r>
        <w:rPr>
          <w:rFonts w:cs="Times New Roman"/>
          <w:color w:val="auto"/>
          <w:highlight w:val="none"/>
        </w:rPr>
        <w:t>（4）《四川省环境污染防治</w:t>
      </w:r>
      <w:r>
        <w:rPr>
          <w:rFonts w:hint="eastAsia" w:cs="Times New Roman"/>
          <w:color w:val="auto"/>
          <w:highlight w:val="none"/>
        </w:rPr>
        <w:t>“</w:t>
      </w:r>
      <w:r>
        <w:rPr>
          <w:rFonts w:cs="Times New Roman"/>
          <w:color w:val="auto"/>
          <w:highlight w:val="none"/>
        </w:rPr>
        <w:t>三大战役</w:t>
      </w:r>
      <w:r>
        <w:rPr>
          <w:rFonts w:hint="eastAsia" w:cs="Times New Roman"/>
          <w:color w:val="auto"/>
          <w:highlight w:val="none"/>
        </w:rPr>
        <w:t>”</w:t>
      </w:r>
      <w:r>
        <w:rPr>
          <w:rFonts w:cs="Times New Roman"/>
          <w:color w:val="auto"/>
          <w:highlight w:val="none"/>
        </w:rPr>
        <w:t>实施方案》；</w:t>
      </w:r>
    </w:p>
    <w:p w14:paraId="7B6BA90E">
      <w:pPr>
        <w:adjustRightInd w:val="0"/>
        <w:ind w:firstLine="480"/>
        <w:rPr>
          <w:rFonts w:cs="Times New Roman"/>
          <w:color w:val="auto"/>
          <w:highlight w:val="none"/>
        </w:rPr>
      </w:pPr>
      <w:r>
        <w:rPr>
          <w:rFonts w:cs="Times New Roman"/>
          <w:color w:val="auto"/>
          <w:highlight w:val="none"/>
        </w:rPr>
        <w:t>（5）《四川省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重金属污染防控工作方案》（川污防攻坚办〔2022〕61号）；</w:t>
      </w:r>
    </w:p>
    <w:p w14:paraId="6C4176CB">
      <w:pPr>
        <w:adjustRightInd w:val="0"/>
        <w:ind w:firstLine="480"/>
        <w:rPr>
          <w:rFonts w:cs="Times New Roman"/>
          <w:color w:val="auto"/>
          <w:highlight w:val="none"/>
        </w:rPr>
      </w:pPr>
      <w:r>
        <w:rPr>
          <w:rFonts w:cs="Times New Roman"/>
          <w:color w:val="auto"/>
          <w:highlight w:val="none"/>
        </w:rPr>
        <w:t>（6）《四川省、重庆市长江经济带发展负面清单实施细则（试行，2022年版）》；</w:t>
      </w:r>
    </w:p>
    <w:p w14:paraId="26773B90">
      <w:pPr>
        <w:adjustRightInd w:val="0"/>
        <w:ind w:firstLine="480"/>
        <w:rPr>
          <w:rFonts w:cs="Times New Roman"/>
          <w:color w:val="auto"/>
          <w:highlight w:val="none"/>
        </w:rPr>
      </w:pPr>
      <w:r>
        <w:rPr>
          <w:rFonts w:cs="Times New Roman"/>
          <w:color w:val="auto"/>
          <w:highlight w:val="none"/>
        </w:rPr>
        <w:t>（7）《四川省矿产资源总体规划》（2021-2025年）；</w:t>
      </w:r>
    </w:p>
    <w:p w14:paraId="4734D9DB">
      <w:pPr>
        <w:adjustRightInd w:val="0"/>
        <w:ind w:firstLine="480"/>
        <w:rPr>
          <w:rFonts w:cs="Times New Roman"/>
          <w:color w:val="auto"/>
          <w:highlight w:val="none"/>
        </w:rPr>
      </w:pPr>
      <w:r>
        <w:rPr>
          <w:rFonts w:cs="Times New Roman"/>
          <w:color w:val="auto"/>
          <w:highlight w:val="none"/>
        </w:rPr>
        <w:t>（8）《四川省锂资源开发及产业发展规划（2022-2025年）》；</w:t>
      </w:r>
    </w:p>
    <w:p w14:paraId="51967888">
      <w:pPr>
        <w:adjustRightInd w:val="0"/>
        <w:ind w:firstLine="480"/>
        <w:rPr>
          <w:rFonts w:cs="Times New Roman"/>
          <w:color w:val="auto"/>
          <w:highlight w:val="none"/>
        </w:rPr>
      </w:pPr>
      <w:r>
        <w:rPr>
          <w:rFonts w:cs="Times New Roman"/>
          <w:color w:val="auto"/>
          <w:highlight w:val="none"/>
        </w:rPr>
        <w:t>（9）《促进锂电产业高质量发展的实施意见》；</w:t>
      </w:r>
    </w:p>
    <w:p w14:paraId="149AC84F">
      <w:pPr>
        <w:adjustRightInd w:val="0"/>
        <w:ind w:firstLine="480"/>
        <w:rPr>
          <w:rFonts w:cs="Times New Roman"/>
          <w:color w:val="auto"/>
          <w:highlight w:val="none"/>
        </w:rPr>
      </w:pPr>
      <w:r>
        <w:rPr>
          <w:rFonts w:cs="Times New Roman"/>
          <w:color w:val="auto"/>
          <w:highlight w:val="none"/>
        </w:rPr>
        <w:t>（10）《四川省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生态环境保护规划》（川府发〔2022〕2号）；</w:t>
      </w:r>
    </w:p>
    <w:p w14:paraId="11033C71">
      <w:pPr>
        <w:adjustRightInd w:val="0"/>
        <w:ind w:firstLine="480"/>
        <w:rPr>
          <w:rFonts w:cs="Times New Roman"/>
          <w:color w:val="auto"/>
          <w:highlight w:val="none"/>
        </w:rPr>
      </w:pPr>
      <w:r>
        <w:rPr>
          <w:rFonts w:cs="Times New Roman"/>
          <w:color w:val="auto"/>
          <w:highlight w:val="none"/>
        </w:rPr>
        <w:t>（11）《乐山市</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生态环境保护规划》（乐府发〔2022〕16号）；</w:t>
      </w:r>
    </w:p>
    <w:p w14:paraId="4432884D">
      <w:pPr>
        <w:adjustRightInd w:val="0"/>
        <w:ind w:firstLine="480"/>
        <w:rPr>
          <w:rFonts w:cs="Times New Roman"/>
          <w:color w:val="auto"/>
          <w:highlight w:val="none"/>
        </w:rPr>
      </w:pPr>
      <w:r>
        <w:rPr>
          <w:rFonts w:cs="Times New Roman"/>
          <w:color w:val="auto"/>
          <w:highlight w:val="none"/>
        </w:rPr>
        <w:t>（12）《乐山市沙湾区</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生态环境保护规划》（乐沙府发〔2023〕1号）；</w:t>
      </w:r>
    </w:p>
    <w:p w14:paraId="61A3D63A">
      <w:pPr>
        <w:adjustRightInd w:val="0"/>
        <w:ind w:firstLine="480"/>
        <w:rPr>
          <w:rFonts w:cs="Times New Roman"/>
          <w:color w:val="auto"/>
          <w:highlight w:val="none"/>
        </w:rPr>
      </w:pPr>
      <w:r>
        <w:rPr>
          <w:rFonts w:cs="Times New Roman"/>
          <w:color w:val="auto"/>
          <w:highlight w:val="none"/>
        </w:rPr>
        <w:t>（13）《乐山市大气污染防治三年攻坚行动2024年度</w:t>
      </w:r>
      <w:r>
        <w:rPr>
          <w:rFonts w:hint="eastAsia" w:cs="Times New Roman"/>
          <w:color w:val="auto"/>
          <w:highlight w:val="none"/>
        </w:rPr>
        <w:t>“</w:t>
      </w:r>
      <w:r>
        <w:rPr>
          <w:rFonts w:cs="Times New Roman"/>
          <w:color w:val="auto"/>
          <w:highlight w:val="none"/>
        </w:rPr>
        <w:t>十字措施</w:t>
      </w:r>
      <w:r>
        <w:rPr>
          <w:rFonts w:hint="eastAsia" w:cs="Times New Roman"/>
          <w:color w:val="auto"/>
          <w:highlight w:val="none"/>
        </w:rPr>
        <w:t>”</w:t>
      </w:r>
      <w:r>
        <w:rPr>
          <w:rFonts w:cs="Times New Roman"/>
          <w:color w:val="auto"/>
          <w:highlight w:val="none"/>
        </w:rPr>
        <w:t>》（乐污防攻坚〔2024〕2号）</w:t>
      </w:r>
      <w:r>
        <w:rPr>
          <w:rFonts w:hint="eastAsia" w:cs="Times New Roman"/>
          <w:color w:val="auto"/>
          <w:highlight w:val="none"/>
        </w:rPr>
        <w:t>；</w:t>
      </w:r>
    </w:p>
    <w:p w14:paraId="655E4A42">
      <w:pPr>
        <w:adjustRightInd w:val="0"/>
        <w:ind w:firstLine="480"/>
        <w:rPr>
          <w:rFonts w:cs="Times New Roman"/>
          <w:color w:val="auto"/>
          <w:highlight w:val="none"/>
        </w:rPr>
      </w:pPr>
      <w:r>
        <w:rPr>
          <w:rFonts w:hint="eastAsia" w:cs="Times New Roman"/>
          <w:color w:val="auto"/>
          <w:highlight w:val="none"/>
        </w:rPr>
        <w:t>（14）</w:t>
      </w:r>
      <w:r>
        <w:rPr>
          <w:rFonts w:cs="Times New Roman"/>
          <w:color w:val="auto"/>
          <w:highlight w:val="none"/>
        </w:rPr>
        <w:t>《关于印发&lt;开展锂电产业项目评价促进高质量发展的实施方案（试行）&gt;的通知》</w:t>
      </w:r>
      <w:r>
        <w:rPr>
          <w:rFonts w:hint="eastAsia" w:cs="Times New Roman"/>
          <w:color w:val="auto"/>
          <w:highlight w:val="none"/>
        </w:rPr>
        <w:t>（</w:t>
      </w:r>
      <w:r>
        <w:rPr>
          <w:rFonts w:cs="Times New Roman"/>
          <w:color w:val="auto"/>
          <w:highlight w:val="none"/>
        </w:rPr>
        <w:t>川经信规〔2024〕6号</w:t>
      </w:r>
      <w:r>
        <w:rPr>
          <w:rFonts w:hint="eastAsia" w:cs="Times New Roman"/>
          <w:color w:val="auto"/>
          <w:highlight w:val="none"/>
        </w:rPr>
        <w:t>）</w:t>
      </w:r>
      <w:r>
        <w:rPr>
          <w:rFonts w:cs="Times New Roman"/>
          <w:color w:val="auto"/>
          <w:highlight w:val="none"/>
        </w:rPr>
        <w:t>。</w:t>
      </w:r>
    </w:p>
    <w:p w14:paraId="6D53A1FC">
      <w:pPr>
        <w:pStyle w:val="4"/>
        <w:adjustRightInd w:val="0"/>
        <w:rPr>
          <w:rFonts w:cs="Times New Roman"/>
          <w:color w:val="auto"/>
          <w:highlight w:val="none"/>
        </w:rPr>
      </w:pPr>
      <w:bookmarkStart w:id="5" w:name="_Toc19481"/>
      <w:r>
        <w:rPr>
          <w:rFonts w:cs="Times New Roman"/>
          <w:color w:val="auto"/>
          <w:highlight w:val="none"/>
        </w:rPr>
        <w:t>技术规范和技术导则</w:t>
      </w:r>
      <w:bookmarkEnd w:id="5"/>
    </w:p>
    <w:p w14:paraId="3C7A42D9">
      <w:pPr>
        <w:adjustRightInd w:val="0"/>
        <w:ind w:firstLine="480"/>
        <w:rPr>
          <w:rFonts w:cs="Times New Roman"/>
          <w:color w:val="auto"/>
          <w:highlight w:val="none"/>
        </w:rPr>
      </w:pPr>
      <w:r>
        <w:rPr>
          <w:rFonts w:cs="Times New Roman"/>
          <w:color w:val="auto"/>
          <w:highlight w:val="none"/>
        </w:rPr>
        <w:t>（1）《建设项目环境影响评价技术导则 总纲》（HJ 2.1-2016）；</w:t>
      </w:r>
    </w:p>
    <w:p w14:paraId="396353E0">
      <w:pPr>
        <w:adjustRightInd w:val="0"/>
        <w:ind w:firstLine="480"/>
        <w:rPr>
          <w:rFonts w:cs="Times New Roman"/>
          <w:color w:val="auto"/>
          <w:highlight w:val="none"/>
        </w:rPr>
      </w:pPr>
      <w:r>
        <w:rPr>
          <w:rFonts w:cs="Times New Roman"/>
          <w:color w:val="auto"/>
          <w:highlight w:val="none"/>
        </w:rPr>
        <w:t>（2）《环境影响评价技术导则 大气环境》（HJ 2.2-2018）；</w:t>
      </w:r>
    </w:p>
    <w:p w14:paraId="3295986F">
      <w:pPr>
        <w:adjustRightInd w:val="0"/>
        <w:ind w:firstLine="480"/>
        <w:rPr>
          <w:rFonts w:cs="Times New Roman"/>
          <w:color w:val="auto"/>
          <w:highlight w:val="none"/>
        </w:rPr>
      </w:pPr>
      <w:r>
        <w:rPr>
          <w:rFonts w:cs="Times New Roman"/>
          <w:color w:val="auto"/>
          <w:highlight w:val="none"/>
        </w:rPr>
        <w:t>（3）《环境影响评价技术导则 地表水环境》（HJ 2.3-2018）；</w:t>
      </w:r>
    </w:p>
    <w:p w14:paraId="3005AEEB">
      <w:pPr>
        <w:adjustRightInd w:val="0"/>
        <w:ind w:firstLine="480"/>
        <w:rPr>
          <w:rFonts w:cs="Times New Roman"/>
          <w:color w:val="auto"/>
          <w:highlight w:val="none"/>
        </w:rPr>
      </w:pPr>
      <w:r>
        <w:rPr>
          <w:rFonts w:cs="Times New Roman"/>
          <w:color w:val="auto"/>
          <w:highlight w:val="none"/>
        </w:rPr>
        <w:t>（4）《环境影响评价技术导则 地下水环境》（HJ 610-2016）；</w:t>
      </w:r>
    </w:p>
    <w:p w14:paraId="651449FB">
      <w:pPr>
        <w:adjustRightInd w:val="0"/>
        <w:ind w:firstLine="480"/>
        <w:rPr>
          <w:rFonts w:cs="Times New Roman"/>
          <w:color w:val="auto"/>
          <w:highlight w:val="none"/>
        </w:rPr>
      </w:pPr>
      <w:r>
        <w:rPr>
          <w:rFonts w:cs="Times New Roman"/>
          <w:color w:val="auto"/>
          <w:highlight w:val="none"/>
        </w:rPr>
        <w:t>（5）《环境影响评价技术导则 声环境》（HJ 2.4-2021）；</w:t>
      </w:r>
    </w:p>
    <w:p w14:paraId="56670F81">
      <w:pPr>
        <w:adjustRightInd w:val="0"/>
        <w:ind w:firstLine="480"/>
        <w:rPr>
          <w:rFonts w:cs="Times New Roman"/>
          <w:color w:val="auto"/>
          <w:highlight w:val="none"/>
        </w:rPr>
      </w:pPr>
      <w:r>
        <w:rPr>
          <w:rFonts w:cs="Times New Roman"/>
          <w:color w:val="auto"/>
          <w:highlight w:val="none"/>
        </w:rPr>
        <w:t>（6）《环境影响评价技术导则 生态影响》（HJ 19-2022）；</w:t>
      </w:r>
    </w:p>
    <w:p w14:paraId="4ACAA23A">
      <w:pPr>
        <w:adjustRightInd w:val="0"/>
        <w:ind w:firstLine="480"/>
        <w:rPr>
          <w:rFonts w:cs="Times New Roman"/>
          <w:color w:val="auto"/>
          <w:highlight w:val="none"/>
        </w:rPr>
      </w:pPr>
      <w:r>
        <w:rPr>
          <w:rFonts w:cs="Times New Roman"/>
          <w:color w:val="auto"/>
          <w:highlight w:val="none"/>
        </w:rPr>
        <w:t>（7）《环境影响评价技术导则 土壤环境（试行）》（HJ 964-2018）；</w:t>
      </w:r>
    </w:p>
    <w:p w14:paraId="5ABE6728">
      <w:pPr>
        <w:adjustRightInd w:val="0"/>
        <w:ind w:firstLine="480"/>
        <w:rPr>
          <w:rFonts w:cs="Times New Roman"/>
          <w:color w:val="auto"/>
          <w:highlight w:val="none"/>
        </w:rPr>
      </w:pPr>
      <w:r>
        <w:rPr>
          <w:rFonts w:cs="Times New Roman"/>
          <w:color w:val="auto"/>
          <w:highlight w:val="none"/>
        </w:rPr>
        <w:t>（8）《建设项目环境风险评价技术导则》（HJ 169-2018）；</w:t>
      </w:r>
    </w:p>
    <w:p w14:paraId="55884C70">
      <w:pPr>
        <w:adjustRightInd w:val="0"/>
        <w:ind w:firstLine="480"/>
        <w:rPr>
          <w:rFonts w:cs="Times New Roman"/>
          <w:color w:val="auto"/>
          <w:highlight w:val="none"/>
        </w:rPr>
      </w:pPr>
      <w:r>
        <w:rPr>
          <w:rFonts w:cs="Times New Roman"/>
          <w:color w:val="auto"/>
          <w:highlight w:val="none"/>
        </w:rPr>
        <w:t>（9）《危险化学品重大危险源辨识》（GB18218-2018）；</w:t>
      </w:r>
    </w:p>
    <w:p w14:paraId="68E93588">
      <w:pPr>
        <w:adjustRightInd w:val="0"/>
        <w:ind w:firstLine="480"/>
        <w:rPr>
          <w:rFonts w:cs="Times New Roman"/>
          <w:color w:val="auto"/>
          <w:highlight w:val="none"/>
        </w:rPr>
      </w:pPr>
      <w:r>
        <w:rPr>
          <w:rFonts w:cs="Times New Roman"/>
          <w:color w:val="auto"/>
          <w:highlight w:val="none"/>
        </w:rPr>
        <w:t>（10）《建设项目危险废物环境影响评价指南》（公告2017年第43号）；</w:t>
      </w:r>
    </w:p>
    <w:p w14:paraId="55B7A23C">
      <w:pPr>
        <w:adjustRightInd w:val="0"/>
        <w:ind w:firstLine="480"/>
        <w:rPr>
          <w:rFonts w:cs="Times New Roman"/>
          <w:color w:val="auto"/>
          <w:highlight w:val="none"/>
        </w:rPr>
      </w:pPr>
      <w:r>
        <w:rPr>
          <w:rFonts w:cs="Times New Roman"/>
          <w:color w:val="auto"/>
          <w:highlight w:val="none"/>
        </w:rPr>
        <w:t>（11）《突发环境事件应急监测技术规范》（HJ 589-2010）；</w:t>
      </w:r>
    </w:p>
    <w:p w14:paraId="00D7ACFF">
      <w:pPr>
        <w:adjustRightInd w:val="0"/>
        <w:ind w:firstLine="480"/>
        <w:rPr>
          <w:rFonts w:cs="Times New Roman"/>
          <w:color w:val="auto"/>
          <w:highlight w:val="none"/>
        </w:rPr>
      </w:pPr>
      <w:r>
        <w:rPr>
          <w:rFonts w:cs="Times New Roman"/>
          <w:color w:val="auto"/>
          <w:highlight w:val="none"/>
        </w:rPr>
        <w:t>（12）《一般工业固体废物贮存和填埋污染控制标准》（GB 18599-2020）；</w:t>
      </w:r>
    </w:p>
    <w:p w14:paraId="6D1453E7">
      <w:pPr>
        <w:adjustRightInd w:val="0"/>
        <w:ind w:firstLine="480"/>
        <w:rPr>
          <w:rFonts w:cs="Times New Roman"/>
          <w:color w:val="auto"/>
          <w:highlight w:val="none"/>
        </w:rPr>
      </w:pPr>
      <w:r>
        <w:rPr>
          <w:rFonts w:cs="Times New Roman"/>
          <w:color w:val="auto"/>
          <w:highlight w:val="none"/>
        </w:rPr>
        <w:t>（13）《危险废物贮存污染控制标准》（GB 18597-2023）；</w:t>
      </w:r>
    </w:p>
    <w:p w14:paraId="3FE3B7A2">
      <w:pPr>
        <w:adjustRightInd w:val="0"/>
        <w:ind w:firstLine="480"/>
        <w:rPr>
          <w:rFonts w:cs="Times New Roman"/>
          <w:color w:val="auto"/>
          <w:highlight w:val="none"/>
        </w:rPr>
      </w:pPr>
      <w:r>
        <w:rPr>
          <w:rFonts w:cs="Times New Roman"/>
          <w:color w:val="auto"/>
          <w:highlight w:val="none"/>
        </w:rPr>
        <w:t>（14）《排污许可证申请与核发技术规范 总则》（HJ942-2018）。</w:t>
      </w:r>
    </w:p>
    <w:p w14:paraId="1E08AAD4">
      <w:pPr>
        <w:pStyle w:val="4"/>
        <w:adjustRightInd w:val="0"/>
        <w:rPr>
          <w:rFonts w:cs="Times New Roman"/>
          <w:color w:val="auto"/>
          <w:highlight w:val="none"/>
        </w:rPr>
      </w:pPr>
      <w:bookmarkStart w:id="6" w:name="_Toc618"/>
      <w:r>
        <w:rPr>
          <w:rFonts w:cs="Times New Roman"/>
          <w:color w:val="auto"/>
          <w:highlight w:val="none"/>
        </w:rPr>
        <w:t>其他相关资料</w:t>
      </w:r>
      <w:bookmarkEnd w:id="6"/>
    </w:p>
    <w:p w14:paraId="4D8E4CD9">
      <w:pPr>
        <w:pStyle w:val="49"/>
        <w:numPr>
          <w:ilvl w:val="0"/>
          <w:numId w:val="6"/>
        </w:numPr>
        <w:adjustRightInd w:val="0"/>
        <w:rPr>
          <w:rFonts w:cs="Times New Roman"/>
          <w:color w:val="auto"/>
          <w:highlight w:val="none"/>
        </w:rPr>
      </w:pPr>
      <w:r>
        <w:rPr>
          <w:rFonts w:hint="eastAsia" w:cs="Times New Roman"/>
          <w:color w:val="auto"/>
          <w:highlight w:val="none"/>
        </w:rPr>
        <w:t>乐山市豪宸新能源科技有限公司沙湾豪宸新建36万吨锂矿综合利用项目</w:t>
      </w:r>
      <w:r>
        <w:rPr>
          <w:rFonts w:cs="Times New Roman"/>
          <w:color w:val="auto"/>
          <w:highlight w:val="none"/>
        </w:rPr>
        <w:t>环境影响评价委托书；</w:t>
      </w:r>
    </w:p>
    <w:p w14:paraId="672705C2">
      <w:pPr>
        <w:pStyle w:val="49"/>
        <w:numPr>
          <w:ilvl w:val="0"/>
          <w:numId w:val="6"/>
        </w:numPr>
        <w:adjustRightInd w:val="0"/>
        <w:rPr>
          <w:rFonts w:cs="Times New Roman"/>
          <w:color w:val="auto"/>
          <w:highlight w:val="none"/>
        </w:rPr>
      </w:pPr>
      <w:r>
        <w:rPr>
          <w:rFonts w:cs="Times New Roman"/>
          <w:color w:val="auto"/>
          <w:highlight w:val="none"/>
        </w:rPr>
        <w:t>营业执照</w:t>
      </w:r>
      <w:r>
        <w:rPr>
          <w:rFonts w:hint="eastAsia" w:cs="Times New Roman"/>
          <w:color w:val="auto"/>
          <w:highlight w:val="none"/>
        </w:rPr>
        <w:t>；</w:t>
      </w:r>
    </w:p>
    <w:p w14:paraId="5F14D704">
      <w:pPr>
        <w:pStyle w:val="49"/>
        <w:numPr>
          <w:ilvl w:val="0"/>
          <w:numId w:val="6"/>
        </w:numPr>
        <w:adjustRightInd w:val="0"/>
        <w:rPr>
          <w:rFonts w:cs="Times New Roman"/>
          <w:color w:val="auto"/>
          <w:highlight w:val="none"/>
        </w:rPr>
      </w:pPr>
      <w:r>
        <w:rPr>
          <w:rFonts w:cs="Times New Roman"/>
          <w:color w:val="auto"/>
          <w:highlight w:val="none"/>
        </w:rPr>
        <w:t>立项备案表（</w:t>
      </w:r>
      <w:r>
        <w:rPr>
          <w:rFonts w:hint="eastAsia" w:cs="Times New Roman"/>
          <w:color w:val="auto"/>
          <w:highlight w:val="none"/>
        </w:rPr>
        <w:t>川投资备【2603-511111-04-01-373348】FGQB-0034 号</w:t>
      </w:r>
      <w:r>
        <w:rPr>
          <w:rFonts w:cs="Times New Roman"/>
          <w:color w:val="auto"/>
          <w:highlight w:val="none"/>
        </w:rPr>
        <w:t>）；</w:t>
      </w:r>
    </w:p>
    <w:p w14:paraId="3D8991BD">
      <w:pPr>
        <w:pStyle w:val="49"/>
        <w:numPr>
          <w:ilvl w:val="0"/>
          <w:numId w:val="6"/>
        </w:numPr>
        <w:adjustRightInd w:val="0"/>
        <w:rPr>
          <w:rFonts w:cs="Times New Roman"/>
          <w:color w:val="auto"/>
          <w:highlight w:val="none"/>
        </w:rPr>
      </w:pPr>
      <w:r>
        <w:rPr>
          <w:rFonts w:cs="Times New Roman"/>
          <w:color w:val="auto"/>
          <w:highlight w:val="none"/>
        </w:rPr>
        <w:t>土地证</w:t>
      </w:r>
      <w:r>
        <w:rPr>
          <w:rFonts w:hint="eastAsia" w:cs="Times New Roman"/>
          <w:color w:val="auto"/>
          <w:highlight w:val="none"/>
        </w:rPr>
        <w:t>；</w:t>
      </w:r>
    </w:p>
    <w:p w14:paraId="61A8DEF8">
      <w:pPr>
        <w:pStyle w:val="49"/>
        <w:numPr>
          <w:ilvl w:val="0"/>
          <w:numId w:val="6"/>
        </w:numPr>
        <w:adjustRightInd w:val="0"/>
        <w:rPr>
          <w:rFonts w:cs="Times New Roman"/>
          <w:color w:val="auto"/>
          <w:highlight w:val="none"/>
        </w:rPr>
      </w:pPr>
      <w:r>
        <w:rPr>
          <w:rFonts w:cs="Times New Roman"/>
          <w:color w:val="auto"/>
          <w:highlight w:val="none"/>
        </w:rPr>
        <w:t>尾矿、黑砂购销意向协议</w:t>
      </w:r>
      <w:r>
        <w:rPr>
          <w:rFonts w:hint="eastAsia" w:cs="Times New Roman"/>
          <w:color w:val="auto"/>
          <w:highlight w:val="none"/>
        </w:rPr>
        <w:t>；</w:t>
      </w:r>
    </w:p>
    <w:p w14:paraId="267EABBC">
      <w:pPr>
        <w:pStyle w:val="49"/>
        <w:numPr>
          <w:ilvl w:val="0"/>
          <w:numId w:val="6"/>
        </w:numPr>
        <w:adjustRightInd w:val="0"/>
        <w:rPr>
          <w:rFonts w:cs="Times New Roman"/>
          <w:color w:val="auto"/>
          <w:highlight w:val="none"/>
        </w:rPr>
      </w:pPr>
      <w:r>
        <w:rPr>
          <w:rFonts w:cs="Times New Roman"/>
          <w:color w:val="auto"/>
          <w:highlight w:val="none"/>
        </w:rPr>
        <w:t>《关于印发&lt;乐山（沙湾）不锈钢产业园区环境影响跟踪评价报告书审查意见&gt;的函》（乐市环函〔2019〕226号）</w:t>
      </w:r>
      <w:r>
        <w:rPr>
          <w:rFonts w:hint="eastAsia" w:cs="Times New Roman"/>
          <w:color w:val="auto"/>
          <w:highlight w:val="none"/>
        </w:rPr>
        <w:t>；</w:t>
      </w:r>
    </w:p>
    <w:p w14:paraId="648F0464">
      <w:pPr>
        <w:pStyle w:val="49"/>
        <w:numPr>
          <w:ilvl w:val="0"/>
          <w:numId w:val="6"/>
        </w:numPr>
        <w:adjustRightInd w:val="0"/>
        <w:rPr>
          <w:rFonts w:cs="Times New Roman"/>
          <w:color w:val="auto"/>
          <w:highlight w:val="none"/>
        </w:rPr>
      </w:pPr>
      <w:r>
        <w:rPr>
          <w:rFonts w:cs="Times New Roman"/>
          <w:color w:val="auto"/>
          <w:highlight w:val="none"/>
        </w:rPr>
        <w:t>饮用水水源保护区批复</w:t>
      </w:r>
      <w:r>
        <w:rPr>
          <w:rFonts w:hint="eastAsia" w:cs="Times New Roman"/>
          <w:color w:val="auto"/>
          <w:highlight w:val="none"/>
        </w:rPr>
        <w:t>；</w:t>
      </w:r>
    </w:p>
    <w:p w14:paraId="5DA859E7">
      <w:pPr>
        <w:pStyle w:val="49"/>
        <w:numPr>
          <w:ilvl w:val="0"/>
          <w:numId w:val="6"/>
        </w:numPr>
        <w:adjustRightInd w:val="0"/>
        <w:rPr>
          <w:rFonts w:cs="Times New Roman"/>
          <w:color w:val="auto"/>
          <w:highlight w:val="none"/>
        </w:rPr>
      </w:pPr>
      <w:r>
        <w:rPr>
          <w:rFonts w:cs="Times New Roman"/>
          <w:color w:val="auto"/>
          <w:highlight w:val="none"/>
        </w:rPr>
        <w:t>锂辉石原矿检测报告</w:t>
      </w:r>
      <w:r>
        <w:rPr>
          <w:rFonts w:hint="eastAsia" w:cs="Times New Roman"/>
          <w:color w:val="auto"/>
          <w:highlight w:val="none"/>
        </w:rPr>
        <w:t>；</w:t>
      </w:r>
    </w:p>
    <w:p w14:paraId="1E8DCA23">
      <w:pPr>
        <w:pStyle w:val="49"/>
        <w:numPr>
          <w:ilvl w:val="0"/>
          <w:numId w:val="6"/>
        </w:numPr>
        <w:adjustRightInd w:val="0"/>
        <w:rPr>
          <w:rFonts w:cs="Times New Roman"/>
          <w:color w:val="auto"/>
          <w:highlight w:val="none"/>
        </w:rPr>
      </w:pPr>
      <w:r>
        <w:rPr>
          <w:rFonts w:cs="Times New Roman"/>
          <w:color w:val="auto"/>
          <w:highlight w:val="none"/>
        </w:rPr>
        <w:t>锂辉石原矿放射性检测报告</w:t>
      </w:r>
      <w:r>
        <w:rPr>
          <w:rFonts w:hint="eastAsia" w:cs="Times New Roman"/>
          <w:color w:val="auto"/>
          <w:highlight w:val="none"/>
        </w:rPr>
        <w:t>；</w:t>
      </w:r>
    </w:p>
    <w:p w14:paraId="409064AD">
      <w:pPr>
        <w:pStyle w:val="49"/>
        <w:numPr>
          <w:ilvl w:val="0"/>
          <w:numId w:val="6"/>
        </w:numPr>
        <w:adjustRightInd w:val="0"/>
        <w:rPr>
          <w:rFonts w:cs="Times New Roman"/>
          <w:color w:val="auto"/>
          <w:highlight w:val="none"/>
        </w:rPr>
      </w:pPr>
      <w:r>
        <w:rPr>
          <w:rFonts w:cs="Times New Roman"/>
          <w:color w:val="auto"/>
          <w:highlight w:val="none"/>
        </w:rPr>
        <w:t>锂辉石尾矿监测报告</w:t>
      </w:r>
      <w:r>
        <w:rPr>
          <w:rFonts w:hint="eastAsia" w:cs="Times New Roman"/>
          <w:color w:val="auto"/>
          <w:highlight w:val="none"/>
        </w:rPr>
        <w:t>；</w:t>
      </w:r>
    </w:p>
    <w:p w14:paraId="7E731104">
      <w:pPr>
        <w:pStyle w:val="49"/>
        <w:numPr>
          <w:ilvl w:val="0"/>
          <w:numId w:val="6"/>
        </w:numPr>
        <w:adjustRightInd w:val="0"/>
        <w:rPr>
          <w:rFonts w:cs="Times New Roman"/>
          <w:color w:val="auto"/>
          <w:highlight w:val="none"/>
        </w:rPr>
      </w:pPr>
      <w:r>
        <w:rPr>
          <w:rFonts w:cs="Times New Roman"/>
          <w:color w:val="auto"/>
          <w:highlight w:val="none"/>
        </w:rPr>
        <w:t>锂辉石尾矿满足陶瓷企业原料的说明</w:t>
      </w:r>
      <w:r>
        <w:rPr>
          <w:rFonts w:hint="eastAsia" w:cs="Times New Roman"/>
          <w:color w:val="auto"/>
          <w:highlight w:val="none"/>
        </w:rPr>
        <w:t>；</w:t>
      </w:r>
    </w:p>
    <w:p w14:paraId="1F60D44B">
      <w:pPr>
        <w:pStyle w:val="49"/>
        <w:numPr>
          <w:ilvl w:val="0"/>
          <w:numId w:val="6"/>
        </w:numPr>
        <w:adjustRightInd w:val="0"/>
        <w:rPr>
          <w:rFonts w:cs="Times New Roman"/>
          <w:color w:val="auto"/>
          <w:highlight w:val="none"/>
        </w:rPr>
      </w:pPr>
      <w:r>
        <w:rPr>
          <w:rFonts w:cs="Times New Roman"/>
          <w:color w:val="auto"/>
          <w:highlight w:val="none"/>
        </w:rPr>
        <w:t>乐山市全沫矿产品有限公司废水监测报告</w:t>
      </w:r>
      <w:r>
        <w:rPr>
          <w:rFonts w:hint="eastAsia" w:cs="Times New Roman"/>
          <w:color w:val="auto"/>
          <w:highlight w:val="none"/>
        </w:rPr>
        <w:t>；</w:t>
      </w:r>
    </w:p>
    <w:p w14:paraId="60BD153D">
      <w:pPr>
        <w:pStyle w:val="49"/>
        <w:numPr>
          <w:ilvl w:val="0"/>
          <w:numId w:val="6"/>
        </w:numPr>
        <w:adjustRightInd w:val="0"/>
        <w:rPr>
          <w:rFonts w:cs="Times New Roman"/>
          <w:color w:val="auto"/>
          <w:highlight w:val="none"/>
        </w:rPr>
      </w:pPr>
      <w:r>
        <w:rPr>
          <w:rFonts w:cs="Times New Roman"/>
          <w:color w:val="auto"/>
          <w:highlight w:val="none"/>
        </w:rPr>
        <w:t>乐山市全沫矿产品有限公司夹江县锂矿精选项目（一期）环保竣工验收监测报告</w:t>
      </w:r>
      <w:r>
        <w:rPr>
          <w:rFonts w:hint="eastAsia" w:cs="Times New Roman"/>
          <w:color w:val="auto"/>
          <w:highlight w:val="none"/>
        </w:rPr>
        <w:t>；</w:t>
      </w:r>
    </w:p>
    <w:p w14:paraId="50E4B6C0">
      <w:pPr>
        <w:pStyle w:val="49"/>
        <w:numPr>
          <w:ilvl w:val="0"/>
          <w:numId w:val="6"/>
        </w:numPr>
        <w:adjustRightInd w:val="0"/>
        <w:rPr>
          <w:rFonts w:cs="Times New Roman"/>
          <w:color w:val="auto"/>
          <w:highlight w:val="none"/>
        </w:rPr>
      </w:pPr>
      <w:r>
        <w:rPr>
          <w:rFonts w:cs="Times New Roman"/>
          <w:color w:val="auto"/>
          <w:highlight w:val="none"/>
        </w:rPr>
        <w:t>排放浓度承诺书</w:t>
      </w:r>
      <w:r>
        <w:rPr>
          <w:rFonts w:hint="eastAsia" w:cs="Times New Roman"/>
          <w:color w:val="auto"/>
          <w:highlight w:val="none"/>
        </w:rPr>
        <w:t>；</w:t>
      </w:r>
    </w:p>
    <w:p w14:paraId="7143CBAC">
      <w:pPr>
        <w:pStyle w:val="49"/>
        <w:numPr>
          <w:ilvl w:val="0"/>
          <w:numId w:val="6"/>
        </w:numPr>
        <w:adjustRightInd w:val="0"/>
        <w:rPr>
          <w:rFonts w:cs="Times New Roman"/>
          <w:color w:val="auto"/>
          <w:highlight w:val="none"/>
        </w:rPr>
      </w:pPr>
      <w:r>
        <w:rPr>
          <w:rFonts w:cs="Times New Roman"/>
          <w:color w:val="auto"/>
          <w:highlight w:val="none"/>
        </w:rPr>
        <w:t>关于锂矿石原料成分检测的承诺</w:t>
      </w:r>
      <w:r>
        <w:rPr>
          <w:rFonts w:hint="eastAsia" w:cs="Times New Roman"/>
          <w:color w:val="auto"/>
          <w:highlight w:val="none"/>
        </w:rPr>
        <w:t>；</w:t>
      </w:r>
    </w:p>
    <w:p w14:paraId="50E98337">
      <w:pPr>
        <w:pStyle w:val="49"/>
        <w:numPr>
          <w:ilvl w:val="0"/>
          <w:numId w:val="6"/>
        </w:numPr>
        <w:adjustRightInd w:val="0"/>
        <w:rPr>
          <w:rFonts w:cs="Times New Roman"/>
          <w:color w:val="auto"/>
          <w:highlight w:val="none"/>
        </w:rPr>
      </w:pPr>
      <w:r>
        <w:rPr>
          <w:rFonts w:cs="Times New Roman"/>
          <w:color w:val="auto"/>
          <w:highlight w:val="none"/>
        </w:rPr>
        <w:t>停产承诺书</w:t>
      </w:r>
      <w:r>
        <w:rPr>
          <w:rFonts w:hint="eastAsia" w:cs="Times New Roman"/>
          <w:color w:val="auto"/>
          <w:highlight w:val="none"/>
        </w:rPr>
        <w:t>；</w:t>
      </w:r>
    </w:p>
    <w:p w14:paraId="295BA707">
      <w:pPr>
        <w:pStyle w:val="49"/>
        <w:numPr>
          <w:ilvl w:val="0"/>
          <w:numId w:val="6"/>
        </w:numPr>
        <w:adjustRightInd w:val="0"/>
        <w:rPr>
          <w:rFonts w:cs="Times New Roman"/>
          <w:color w:val="auto"/>
          <w:highlight w:val="none"/>
        </w:rPr>
      </w:pPr>
      <w:r>
        <w:rPr>
          <w:rFonts w:cs="Times New Roman"/>
          <w:color w:val="auto"/>
          <w:highlight w:val="none"/>
        </w:rPr>
        <w:t>项目区的环境质量现状监测资料</w:t>
      </w:r>
      <w:r>
        <w:rPr>
          <w:rFonts w:hint="eastAsia" w:cs="Times New Roman"/>
          <w:color w:val="auto"/>
          <w:highlight w:val="none"/>
        </w:rPr>
        <w:t>；</w:t>
      </w:r>
    </w:p>
    <w:p w14:paraId="3C238D69">
      <w:pPr>
        <w:pStyle w:val="49"/>
        <w:numPr>
          <w:ilvl w:val="0"/>
          <w:numId w:val="6"/>
        </w:numPr>
        <w:adjustRightInd w:val="0"/>
        <w:rPr>
          <w:rFonts w:cs="Times New Roman"/>
          <w:color w:val="auto"/>
          <w:highlight w:val="none"/>
        </w:rPr>
      </w:pPr>
      <w:r>
        <w:rPr>
          <w:rFonts w:cs="Times New Roman"/>
          <w:color w:val="auto"/>
          <w:highlight w:val="none"/>
        </w:rPr>
        <w:t>建设单位提供的其他资料和文件。</w:t>
      </w:r>
    </w:p>
    <w:p w14:paraId="3AF4D521">
      <w:pPr>
        <w:pStyle w:val="3"/>
        <w:adjustRightInd w:val="0"/>
        <w:rPr>
          <w:rFonts w:cs="Times New Roman"/>
          <w:color w:val="auto"/>
          <w:highlight w:val="none"/>
        </w:rPr>
      </w:pPr>
      <w:bookmarkStart w:id="7" w:name="_Toc25838"/>
      <w:r>
        <w:rPr>
          <w:rFonts w:cs="Times New Roman"/>
          <w:color w:val="auto"/>
          <w:highlight w:val="none"/>
        </w:rPr>
        <w:t>评价目的和评价原则</w:t>
      </w:r>
      <w:bookmarkEnd w:id="7"/>
    </w:p>
    <w:p w14:paraId="5DA1209D">
      <w:pPr>
        <w:pStyle w:val="4"/>
        <w:adjustRightInd w:val="0"/>
        <w:rPr>
          <w:rFonts w:cs="Times New Roman"/>
          <w:color w:val="auto"/>
          <w:highlight w:val="none"/>
        </w:rPr>
      </w:pPr>
      <w:bookmarkStart w:id="8" w:name="_Toc4650"/>
      <w:r>
        <w:rPr>
          <w:rFonts w:cs="Times New Roman"/>
          <w:color w:val="auto"/>
          <w:highlight w:val="none"/>
        </w:rPr>
        <w:t>评价目的</w:t>
      </w:r>
      <w:bookmarkEnd w:id="8"/>
    </w:p>
    <w:p w14:paraId="096D07C5">
      <w:pPr>
        <w:adjustRightInd w:val="0"/>
        <w:ind w:firstLine="480"/>
        <w:rPr>
          <w:rFonts w:cs="Times New Roman"/>
          <w:color w:val="auto"/>
          <w:highlight w:val="none"/>
        </w:rPr>
      </w:pPr>
      <w:r>
        <w:rPr>
          <w:rFonts w:cs="Times New Roman"/>
          <w:color w:val="auto"/>
          <w:highlight w:val="none"/>
        </w:rPr>
        <w:t>环境影响评价的目的，是对项目实施后可能造成的环境影响进行分析、预测和评估，提出预防或者减轻不良环境影响的对策和措施。针对本项目而言，评价的目的具体表现在以下几个方面：</w:t>
      </w:r>
    </w:p>
    <w:p w14:paraId="36CFD726">
      <w:pPr>
        <w:adjustRightInd w:val="0"/>
        <w:ind w:firstLine="480"/>
        <w:rPr>
          <w:rFonts w:cs="Times New Roman"/>
          <w:color w:val="auto"/>
          <w:highlight w:val="none"/>
        </w:rPr>
      </w:pPr>
      <w:r>
        <w:rPr>
          <w:rFonts w:cs="Times New Roman"/>
          <w:color w:val="auto"/>
          <w:highlight w:val="none"/>
        </w:rPr>
        <w:t>（1）分析本项目建设是否符合国家现行产业政策的要求；</w:t>
      </w:r>
    </w:p>
    <w:p w14:paraId="5E7DAAB0">
      <w:pPr>
        <w:adjustRightInd w:val="0"/>
        <w:ind w:firstLine="480"/>
        <w:rPr>
          <w:rFonts w:cs="Times New Roman"/>
          <w:color w:val="auto"/>
          <w:highlight w:val="none"/>
        </w:rPr>
      </w:pPr>
      <w:r>
        <w:rPr>
          <w:rFonts w:cs="Times New Roman"/>
          <w:color w:val="auto"/>
          <w:highlight w:val="none"/>
        </w:rPr>
        <w:t>（2）对项目的选址、规划布局、设计等方面进行环境可行性论证，从环保角度对工程建设提出要求和建议；</w:t>
      </w:r>
    </w:p>
    <w:p w14:paraId="160A12A2">
      <w:pPr>
        <w:adjustRightInd w:val="0"/>
        <w:ind w:firstLine="480"/>
        <w:rPr>
          <w:rFonts w:cs="Times New Roman"/>
          <w:color w:val="auto"/>
          <w:highlight w:val="none"/>
        </w:rPr>
      </w:pPr>
      <w:r>
        <w:rPr>
          <w:rFonts w:cs="Times New Roman"/>
          <w:color w:val="auto"/>
          <w:highlight w:val="none"/>
        </w:rPr>
        <w:t>（3）调查、研究项目所在区域以及邻近地区的环境功能，开展评价区域自然环境、社会环境及环境质量现状调查，确定工程实施对环境的影响要素及主要环境保护目标；</w:t>
      </w:r>
    </w:p>
    <w:p w14:paraId="1B798B86">
      <w:pPr>
        <w:adjustRightInd w:val="0"/>
        <w:ind w:firstLine="480"/>
        <w:rPr>
          <w:rFonts w:cs="Times New Roman"/>
          <w:color w:val="auto"/>
          <w:highlight w:val="none"/>
        </w:rPr>
      </w:pPr>
      <w:r>
        <w:rPr>
          <w:rFonts w:cs="Times New Roman"/>
          <w:color w:val="auto"/>
          <w:highlight w:val="none"/>
        </w:rPr>
        <w:t>（4）通过对本项目在施工期和运营期可能产生的各种环境影响进行定性、定量分析、评估和预测，评价项目实施后的环境影响范围及程度；</w:t>
      </w:r>
    </w:p>
    <w:p w14:paraId="20EA4FC6">
      <w:pPr>
        <w:adjustRightInd w:val="0"/>
        <w:ind w:firstLine="480"/>
        <w:rPr>
          <w:rFonts w:cs="Times New Roman"/>
          <w:color w:val="auto"/>
          <w:highlight w:val="none"/>
        </w:rPr>
      </w:pPr>
      <w:r>
        <w:rPr>
          <w:rFonts w:cs="Times New Roman"/>
          <w:color w:val="auto"/>
          <w:highlight w:val="none"/>
        </w:rPr>
        <w:t>（5）分析本工程可能存在的环境风险，预测风险发生后可能影响的程度和范围，并根据相关规定提出相应的风险防范措施；</w:t>
      </w:r>
    </w:p>
    <w:p w14:paraId="58032C54">
      <w:pPr>
        <w:adjustRightInd w:val="0"/>
        <w:ind w:firstLine="480"/>
        <w:rPr>
          <w:rFonts w:cs="Times New Roman"/>
          <w:color w:val="auto"/>
          <w:highlight w:val="none"/>
        </w:rPr>
      </w:pPr>
      <w:r>
        <w:rPr>
          <w:rFonts w:cs="Times New Roman"/>
          <w:color w:val="auto"/>
          <w:highlight w:val="none"/>
        </w:rPr>
        <w:t>（6）针对工程施工和运行对环境造成的不良影响，制定可行的对策和减缓措施，制定工程环境监理和环境管理规划，估算工程环境投资，保证工程顺利施工和正常运行，充分发挥工程的经济效益、社会效益和环境效益；</w:t>
      </w:r>
    </w:p>
    <w:p w14:paraId="0CC884B6">
      <w:pPr>
        <w:adjustRightInd w:val="0"/>
        <w:ind w:firstLine="480"/>
        <w:rPr>
          <w:rFonts w:cs="Times New Roman"/>
          <w:color w:val="auto"/>
          <w:highlight w:val="none"/>
        </w:rPr>
      </w:pPr>
      <w:r>
        <w:rPr>
          <w:rFonts w:cs="Times New Roman"/>
          <w:color w:val="auto"/>
          <w:highlight w:val="none"/>
        </w:rPr>
        <w:t>（7）结合企业的公众参与情况，弥补环境影响评价中可能存在的疏忽和遗漏，使拟建项目的规划、设计及环境管理更加完善与合理，力求项目建设及运营在环境效益、社会效益和经济效益等方面实现最优化的统一；为项目的生产管理和环境管理提供科学依据，为沿线地区的经济发展规划和环保规划提供依据，并为决策者提供协调环境与发展关系的科学依据；</w:t>
      </w:r>
    </w:p>
    <w:p w14:paraId="0397E6B4">
      <w:pPr>
        <w:adjustRightInd w:val="0"/>
        <w:ind w:firstLine="480"/>
        <w:rPr>
          <w:rFonts w:cs="Times New Roman"/>
          <w:color w:val="auto"/>
          <w:highlight w:val="none"/>
        </w:rPr>
      </w:pPr>
      <w:r>
        <w:rPr>
          <w:rFonts w:cs="Times New Roman"/>
          <w:color w:val="auto"/>
          <w:highlight w:val="none"/>
        </w:rPr>
        <w:t>（8）从环保角度论证项目建设的可行性，为工程建设和环境管理提供科学依据。</w:t>
      </w:r>
    </w:p>
    <w:p w14:paraId="757A3DC9">
      <w:pPr>
        <w:adjustRightInd w:val="0"/>
        <w:ind w:firstLine="480"/>
        <w:rPr>
          <w:rFonts w:cs="Times New Roman"/>
          <w:color w:val="auto"/>
          <w:highlight w:val="none"/>
        </w:rPr>
      </w:pPr>
      <w:r>
        <w:rPr>
          <w:rFonts w:cs="Times New Roman"/>
          <w:color w:val="auto"/>
          <w:highlight w:val="none"/>
        </w:rPr>
        <w:t>通过以上多方面的分析，明确给出本项目环境影响的可行性结论，为项目工程建设及运行中的环境管理提供依据。</w:t>
      </w:r>
    </w:p>
    <w:p w14:paraId="6DA14346">
      <w:pPr>
        <w:pStyle w:val="4"/>
        <w:adjustRightInd w:val="0"/>
        <w:rPr>
          <w:rFonts w:cs="Times New Roman"/>
          <w:color w:val="auto"/>
          <w:highlight w:val="none"/>
        </w:rPr>
      </w:pPr>
      <w:bookmarkStart w:id="9" w:name="_Toc7307"/>
      <w:r>
        <w:rPr>
          <w:rFonts w:cs="Times New Roman"/>
          <w:color w:val="auto"/>
          <w:highlight w:val="none"/>
        </w:rPr>
        <w:t>评价原则</w:t>
      </w:r>
      <w:bookmarkEnd w:id="9"/>
    </w:p>
    <w:p w14:paraId="5E9ECCFD">
      <w:pPr>
        <w:adjustRightInd w:val="0"/>
        <w:ind w:firstLine="480"/>
        <w:rPr>
          <w:rFonts w:cs="Times New Roman"/>
          <w:color w:val="auto"/>
          <w:highlight w:val="none"/>
        </w:rPr>
      </w:pPr>
      <w:r>
        <w:rPr>
          <w:rFonts w:cs="Times New Roman"/>
          <w:color w:val="auto"/>
          <w:highlight w:val="none"/>
        </w:rPr>
        <w:t>按照以人为本、建设资源节约型、环境友好型社会和科学发展的要求，遵循以下原则开展环境影响评价工作：</w:t>
      </w:r>
    </w:p>
    <w:p w14:paraId="0D2AE9CB">
      <w:pPr>
        <w:adjustRightInd w:val="0"/>
        <w:ind w:firstLine="480"/>
        <w:rPr>
          <w:rFonts w:cs="Times New Roman"/>
          <w:color w:val="auto"/>
          <w:highlight w:val="none"/>
        </w:rPr>
      </w:pPr>
      <w:r>
        <w:rPr>
          <w:rFonts w:cs="Times New Roman"/>
          <w:color w:val="auto"/>
          <w:highlight w:val="none"/>
        </w:rPr>
        <w:t>（1）依法评价</w:t>
      </w:r>
    </w:p>
    <w:p w14:paraId="4257C918">
      <w:pPr>
        <w:adjustRightInd w:val="0"/>
        <w:ind w:firstLine="480"/>
        <w:rPr>
          <w:rFonts w:cs="Times New Roman"/>
          <w:color w:val="auto"/>
          <w:highlight w:val="none"/>
        </w:rPr>
      </w:pPr>
      <w:r>
        <w:rPr>
          <w:rFonts w:cs="Times New Roman"/>
          <w:color w:val="auto"/>
          <w:highlight w:val="none"/>
        </w:rPr>
        <w:t>环境影响评价过程中应贯彻执行我国环境保护相关的法律法规、标准、政策，分析建设项目与环境保护政策、资源能源利用政策、国家产业政策和技术政策等有关政策及相关规划的相符性，并关注国家或地方在法律法规、标准、政策、规划及相关主体功能区划等方面的新动向。</w:t>
      </w:r>
    </w:p>
    <w:p w14:paraId="3CCA67F9">
      <w:pPr>
        <w:adjustRightInd w:val="0"/>
        <w:ind w:firstLine="480"/>
        <w:rPr>
          <w:rFonts w:cs="Times New Roman"/>
          <w:color w:val="auto"/>
          <w:highlight w:val="none"/>
        </w:rPr>
      </w:pPr>
      <w:r>
        <w:rPr>
          <w:rFonts w:cs="Times New Roman"/>
          <w:color w:val="auto"/>
          <w:highlight w:val="none"/>
        </w:rPr>
        <w:t>（2）科学评价</w:t>
      </w:r>
    </w:p>
    <w:p w14:paraId="3C039585">
      <w:pPr>
        <w:adjustRightInd w:val="0"/>
        <w:ind w:firstLine="480"/>
        <w:rPr>
          <w:rFonts w:cs="Times New Roman"/>
          <w:color w:val="auto"/>
          <w:highlight w:val="none"/>
        </w:rPr>
      </w:pPr>
      <w:r>
        <w:rPr>
          <w:rFonts w:cs="Times New Roman"/>
          <w:color w:val="auto"/>
          <w:highlight w:val="none"/>
        </w:rPr>
        <w:t>规范环境影响评价方法，科学分析项目建设对环境质量的影响。</w:t>
      </w:r>
    </w:p>
    <w:p w14:paraId="708BF5E4">
      <w:pPr>
        <w:adjustRightInd w:val="0"/>
        <w:ind w:firstLine="480"/>
        <w:rPr>
          <w:rFonts w:cs="Times New Roman"/>
          <w:color w:val="auto"/>
          <w:highlight w:val="none"/>
        </w:rPr>
      </w:pPr>
      <w:r>
        <w:rPr>
          <w:rFonts w:cs="Times New Roman"/>
          <w:color w:val="auto"/>
          <w:highlight w:val="none"/>
        </w:rPr>
        <w:t>（3）突出重点</w:t>
      </w:r>
    </w:p>
    <w:p w14:paraId="44651F38">
      <w:pPr>
        <w:adjustRightInd w:val="0"/>
        <w:ind w:firstLine="480"/>
        <w:rPr>
          <w:rFonts w:cs="Times New Roman"/>
          <w:color w:val="auto"/>
          <w:highlight w:val="none"/>
        </w:rPr>
      </w:pPr>
      <w:r>
        <w:rPr>
          <w:rFonts w:cs="Times New Roman"/>
          <w:color w:val="auto"/>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p>
    <w:p w14:paraId="766B76B1">
      <w:pPr>
        <w:pStyle w:val="3"/>
        <w:adjustRightInd w:val="0"/>
        <w:rPr>
          <w:rFonts w:cs="Times New Roman"/>
          <w:color w:val="auto"/>
          <w:highlight w:val="none"/>
        </w:rPr>
      </w:pPr>
      <w:bookmarkStart w:id="10" w:name="_Toc21981"/>
      <w:r>
        <w:rPr>
          <w:rFonts w:cs="Times New Roman"/>
          <w:color w:val="auto"/>
          <w:highlight w:val="none"/>
        </w:rPr>
        <w:t>评价重点和评价时段</w:t>
      </w:r>
      <w:bookmarkEnd w:id="10"/>
    </w:p>
    <w:p w14:paraId="13B54BDB">
      <w:pPr>
        <w:pStyle w:val="4"/>
        <w:adjustRightInd w:val="0"/>
        <w:rPr>
          <w:rFonts w:cs="Times New Roman"/>
          <w:color w:val="auto"/>
          <w:highlight w:val="none"/>
        </w:rPr>
      </w:pPr>
      <w:bookmarkStart w:id="11" w:name="_Toc13434"/>
      <w:r>
        <w:rPr>
          <w:rFonts w:cs="Times New Roman"/>
          <w:color w:val="auto"/>
          <w:highlight w:val="none"/>
        </w:rPr>
        <w:t>评价重点</w:t>
      </w:r>
      <w:bookmarkEnd w:id="11"/>
    </w:p>
    <w:p w14:paraId="2D2BC53C">
      <w:pPr>
        <w:adjustRightInd w:val="0"/>
        <w:ind w:firstLine="480"/>
        <w:rPr>
          <w:rFonts w:cs="Times New Roman"/>
          <w:color w:val="auto"/>
          <w:highlight w:val="none"/>
        </w:rPr>
      </w:pPr>
      <w:r>
        <w:rPr>
          <w:rFonts w:cs="Times New Roman"/>
          <w:color w:val="auto"/>
          <w:highlight w:val="none"/>
        </w:rPr>
        <w:t>根据本项目生产工艺及特点，本项目运营期将产生颗粒物、污水、固废、噪声等污染物，结合工程建设地址的环境条件和环境特征，对本工程评价内容涉及环境空气、地表水环境、地下水环境，噪声环境等进行影响评价。评价重点主要是：</w:t>
      </w:r>
    </w:p>
    <w:p w14:paraId="033A5CE0">
      <w:pPr>
        <w:adjustRightInd w:val="0"/>
        <w:ind w:firstLine="480"/>
        <w:rPr>
          <w:rFonts w:cs="Times New Roman"/>
          <w:color w:val="auto"/>
          <w:highlight w:val="none"/>
        </w:rPr>
      </w:pPr>
      <w:r>
        <w:rPr>
          <w:rFonts w:cs="Times New Roman"/>
          <w:color w:val="auto"/>
          <w:highlight w:val="none"/>
        </w:rPr>
        <w:t>（1）</w:t>
      </w:r>
      <w:r>
        <w:rPr>
          <w:rFonts w:hint="eastAsia" w:cs="Times New Roman"/>
          <w:color w:val="auto"/>
          <w:highlight w:val="none"/>
        </w:rPr>
        <w:t>工程建设期及运营期对区域自然、社会及生态环境的影响及预防措施；</w:t>
      </w:r>
    </w:p>
    <w:p w14:paraId="7109BB30">
      <w:pPr>
        <w:adjustRightInd w:val="0"/>
        <w:ind w:firstLine="480"/>
        <w:rPr>
          <w:rFonts w:cs="Times New Roman"/>
          <w:color w:val="auto"/>
          <w:highlight w:val="none"/>
        </w:rPr>
      </w:pPr>
      <w:r>
        <w:rPr>
          <w:rFonts w:cs="Times New Roman"/>
          <w:color w:val="auto"/>
          <w:highlight w:val="none"/>
        </w:rPr>
        <w:t>（2）对区域地表水和地下水环境的影响；</w:t>
      </w:r>
    </w:p>
    <w:p w14:paraId="1D5F1B06">
      <w:pPr>
        <w:adjustRightInd w:val="0"/>
        <w:ind w:firstLine="480"/>
        <w:rPr>
          <w:rFonts w:cs="Times New Roman"/>
          <w:color w:val="auto"/>
          <w:highlight w:val="none"/>
        </w:rPr>
      </w:pPr>
      <w:r>
        <w:rPr>
          <w:rFonts w:cs="Times New Roman"/>
          <w:color w:val="auto"/>
          <w:highlight w:val="none"/>
        </w:rPr>
        <w:t>（3）大气污染物对区域环境空气的影响；</w:t>
      </w:r>
    </w:p>
    <w:p w14:paraId="649C8607">
      <w:pPr>
        <w:adjustRightInd w:val="0"/>
        <w:ind w:firstLine="480"/>
        <w:rPr>
          <w:rFonts w:cs="Times New Roman"/>
          <w:color w:val="auto"/>
          <w:highlight w:val="none"/>
        </w:rPr>
      </w:pPr>
      <w:r>
        <w:rPr>
          <w:rFonts w:cs="Times New Roman"/>
          <w:color w:val="auto"/>
          <w:highlight w:val="none"/>
        </w:rPr>
        <w:t>（4）项目尾矿作为陶瓷原料综合利用的可行性分析；</w:t>
      </w:r>
    </w:p>
    <w:p w14:paraId="63CE9401">
      <w:pPr>
        <w:adjustRightInd w:val="0"/>
        <w:ind w:firstLine="480"/>
        <w:rPr>
          <w:rFonts w:cs="Times New Roman"/>
          <w:color w:val="auto"/>
          <w:highlight w:val="none"/>
        </w:rPr>
      </w:pPr>
      <w:r>
        <w:rPr>
          <w:rFonts w:cs="Times New Roman"/>
          <w:color w:val="auto"/>
          <w:highlight w:val="none"/>
        </w:rPr>
        <w:t>（5）工程运行的环保措施及经济、技术论证。</w:t>
      </w:r>
    </w:p>
    <w:p w14:paraId="0710E5ED">
      <w:pPr>
        <w:pStyle w:val="4"/>
        <w:adjustRightInd w:val="0"/>
        <w:rPr>
          <w:rFonts w:cs="Times New Roman"/>
          <w:color w:val="auto"/>
          <w:highlight w:val="none"/>
        </w:rPr>
      </w:pPr>
      <w:bookmarkStart w:id="12" w:name="_Toc32025"/>
      <w:r>
        <w:rPr>
          <w:rFonts w:cs="Times New Roman"/>
          <w:color w:val="auto"/>
          <w:highlight w:val="none"/>
        </w:rPr>
        <w:t>评价时段</w:t>
      </w:r>
      <w:bookmarkEnd w:id="12"/>
    </w:p>
    <w:p w14:paraId="2E51565E">
      <w:pPr>
        <w:adjustRightInd w:val="0"/>
        <w:ind w:firstLine="480"/>
        <w:rPr>
          <w:rFonts w:cs="Times New Roman"/>
          <w:color w:val="auto"/>
          <w:highlight w:val="none"/>
        </w:rPr>
      </w:pPr>
      <w:r>
        <w:rPr>
          <w:rFonts w:cs="Times New Roman"/>
          <w:color w:val="auto"/>
          <w:highlight w:val="none"/>
        </w:rPr>
        <w:t>评价时段为项目的施工期及运营期。</w:t>
      </w:r>
    </w:p>
    <w:p w14:paraId="016B2081">
      <w:pPr>
        <w:pStyle w:val="3"/>
        <w:adjustRightInd w:val="0"/>
        <w:rPr>
          <w:rFonts w:cs="Times New Roman"/>
          <w:color w:val="auto"/>
          <w:highlight w:val="none"/>
        </w:rPr>
      </w:pPr>
      <w:bookmarkStart w:id="13" w:name="_Toc10570"/>
      <w:r>
        <w:rPr>
          <w:rFonts w:cs="Times New Roman"/>
          <w:color w:val="auto"/>
          <w:highlight w:val="none"/>
        </w:rPr>
        <w:t>政策、规划和选址符合性分析</w:t>
      </w:r>
      <w:bookmarkEnd w:id="13"/>
    </w:p>
    <w:p w14:paraId="05CAABDD">
      <w:pPr>
        <w:pStyle w:val="4"/>
        <w:adjustRightInd w:val="0"/>
        <w:rPr>
          <w:rFonts w:cs="Times New Roman"/>
          <w:color w:val="auto"/>
          <w:highlight w:val="none"/>
        </w:rPr>
      </w:pPr>
      <w:bookmarkStart w:id="14" w:name="_Toc14398"/>
      <w:r>
        <w:rPr>
          <w:rFonts w:cs="Times New Roman"/>
          <w:color w:val="auto"/>
          <w:highlight w:val="none"/>
        </w:rPr>
        <w:t>政策符合性分析</w:t>
      </w:r>
      <w:bookmarkEnd w:id="14"/>
    </w:p>
    <w:p w14:paraId="4B2FFD33">
      <w:pPr>
        <w:pStyle w:val="5"/>
        <w:adjustRightInd w:val="0"/>
        <w:rPr>
          <w:rFonts w:cs="Times New Roman"/>
          <w:color w:val="auto"/>
          <w:highlight w:val="none"/>
        </w:rPr>
      </w:pPr>
      <w:r>
        <w:rPr>
          <w:rFonts w:cs="Times New Roman"/>
          <w:color w:val="auto"/>
          <w:highlight w:val="none"/>
        </w:rPr>
        <w:t>与国家产业政策符合性分析</w:t>
      </w:r>
    </w:p>
    <w:p w14:paraId="0B11708B">
      <w:pPr>
        <w:adjustRightInd w:val="0"/>
        <w:ind w:firstLine="480"/>
        <w:rPr>
          <w:rFonts w:cs="Times New Roman"/>
          <w:color w:val="auto"/>
          <w:highlight w:val="none"/>
        </w:rPr>
      </w:pPr>
      <w:r>
        <w:rPr>
          <w:rFonts w:cs="Times New Roman"/>
          <w:color w:val="auto"/>
          <w:highlight w:val="none"/>
        </w:rPr>
        <w:t>本项目为锂辉石加工生产项目，根据《国民经济行业分类》（GB/T4754-2017），本项目为B0939其他稀有金属采选。根据国家发展和改革委员会2023年第7号令《产业结构调整指导目录（2024年本）》，本项目不在</w:t>
      </w:r>
      <w:r>
        <w:rPr>
          <w:rFonts w:hint="eastAsia" w:cs="Times New Roman"/>
          <w:color w:val="auto"/>
          <w:highlight w:val="none"/>
        </w:rPr>
        <w:t>“</w:t>
      </w:r>
      <w:r>
        <w:rPr>
          <w:rFonts w:cs="Times New Roman"/>
          <w:color w:val="auto"/>
          <w:highlight w:val="none"/>
        </w:rPr>
        <w:t>鼓励类</w:t>
      </w:r>
      <w:r>
        <w:rPr>
          <w:rFonts w:hint="eastAsia" w:cs="Times New Roman"/>
          <w:color w:val="auto"/>
          <w:highlight w:val="none"/>
        </w:rPr>
        <w:t>”</w:t>
      </w:r>
      <w:r>
        <w:rPr>
          <w:rFonts w:cs="Times New Roman"/>
          <w:color w:val="auto"/>
          <w:highlight w:val="none"/>
        </w:rPr>
        <w:t>、</w:t>
      </w:r>
      <w:r>
        <w:rPr>
          <w:rFonts w:hint="eastAsia" w:cs="Times New Roman"/>
          <w:color w:val="auto"/>
          <w:highlight w:val="none"/>
        </w:rPr>
        <w:t>“</w:t>
      </w:r>
      <w:r>
        <w:rPr>
          <w:rFonts w:cs="Times New Roman"/>
          <w:color w:val="auto"/>
          <w:highlight w:val="none"/>
        </w:rPr>
        <w:t>限制类</w:t>
      </w:r>
      <w:r>
        <w:rPr>
          <w:rFonts w:hint="eastAsia" w:cs="Times New Roman"/>
          <w:color w:val="auto"/>
          <w:highlight w:val="none"/>
        </w:rPr>
        <w:t>”</w:t>
      </w:r>
      <w:r>
        <w:rPr>
          <w:rFonts w:cs="Times New Roman"/>
          <w:color w:val="auto"/>
          <w:highlight w:val="none"/>
        </w:rPr>
        <w:t>、</w:t>
      </w:r>
      <w:r>
        <w:rPr>
          <w:rFonts w:hint="eastAsia" w:cs="Times New Roman"/>
          <w:color w:val="auto"/>
          <w:highlight w:val="none"/>
        </w:rPr>
        <w:t>“</w:t>
      </w:r>
      <w:r>
        <w:rPr>
          <w:rFonts w:cs="Times New Roman"/>
          <w:color w:val="auto"/>
          <w:highlight w:val="none"/>
        </w:rPr>
        <w:t>淘汰类</w:t>
      </w:r>
      <w:r>
        <w:rPr>
          <w:rFonts w:hint="eastAsia" w:cs="Times New Roman"/>
          <w:color w:val="auto"/>
          <w:highlight w:val="none"/>
        </w:rPr>
        <w:t>”</w:t>
      </w:r>
      <w:r>
        <w:rPr>
          <w:rFonts w:cs="Times New Roman"/>
          <w:color w:val="auto"/>
          <w:highlight w:val="none"/>
        </w:rPr>
        <w:t>之列，视为</w:t>
      </w:r>
      <w:r>
        <w:rPr>
          <w:rFonts w:hint="eastAsia" w:cs="Times New Roman"/>
          <w:color w:val="auto"/>
          <w:highlight w:val="none"/>
        </w:rPr>
        <w:t>“</w:t>
      </w:r>
      <w:r>
        <w:rPr>
          <w:rFonts w:cs="Times New Roman"/>
          <w:color w:val="auto"/>
          <w:highlight w:val="none"/>
        </w:rPr>
        <w:t>允许类</w:t>
      </w:r>
      <w:r>
        <w:rPr>
          <w:rFonts w:hint="eastAsia" w:cs="Times New Roman"/>
          <w:color w:val="auto"/>
          <w:highlight w:val="none"/>
        </w:rPr>
        <w:t>”</w:t>
      </w:r>
      <w:r>
        <w:rPr>
          <w:rFonts w:cs="Times New Roman"/>
          <w:color w:val="auto"/>
          <w:highlight w:val="none"/>
        </w:rPr>
        <w:t>。本项目使用的设备均不在《产业结构调整指导目录（2024年本）》及《部分工业行业淘汰落后生产工艺装备和产品指导目录（2010年本）》淘汰之列。</w:t>
      </w:r>
    </w:p>
    <w:p w14:paraId="37174503">
      <w:pPr>
        <w:adjustRightInd w:val="0"/>
        <w:ind w:firstLine="480"/>
        <w:rPr>
          <w:rFonts w:cs="Times New Roman"/>
          <w:color w:val="auto"/>
          <w:highlight w:val="none"/>
        </w:rPr>
      </w:pPr>
      <w:r>
        <w:rPr>
          <w:rFonts w:cs="Times New Roman"/>
          <w:color w:val="auto"/>
          <w:highlight w:val="none"/>
        </w:rPr>
        <w:t>202</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3</w:t>
      </w:r>
      <w:r>
        <w:rPr>
          <w:rFonts w:cs="Times New Roman"/>
          <w:color w:val="auto"/>
          <w:highlight w:val="none"/>
        </w:rPr>
        <w:t>月</w:t>
      </w:r>
      <w:r>
        <w:rPr>
          <w:rFonts w:hint="eastAsia" w:cs="Times New Roman"/>
          <w:color w:val="auto"/>
          <w:highlight w:val="none"/>
        </w:rPr>
        <w:t>4</w:t>
      </w:r>
      <w:r>
        <w:rPr>
          <w:rFonts w:cs="Times New Roman"/>
          <w:color w:val="auto"/>
          <w:highlight w:val="none"/>
        </w:rPr>
        <w:t>日，沙湾区发展和改革局对本项目进行了备案（</w:t>
      </w:r>
      <w:r>
        <w:rPr>
          <w:rFonts w:hint="eastAsia" w:cs="Times New Roman"/>
          <w:color w:val="auto"/>
          <w:highlight w:val="none"/>
        </w:rPr>
        <w:t>川投资备【2603-511111-04-01-373348】FGQB-0034 号</w:t>
      </w:r>
      <w:r>
        <w:rPr>
          <w:rFonts w:cs="Times New Roman"/>
          <w:color w:val="auto"/>
          <w:highlight w:val="none"/>
        </w:rPr>
        <w:t>），原则上同意本项目建设。</w:t>
      </w:r>
    </w:p>
    <w:p w14:paraId="12BF46A1">
      <w:pPr>
        <w:adjustRightInd w:val="0"/>
        <w:ind w:firstLine="480"/>
        <w:rPr>
          <w:rFonts w:cs="Times New Roman"/>
          <w:color w:val="auto"/>
          <w:highlight w:val="none"/>
        </w:rPr>
      </w:pPr>
      <w:r>
        <w:rPr>
          <w:rFonts w:cs="Times New Roman"/>
          <w:color w:val="auto"/>
          <w:highlight w:val="none"/>
        </w:rPr>
        <w:t>因此，本项目的建设符合国家现行产业政策。</w:t>
      </w:r>
    </w:p>
    <w:p w14:paraId="4F054D5A">
      <w:pPr>
        <w:pStyle w:val="5"/>
        <w:adjustRightInd w:val="0"/>
        <w:rPr>
          <w:rFonts w:cs="Times New Roman"/>
          <w:color w:val="auto"/>
          <w:highlight w:val="none"/>
        </w:rPr>
      </w:pPr>
      <w:r>
        <w:rPr>
          <w:rFonts w:cs="Times New Roman"/>
          <w:color w:val="auto"/>
          <w:highlight w:val="none"/>
        </w:rPr>
        <w:t>与长江经济带相关环境保护文件的符合性分析</w:t>
      </w:r>
    </w:p>
    <w:p w14:paraId="19755EBF">
      <w:pPr>
        <w:adjustRightInd w:val="0"/>
        <w:ind w:firstLine="480"/>
        <w:rPr>
          <w:rFonts w:cs="Times New Roman"/>
          <w:color w:val="auto"/>
          <w:highlight w:val="none"/>
        </w:rPr>
      </w:pPr>
      <w:r>
        <w:rPr>
          <w:rFonts w:cs="Times New Roman"/>
          <w:color w:val="auto"/>
          <w:highlight w:val="none"/>
        </w:rPr>
        <w:t>2017年，环境保护部、国家发展和改革委员会和水利部联合发布的《长江经济带生态环境保护规划》（环规财〔2017〕88号）文中指出：</w:t>
      </w:r>
      <w:r>
        <w:rPr>
          <w:rFonts w:hint="eastAsia" w:cs="Times New Roman"/>
          <w:color w:val="auto"/>
          <w:highlight w:val="none"/>
        </w:rPr>
        <w:t>“</w:t>
      </w:r>
      <w:r>
        <w:rPr>
          <w:rFonts w:cs="Times New Roman"/>
          <w:color w:val="auto"/>
          <w:highlight w:val="none"/>
        </w:rPr>
        <w:t>……以长江干流和金沙江、雅砻江、大渡河、岷江、沱江、嘉陵江（含涪江、渠江）、湘江、汉江、赣江等主要支流及鄱阳湖、洞庭湖、三峡水库、丹江口水库等主要湖库为重点，建设流域突发环境事件监控预警体系。......</w:t>
      </w:r>
      <w:r>
        <w:rPr>
          <w:rFonts w:hint="eastAsia" w:cs="Times New Roman"/>
          <w:color w:val="auto"/>
          <w:highlight w:val="none"/>
        </w:rPr>
        <w:t>”</w:t>
      </w:r>
      <w:r>
        <w:rPr>
          <w:rFonts w:cs="Times New Roman"/>
          <w:color w:val="auto"/>
          <w:highlight w:val="none"/>
        </w:rPr>
        <w:t>因此，大渡河流域属于《长江经济带生态环境保护规划》所划定的水系范围。</w:t>
      </w:r>
    </w:p>
    <w:p w14:paraId="46C09230">
      <w:pPr>
        <w:adjustRightInd w:val="0"/>
        <w:ind w:firstLine="480"/>
        <w:rPr>
          <w:rFonts w:cs="Times New Roman"/>
          <w:color w:val="auto"/>
          <w:highlight w:val="none"/>
        </w:rPr>
      </w:pPr>
      <w:r>
        <w:rPr>
          <w:rFonts w:cs="Times New Roman"/>
          <w:color w:val="auto"/>
          <w:highlight w:val="none"/>
        </w:rPr>
        <w:t>对比《四川省、重庆市长江经济带发展负面清单实施细则（试行，2022年版）》中</w:t>
      </w:r>
      <w:r>
        <w:rPr>
          <w:rFonts w:hint="eastAsia" w:cs="Times New Roman"/>
          <w:color w:val="auto"/>
          <w:highlight w:val="none"/>
        </w:rPr>
        <w:t>“</w:t>
      </w:r>
      <w:r>
        <w:rPr>
          <w:rFonts w:cs="Times New Roman"/>
          <w:color w:val="auto"/>
          <w:highlight w:val="none"/>
        </w:rPr>
        <w:t>附件8长江干流和重要支流名录</w:t>
      </w:r>
      <w:r>
        <w:rPr>
          <w:rFonts w:hint="eastAsia" w:cs="Times New Roman"/>
          <w:color w:val="auto"/>
          <w:highlight w:val="none"/>
        </w:rPr>
        <w:t>”</w:t>
      </w:r>
      <w:r>
        <w:rPr>
          <w:rFonts w:cs="Times New Roman"/>
          <w:color w:val="auto"/>
          <w:highlight w:val="none"/>
        </w:rPr>
        <w:t>可知，大渡河在重要支流名录内。</w:t>
      </w:r>
    </w:p>
    <w:p w14:paraId="64B51C3E">
      <w:pPr>
        <w:adjustRightInd w:val="0"/>
        <w:ind w:firstLine="480"/>
        <w:rPr>
          <w:rFonts w:cs="Times New Roman"/>
          <w:color w:val="auto"/>
          <w:highlight w:val="none"/>
        </w:rPr>
      </w:pPr>
      <w:r>
        <w:rPr>
          <w:rFonts w:cs="Times New Roman"/>
          <w:color w:val="auto"/>
          <w:highlight w:val="none"/>
        </w:rPr>
        <w:t>本项目位于长江流域范围内。项目厂界距离大渡河生态河约6</w:t>
      </w:r>
      <w:r>
        <w:rPr>
          <w:rFonts w:hint="eastAsia" w:cs="Times New Roman"/>
          <w:color w:val="auto"/>
          <w:highlight w:val="none"/>
        </w:rPr>
        <w:t>5</w:t>
      </w:r>
      <w:r>
        <w:rPr>
          <w:rFonts w:cs="Times New Roman"/>
          <w:color w:val="auto"/>
          <w:highlight w:val="none"/>
        </w:rPr>
        <w:t>5m，距离大渡河约12</w:t>
      </w:r>
      <w:r>
        <w:rPr>
          <w:rFonts w:hint="eastAsia" w:cs="Times New Roman"/>
          <w:color w:val="auto"/>
          <w:highlight w:val="none"/>
        </w:rPr>
        <w:t>59</w:t>
      </w:r>
      <w:r>
        <w:rPr>
          <w:rFonts w:cs="Times New Roman"/>
          <w:color w:val="auto"/>
          <w:highlight w:val="none"/>
        </w:rPr>
        <w:t>m。</w:t>
      </w:r>
    </w:p>
    <w:p w14:paraId="13096A71">
      <w:pPr>
        <w:adjustRightInd w:val="0"/>
        <w:ind w:firstLine="480"/>
        <w:rPr>
          <w:rFonts w:cs="Times New Roman"/>
          <w:color w:val="auto"/>
          <w:highlight w:val="none"/>
        </w:rPr>
      </w:pPr>
      <w:bookmarkStart w:id="15" w:name="_Hlk214525352"/>
      <w:r>
        <w:rPr>
          <w:rFonts w:cs="Times New Roman"/>
          <w:color w:val="auto"/>
          <w:highlight w:val="none"/>
        </w:rPr>
        <w:t>本次评价筛选了与项目有关的长江经济带环境保护相关文件，筛选结果见下表，并分析了本项目与其相关要求的符合性。</w:t>
      </w:r>
    </w:p>
    <w:p w14:paraId="6B452473">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与项目有关的长江经济带环境保护相关文件筛选表</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5532"/>
        <w:gridCol w:w="2265"/>
      </w:tblGrid>
      <w:tr w14:paraId="697F0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4" w:type="pct"/>
            <w:vAlign w:val="center"/>
          </w:tcPr>
          <w:p w14:paraId="569440D8">
            <w:pPr>
              <w:pStyle w:val="69"/>
              <w:spacing w:before="65" w:after="65"/>
              <w:rPr>
                <w:rFonts w:cs="Times New Roman"/>
                <w:b/>
                <w:bCs w:val="0"/>
                <w:color w:val="auto"/>
                <w:highlight w:val="none"/>
              </w:rPr>
            </w:pPr>
            <w:r>
              <w:rPr>
                <w:rFonts w:cs="Times New Roman"/>
                <w:b/>
                <w:bCs w:val="0"/>
                <w:color w:val="auto"/>
                <w:highlight w:val="none"/>
              </w:rPr>
              <w:t>分类</w:t>
            </w:r>
          </w:p>
        </w:tc>
        <w:tc>
          <w:tcPr>
            <w:tcW w:w="3246" w:type="pct"/>
            <w:vAlign w:val="center"/>
          </w:tcPr>
          <w:p w14:paraId="10887C0F">
            <w:pPr>
              <w:pStyle w:val="69"/>
              <w:spacing w:before="65" w:after="65"/>
              <w:rPr>
                <w:rFonts w:cs="Times New Roman"/>
                <w:b/>
                <w:bCs w:val="0"/>
                <w:color w:val="auto"/>
                <w:highlight w:val="none"/>
              </w:rPr>
            </w:pPr>
            <w:r>
              <w:rPr>
                <w:rFonts w:cs="Times New Roman"/>
                <w:b/>
                <w:bCs w:val="0"/>
                <w:color w:val="auto"/>
                <w:highlight w:val="none"/>
              </w:rPr>
              <w:t>相关政策</w:t>
            </w:r>
          </w:p>
        </w:tc>
        <w:tc>
          <w:tcPr>
            <w:tcW w:w="1329" w:type="pct"/>
            <w:vAlign w:val="center"/>
          </w:tcPr>
          <w:p w14:paraId="5F0BF9E7">
            <w:pPr>
              <w:pStyle w:val="69"/>
              <w:spacing w:before="65" w:after="65"/>
              <w:rPr>
                <w:rFonts w:cs="Times New Roman"/>
                <w:b/>
                <w:bCs w:val="0"/>
                <w:color w:val="auto"/>
                <w:highlight w:val="none"/>
              </w:rPr>
            </w:pPr>
            <w:r>
              <w:rPr>
                <w:rFonts w:cs="Times New Roman"/>
                <w:b/>
                <w:bCs w:val="0"/>
                <w:color w:val="auto"/>
                <w:highlight w:val="none"/>
              </w:rPr>
              <w:t>文件号</w:t>
            </w:r>
          </w:p>
        </w:tc>
      </w:tr>
      <w:tr w14:paraId="29FF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Merge w:val="restart"/>
            <w:vAlign w:val="center"/>
          </w:tcPr>
          <w:p w14:paraId="48D9F748">
            <w:pPr>
              <w:pStyle w:val="69"/>
              <w:spacing w:before="65" w:after="65"/>
              <w:rPr>
                <w:rFonts w:cs="Times New Roman"/>
                <w:color w:val="auto"/>
                <w:highlight w:val="none"/>
              </w:rPr>
            </w:pPr>
            <w:r>
              <w:rPr>
                <w:rFonts w:cs="Times New Roman"/>
                <w:color w:val="auto"/>
                <w:highlight w:val="none"/>
              </w:rPr>
              <w:t>国家层面</w:t>
            </w:r>
          </w:p>
        </w:tc>
        <w:tc>
          <w:tcPr>
            <w:tcW w:w="3246" w:type="pct"/>
            <w:vAlign w:val="center"/>
          </w:tcPr>
          <w:p w14:paraId="6CF060A4">
            <w:pPr>
              <w:pStyle w:val="69"/>
              <w:spacing w:before="65" w:after="65"/>
              <w:rPr>
                <w:rFonts w:cs="Times New Roman"/>
                <w:color w:val="auto"/>
                <w:highlight w:val="none"/>
              </w:rPr>
            </w:pPr>
            <w:r>
              <w:rPr>
                <w:rFonts w:cs="Times New Roman"/>
                <w:color w:val="auto"/>
                <w:highlight w:val="none"/>
              </w:rPr>
              <w:t>《中华人民共和国长江保护法》</w:t>
            </w:r>
          </w:p>
        </w:tc>
        <w:tc>
          <w:tcPr>
            <w:tcW w:w="1329" w:type="pct"/>
            <w:vAlign w:val="center"/>
          </w:tcPr>
          <w:p w14:paraId="5CB86B76">
            <w:pPr>
              <w:pStyle w:val="69"/>
              <w:spacing w:before="65" w:after="65"/>
              <w:rPr>
                <w:rFonts w:cs="Times New Roman"/>
                <w:color w:val="auto"/>
                <w:highlight w:val="none"/>
              </w:rPr>
            </w:pPr>
            <w:r>
              <w:rPr>
                <w:rFonts w:cs="Times New Roman"/>
                <w:color w:val="auto"/>
                <w:highlight w:val="none"/>
              </w:rPr>
              <w:t>2021年3月1日</w:t>
            </w:r>
          </w:p>
        </w:tc>
      </w:tr>
      <w:tr w14:paraId="3EBF0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Merge w:val="continue"/>
            <w:vAlign w:val="center"/>
          </w:tcPr>
          <w:p w14:paraId="49D2330B">
            <w:pPr>
              <w:pStyle w:val="69"/>
              <w:spacing w:before="65" w:after="65"/>
              <w:rPr>
                <w:rFonts w:cs="Times New Roman"/>
                <w:color w:val="auto"/>
                <w:highlight w:val="none"/>
              </w:rPr>
            </w:pPr>
          </w:p>
        </w:tc>
        <w:tc>
          <w:tcPr>
            <w:tcW w:w="3246" w:type="pct"/>
            <w:vAlign w:val="center"/>
          </w:tcPr>
          <w:p w14:paraId="1FFCF800">
            <w:pPr>
              <w:pStyle w:val="69"/>
              <w:spacing w:before="65" w:after="65"/>
              <w:rPr>
                <w:rFonts w:cs="Times New Roman"/>
                <w:color w:val="auto"/>
                <w:highlight w:val="none"/>
              </w:rPr>
            </w:pPr>
            <w:r>
              <w:rPr>
                <w:rFonts w:cs="Times New Roman"/>
                <w:color w:val="auto"/>
                <w:highlight w:val="none"/>
              </w:rPr>
              <w:t>《长江经济带发展负面清单指南（试行，2022年版）》</w:t>
            </w:r>
          </w:p>
        </w:tc>
        <w:tc>
          <w:tcPr>
            <w:tcW w:w="1329" w:type="pct"/>
            <w:vAlign w:val="center"/>
          </w:tcPr>
          <w:p w14:paraId="46C2EB05">
            <w:pPr>
              <w:pStyle w:val="69"/>
              <w:spacing w:before="65" w:after="65"/>
              <w:rPr>
                <w:rFonts w:cs="Times New Roman"/>
                <w:color w:val="auto"/>
                <w:highlight w:val="none"/>
              </w:rPr>
            </w:pPr>
            <w:r>
              <w:rPr>
                <w:rFonts w:cs="Times New Roman"/>
                <w:color w:val="auto"/>
                <w:highlight w:val="none"/>
              </w:rPr>
              <w:t>长江办〔2022〕7号</w:t>
            </w:r>
          </w:p>
        </w:tc>
      </w:tr>
      <w:tr w14:paraId="4437F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Merge w:val="continue"/>
            <w:vAlign w:val="center"/>
          </w:tcPr>
          <w:p w14:paraId="40D185A2">
            <w:pPr>
              <w:pStyle w:val="69"/>
              <w:spacing w:before="65" w:after="65"/>
              <w:rPr>
                <w:rFonts w:cs="Times New Roman"/>
                <w:color w:val="auto"/>
                <w:highlight w:val="none"/>
              </w:rPr>
            </w:pPr>
          </w:p>
        </w:tc>
        <w:tc>
          <w:tcPr>
            <w:tcW w:w="3246" w:type="pct"/>
            <w:vAlign w:val="center"/>
          </w:tcPr>
          <w:p w14:paraId="41006A59">
            <w:pPr>
              <w:pStyle w:val="69"/>
              <w:spacing w:before="65" w:after="65"/>
              <w:rPr>
                <w:rFonts w:cs="Times New Roman"/>
                <w:color w:val="auto"/>
                <w:highlight w:val="none"/>
              </w:rPr>
            </w:pPr>
            <w:r>
              <w:rPr>
                <w:rFonts w:cs="Times New Roman"/>
                <w:color w:val="auto"/>
                <w:highlight w:val="none"/>
              </w:rPr>
              <w:t>《长江经济带生态环境保护规划》</w:t>
            </w:r>
          </w:p>
        </w:tc>
        <w:tc>
          <w:tcPr>
            <w:tcW w:w="1329" w:type="pct"/>
            <w:vAlign w:val="center"/>
          </w:tcPr>
          <w:p w14:paraId="47FCB1A5">
            <w:pPr>
              <w:pStyle w:val="69"/>
              <w:spacing w:before="65" w:after="65"/>
              <w:rPr>
                <w:rFonts w:cs="Times New Roman"/>
                <w:color w:val="auto"/>
                <w:highlight w:val="none"/>
              </w:rPr>
            </w:pPr>
            <w:r>
              <w:rPr>
                <w:rFonts w:cs="Times New Roman"/>
                <w:color w:val="auto"/>
                <w:highlight w:val="none"/>
              </w:rPr>
              <w:t>环规财〔2017〕88号</w:t>
            </w:r>
          </w:p>
        </w:tc>
      </w:tr>
      <w:tr w14:paraId="60416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31AE0830">
            <w:pPr>
              <w:pStyle w:val="69"/>
              <w:spacing w:before="65" w:after="65"/>
              <w:rPr>
                <w:rFonts w:cs="Times New Roman"/>
                <w:color w:val="auto"/>
                <w:highlight w:val="none"/>
              </w:rPr>
            </w:pPr>
            <w:r>
              <w:rPr>
                <w:rFonts w:cs="Times New Roman"/>
                <w:color w:val="auto"/>
                <w:highlight w:val="none"/>
              </w:rPr>
              <w:t>四川省</w:t>
            </w:r>
          </w:p>
        </w:tc>
        <w:tc>
          <w:tcPr>
            <w:tcW w:w="3246" w:type="pct"/>
            <w:vAlign w:val="center"/>
          </w:tcPr>
          <w:p w14:paraId="7C7CE509">
            <w:pPr>
              <w:pStyle w:val="69"/>
              <w:spacing w:before="65" w:after="65"/>
              <w:rPr>
                <w:rFonts w:cs="Times New Roman"/>
                <w:color w:val="auto"/>
                <w:highlight w:val="none"/>
              </w:rPr>
            </w:pPr>
            <w:r>
              <w:rPr>
                <w:rFonts w:cs="Times New Roman"/>
                <w:color w:val="auto"/>
                <w:highlight w:val="none"/>
              </w:rPr>
              <w:t>《四川省、重庆市长江经济带发展负面清单实施细则（试行，2022年版）》</w:t>
            </w:r>
          </w:p>
        </w:tc>
        <w:tc>
          <w:tcPr>
            <w:tcW w:w="1329" w:type="pct"/>
            <w:vAlign w:val="center"/>
          </w:tcPr>
          <w:p w14:paraId="5E6B9509">
            <w:pPr>
              <w:pStyle w:val="69"/>
              <w:spacing w:before="65" w:after="65"/>
              <w:rPr>
                <w:rFonts w:cs="Times New Roman"/>
                <w:color w:val="auto"/>
                <w:highlight w:val="none"/>
              </w:rPr>
            </w:pPr>
            <w:r>
              <w:rPr>
                <w:rFonts w:cs="Times New Roman"/>
                <w:color w:val="auto"/>
                <w:highlight w:val="none"/>
              </w:rPr>
              <w:t>/</w:t>
            </w:r>
          </w:p>
        </w:tc>
      </w:tr>
      <w:tr w14:paraId="782CD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4" w:type="pct"/>
            <w:vAlign w:val="center"/>
          </w:tcPr>
          <w:p w14:paraId="478EED76">
            <w:pPr>
              <w:pStyle w:val="69"/>
              <w:spacing w:before="65" w:after="65"/>
              <w:rPr>
                <w:rFonts w:cs="Times New Roman"/>
                <w:color w:val="auto"/>
                <w:highlight w:val="none"/>
              </w:rPr>
            </w:pPr>
            <w:r>
              <w:rPr>
                <w:rFonts w:cs="Times New Roman"/>
                <w:color w:val="auto"/>
                <w:highlight w:val="none"/>
              </w:rPr>
              <w:t>乐山市</w:t>
            </w:r>
          </w:p>
        </w:tc>
        <w:tc>
          <w:tcPr>
            <w:tcW w:w="3246" w:type="pct"/>
            <w:vAlign w:val="center"/>
          </w:tcPr>
          <w:p w14:paraId="5138A48E">
            <w:pPr>
              <w:pStyle w:val="69"/>
              <w:spacing w:before="65" w:after="65"/>
              <w:rPr>
                <w:rFonts w:cs="Times New Roman"/>
                <w:color w:val="auto"/>
                <w:highlight w:val="none"/>
              </w:rPr>
            </w:pPr>
            <w:r>
              <w:rPr>
                <w:rFonts w:cs="Times New Roman"/>
                <w:color w:val="auto"/>
                <w:highlight w:val="none"/>
              </w:rPr>
              <w:t>《乐山市三江岸线保护条例》</w:t>
            </w:r>
          </w:p>
        </w:tc>
        <w:tc>
          <w:tcPr>
            <w:tcW w:w="1329" w:type="pct"/>
            <w:vAlign w:val="center"/>
          </w:tcPr>
          <w:p w14:paraId="050DA984">
            <w:pPr>
              <w:pStyle w:val="69"/>
              <w:spacing w:before="65" w:after="65"/>
              <w:rPr>
                <w:rFonts w:cs="Times New Roman"/>
                <w:color w:val="auto"/>
                <w:highlight w:val="none"/>
              </w:rPr>
            </w:pPr>
            <w:r>
              <w:rPr>
                <w:rFonts w:cs="Times New Roman"/>
                <w:color w:val="auto"/>
                <w:highlight w:val="none"/>
              </w:rPr>
              <w:t>/</w:t>
            </w:r>
          </w:p>
        </w:tc>
      </w:tr>
      <w:bookmarkEnd w:id="15"/>
    </w:tbl>
    <w:p w14:paraId="6C20B3D7">
      <w:pPr>
        <w:adjustRightInd w:val="0"/>
        <w:ind w:firstLine="480"/>
        <w:rPr>
          <w:rFonts w:cs="Times New Roman"/>
          <w:color w:val="auto"/>
          <w:highlight w:val="none"/>
        </w:rPr>
      </w:pPr>
      <w:r>
        <w:rPr>
          <w:rFonts w:cs="Times New Roman"/>
          <w:color w:val="auto"/>
          <w:highlight w:val="none"/>
        </w:rPr>
        <w:t>与《中华人民共和国长江保护法》符合性分析如下：</w:t>
      </w:r>
    </w:p>
    <w:p w14:paraId="3DA01EA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项目与《中华人民共和国长江保护法》的符合性分析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5269"/>
        <w:gridCol w:w="1577"/>
        <w:gridCol w:w="954"/>
      </w:tblGrid>
      <w:tr w14:paraId="1C5E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15" w:type="pct"/>
            <w:gridSpan w:val="2"/>
            <w:vAlign w:val="center"/>
          </w:tcPr>
          <w:p w14:paraId="42C443D5">
            <w:pPr>
              <w:pStyle w:val="69"/>
              <w:spacing w:before="65" w:after="65"/>
              <w:rPr>
                <w:rFonts w:cs="Times New Roman"/>
                <w:b/>
                <w:bCs w:val="0"/>
                <w:color w:val="auto"/>
                <w:highlight w:val="none"/>
              </w:rPr>
            </w:pPr>
            <w:r>
              <w:rPr>
                <w:rFonts w:cs="Times New Roman"/>
                <w:b/>
                <w:bCs w:val="0"/>
                <w:color w:val="auto"/>
                <w:highlight w:val="none"/>
              </w:rPr>
              <w:t>主要内容</w:t>
            </w:r>
          </w:p>
        </w:tc>
        <w:tc>
          <w:tcPr>
            <w:tcW w:w="925" w:type="pct"/>
            <w:vAlign w:val="center"/>
          </w:tcPr>
          <w:p w14:paraId="7E6B1C70">
            <w:pPr>
              <w:pStyle w:val="69"/>
              <w:spacing w:before="65" w:after="65"/>
              <w:rPr>
                <w:rFonts w:cs="Times New Roman"/>
                <w:b/>
                <w:bCs w:val="0"/>
                <w:color w:val="auto"/>
                <w:highlight w:val="none"/>
              </w:rPr>
            </w:pPr>
            <w:r>
              <w:rPr>
                <w:rFonts w:cs="Times New Roman"/>
                <w:b/>
                <w:bCs w:val="0"/>
                <w:color w:val="auto"/>
                <w:highlight w:val="none"/>
              </w:rPr>
              <w:t>本项目情况</w:t>
            </w:r>
          </w:p>
        </w:tc>
        <w:tc>
          <w:tcPr>
            <w:tcW w:w="560" w:type="pct"/>
            <w:vAlign w:val="center"/>
          </w:tcPr>
          <w:p w14:paraId="6E2F01A0">
            <w:pPr>
              <w:pStyle w:val="69"/>
              <w:spacing w:before="65" w:after="65"/>
              <w:rPr>
                <w:rFonts w:cs="Times New Roman"/>
                <w:b/>
                <w:bCs w:val="0"/>
                <w:color w:val="auto"/>
                <w:highlight w:val="none"/>
              </w:rPr>
            </w:pPr>
            <w:r>
              <w:rPr>
                <w:rFonts w:cs="Times New Roman"/>
                <w:b/>
                <w:bCs w:val="0"/>
                <w:color w:val="auto"/>
                <w:highlight w:val="none"/>
              </w:rPr>
              <w:t>符合性</w:t>
            </w:r>
          </w:p>
        </w:tc>
      </w:tr>
      <w:tr w14:paraId="0AA4E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pct"/>
            <w:vAlign w:val="center"/>
          </w:tcPr>
          <w:p w14:paraId="6860593F">
            <w:pPr>
              <w:pStyle w:val="69"/>
              <w:spacing w:before="65" w:after="65"/>
              <w:rPr>
                <w:rFonts w:cs="Times New Roman"/>
                <w:color w:val="auto"/>
                <w:highlight w:val="none"/>
              </w:rPr>
            </w:pPr>
            <w:r>
              <w:rPr>
                <w:rFonts w:cs="Times New Roman"/>
                <w:color w:val="auto"/>
                <w:highlight w:val="none"/>
              </w:rPr>
              <w:t>第二十二条</w:t>
            </w:r>
          </w:p>
        </w:tc>
        <w:tc>
          <w:tcPr>
            <w:tcW w:w="3091" w:type="pct"/>
            <w:vAlign w:val="center"/>
          </w:tcPr>
          <w:p w14:paraId="534CB049">
            <w:pPr>
              <w:pStyle w:val="69"/>
              <w:spacing w:before="65" w:after="65"/>
              <w:rPr>
                <w:rFonts w:cs="Times New Roman"/>
                <w:color w:val="auto"/>
                <w:highlight w:val="none"/>
              </w:rPr>
            </w:pPr>
            <w:r>
              <w:rPr>
                <w:rFonts w:cs="Times New Roman"/>
                <w:color w:val="auto"/>
                <w:highlight w:val="none"/>
              </w:rPr>
              <w:t>长江流域产业结构和布局应当与长江流域生态系统和资源环境承载能力相适应。禁止在长江流域重点生态功能区布局对生态系统有严重影响的产业。禁止重污染企业和项目向长江中上游转移</w:t>
            </w:r>
          </w:p>
        </w:tc>
        <w:tc>
          <w:tcPr>
            <w:tcW w:w="925" w:type="pct"/>
            <w:vMerge w:val="restart"/>
            <w:vAlign w:val="center"/>
          </w:tcPr>
          <w:p w14:paraId="4013B7A9">
            <w:pPr>
              <w:pStyle w:val="69"/>
              <w:spacing w:before="65" w:after="65"/>
              <w:rPr>
                <w:rFonts w:cs="Times New Roman"/>
                <w:color w:val="auto"/>
                <w:highlight w:val="none"/>
              </w:rPr>
            </w:pPr>
            <w:r>
              <w:rPr>
                <w:rFonts w:cs="Times New Roman"/>
                <w:color w:val="auto"/>
                <w:highlight w:val="none"/>
              </w:rPr>
              <w:t>本项目建设不占用河湖岸线，本项目距离大渡河生态河直线距离6</w:t>
            </w:r>
            <w:r>
              <w:rPr>
                <w:rFonts w:hint="eastAsia" w:cs="Times New Roman"/>
                <w:color w:val="auto"/>
                <w:highlight w:val="none"/>
              </w:rPr>
              <w:t>5</w:t>
            </w:r>
            <w:r>
              <w:rPr>
                <w:rFonts w:cs="Times New Roman"/>
                <w:color w:val="auto"/>
                <w:highlight w:val="none"/>
              </w:rPr>
              <w:t>5m，距离大渡河直线距离约12</w:t>
            </w:r>
            <w:r>
              <w:rPr>
                <w:rFonts w:hint="eastAsia" w:cs="Times New Roman"/>
                <w:color w:val="auto"/>
                <w:highlight w:val="none"/>
              </w:rPr>
              <w:t>59</w:t>
            </w:r>
            <w:r>
              <w:rPr>
                <w:rFonts w:cs="Times New Roman"/>
                <w:color w:val="auto"/>
                <w:highlight w:val="none"/>
              </w:rPr>
              <w:t>m，本项目不属于新建、扩建的化工项目，不属于尾矿库。本项目尾矿</w:t>
            </w:r>
            <w:r>
              <w:rPr>
                <w:rFonts w:hint="eastAsia" w:cs="Times New Roman"/>
                <w:color w:val="auto"/>
                <w:highlight w:val="none"/>
              </w:rPr>
              <w:t>、黑砂</w:t>
            </w:r>
            <w:r>
              <w:rPr>
                <w:rFonts w:cs="Times New Roman"/>
                <w:color w:val="auto"/>
                <w:highlight w:val="none"/>
              </w:rPr>
              <w:t>不长期暂存，尾矿</w:t>
            </w:r>
            <w:r>
              <w:rPr>
                <w:rFonts w:hint="eastAsia" w:cs="Times New Roman"/>
                <w:color w:val="auto"/>
                <w:highlight w:val="none"/>
              </w:rPr>
              <w:t>、黑砂</w:t>
            </w:r>
            <w:r>
              <w:rPr>
                <w:rFonts w:cs="Times New Roman"/>
                <w:color w:val="auto"/>
                <w:highlight w:val="none"/>
              </w:rPr>
              <w:t>外售给</w:t>
            </w:r>
            <w:r>
              <w:rPr>
                <w:rFonts w:hint="eastAsia" w:cs="Times New Roman"/>
                <w:color w:val="auto"/>
                <w:highlight w:val="none"/>
              </w:rPr>
              <w:t>四川省米兰诺陶瓷有限公司、四川香莱尔陶瓷有限公司</w:t>
            </w:r>
            <w:r>
              <w:rPr>
                <w:rFonts w:cs="Times New Roman"/>
                <w:color w:val="auto"/>
                <w:highlight w:val="none"/>
              </w:rPr>
              <w:t>作为原料使用</w:t>
            </w:r>
            <w:r>
              <w:rPr>
                <w:rFonts w:hint="eastAsia" w:cs="Times New Roman"/>
                <w:color w:val="auto"/>
                <w:highlight w:val="none"/>
              </w:rPr>
              <w:t>。</w:t>
            </w:r>
          </w:p>
        </w:tc>
        <w:tc>
          <w:tcPr>
            <w:tcW w:w="560" w:type="pct"/>
            <w:vAlign w:val="center"/>
          </w:tcPr>
          <w:p w14:paraId="4F79B1C0">
            <w:pPr>
              <w:pStyle w:val="69"/>
              <w:spacing w:before="65" w:after="65"/>
              <w:rPr>
                <w:rFonts w:cs="Times New Roman"/>
                <w:color w:val="auto"/>
                <w:highlight w:val="none"/>
              </w:rPr>
            </w:pPr>
            <w:r>
              <w:rPr>
                <w:rFonts w:cs="Times New Roman"/>
                <w:color w:val="auto"/>
                <w:highlight w:val="none"/>
              </w:rPr>
              <w:t>符合</w:t>
            </w:r>
          </w:p>
        </w:tc>
      </w:tr>
      <w:tr w14:paraId="63E89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4" w:type="pct"/>
            <w:vAlign w:val="center"/>
          </w:tcPr>
          <w:p w14:paraId="73407818">
            <w:pPr>
              <w:pStyle w:val="69"/>
              <w:spacing w:before="65" w:after="65"/>
              <w:rPr>
                <w:rFonts w:cs="Times New Roman"/>
                <w:color w:val="auto"/>
                <w:highlight w:val="none"/>
              </w:rPr>
            </w:pPr>
            <w:r>
              <w:rPr>
                <w:rFonts w:cs="Times New Roman"/>
                <w:color w:val="auto"/>
                <w:highlight w:val="none"/>
              </w:rPr>
              <w:t>第二十六条</w:t>
            </w:r>
          </w:p>
        </w:tc>
        <w:tc>
          <w:tcPr>
            <w:tcW w:w="3091" w:type="pct"/>
            <w:vAlign w:val="center"/>
          </w:tcPr>
          <w:p w14:paraId="0B4C2E87">
            <w:pPr>
              <w:pStyle w:val="69"/>
              <w:spacing w:before="65" w:after="65"/>
              <w:rPr>
                <w:rFonts w:cs="Times New Roman"/>
                <w:color w:val="auto"/>
                <w:highlight w:val="none"/>
              </w:rPr>
            </w:pPr>
            <w:r>
              <w:rPr>
                <w:rFonts w:cs="Times New Roman"/>
                <w:color w:val="auto"/>
                <w:highlight w:val="none"/>
              </w:rPr>
              <w:t>禁止在长江干支流岸线一公里范围内新建、扩建化工园区和化工项目。</w:t>
            </w:r>
          </w:p>
          <w:p w14:paraId="04A1A3A0">
            <w:pPr>
              <w:pStyle w:val="69"/>
              <w:spacing w:before="65" w:after="65"/>
              <w:rPr>
                <w:rFonts w:cs="Times New Roman"/>
                <w:color w:val="auto"/>
                <w:highlight w:val="none"/>
              </w:rPr>
            </w:pPr>
            <w:r>
              <w:rPr>
                <w:rFonts w:cs="Times New Roman"/>
                <w:color w:val="auto"/>
                <w:highlight w:val="none"/>
              </w:rPr>
              <w:t>禁止在长江干流岸线三公里范围内和重要支流岸线一公里范围内新建、改建、扩建尾矿库；但是以提升安全、生态环境保护水平为目的的改建除外</w:t>
            </w:r>
          </w:p>
        </w:tc>
        <w:tc>
          <w:tcPr>
            <w:tcW w:w="925" w:type="pct"/>
            <w:vMerge w:val="continue"/>
            <w:vAlign w:val="center"/>
          </w:tcPr>
          <w:p w14:paraId="480ED58A">
            <w:pPr>
              <w:pStyle w:val="69"/>
              <w:spacing w:before="65" w:after="65"/>
              <w:rPr>
                <w:rFonts w:cs="Times New Roman"/>
                <w:color w:val="auto"/>
                <w:highlight w:val="none"/>
              </w:rPr>
            </w:pPr>
          </w:p>
        </w:tc>
        <w:tc>
          <w:tcPr>
            <w:tcW w:w="560" w:type="pct"/>
            <w:vAlign w:val="center"/>
          </w:tcPr>
          <w:p w14:paraId="7C22F39C">
            <w:pPr>
              <w:pStyle w:val="69"/>
              <w:spacing w:before="65" w:after="65"/>
              <w:rPr>
                <w:rFonts w:cs="Times New Roman"/>
                <w:color w:val="auto"/>
                <w:highlight w:val="none"/>
              </w:rPr>
            </w:pPr>
            <w:r>
              <w:rPr>
                <w:rFonts w:cs="Times New Roman"/>
                <w:color w:val="auto"/>
                <w:highlight w:val="none"/>
              </w:rPr>
              <w:t>符合</w:t>
            </w:r>
          </w:p>
        </w:tc>
      </w:tr>
    </w:tbl>
    <w:p w14:paraId="6D1309D9">
      <w:pPr>
        <w:adjustRightInd w:val="0"/>
        <w:ind w:firstLine="480"/>
        <w:rPr>
          <w:rFonts w:cs="Times New Roman"/>
          <w:color w:val="auto"/>
          <w:highlight w:val="none"/>
        </w:rPr>
      </w:pPr>
      <w:r>
        <w:rPr>
          <w:rFonts w:cs="Times New Roman"/>
          <w:color w:val="auto"/>
          <w:highlight w:val="none"/>
        </w:rPr>
        <w:t>推动长江经济带发展领导小组办公室于2022年1月19日印发《长江经济带发展负面清单指南（试行，2022年版）》（长江办〔2022〕7号），本项目与其符合性分析如下。</w:t>
      </w:r>
    </w:p>
    <w:p w14:paraId="0E6DCD42">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项目与《长江经济带发展负面清单指南（试行，2022版）》的符合性分析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8"/>
        <w:gridCol w:w="2799"/>
        <w:gridCol w:w="1145"/>
      </w:tblGrid>
      <w:tr w14:paraId="557CA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86" w:type="pct"/>
            <w:vAlign w:val="center"/>
          </w:tcPr>
          <w:p w14:paraId="25682788">
            <w:pPr>
              <w:pStyle w:val="37"/>
              <w:adjustRightInd w:val="0"/>
              <w:rPr>
                <w:b/>
                <w:bCs/>
                <w:color w:val="auto"/>
                <w:highlight w:val="none"/>
              </w:rPr>
            </w:pPr>
            <w:r>
              <w:rPr>
                <w:b/>
                <w:bCs/>
                <w:color w:val="auto"/>
                <w:highlight w:val="none"/>
              </w:rPr>
              <w:t>负面清单</w:t>
            </w:r>
          </w:p>
        </w:tc>
        <w:tc>
          <w:tcPr>
            <w:tcW w:w="1642" w:type="pct"/>
            <w:vAlign w:val="center"/>
          </w:tcPr>
          <w:p w14:paraId="27C15BFB">
            <w:pPr>
              <w:pStyle w:val="37"/>
              <w:adjustRightInd w:val="0"/>
              <w:rPr>
                <w:b/>
                <w:bCs/>
                <w:color w:val="auto"/>
                <w:highlight w:val="none"/>
              </w:rPr>
            </w:pPr>
            <w:r>
              <w:rPr>
                <w:b/>
                <w:bCs/>
                <w:color w:val="auto"/>
                <w:highlight w:val="none"/>
              </w:rPr>
              <w:t>本项目情况</w:t>
            </w:r>
          </w:p>
        </w:tc>
        <w:tc>
          <w:tcPr>
            <w:tcW w:w="672" w:type="pct"/>
            <w:vAlign w:val="center"/>
          </w:tcPr>
          <w:p w14:paraId="3FF28247">
            <w:pPr>
              <w:pStyle w:val="37"/>
              <w:adjustRightInd w:val="0"/>
              <w:rPr>
                <w:b/>
                <w:bCs/>
                <w:color w:val="auto"/>
                <w:highlight w:val="none"/>
              </w:rPr>
            </w:pPr>
            <w:r>
              <w:rPr>
                <w:b/>
                <w:bCs/>
                <w:color w:val="auto"/>
                <w:highlight w:val="none"/>
              </w:rPr>
              <w:t>符合性</w:t>
            </w:r>
          </w:p>
        </w:tc>
      </w:tr>
      <w:tr w14:paraId="2569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2AEB870E">
            <w:pPr>
              <w:pStyle w:val="37"/>
              <w:adjustRightInd w:val="0"/>
              <w:jc w:val="both"/>
              <w:rPr>
                <w:color w:val="auto"/>
                <w:highlight w:val="none"/>
              </w:rPr>
            </w:pPr>
            <w:r>
              <w:rPr>
                <w:color w:val="auto"/>
                <w:highlight w:val="none"/>
              </w:rPr>
              <w:t>1.禁止建设不符合全国和省级港口布局规划以及港口总体规划的码头项目，禁止建设不符合《长江干线过江通道布局规划》的过长江通道项目。</w:t>
            </w:r>
          </w:p>
        </w:tc>
        <w:tc>
          <w:tcPr>
            <w:tcW w:w="1642" w:type="pct"/>
            <w:vAlign w:val="center"/>
          </w:tcPr>
          <w:p w14:paraId="28A8DF95">
            <w:pPr>
              <w:pStyle w:val="37"/>
              <w:adjustRightInd w:val="0"/>
              <w:rPr>
                <w:color w:val="auto"/>
                <w:highlight w:val="none"/>
              </w:rPr>
            </w:pPr>
            <w:r>
              <w:rPr>
                <w:color w:val="auto"/>
                <w:highlight w:val="none"/>
              </w:rPr>
              <w:t>本项目不涉及码头、长江通道项目。</w:t>
            </w:r>
          </w:p>
        </w:tc>
        <w:tc>
          <w:tcPr>
            <w:tcW w:w="672" w:type="pct"/>
            <w:vAlign w:val="center"/>
          </w:tcPr>
          <w:p w14:paraId="71961325">
            <w:pPr>
              <w:pStyle w:val="37"/>
              <w:adjustRightInd w:val="0"/>
              <w:rPr>
                <w:color w:val="auto"/>
                <w:highlight w:val="none"/>
              </w:rPr>
            </w:pPr>
            <w:r>
              <w:rPr>
                <w:color w:val="auto"/>
                <w:highlight w:val="none"/>
              </w:rPr>
              <w:t>符合</w:t>
            </w:r>
          </w:p>
        </w:tc>
      </w:tr>
      <w:tr w14:paraId="02F16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5677771C">
            <w:pPr>
              <w:pStyle w:val="37"/>
              <w:adjustRightInd w:val="0"/>
              <w:jc w:val="both"/>
              <w:rPr>
                <w:color w:val="auto"/>
                <w:highlight w:val="none"/>
              </w:rPr>
            </w:pPr>
            <w:r>
              <w:rPr>
                <w:color w:val="auto"/>
                <w:highlight w:val="none"/>
              </w:rPr>
              <w:t>2.禁止在自然保护区核心区、缓冲区的岸线和河段范围内投资建设旅游和生产经营项目。禁止在风景名胜区核心景区的岸线和河段范围内投资建设与风景名胜资源保护无关的项目。</w:t>
            </w:r>
          </w:p>
        </w:tc>
        <w:tc>
          <w:tcPr>
            <w:tcW w:w="1642" w:type="pct"/>
            <w:vAlign w:val="center"/>
          </w:tcPr>
          <w:p w14:paraId="40213FBE">
            <w:pPr>
              <w:pStyle w:val="37"/>
              <w:adjustRightInd w:val="0"/>
              <w:rPr>
                <w:color w:val="auto"/>
                <w:highlight w:val="none"/>
              </w:rPr>
            </w:pPr>
            <w:r>
              <w:rPr>
                <w:color w:val="auto"/>
                <w:highlight w:val="none"/>
              </w:rPr>
              <w:t>本项目不涉及自然保护区核心区、缓冲区、风景名胜区。</w:t>
            </w:r>
          </w:p>
        </w:tc>
        <w:tc>
          <w:tcPr>
            <w:tcW w:w="672" w:type="pct"/>
            <w:vAlign w:val="center"/>
          </w:tcPr>
          <w:p w14:paraId="56973C4E">
            <w:pPr>
              <w:pStyle w:val="37"/>
              <w:adjustRightInd w:val="0"/>
              <w:rPr>
                <w:color w:val="auto"/>
                <w:highlight w:val="none"/>
              </w:rPr>
            </w:pPr>
            <w:r>
              <w:rPr>
                <w:color w:val="auto"/>
                <w:highlight w:val="none"/>
              </w:rPr>
              <w:t>符合</w:t>
            </w:r>
          </w:p>
        </w:tc>
      </w:tr>
      <w:tr w14:paraId="21E9E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01DC92FF">
            <w:pPr>
              <w:pStyle w:val="37"/>
              <w:adjustRightInd w:val="0"/>
              <w:jc w:val="both"/>
              <w:rPr>
                <w:color w:val="auto"/>
                <w:highlight w:val="none"/>
              </w:rPr>
            </w:pPr>
            <w:r>
              <w:rPr>
                <w:color w:val="auto"/>
                <w:highlight w:val="none"/>
              </w:rPr>
              <w:t>3.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642" w:type="pct"/>
            <w:vAlign w:val="center"/>
          </w:tcPr>
          <w:p w14:paraId="05FFE25C">
            <w:pPr>
              <w:pStyle w:val="37"/>
              <w:adjustRightInd w:val="0"/>
              <w:rPr>
                <w:color w:val="auto"/>
                <w:highlight w:val="none"/>
              </w:rPr>
            </w:pPr>
            <w:r>
              <w:rPr>
                <w:color w:val="auto"/>
                <w:highlight w:val="none"/>
              </w:rPr>
              <w:t>本项目不涉及饮用水水源一级保护区的岸线和河段范围、饮用水水源二级保护区的岸线和河段范围内。</w:t>
            </w:r>
          </w:p>
        </w:tc>
        <w:tc>
          <w:tcPr>
            <w:tcW w:w="672" w:type="pct"/>
            <w:vAlign w:val="center"/>
          </w:tcPr>
          <w:p w14:paraId="449BA3DB">
            <w:pPr>
              <w:pStyle w:val="37"/>
              <w:adjustRightInd w:val="0"/>
              <w:rPr>
                <w:color w:val="auto"/>
                <w:highlight w:val="none"/>
              </w:rPr>
            </w:pPr>
            <w:r>
              <w:rPr>
                <w:color w:val="auto"/>
                <w:highlight w:val="none"/>
              </w:rPr>
              <w:t>符合</w:t>
            </w:r>
          </w:p>
        </w:tc>
      </w:tr>
      <w:tr w14:paraId="59AE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24B0FDE5">
            <w:pPr>
              <w:pStyle w:val="37"/>
              <w:adjustRightInd w:val="0"/>
              <w:jc w:val="both"/>
              <w:rPr>
                <w:color w:val="auto"/>
                <w:highlight w:val="none"/>
              </w:rPr>
            </w:pPr>
            <w:r>
              <w:rPr>
                <w:color w:val="auto"/>
                <w:highlight w:val="none"/>
              </w:rPr>
              <w:t>4.禁止在水产种质资源保护区的岸线和河段范围内新建围湖造田、围海造地或围填海等投资建设项目。禁止在国家湿地公园的岸线和河段范围内挖沙、采矿，以及任何不符合主体功能定位的投资建设项目。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642" w:type="pct"/>
            <w:vAlign w:val="center"/>
          </w:tcPr>
          <w:p w14:paraId="35090A37">
            <w:pPr>
              <w:pStyle w:val="37"/>
              <w:adjustRightInd w:val="0"/>
              <w:rPr>
                <w:color w:val="auto"/>
                <w:highlight w:val="none"/>
              </w:rPr>
            </w:pPr>
            <w:r>
              <w:rPr>
                <w:color w:val="auto"/>
                <w:highlight w:val="none"/>
              </w:rPr>
              <w:t>本项目不涉及水产种质资源保护区、国家湿地公园的岸线和河段范围；不属于围湖造田、围海造地或围填海、挖沙、采矿项目。</w:t>
            </w:r>
          </w:p>
        </w:tc>
        <w:tc>
          <w:tcPr>
            <w:tcW w:w="672" w:type="pct"/>
            <w:vAlign w:val="center"/>
          </w:tcPr>
          <w:p w14:paraId="36D9B985">
            <w:pPr>
              <w:pStyle w:val="37"/>
              <w:adjustRightInd w:val="0"/>
              <w:rPr>
                <w:color w:val="auto"/>
                <w:highlight w:val="none"/>
              </w:rPr>
            </w:pPr>
            <w:r>
              <w:rPr>
                <w:color w:val="auto"/>
                <w:highlight w:val="none"/>
              </w:rPr>
              <w:t>符合</w:t>
            </w:r>
          </w:p>
        </w:tc>
      </w:tr>
      <w:tr w14:paraId="0686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298BD532">
            <w:pPr>
              <w:pStyle w:val="37"/>
              <w:adjustRightInd w:val="0"/>
              <w:jc w:val="both"/>
              <w:rPr>
                <w:color w:val="auto"/>
                <w:highlight w:val="none"/>
              </w:rPr>
            </w:pPr>
            <w:r>
              <w:rPr>
                <w:color w:val="auto"/>
                <w:highlight w:val="none"/>
              </w:rPr>
              <w:t>5.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642" w:type="pct"/>
            <w:vAlign w:val="center"/>
          </w:tcPr>
          <w:p w14:paraId="747EABE3">
            <w:pPr>
              <w:pStyle w:val="37"/>
              <w:adjustRightInd w:val="0"/>
              <w:rPr>
                <w:color w:val="auto"/>
                <w:highlight w:val="none"/>
              </w:rPr>
            </w:pPr>
            <w:r>
              <w:rPr>
                <w:color w:val="auto"/>
                <w:highlight w:val="none"/>
              </w:rPr>
              <w:t>本项目建设未占用长江流域河湖岸线，项目所在地不涉及《全国重要江河湖泊水功能区划》划定的河段及湖泊保护区、保留区。</w:t>
            </w:r>
          </w:p>
        </w:tc>
        <w:tc>
          <w:tcPr>
            <w:tcW w:w="672" w:type="pct"/>
            <w:vAlign w:val="center"/>
          </w:tcPr>
          <w:p w14:paraId="3A9523AB">
            <w:pPr>
              <w:pStyle w:val="37"/>
              <w:adjustRightInd w:val="0"/>
              <w:rPr>
                <w:color w:val="auto"/>
                <w:highlight w:val="none"/>
              </w:rPr>
            </w:pPr>
            <w:r>
              <w:rPr>
                <w:color w:val="auto"/>
                <w:highlight w:val="none"/>
              </w:rPr>
              <w:t>符合</w:t>
            </w:r>
          </w:p>
        </w:tc>
      </w:tr>
      <w:tr w14:paraId="4F7A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63DAAD01">
            <w:pPr>
              <w:pStyle w:val="37"/>
              <w:adjustRightInd w:val="0"/>
              <w:jc w:val="both"/>
              <w:rPr>
                <w:color w:val="auto"/>
                <w:highlight w:val="none"/>
              </w:rPr>
            </w:pPr>
            <w:r>
              <w:rPr>
                <w:color w:val="auto"/>
                <w:highlight w:val="none"/>
              </w:rPr>
              <w:t>6.禁止未经许可在长江干支流及湖泊新设、改设或扩大排污口。</w:t>
            </w:r>
          </w:p>
        </w:tc>
        <w:tc>
          <w:tcPr>
            <w:tcW w:w="1642" w:type="pct"/>
            <w:vAlign w:val="center"/>
          </w:tcPr>
          <w:p w14:paraId="572BEFD4">
            <w:pPr>
              <w:pStyle w:val="37"/>
              <w:adjustRightInd w:val="0"/>
              <w:rPr>
                <w:color w:val="auto"/>
                <w:highlight w:val="none"/>
              </w:rPr>
            </w:pPr>
            <w:r>
              <w:rPr>
                <w:color w:val="auto"/>
                <w:highlight w:val="none"/>
              </w:rPr>
              <w:t>本项目不涉及排污口建设。</w:t>
            </w:r>
          </w:p>
        </w:tc>
        <w:tc>
          <w:tcPr>
            <w:tcW w:w="672" w:type="pct"/>
            <w:vAlign w:val="center"/>
          </w:tcPr>
          <w:p w14:paraId="4B9C8A81">
            <w:pPr>
              <w:pStyle w:val="37"/>
              <w:adjustRightInd w:val="0"/>
              <w:rPr>
                <w:color w:val="auto"/>
                <w:highlight w:val="none"/>
              </w:rPr>
            </w:pPr>
            <w:r>
              <w:rPr>
                <w:color w:val="auto"/>
                <w:highlight w:val="none"/>
              </w:rPr>
              <w:t>符合</w:t>
            </w:r>
          </w:p>
        </w:tc>
      </w:tr>
      <w:tr w14:paraId="4A142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259BB6DA">
            <w:pPr>
              <w:pStyle w:val="37"/>
              <w:adjustRightInd w:val="0"/>
              <w:jc w:val="both"/>
              <w:rPr>
                <w:color w:val="auto"/>
                <w:highlight w:val="none"/>
              </w:rPr>
            </w:pPr>
            <w:r>
              <w:rPr>
                <w:color w:val="auto"/>
                <w:highlight w:val="none"/>
              </w:rPr>
              <w:t>7.禁止在</w:t>
            </w:r>
            <w:r>
              <w:rPr>
                <w:rFonts w:hint="eastAsia"/>
                <w:color w:val="auto"/>
                <w:highlight w:val="none"/>
              </w:rPr>
              <w:t>“</w:t>
            </w:r>
            <w:r>
              <w:rPr>
                <w:color w:val="auto"/>
                <w:highlight w:val="none"/>
              </w:rPr>
              <w:t>一江一口两湖七河</w:t>
            </w:r>
            <w:r>
              <w:rPr>
                <w:rFonts w:hint="eastAsia"/>
                <w:color w:val="auto"/>
                <w:highlight w:val="none"/>
              </w:rPr>
              <w:t>”</w:t>
            </w:r>
            <w:r>
              <w:rPr>
                <w:color w:val="auto"/>
                <w:highlight w:val="none"/>
              </w:rPr>
              <w:t>和332个水生生物保护区开展生产性捕捞。</w:t>
            </w:r>
          </w:p>
        </w:tc>
        <w:tc>
          <w:tcPr>
            <w:tcW w:w="1642" w:type="pct"/>
            <w:vAlign w:val="center"/>
          </w:tcPr>
          <w:p w14:paraId="61C29F96">
            <w:pPr>
              <w:pStyle w:val="37"/>
              <w:adjustRightInd w:val="0"/>
              <w:rPr>
                <w:color w:val="auto"/>
                <w:highlight w:val="none"/>
              </w:rPr>
            </w:pPr>
            <w:r>
              <w:rPr>
                <w:color w:val="auto"/>
                <w:highlight w:val="none"/>
              </w:rPr>
              <w:t>本项目不涉及开展生产性捕捞。</w:t>
            </w:r>
          </w:p>
        </w:tc>
        <w:tc>
          <w:tcPr>
            <w:tcW w:w="672" w:type="pct"/>
            <w:vAlign w:val="center"/>
          </w:tcPr>
          <w:p w14:paraId="027127E5">
            <w:pPr>
              <w:pStyle w:val="37"/>
              <w:adjustRightInd w:val="0"/>
              <w:rPr>
                <w:color w:val="auto"/>
                <w:highlight w:val="none"/>
              </w:rPr>
            </w:pPr>
            <w:r>
              <w:rPr>
                <w:color w:val="auto"/>
                <w:highlight w:val="none"/>
              </w:rPr>
              <w:t>符合</w:t>
            </w:r>
          </w:p>
        </w:tc>
      </w:tr>
      <w:tr w14:paraId="5CAF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030E0974">
            <w:pPr>
              <w:pStyle w:val="37"/>
              <w:adjustRightInd w:val="0"/>
              <w:jc w:val="both"/>
              <w:rPr>
                <w:color w:val="auto"/>
                <w:highlight w:val="none"/>
              </w:rPr>
            </w:pPr>
            <w:r>
              <w:rPr>
                <w:color w:val="auto"/>
                <w:highlight w:val="none"/>
              </w:rPr>
              <w:t>8.禁止在长江干支流、重要湖泊岸线1公里范围内新建、扩建化工园区和化工项目。禁止在长江干流岸线3公里范围内和重要支流岸线1公里范围内新建、改建、扩建尾矿库、冶炼渣库和磷石膏库，以提升安全、生态环境保护水平为目的的改建除外。</w:t>
            </w:r>
          </w:p>
        </w:tc>
        <w:tc>
          <w:tcPr>
            <w:tcW w:w="1642" w:type="pct"/>
            <w:vAlign w:val="center"/>
          </w:tcPr>
          <w:p w14:paraId="4C8D6C13">
            <w:pPr>
              <w:pStyle w:val="37"/>
              <w:adjustRightInd w:val="0"/>
              <w:rPr>
                <w:color w:val="auto"/>
                <w:highlight w:val="none"/>
              </w:rPr>
            </w:pPr>
            <w:r>
              <w:rPr>
                <w:color w:val="auto"/>
                <w:highlight w:val="none"/>
              </w:rPr>
              <w:t>本项目建设不属于化工园区和化工项目；不属于尾矿库、冶炼渣库和磷石膏库项目。本项目尾矿</w:t>
            </w:r>
            <w:r>
              <w:rPr>
                <w:rFonts w:hint="eastAsia"/>
                <w:color w:val="auto"/>
                <w:highlight w:val="none"/>
              </w:rPr>
              <w:t>、黑砂</w:t>
            </w:r>
            <w:r>
              <w:rPr>
                <w:color w:val="auto"/>
                <w:highlight w:val="none"/>
              </w:rPr>
              <w:t>不长期暂存，尾矿</w:t>
            </w:r>
            <w:r>
              <w:rPr>
                <w:rFonts w:hint="eastAsia"/>
                <w:color w:val="auto"/>
                <w:highlight w:val="none"/>
              </w:rPr>
              <w:t>、黑砂</w:t>
            </w:r>
            <w:r>
              <w:rPr>
                <w:color w:val="auto"/>
                <w:highlight w:val="none"/>
              </w:rPr>
              <w:t>外售给</w:t>
            </w:r>
            <w:r>
              <w:rPr>
                <w:rFonts w:hint="eastAsia"/>
                <w:color w:val="auto"/>
                <w:highlight w:val="none"/>
              </w:rPr>
              <w:t>四川省米兰诺陶瓷有限公司、四川香莱尔陶瓷有限公司</w:t>
            </w:r>
            <w:r>
              <w:rPr>
                <w:color w:val="auto"/>
                <w:highlight w:val="none"/>
              </w:rPr>
              <w:t>作为原料使用</w:t>
            </w:r>
            <w:r>
              <w:rPr>
                <w:rFonts w:hint="eastAsia"/>
                <w:color w:val="auto"/>
                <w:highlight w:val="none"/>
              </w:rPr>
              <w:t>。</w:t>
            </w:r>
          </w:p>
        </w:tc>
        <w:tc>
          <w:tcPr>
            <w:tcW w:w="672" w:type="pct"/>
            <w:vAlign w:val="center"/>
          </w:tcPr>
          <w:p w14:paraId="6877F2F0">
            <w:pPr>
              <w:pStyle w:val="37"/>
              <w:adjustRightInd w:val="0"/>
              <w:rPr>
                <w:color w:val="auto"/>
                <w:highlight w:val="none"/>
              </w:rPr>
            </w:pPr>
            <w:r>
              <w:rPr>
                <w:color w:val="auto"/>
                <w:highlight w:val="none"/>
              </w:rPr>
              <w:t>符合</w:t>
            </w:r>
          </w:p>
        </w:tc>
      </w:tr>
      <w:tr w14:paraId="741C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5FDCE83A">
            <w:pPr>
              <w:pStyle w:val="37"/>
              <w:adjustRightInd w:val="0"/>
              <w:jc w:val="both"/>
              <w:rPr>
                <w:color w:val="auto"/>
                <w:highlight w:val="none"/>
              </w:rPr>
            </w:pPr>
            <w:r>
              <w:rPr>
                <w:color w:val="auto"/>
                <w:highlight w:val="none"/>
              </w:rPr>
              <w:t>9.禁止在合规园区外新建、扩建钢铁、石化、化工、焦化、建材、有色、制浆造纸等高污染项目。</w:t>
            </w:r>
          </w:p>
        </w:tc>
        <w:tc>
          <w:tcPr>
            <w:tcW w:w="1642" w:type="pct"/>
            <w:vAlign w:val="center"/>
          </w:tcPr>
          <w:p w14:paraId="38C5DD1A">
            <w:pPr>
              <w:pStyle w:val="37"/>
              <w:adjustRightInd w:val="0"/>
              <w:rPr>
                <w:color w:val="auto"/>
                <w:highlight w:val="none"/>
              </w:rPr>
            </w:pPr>
            <w:r>
              <w:rPr>
                <w:color w:val="auto"/>
                <w:highlight w:val="none"/>
              </w:rPr>
              <w:t>本项目建设不属于新建、扩建、钢铁、石化、化工、焦化、建材、有色、制浆造纸等高污染项目，项目建设位于合规园区内。</w:t>
            </w:r>
          </w:p>
        </w:tc>
        <w:tc>
          <w:tcPr>
            <w:tcW w:w="672" w:type="pct"/>
            <w:vAlign w:val="center"/>
          </w:tcPr>
          <w:p w14:paraId="19BFF4BB">
            <w:pPr>
              <w:pStyle w:val="37"/>
              <w:adjustRightInd w:val="0"/>
              <w:rPr>
                <w:color w:val="auto"/>
                <w:highlight w:val="none"/>
              </w:rPr>
            </w:pPr>
            <w:r>
              <w:rPr>
                <w:color w:val="auto"/>
                <w:highlight w:val="none"/>
              </w:rPr>
              <w:t>符合</w:t>
            </w:r>
          </w:p>
        </w:tc>
      </w:tr>
      <w:tr w14:paraId="14951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86" w:type="pct"/>
            <w:vAlign w:val="center"/>
          </w:tcPr>
          <w:p w14:paraId="0165FDBB">
            <w:pPr>
              <w:pStyle w:val="37"/>
              <w:adjustRightInd w:val="0"/>
              <w:jc w:val="both"/>
              <w:rPr>
                <w:color w:val="auto"/>
                <w:highlight w:val="none"/>
              </w:rPr>
            </w:pPr>
            <w:r>
              <w:rPr>
                <w:color w:val="auto"/>
                <w:highlight w:val="none"/>
              </w:rPr>
              <w:t>10.禁止新建、扩建不符合国家石化、现代煤化工等产业布局规划的项目。</w:t>
            </w:r>
          </w:p>
        </w:tc>
        <w:tc>
          <w:tcPr>
            <w:tcW w:w="1642" w:type="pct"/>
            <w:vAlign w:val="center"/>
          </w:tcPr>
          <w:p w14:paraId="40C3A81B">
            <w:pPr>
              <w:pStyle w:val="37"/>
              <w:adjustRightInd w:val="0"/>
              <w:rPr>
                <w:color w:val="auto"/>
                <w:highlight w:val="none"/>
              </w:rPr>
            </w:pPr>
            <w:r>
              <w:rPr>
                <w:color w:val="auto"/>
                <w:highlight w:val="none"/>
              </w:rPr>
              <w:t>本项目建设不涉及国家石化、现代煤化工等产业布局规划。</w:t>
            </w:r>
          </w:p>
        </w:tc>
        <w:tc>
          <w:tcPr>
            <w:tcW w:w="672" w:type="pct"/>
            <w:vAlign w:val="center"/>
          </w:tcPr>
          <w:p w14:paraId="2D14DDFE">
            <w:pPr>
              <w:pStyle w:val="37"/>
              <w:adjustRightInd w:val="0"/>
              <w:rPr>
                <w:color w:val="auto"/>
                <w:highlight w:val="none"/>
              </w:rPr>
            </w:pPr>
            <w:r>
              <w:rPr>
                <w:color w:val="auto"/>
                <w:highlight w:val="none"/>
              </w:rPr>
              <w:t>符合</w:t>
            </w:r>
          </w:p>
        </w:tc>
      </w:tr>
      <w:tr w14:paraId="1C631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2686" w:type="pct"/>
            <w:vAlign w:val="center"/>
          </w:tcPr>
          <w:p w14:paraId="35CC0B46">
            <w:pPr>
              <w:pStyle w:val="37"/>
              <w:adjustRightInd w:val="0"/>
              <w:jc w:val="both"/>
              <w:rPr>
                <w:color w:val="auto"/>
                <w:highlight w:val="none"/>
              </w:rPr>
            </w:pPr>
            <w:r>
              <w:rPr>
                <w:color w:val="auto"/>
                <w:highlight w:val="none"/>
              </w:rPr>
              <w:t>11.禁止新建、扩建法律法规和相关政策明令禁止的落后产能项目。禁止新建、扩建不符合国家产能置换要求的严重过剩产能行业的项目。禁止新建、扩建不符合要求的高耗能高排放项目。</w:t>
            </w:r>
          </w:p>
        </w:tc>
        <w:tc>
          <w:tcPr>
            <w:tcW w:w="1642" w:type="pct"/>
            <w:vAlign w:val="center"/>
          </w:tcPr>
          <w:p w14:paraId="6FD95EBC">
            <w:pPr>
              <w:pStyle w:val="37"/>
              <w:adjustRightInd w:val="0"/>
              <w:rPr>
                <w:color w:val="auto"/>
                <w:highlight w:val="none"/>
              </w:rPr>
            </w:pPr>
            <w:r>
              <w:rPr>
                <w:color w:val="auto"/>
                <w:highlight w:val="none"/>
              </w:rPr>
              <w:t>根据《关于印发&lt;四川省</w:t>
            </w:r>
            <w:r>
              <w:rPr>
                <w:rFonts w:hint="eastAsia"/>
                <w:color w:val="auto"/>
                <w:highlight w:val="none"/>
              </w:rPr>
              <w:t>“</w:t>
            </w:r>
            <w:r>
              <w:rPr>
                <w:color w:val="auto"/>
                <w:highlight w:val="none"/>
              </w:rPr>
              <w:t>两高</w:t>
            </w:r>
            <w:r>
              <w:rPr>
                <w:rFonts w:hint="eastAsia"/>
                <w:color w:val="auto"/>
                <w:highlight w:val="none"/>
              </w:rPr>
              <w:t>”</w:t>
            </w:r>
            <w:r>
              <w:rPr>
                <w:color w:val="auto"/>
                <w:highlight w:val="none"/>
              </w:rPr>
              <w:t>项目管理目录（试行）&gt;的通知》（川发改环资函〔2024〕259号），本项目不属于两高项目。</w:t>
            </w:r>
          </w:p>
          <w:p w14:paraId="01143821">
            <w:pPr>
              <w:pStyle w:val="37"/>
              <w:adjustRightInd w:val="0"/>
              <w:rPr>
                <w:color w:val="auto"/>
                <w:highlight w:val="none"/>
              </w:rPr>
            </w:pPr>
            <w:r>
              <w:rPr>
                <w:color w:val="auto"/>
                <w:highlight w:val="none"/>
              </w:rPr>
              <w:t>本项目不属于落后产能、过剩产能、高耗能高排放项目。</w:t>
            </w:r>
          </w:p>
        </w:tc>
        <w:tc>
          <w:tcPr>
            <w:tcW w:w="672" w:type="pct"/>
            <w:vAlign w:val="center"/>
          </w:tcPr>
          <w:p w14:paraId="7FB9F7C4">
            <w:pPr>
              <w:pStyle w:val="37"/>
              <w:adjustRightInd w:val="0"/>
              <w:rPr>
                <w:color w:val="auto"/>
                <w:highlight w:val="none"/>
              </w:rPr>
            </w:pPr>
            <w:r>
              <w:rPr>
                <w:color w:val="auto"/>
                <w:highlight w:val="none"/>
              </w:rPr>
              <w:t>符合</w:t>
            </w:r>
          </w:p>
        </w:tc>
      </w:tr>
    </w:tbl>
    <w:p w14:paraId="20DF0629">
      <w:pPr>
        <w:adjustRightInd w:val="0"/>
        <w:ind w:firstLine="480"/>
        <w:rPr>
          <w:rFonts w:cs="Times New Roman"/>
          <w:color w:val="auto"/>
          <w:highlight w:val="none"/>
        </w:rPr>
      </w:pPr>
      <w:r>
        <w:rPr>
          <w:rFonts w:cs="Times New Roman"/>
          <w:color w:val="auto"/>
          <w:highlight w:val="none"/>
        </w:rPr>
        <w:t>本项目与《长江经济带生态环境保护规划》（环规财〔2017〕88号）的符合性分析见下表。</w:t>
      </w:r>
    </w:p>
    <w:p w14:paraId="26FC039A">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项目与《长江经济带生态环境保护规划》的符合性分析</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2"/>
        <w:gridCol w:w="2475"/>
        <w:gridCol w:w="950"/>
      </w:tblGrid>
      <w:tr w14:paraId="48C6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89" w:type="pct"/>
            <w:vAlign w:val="center"/>
          </w:tcPr>
          <w:p w14:paraId="2D22E0F8">
            <w:pPr>
              <w:pStyle w:val="37"/>
              <w:adjustRightInd w:val="0"/>
              <w:rPr>
                <w:b/>
                <w:bCs/>
                <w:color w:val="auto"/>
                <w:highlight w:val="none"/>
              </w:rPr>
            </w:pPr>
            <w:r>
              <w:rPr>
                <w:b/>
                <w:bCs/>
                <w:color w:val="auto"/>
                <w:highlight w:val="none"/>
              </w:rPr>
              <w:t>主要内容</w:t>
            </w:r>
          </w:p>
        </w:tc>
        <w:tc>
          <w:tcPr>
            <w:tcW w:w="1453" w:type="pct"/>
            <w:vAlign w:val="center"/>
          </w:tcPr>
          <w:p w14:paraId="2E1D6283">
            <w:pPr>
              <w:pStyle w:val="37"/>
              <w:adjustRightInd w:val="0"/>
              <w:rPr>
                <w:b/>
                <w:bCs/>
                <w:color w:val="auto"/>
                <w:highlight w:val="none"/>
              </w:rPr>
            </w:pPr>
            <w:r>
              <w:rPr>
                <w:b/>
                <w:bCs/>
                <w:color w:val="auto"/>
                <w:highlight w:val="none"/>
              </w:rPr>
              <w:t>本项目情况</w:t>
            </w:r>
          </w:p>
        </w:tc>
        <w:tc>
          <w:tcPr>
            <w:tcW w:w="558" w:type="pct"/>
            <w:vAlign w:val="center"/>
          </w:tcPr>
          <w:p w14:paraId="3858FBF4">
            <w:pPr>
              <w:pStyle w:val="37"/>
              <w:adjustRightInd w:val="0"/>
              <w:rPr>
                <w:b/>
                <w:bCs/>
                <w:color w:val="auto"/>
                <w:highlight w:val="none"/>
              </w:rPr>
            </w:pPr>
            <w:r>
              <w:rPr>
                <w:b/>
                <w:bCs/>
                <w:color w:val="auto"/>
                <w:highlight w:val="none"/>
              </w:rPr>
              <w:t>符合性</w:t>
            </w:r>
          </w:p>
        </w:tc>
      </w:tr>
      <w:tr w14:paraId="4A84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jc w:val="center"/>
        </w:trPr>
        <w:tc>
          <w:tcPr>
            <w:tcW w:w="2989" w:type="pct"/>
            <w:vAlign w:val="center"/>
          </w:tcPr>
          <w:p w14:paraId="0625F36B">
            <w:pPr>
              <w:pStyle w:val="37"/>
              <w:adjustRightInd w:val="0"/>
              <w:jc w:val="both"/>
              <w:rPr>
                <w:color w:val="auto"/>
                <w:highlight w:val="none"/>
              </w:rPr>
            </w:pPr>
            <w:r>
              <w:rPr>
                <w:color w:val="auto"/>
                <w:highlight w:val="none"/>
              </w:rPr>
              <w:t>治理岷江、沱江流域总磷污染。以成都、乐山、眉山、绵阳、德阳等为重点，实施总磷污染综合治理。开展区域内涉磷小企业专项整治，加强磷化工等涉磷企业废水排放监管，执行水污染物特别排放限值。实施总磷超标控制单元新建涉磷项目倍量削减替代。关闭生产能力小于50万吨/年的小磷矿，开展磷石膏、磷渣仓储标准化管理，推进磷石膏综合利用。提升成都、泸州、资阳、绵阳、自贡城镇污水处理设施总磷削减能力。加强阿坝州理县、凉山州美姑县等地区污水处理设施建设。重点治理成都、眉山、德阳、自贡等地区规模化畜禽养殖场（小区）。</w:t>
            </w:r>
          </w:p>
        </w:tc>
        <w:tc>
          <w:tcPr>
            <w:tcW w:w="1453" w:type="pct"/>
            <w:vAlign w:val="center"/>
          </w:tcPr>
          <w:p w14:paraId="78F811CE">
            <w:pPr>
              <w:pStyle w:val="37"/>
              <w:adjustRightInd w:val="0"/>
              <w:rPr>
                <w:color w:val="auto"/>
                <w:highlight w:val="none"/>
              </w:rPr>
            </w:pPr>
            <w:r>
              <w:rPr>
                <w:color w:val="auto"/>
                <w:highlight w:val="none"/>
              </w:rPr>
              <w:t>本项目不属于涉磷企业。本项目生活污水</w:t>
            </w:r>
            <w:r>
              <w:rPr>
                <w:rFonts w:hint="eastAsia"/>
                <w:color w:val="auto"/>
                <w:highlight w:val="none"/>
              </w:rPr>
              <w:t>（含食堂废水）</w:t>
            </w:r>
            <w:r>
              <w:rPr>
                <w:color w:val="auto"/>
                <w:highlight w:val="none"/>
              </w:rPr>
              <w:t>排放至园区污水处理厂（乐山沙湾经济开发区污水处理厂），执行《四川省岷江、沱江流域水污染物排放标准》（DB51 /2311-2016），本项目生产废水不外排。</w:t>
            </w:r>
          </w:p>
        </w:tc>
        <w:tc>
          <w:tcPr>
            <w:tcW w:w="558" w:type="pct"/>
            <w:vAlign w:val="center"/>
          </w:tcPr>
          <w:p w14:paraId="5FD0060B">
            <w:pPr>
              <w:pStyle w:val="37"/>
              <w:adjustRightInd w:val="0"/>
              <w:rPr>
                <w:color w:val="auto"/>
                <w:highlight w:val="none"/>
              </w:rPr>
            </w:pPr>
            <w:r>
              <w:rPr>
                <w:color w:val="auto"/>
                <w:highlight w:val="none"/>
              </w:rPr>
              <w:t>符合</w:t>
            </w:r>
          </w:p>
        </w:tc>
      </w:tr>
      <w:tr w14:paraId="79466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89" w:type="pct"/>
            <w:vAlign w:val="center"/>
          </w:tcPr>
          <w:p w14:paraId="60892B57">
            <w:pPr>
              <w:pStyle w:val="37"/>
              <w:adjustRightInd w:val="0"/>
              <w:jc w:val="both"/>
              <w:rPr>
                <w:color w:val="auto"/>
                <w:highlight w:val="none"/>
              </w:rPr>
            </w:pPr>
            <w:r>
              <w:rPr>
                <w:color w:val="auto"/>
                <w:highlight w:val="none"/>
              </w:rPr>
              <w:t>实施城市空气质量达标计划。全面推进长江经济带126个地级及以上城市空气质量限期达标工作，已达标城市空气质量进一步巩固，未达标城市要制定并实施分阶段达标计划。完善大气污染物排放总量控制制度，加强二氧化硫、氮氧化物、烟粉尘、挥发性有机物等主要污染物综合防治。地级及以上城市建成区基本淘汰10蒸吨以下燃煤锅炉，完成35蒸吨及以上燃煤锅炉脱硫脱硝除尘改造、钢铁行业烧结机脱硫改造、水泥行业脱硝改造、平板玻璃天然气燃料替代及脱硝改造。实施燃煤电厂超低排放改造工程和清洁柴油机行动计划。实施石化、化工、工业涂装、包装印刷、油品储运销、机动车等重点行业挥发性有机物综合整治工程。强化机动车尾气治理，优先发展公共交通，鼓励发展天然气汽车，加快推广使用新能源汽车。</w:t>
            </w:r>
          </w:p>
        </w:tc>
        <w:tc>
          <w:tcPr>
            <w:tcW w:w="1453" w:type="pct"/>
            <w:vAlign w:val="center"/>
          </w:tcPr>
          <w:p w14:paraId="0950A178">
            <w:pPr>
              <w:pStyle w:val="37"/>
              <w:adjustRightInd w:val="0"/>
              <w:rPr>
                <w:color w:val="auto"/>
                <w:highlight w:val="none"/>
              </w:rPr>
            </w:pPr>
            <w:r>
              <w:rPr>
                <w:color w:val="auto"/>
                <w:highlight w:val="none"/>
              </w:rPr>
              <w:t>本项目严格落实减排计划。本项目不涉及燃煤锅炉，本项目不涉及挥发性有机物。</w:t>
            </w:r>
          </w:p>
        </w:tc>
        <w:tc>
          <w:tcPr>
            <w:tcW w:w="558" w:type="pct"/>
            <w:vAlign w:val="center"/>
          </w:tcPr>
          <w:p w14:paraId="754F2B8B">
            <w:pPr>
              <w:pStyle w:val="37"/>
              <w:adjustRightInd w:val="0"/>
              <w:rPr>
                <w:color w:val="auto"/>
                <w:highlight w:val="none"/>
              </w:rPr>
            </w:pPr>
            <w:r>
              <w:rPr>
                <w:color w:val="auto"/>
                <w:highlight w:val="none"/>
              </w:rPr>
              <w:t>符合</w:t>
            </w:r>
          </w:p>
        </w:tc>
      </w:tr>
      <w:tr w14:paraId="1907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89" w:type="pct"/>
            <w:vAlign w:val="center"/>
          </w:tcPr>
          <w:p w14:paraId="1C088BD9">
            <w:pPr>
              <w:pStyle w:val="37"/>
              <w:adjustRightInd w:val="0"/>
              <w:jc w:val="both"/>
              <w:rPr>
                <w:color w:val="auto"/>
                <w:highlight w:val="none"/>
              </w:rPr>
            </w:pPr>
            <w:r>
              <w:rPr>
                <w:color w:val="auto"/>
                <w:highlight w:val="none"/>
              </w:rPr>
              <w:t>加强环境应急预案编制与备案管理。在不同行业、不同领域定期开展预案评估，筛选一批环境应急预案并推广示范。沿江涉危涉重企业完成基于环境风险评估的应急预案修编，开展电子化备案试点。以集中式饮用水水源为重点，推动跨省界突发水环境事件应急预案编制。2018年底前，完成长江干流县级及以上集中式饮用水水源和沿江沿岸化工园区突发环境事件应急预案备案。开展政府突发环境事件应急预案修编，2018年底前，完成地级及以上政府预案修编，完善各省市辐射事故应急预案，并实施动态管理。</w:t>
            </w:r>
          </w:p>
        </w:tc>
        <w:tc>
          <w:tcPr>
            <w:tcW w:w="1453" w:type="pct"/>
            <w:vAlign w:val="center"/>
          </w:tcPr>
          <w:p w14:paraId="0EE9D67B">
            <w:pPr>
              <w:pStyle w:val="37"/>
              <w:adjustRightInd w:val="0"/>
              <w:rPr>
                <w:color w:val="auto"/>
                <w:highlight w:val="none"/>
              </w:rPr>
            </w:pPr>
            <w:r>
              <w:rPr>
                <w:rFonts w:hint="eastAsia"/>
                <w:color w:val="auto"/>
                <w:highlight w:val="none"/>
              </w:rPr>
              <w:t>根据，《四川省突发环境事件应急预案备案行业名录》（2022年版），</w:t>
            </w:r>
            <w:r>
              <w:rPr>
                <w:color w:val="auto"/>
                <w:highlight w:val="none"/>
              </w:rPr>
              <w:t>本次评价要求企业编制突发环境事件应急预案。</w:t>
            </w:r>
          </w:p>
        </w:tc>
        <w:tc>
          <w:tcPr>
            <w:tcW w:w="558" w:type="pct"/>
            <w:vAlign w:val="center"/>
          </w:tcPr>
          <w:p w14:paraId="3BD5ED92">
            <w:pPr>
              <w:pStyle w:val="37"/>
              <w:adjustRightInd w:val="0"/>
              <w:rPr>
                <w:color w:val="auto"/>
                <w:highlight w:val="none"/>
              </w:rPr>
            </w:pPr>
            <w:r>
              <w:rPr>
                <w:color w:val="auto"/>
                <w:highlight w:val="none"/>
              </w:rPr>
              <w:t>符合</w:t>
            </w:r>
          </w:p>
        </w:tc>
      </w:tr>
    </w:tbl>
    <w:p w14:paraId="5E12DC7E">
      <w:pPr>
        <w:adjustRightInd w:val="0"/>
        <w:ind w:firstLine="480"/>
        <w:rPr>
          <w:rFonts w:cs="Times New Roman"/>
          <w:color w:val="auto"/>
          <w:highlight w:val="none"/>
        </w:rPr>
      </w:pPr>
      <w:r>
        <w:rPr>
          <w:rFonts w:cs="Times New Roman"/>
          <w:color w:val="auto"/>
          <w:highlight w:val="none"/>
        </w:rPr>
        <w:t>四川省推动长江经济带发展领导小组办公室、重庆市推动长江经济带发展领导小组办公室于2022年8月25日印发《四川省、重庆市长江经济带发展负面清单实施细则（试行，2022年版）》（川长江办〔2022〕17号），本项目与其符合性分析如下。</w:t>
      </w:r>
    </w:p>
    <w:p w14:paraId="14A1B8B3">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项目与《四川省、重庆市长江经济带发展负面清单实施细则（试行，2022年版）》的符合性分析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8"/>
        <w:gridCol w:w="3107"/>
        <w:gridCol w:w="1037"/>
      </w:tblGrid>
      <w:tr w14:paraId="641E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68" w:type="pct"/>
            <w:vAlign w:val="center"/>
          </w:tcPr>
          <w:p w14:paraId="1B376639">
            <w:pPr>
              <w:pStyle w:val="37"/>
              <w:adjustRightInd w:val="0"/>
              <w:rPr>
                <w:b/>
                <w:bCs/>
                <w:color w:val="auto"/>
                <w:highlight w:val="none"/>
              </w:rPr>
            </w:pPr>
            <w:r>
              <w:rPr>
                <w:b/>
                <w:bCs/>
                <w:color w:val="auto"/>
                <w:highlight w:val="none"/>
              </w:rPr>
              <w:t>管控内容</w:t>
            </w:r>
          </w:p>
        </w:tc>
        <w:tc>
          <w:tcPr>
            <w:tcW w:w="1822" w:type="pct"/>
            <w:vAlign w:val="center"/>
          </w:tcPr>
          <w:p w14:paraId="37595F37">
            <w:pPr>
              <w:pStyle w:val="37"/>
              <w:adjustRightInd w:val="0"/>
              <w:rPr>
                <w:b/>
                <w:bCs/>
                <w:color w:val="auto"/>
                <w:highlight w:val="none"/>
              </w:rPr>
            </w:pPr>
            <w:r>
              <w:rPr>
                <w:b/>
                <w:bCs/>
                <w:color w:val="auto"/>
                <w:highlight w:val="none"/>
              </w:rPr>
              <w:t>本项目情况</w:t>
            </w:r>
          </w:p>
        </w:tc>
        <w:tc>
          <w:tcPr>
            <w:tcW w:w="608" w:type="pct"/>
            <w:vAlign w:val="center"/>
          </w:tcPr>
          <w:p w14:paraId="7AA697E5">
            <w:pPr>
              <w:pStyle w:val="37"/>
              <w:adjustRightInd w:val="0"/>
              <w:rPr>
                <w:b/>
                <w:bCs/>
                <w:color w:val="auto"/>
                <w:highlight w:val="none"/>
              </w:rPr>
            </w:pPr>
            <w:r>
              <w:rPr>
                <w:b/>
                <w:bCs/>
                <w:color w:val="auto"/>
                <w:highlight w:val="none"/>
              </w:rPr>
              <w:t>符合性</w:t>
            </w:r>
          </w:p>
        </w:tc>
      </w:tr>
      <w:tr w14:paraId="4BC5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72E50418">
            <w:pPr>
              <w:pStyle w:val="37"/>
              <w:adjustRightInd w:val="0"/>
              <w:jc w:val="both"/>
              <w:rPr>
                <w:color w:val="auto"/>
                <w:highlight w:val="none"/>
              </w:rPr>
            </w:pPr>
            <w:r>
              <w:rPr>
                <w:color w:val="auto"/>
                <w:highlight w:val="none"/>
              </w:rPr>
              <w:t>第五条 禁止新建、改建和扩建不符合全国港口布局规划，以及《四川省内河水运发展规划》《泸州—宜宾——乐山港口群布局规划》《重庆港总体规划（2035年）》等省级港口布局规划及市级港口总体规划的码头项目。</w:t>
            </w:r>
          </w:p>
        </w:tc>
        <w:tc>
          <w:tcPr>
            <w:tcW w:w="1822" w:type="pct"/>
            <w:vAlign w:val="center"/>
          </w:tcPr>
          <w:p w14:paraId="56DAF9AA">
            <w:pPr>
              <w:pStyle w:val="37"/>
              <w:adjustRightInd w:val="0"/>
              <w:rPr>
                <w:color w:val="auto"/>
                <w:highlight w:val="none"/>
              </w:rPr>
            </w:pPr>
            <w:r>
              <w:rPr>
                <w:color w:val="auto"/>
                <w:highlight w:val="none"/>
              </w:rPr>
              <w:t>本项目不涉及码头项目。</w:t>
            </w:r>
          </w:p>
        </w:tc>
        <w:tc>
          <w:tcPr>
            <w:tcW w:w="608" w:type="pct"/>
            <w:vAlign w:val="center"/>
          </w:tcPr>
          <w:p w14:paraId="29A8CCCB">
            <w:pPr>
              <w:pStyle w:val="37"/>
              <w:adjustRightInd w:val="0"/>
              <w:rPr>
                <w:color w:val="auto"/>
                <w:highlight w:val="none"/>
              </w:rPr>
            </w:pPr>
            <w:r>
              <w:rPr>
                <w:color w:val="auto"/>
                <w:highlight w:val="none"/>
              </w:rPr>
              <w:t>符合</w:t>
            </w:r>
          </w:p>
        </w:tc>
      </w:tr>
      <w:tr w14:paraId="694AA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6E012BE1">
            <w:pPr>
              <w:pStyle w:val="37"/>
              <w:adjustRightInd w:val="0"/>
              <w:jc w:val="both"/>
              <w:rPr>
                <w:color w:val="auto"/>
                <w:highlight w:val="none"/>
              </w:rPr>
            </w:pPr>
            <w:r>
              <w:rPr>
                <w:color w:val="auto"/>
                <w:highlight w:val="none"/>
              </w:rPr>
              <w:t>第六条 禁止新建、改建和扩建不符合《长江干线过江通道布局规划（2020—2035年）》的过长江通道项目（含桥梁、隧道），国家发展改革委同意过长江通道线位调整的除外。</w:t>
            </w:r>
          </w:p>
        </w:tc>
        <w:tc>
          <w:tcPr>
            <w:tcW w:w="1822" w:type="pct"/>
            <w:vAlign w:val="center"/>
          </w:tcPr>
          <w:p w14:paraId="3DFD39F2">
            <w:pPr>
              <w:pStyle w:val="37"/>
              <w:adjustRightInd w:val="0"/>
              <w:rPr>
                <w:color w:val="auto"/>
                <w:highlight w:val="none"/>
              </w:rPr>
            </w:pPr>
            <w:r>
              <w:rPr>
                <w:color w:val="auto"/>
                <w:highlight w:val="none"/>
              </w:rPr>
              <w:t>本项目不涉及过长江通道项目（含桥梁、隧道）。</w:t>
            </w:r>
          </w:p>
        </w:tc>
        <w:tc>
          <w:tcPr>
            <w:tcW w:w="608" w:type="pct"/>
            <w:vAlign w:val="center"/>
          </w:tcPr>
          <w:p w14:paraId="36A4BF46">
            <w:pPr>
              <w:pStyle w:val="37"/>
              <w:adjustRightInd w:val="0"/>
              <w:rPr>
                <w:color w:val="auto"/>
                <w:highlight w:val="none"/>
              </w:rPr>
            </w:pPr>
            <w:r>
              <w:rPr>
                <w:color w:val="auto"/>
                <w:highlight w:val="none"/>
              </w:rPr>
              <w:t>符合</w:t>
            </w:r>
          </w:p>
        </w:tc>
      </w:tr>
      <w:tr w14:paraId="370A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7051F7D5">
            <w:pPr>
              <w:pStyle w:val="37"/>
              <w:adjustRightInd w:val="0"/>
              <w:jc w:val="both"/>
              <w:rPr>
                <w:color w:val="auto"/>
                <w:highlight w:val="none"/>
              </w:rPr>
            </w:pPr>
            <w:r>
              <w:rPr>
                <w:color w:val="auto"/>
                <w:highlight w:val="none"/>
              </w:rPr>
              <w:t>第七条 禁止在自然保护区核心区、缓冲区的岸线和河段范围内投资建设旅游和生产经营项目。自然保护区的内部未分区的，依照核心区和缓冲区的规定管控。</w:t>
            </w:r>
          </w:p>
        </w:tc>
        <w:tc>
          <w:tcPr>
            <w:tcW w:w="1822" w:type="pct"/>
            <w:vAlign w:val="center"/>
          </w:tcPr>
          <w:p w14:paraId="139DACA7">
            <w:pPr>
              <w:pStyle w:val="37"/>
              <w:adjustRightInd w:val="0"/>
              <w:rPr>
                <w:color w:val="auto"/>
                <w:highlight w:val="none"/>
              </w:rPr>
            </w:pPr>
            <w:r>
              <w:rPr>
                <w:color w:val="auto"/>
                <w:highlight w:val="none"/>
              </w:rPr>
              <w:t>本项目建设位于</w:t>
            </w:r>
            <w:r>
              <w:rPr>
                <w:rFonts w:hint="eastAsia"/>
                <w:color w:val="auto"/>
                <w:highlight w:val="none"/>
              </w:rPr>
              <w:t>四川乐山沙湾经济开发区（</w:t>
            </w:r>
            <w:r>
              <w:rPr>
                <w:color w:val="auto"/>
                <w:highlight w:val="none"/>
              </w:rPr>
              <w:t>工业园区</w:t>
            </w:r>
            <w:r>
              <w:rPr>
                <w:rFonts w:hint="eastAsia"/>
                <w:color w:val="auto"/>
                <w:highlight w:val="none"/>
              </w:rPr>
              <w:t>）</w:t>
            </w:r>
            <w:r>
              <w:rPr>
                <w:color w:val="auto"/>
                <w:highlight w:val="none"/>
              </w:rPr>
              <w:t>，不涉及自然保护区核心区、缓冲区的岸线和河段。</w:t>
            </w:r>
          </w:p>
        </w:tc>
        <w:tc>
          <w:tcPr>
            <w:tcW w:w="608" w:type="pct"/>
            <w:vAlign w:val="center"/>
          </w:tcPr>
          <w:p w14:paraId="22F54954">
            <w:pPr>
              <w:pStyle w:val="37"/>
              <w:adjustRightInd w:val="0"/>
              <w:rPr>
                <w:color w:val="auto"/>
                <w:highlight w:val="none"/>
              </w:rPr>
            </w:pPr>
            <w:r>
              <w:rPr>
                <w:color w:val="auto"/>
                <w:highlight w:val="none"/>
              </w:rPr>
              <w:t>符合</w:t>
            </w:r>
          </w:p>
        </w:tc>
      </w:tr>
      <w:tr w14:paraId="668B2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365A44EF">
            <w:pPr>
              <w:pStyle w:val="37"/>
              <w:adjustRightInd w:val="0"/>
              <w:jc w:val="both"/>
              <w:rPr>
                <w:color w:val="auto"/>
                <w:highlight w:val="none"/>
              </w:rPr>
            </w:pPr>
            <w:r>
              <w:rPr>
                <w:color w:val="auto"/>
                <w:highlight w:val="none"/>
              </w:rPr>
              <w:t>第八条 禁止违反风景名胜区规划，在风景名胜区内设立各类开发区。禁止在风景名胜区核心景区的岸线和河段范围内建设宾馆、招待所、培训中心、疗养院以及与风景名胜资源保护无关的项目。</w:t>
            </w:r>
          </w:p>
        </w:tc>
        <w:tc>
          <w:tcPr>
            <w:tcW w:w="1822" w:type="pct"/>
            <w:vAlign w:val="center"/>
          </w:tcPr>
          <w:p w14:paraId="4013663B">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，不涉及风景名胜区，不涉及风景名胜区核心景区的岸线和河段。</w:t>
            </w:r>
          </w:p>
        </w:tc>
        <w:tc>
          <w:tcPr>
            <w:tcW w:w="608" w:type="pct"/>
            <w:vAlign w:val="center"/>
          </w:tcPr>
          <w:p w14:paraId="4345C45E">
            <w:pPr>
              <w:pStyle w:val="37"/>
              <w:adjustRightInd w:val="0"/>
              <w:rPr>
                <w:color w:val="auto"/>
                <w:highlight w:val="none"/>
              </w:rPr>
            </w:pPr>
            <w:r>
              <w:rPr>
                <w:color w:val="auto"/>
                <w:highlight w:val="none"/>
              </w:rPr>
              <w:t>符合</w:t>
            </w:r>
          </w:p>
        </w:tc>
      </w:tr>
      <w:tr w14:paraId="60233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03BC8967">
            <w:pPr>
              <w:pStyle w:val="37"/>
              <w:adjustRightInd w:val="0"/>
              <w:jc w:val="both"/>
              <w:rPr>
                <w:color w:val="auto"/>
                <w:highlight w:val="none"/>
              </w:rPr>
            </w:pPr>
            <w:r>
              <w:rPr>
                <w:color w:val="auto"/>
                <w:highlight w:val="none"/>
              </w:rPr>
              <w:t>第九条 禁止在饮用水水源准保护区的岸线和河段范围内新建、扩建对水体污染严重的建设项目，禁止改建增加排污量的建设项目。</w:t>
            </w:r>
          </w:p>
        </w:tc>
        <w:tc>
          <w:tcPr>
            <w:tcW w:w="1822" w:type="pct"/>
            <w:vAlign w:val="center"/>
          </w:tcPr>
          <w:p w14:paraId="72EFF5C1">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，不属于饮用水水源准保护区的岸线和河段范围内。</w:t>
            </w:r>
          </w:p>
        </w:tc>
        <w:tc>
          <w:tcPr>
            <w:tcW w:w="608" w:type="pct"/>
            <w:vAlign w:val="center"/>
          </w:tcPr>
          <w:p w14:paraId="7AB3D5EF">
            <w:pPr>
              <w:pStyle w:val="37"/>
              <w:adjustRightInd w:val="0"/>
              <w:rPr>
                <w:color w:val="auto"/>
                <w:highlight w:val="none"/>
              </w:rPr>
            </w:pPr>
            <w:r>
              <w:rPr>
                <w:color w:val="auto"/>
                <w:highlight w:val="none"/>
              </w:rPr>
              <w:t>符合</w:t>
            </w:r>
          </w:p>
        </w:tc>
      </w:tr>
      <w:tr w14:paraId="438F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41EF8088">
            <w:pPr>
              <w:pStyle w:val="37"/>
              <w:adjustRightInd w:val="0"/>
              <w:jc w:val="both"/>
              <w:rPr>
                <w:color w:val="auto"/>
                <w:highlight w:val="none"/>
              </w:rPr>
            </w:pPr>
            <w:r>
              <w:rPr>
                <w:color w:val="auto"/>
                <w:highlight w:val="none"/>
              </w:rPr>
              <w:t>第十条 饮用水水源二级保护区的岸线和河段范围内，除遵守准保护区规定外，禁止新建、改建、扩建排放污染物的投资建设项目；禁止从事对水体有污染的水产养殖等活动。</w:t>
            </w:r>
          </w:p>
        </w:tc>
        <w:tc>
          <w:tcPr>
            <w:tcW w:w="1822" w:type="pct"/>
            <w:vAlign w:val="center"/>
          </w:tcPr>
          <w:p w14:paraId="1C22B0AF">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，不属于饮用水水源二级保护区的岸线和河段范围内；项目建设不涉及水产养殖等活动。</w:t>
            </w:r>
          </w:p>
        </w:tc>
        <w:tc>
          <w:tcPr>
            <w:tcW w:w="608" w:type="pct"/>
            <w:vAlign w:val="center"/>
          </w:tcPr>
          <w:p w14:paraId="79E0E3CA">
            <w:pPr>
              <w:pStyle w:val="37"/>
              <w:adjustRightInd w:val="0"/>
              <w:rPr>
                <w:color w:val="auto"/>
                <w:highlight w:val="none"/>
              </w:rPr>
            </w:pPr>
            <w:r>
              <w:rPr>
                <w:color w:val="auto"/>
                <w:highlight w:val="none"/>
              </w:rPr>
              <w:t>符合</w:t>
            </w:r>
          </w:p>
        </w:tc>
      </w:tr>
      <w:tr w14:paraId="1BFC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7D08EF3D">
            <w:pPr>
              <w:pStyle w:val="37"/>
              <w:adjustRightInd w:val="0"/>
              <w:jc w:val="both"/>
              <w:rPr>
                <w:color w:val="auto"/>
                <w:highlight w:val="none"/>
              </w:rPr>
            </w:pPr>
            <w:r>
              <w:rPr>
                <w:color w:val="auto"/>
                <w:highlight w:val="none"/>
              </w:rPr>
              <w:t>第十一条 饮用水水源一级保护区的岸线和河段范围内，除遵守二级保护区规定外，禁止新建、改建、扩建与供水设施和保护水源无关的项目，以及网箱养殖、畜禽养殖、旅游等可能污染饮用水水体的投资建设项目。</w:t>
            </w:r>
          </w:p>
        </w:tc>
        <w:tc>
          <w:tcPr>
            <w:tcW w:w="1822" w:type="pct"/>
            <w:vAlign w:val="center"/>
          </w:tcPr>
          <w:p w14:paraId="5ACEE71A">
            <w:pPr>
              <w:pStyle w:val="37"/>
              <w:adjustRightInd w:val="0"/>
              <w:rPr>
                <w:color w:val="auto"/>
                <w:highlight w:val="none"/>
              </w:rPr>
            </w:pPr>
            <w:r>
              <w:rPr>
                <w:color w:val="auto"/>
                <w:highlight w:val="none"/>
              </w:rPr>
              <w:t>厂界外东南侧12</w:t>
            </w:r>
            <w:r>
              <w:rPr>
                <w:rFonts w:hint="eastAsia"/>
                <w:color w:val="auto"/>
                <w:highlight w:val="none"/>
              </w:rPr>
              <w:t>59</w:t>
            </w:r>
            <w:r>
              <w:rPr>
                <w:color w:val="auto"/>
                <w:highlight w:val="none"/>
              </w:rPr>
              <w:t>m为乐山市大渡河安谷电站库区集中式饮用水水源保护区（厂界外东南侧约18</w:t>
            </w:r>
            <w:r>
              <w:rPr>
                <w:rFonts w:hint="eastAsia"/>
                <w:color w:val="auto"/>
                <w:highlight w:val="none"/>
              </w:rPr>
              <w:t>15</w:t>
            </w:r>
            <w:r>
              <w:rPr>
                <w:color w:val="auto"/>
                <w:highlight w:val="none"/>
              </w:rPr>
              <w:t>m为乐山市大渡河安谷电站库区集中式饮用水水源保护区取水口）。</w:t>
            </w:r>
          </w:p>
          <w:p w14:paraId="4E84B8AC">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，不属于饮用水水源一级保护区的岸线和河段范围内。</w:t>
            </w:r>
          </w:p>
        </w:tc>
        <w:tc>
          <w:tcPr>
            <w:tcW w:w="608" w:type="pct"/>
            <w:vAlign w:val="center"/>
          </w:tcPr>
          <w:p w14:paraId="54AD6B5C">
            <w:pPr>
              <w:pStyle w:val="37"/>
              <w:adjustRightInd w:val="0"/>
              <w:rPr>
                <w:color w:val="auto"/>
                <w:highlight w:val="none"/>
              </w:rPr>
            </w:pPr>
            <w:r>
              <w:rPr>
                <w:color w:val="auto"/>
                <w:highlight w:val="none"/>
              </w:rPr>
              <w:t>符合</w:t>
            </w:r>
          </w:p>
        </w:tc>
      </w:tr>
      <w:tr w14:paraId="14A0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4334BDF5">
            <w:pPr>
              <w:pStyle w:val="37"/>
              <w:adjustRightInd w:val="0"/>
              <w:jc w:val="both"/>
              <w:rPr>
                <w:color w:val="auto"/>
                <w:highlight w:val="none"/>
              </w:rPr>
            </w:pPr>
            <w:r>
              <w:rPr>
                <w:color w:val="auto"/>
                <w:highlight w:val="none"/>
              </w:rPr>
              <w:t>第十二条 禁止在水产种质资源保护区岸线和河段范围内新建围湖造田、围湖造地或挖沙采石等投资建设项目。</w:t>
            </w:r>
          </w:p>
        </w:tc>
        <w:tc>
          <w:tcPr>
            <w:tcW w:w="1822" w:type="pct"/>
            <w:vAlign w:val="center"/>
          </w:tcPr>
          <w:p w14:paraId="59683A24">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，不涉及水产种质资源保护区岸线和河段。</w:t>
            </w:r>
          </w:p>
        </w:tc>
        <w:tc>
          <w:tcPr>
            <w:tcW w:w="608" w:type="pct"/>
            <w:vAlign w:val="center"/>
          </w:tcPr>
          <w:p w14:paraId="0E8B64A0">
            <w:pPr>
              <w:pStyle w:val="37"/>
              <w:adjustRightInd w:val="0"/>
              <w:rPr>
                <w:color w:val="auto"/>
                <w:highlight w:val="none"/>
              </w:rPr>
            </w:pPr>
            <w:r>
              <w:rPr>
                <w:color w:val="auto"/>
                <w:highlight w:val="none"/>
              </w:rPr>
              <w:t>符合</w:t>
            </w:r>
          </w:p>
        </w:tc>
      </w:tr>
      <w:tr w14:paraId="2F8B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5CA05DA1">
            <w:pPr>
              <w:pStyle w:val="37"/>
              <w:adjustRightInd w:val="0"/>
              <w:jc w:val="both"/>
              <w:rPr>
                <w:color w:val="auto"/>
                <w:highlight w:val="none"/>
              </w:rPr>
            </w:pPr>
            <w:r>
              <w:rPr>
                <w:color w:val="auto"/>
                <w:highlight w:val="none"/>
              </w:rPr>
              <w:t>第十三条 禁止在国家湿地公园的岸线和河段范围内开（围）垦、填埋或者排干湿地，截断湿地水源，挖沙、采矿，倾倒有毒有害物质、废弃物、垃圾，从事房地产、度假村、高尔夫球场、风力发电、光伏发电等任何不符合主体功能定位的建设项目和开发活动，破坏野生动物栖息地和迁徙通道、鱼类洄游通道。</w:t>
            </w:r>
          </w:p>
        </w:tc>
        <w:tc>
          <w:tcPr>
            <w:tcW w:w="1822" w:type="pct"/>
            <w:vAlign w:val="center"/>
          </w:tcPr>
          <w:p w14:paraId="0F34CD85">
            <w:pPr>
              <w:pStyle w:val="37"/>
              <w:adjustRightInd w:val="0"/>
              <w:rPr>
                <w:color w:val="auto"/>
                <w:highlight w:val="none"/>
              </w:rPr>
            </w:pPr>
            <w:r>
              <w:rPr>
                <w:color w:val="auto"/>
                <w:highlight w:val="none"/>
              </w:rPr>
              <w:t>本项目建设位于</w:t>
            </w:r>
            <w:r>
              <w:rPr>
                <w:rFonts w:hint="eastAsia"/>
                <w:color w:val="auto"/>
                <w:highlight w:val="none"/>
              </w:rPr>
              <w:t>四川乐山沙湾经济开发区（工业园区）</w:t>
            </w:r>
            <w:r>
              <w:rPr>
                <w:color w:val="auto"/>
                <w:highlight w:val="none"/>
              </w:rPr>
              <w:t>，不涉及国家湿地公园的岸线和河段。</w:t>
            </w:r>
          </w:p>
        </w:tc>
        <w:tc>
          <w:tcPr>
            <w:tcW w:w="608" w:type="pct"/>
            <w:vAlign w:val="center"/>
          </w:tcPr>
          <w:p w14:paraId="77BD2D99">
            <w:pPr>
              <w:pStyle w:val="37"/>
              <w:adjustRightInd w:val="0"/>
              <w:rPr>
                <w:color w:val="auto"/>
                <w:highlight w:val="none"/>
              </w:rPr>
            </w:pPr>
            <w:r>
              <w:rPr>
                <w:color w:val="auto"/>
                <w:highlight w:val="none"/>
              </w:rPr>
              <w:t>符合</w:t>
            </w:r>
          </w:p>
        </w:tc>
      </w:tr>
      <w:tr w14:paraId="57A4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8" w:type="pct"/>
            <w:vAlign w:val="center"/>
          </w:tcPr>
          <w:p w14:paraId="099547E5">
            <w:pPr>
              <w:pStyle w:val="37"/>
              <w:adjustRightInd w:val="0"/>
              <w:jc w:val="both"/>
              <w:rPr>
                <w:color w:val="auto"/>
                <w:highlight w:val="none"/>
              </w:rPr>
            </w:pPr>
            <w:r>
              <w:rPr>
                <w:color w:val="auto"/>
                <w:highlight w:val="none"/>
              </w:rPr>
              <w:t>第十四条 禁止违法利用、占用长江流域河湖岸线。禁止在《长江岸线保护和开发利用总体规划》划定的岸线保护区和岸线保留区内投资建设除事关公共安全及公众利益的防洪护岸、河道治理、供水、生态环境保护、航道整治、国家重要基础设施以外的项目。</w:t>
            </w:r>
          </w:p>
        </w:tc>
        <w:tc>
          <w:tcPr>
            <w:tcW w:w="1822" w:type="pct"/>
            <w:vAlign w:val="center"/>
          </w:tcPr>
          <w:p w14:paraId="3EF3DC55">
            <w:pPr>
              <w:pStyle w:val="37"/>
              <w:adjustRightInd w:val="0"/>
              <w:rPr>
                <w:color w:val="auto"/>
                <w:highlight w:val="none"/>
              </w:rPr>
            </w:pPr>
            <w:r>
              <w:rPr>
                <w:color w:val="auto"/>
                <w:highlight w:val="none"/>
              </w:rPr>
              <w:t>本项目建设未占用长江流域河湖岸线，不属于《长江岸线保护和开发利用总体规划》划定的岸线保护区和岸线保留区内。</w:t>
            </w:r>
          </w:p>
        </w:tc>
        <w:tc>
          <w:tcPr>
            <w:tcW w:w="608" w:type="pct"/>
            <w:vAlign w:val="center"/>
          </w:tcPr>
          <w:p w14:paraId="2C586EF0">
            <w:pPr>
              <w:pStyle w:val="37"/>
              <w:adjustRightInd w:val="0"/>
              <w:rPr>
                <w:color w:val="auto"/>
                <w:highlight w:val="none"/>
              </w:rPr>
            </w:pPr>
            <w:r>
              <w:rPr>
                <w:color w:val="auto"/>
                <w:highlight w:val="none"/>
              </w:rPr>
              <w:t>符合</w:t>
            </w:r>
          </w:p>
        </w:tc>
      </w:tr>
      <w:tr w14:paraId="52E7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667FD435">
            <w:pPr>
              <w:pStyle w:val="37"/>
              <w:adjustRightInd w:val="0"/>
              <w:jc w:val="both"/>
              <w:rPr>
                <w:color w:val="auto"/>
                <w:highlight w:val="none"/>
              </w:rPr>
            </w:pPr>
            <w:r>
              <w:rPr>
                <w:color w:val="auto"/>
                <w:highlight w:val="none"/>
              </w:rPr>
              <w:t>第十五条 禁止在《全国重要江河湖泊水功能区划》划定的河段及湖泊保护区、保留区内投资建设不利于水资源及自然生态保护的项目。</w:t>
            </w:r>
          </w:p>
        </w:tc>
        <w:tc>
          <w:tcPr>
            <w:tcW w:w="1822" w:type="pct"/>
            <w:vAlign w:val="center"/>
          </w:tcPr>
          <w:p w14:paraId="50FCD3AA">
            <w:pPr>
              <w:pStyle w:val="37"/>
              <w:adjustRightInd w:val="0"/>
              <w:rPr>
                <w:color w:val="auto"/>
                <w:highlight w:val="none"/>
              </w:rPr>
            </w:pPr>
            <w:r>
              <w:rPr>
                <w:color w:val="auto"/>
                <w:highlight w:val="none"/>
              </w:rPr>
              <w:t>本项目所在地不属于《全国重要江河湖泊水功能区划》划定的河段及湖泊保护区、保留区。</w:t>
            </w:r>
          </w:p>
        </w:tc>
        <w:tc>
          <w:tcPr>
            <w:tcW w:w="608" w:type="pct"/>
            <w:vAlign w:val="center"/>
          </w:tcPr>
          <w:p w14:paraId="0E50F581">
            <w:pPr>
              <w:pStyle w:val="37"/>
              <w:adjustRightInd w:val="0"/>
              <w:rPr>
                <w:color w:val="auto"/>
                <w:highlight w:val="none"/>
              </w:rPr>
            </w:pPr>
            <w:r>
              <w:rPr>
                <w:color w:val="auto"/>
                <w:highlight w:val="none"/>
              </w:rPr>
              <w:t>符合</w:t>
            </w:r>
          </w:p>
        </w:tc>
      </w:tr>
      <w:tr w14:paraId="08308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06DF2371">
            <w:pPr>
              <w:pStyle w:val="37"/>
              <w:adjustRightInd w:val="0"/>
              <w:jc w:val="both"/>
              <w:rPr>
                <w:color w:val="auto"/>
                <w:highlight w:val="none"/>
              </w:rPr>
            </w:pPr>
            <w:r>
              <w:rPr>
                <w:color w:val="auto"/>
                <w:highlight w:val="none"/>
              </w:rPr>
              <w:t>第十六条 禁止在长江流域江河、湖泊新设、改设或者扩大排污口，经有管辖权的生态环境主管部门或者长江流域生态环境监督管理机构同意的除外。</w:t>
            </w:r>
          </w:p>
        </w:tc>
        <w:tc>
          <w:tcPr>
            <w:tcW w:w="1822" w:type="pct"/>
            <w:vAlign w:val="center"/>
          </w:tcPr>
          <w:p w14:paraId="395F5ACD">
            <w:pPr>
              <w:pStyle w:val="37"/>
              <w:adjustRightInd w:val="0"/>
              <w:rPr>
                <w:color w:val="auto"/>
                <w:highlight w:val="none"/>
              </w:rPr>
            </w:pPr>
            <w:r>
              <w:rPr>
                <w:color w:val="auto"/>
                <w:highlight w:val="none"/>
              </w:rPr>
              <w:t>本项目不涉及新设、改设或者扩大排污口。</w:t>
            </w:r>
          </w:p>
        </w:tc>
        <w:tc>
          <w:tcPr>
            <w:tcW w:w="608" w:type="pct"/>
            <w:vAlign w:val="center"/>
          </w:tcPr>
          <w:p w14:paraId="1A2B3F85">
            <w:pPr>
              <w:pStyle w:val="37"/>
              <w:adjustRightInd w:val="0"/>
              <w:rPr>
                <w:color w:val="auto"/>
                <w:highlight w:val="none"/>
              </w:rPr>
            </w:pPr>
            <w:r>
              <w:rPr>
                <w:color w:val="auto"/>
                <w:highlight w:val="none"/>
              </w:rPr>
              <w:t>符合</w:t>
            </w:r>
          </w:p>
        </w:tc>
      </w:tr>
      <w:tr w14:paraId="02643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4951C6AF">
            <w:pPr>
              <w:pStyle w:val="37"/>
              <w:adjustRightInd w:val="0"/>
              <w:jc w:val="both"/>
              <w:rPr>
                <w:color w:val="auto"/>
                <w:highlight w:val="none"/>
              </w:rPr>
            </w:pPr>
            <w:r>
              <w:rPr>
                <w:color w:val="auto"/>
                <w:highlight w:val="none"/>
              </w:rPr>
              <w:t>第十七条 禁止在长江干流、大渡河、岷江、赤水河、沱江、嘉陵江、乌江、汉江和51个（四川省45个、重庆市6个）水生生物保护区开展生产性捕捞。</w:t>
            </w:r>
          </w:p>
        </w:tc>
        <w:tc>
          <w:tcPr>
            <w:tcW w:w="1822" w:type="pct"/>
            <w:vAlign w:val="center"/>
          </w:tcPr>
          <w:p w14:paraId="6140042F">
            <w:pPr>
              <w:pStyle w:val="37"/>
              <w:adjustRightInd w:val="0"/>
              <w:rPr>
                <w:color w:val="auto"/>
                <w:highlight w:val="none"/>
              </w:rPr>
            </w:pPr>
            <w:r>
              <w:rPr>
                <w:color w:val="auto"/>
                <w:highlight w:val="none"/>
              </w:rPr>
              <w:t>本项目所在地不属于长江干流、大渡河、岷江、赤水河、沱江、嘉陵江、乌江、汉江和51个（四川省45个、重庆市6个）水生生物保护区，项目建设不涉及生产性捕捞。</w:t>
            </w:r>
          </w:p>
        </w:tc>
        <w:tc>
          <w:tcPr>
            <w:tcW w:w="608" w:type="pct"/>
            <w:vAlign w:val="center"/>
          </w:tcPr>
          <w:p w14:paraId="6FED6C64">
            <w:pPr>
              <w:pStyle w:val="37"/>
              <w:adjustRightInd w:val="0"/>
              <w:rPr>
                <w:color w:val="auto"/>
                <w:highlight w:val="none"/>
              </w:rPr>
            </w:pPr>
            <w:r>
              <w:rPr>
                <w:color w:val="auto"/>
                <w:highlight w:val="none"/>
              </w:rPr>
              <w:t>符合</w:t>
            </w:r>
          </w:p>
        </w:tc>
      </w:tr>
      <w:tr w14:paraId="34562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59EDAA52">
            <w:pPr>
              <w:pStyle w:val="37"/>
              <w:adjustRightInd w:val="0"/>
              <w:jc w:val="both"/>
              <w:rPr>
                <w:color w:val="auto"/>
                <w:highlight w:val="none"/>
              </w:rPr>
            </w:pPr>
            <w:r>
              <w:rPr>
                <w:color w:val="auto"/>
                <w:highlight w:val="none"/>
              </w:rPr>
              <w:t>第十八条 禁止在长江干支流、重要湖泊岸线一公里范围内新建、扩建化工园区和化工项目。</w:t>
            </w:r>
          </w:p>
        </w:tc>
        <w:tc>
          <w:tcPr>
            <w:tcW w:w="1822" w:type="pct"/>
            <w:vAlign w:val="center"/>
          </w:tcPr>
          <w:p w14:paraId="0DABFCA3">
            <w:pPr>
              <w:pStyle w:val="37"/>
              <w:adjustRightInd w:val="0"/>
              <w:rPr>
                <w:color w:val="auto"/>
                <w:highlight w:val="none"/>
              </w:rPr>
            </w:pPr>
            <w:r>
              <w:rPr>
                <w:color w:val="auto"/>
                <w:highlight w:val="none"/>
              </w:rPr>
              <w:t>本项目建设不属于化工园区和化工项目。</w:t>
            </w:r>
          </w:p>
        </w:tc>
        <w:tc>
          <w:tcPr>
            <w:tcW w:w="608" w:type="pct"/>
            <w:vAlign w:val="center"/>
          </w:tcPr>
          <w:p w14:paraId="1A07B276">
            <w:pPr>
              <w:pStyle w:val="37"/>
              <w:adjustRightInd w:val="0"/>
              <w:rPr>
                <w:color w:val="auto"/>
                <w:highlight w:val="none"/>
              </w:rPr>
            </w:pPr>
            <w:r>
              <w:rPr>
                <w:color w:val="auto"/>
                <w:highlight w:val="none"/>
              </w:rPr>
              <w:t>符合</w:t>
            </w:r>
          </w:p>
        </w:tc>
      </w:tr>
      <w:tr w14:paraId="3158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6896AA6D">
            <w:pPr>
              <w:pStyle w:val="37"/>
              <w:adjustRightInd w:val="0"/>
              <w:jc w:val="both"/>
              <w:rPr>
                <w:color w:val="auto"/>
                <w:highlight w:val="none"/>
              </w:rPr>
            </w:pPr>
            <w:r>
              <w:rPr>
                <w:color w:val="auto"/>
                <w:highlight w:val="none"/>
              </w:rPr>
              <w:t>第十九条 禁止在长江干流岸线三公里范围内和重要支流岸线一公里范围内新建、改建、扩建尾矿库、冶炼渣库、磷石膏库，以提升安全、生态环境保护水平为目的的改建除外。</w:t>
            </w:r>
          </w:p>
        </w:tc>
        <w:tc>
          <w:tcPr>
            <w:tcW w:w="1822" w:type="pct"/>
            <w:vAlign w:val="center"/>
          </w:tcPr>
          <w:p w14:paraId="771502AB">
            <w:pPr>
              <w:pStyle w:val="37"/>
              <w:adjustRightInd w:val="0"/>
              <w:rPr>
                <w:color w:val="auto"/>
                <w:highlight w:val="none"/>
              </w:rPr>
            </w:pPr>
            <w:r>
              <w:rPr>
                <w:color w:val="auto"/>
                <w:highlight w:val="none"/>
              </w:rPr>
              <w:t>本项目建设不属于尾矿库、冶炼渣库、磷石膏库。本项目尾矿</w:t>
            </w:r>
            <w:r>
              <w:rPr>
                <w:rFonts w:hint="eastAsia"/>
                <w:color w:val="auto"/>
                <w:highlight w:val="none"/>
              </w:rPr>
              <w:t>、黑砂</w:t>
            </w:r>
            <w:r>
              <w:rPr>
                <w:color w:val="auto"/>
                <w:highlight w:val="none"/>
              </w:rPr>
              <w:t>不长期暂存，尾矿</w:t>
            </w:r>
            <w:r>
              <w:rPr>
                <w:rFonts w:hint="eastAsia"/>
                <w:color w:val="auto"/>
                <w:highlight w:val="none"/>
              </w:rPr>
              <w:t>、黑砂</w:t>
            </w:r>
            <w:r>
              <w:rPr>
                <w:color w:val="auto"/>
                <w:highlight w:val="none"/>
              </w:rPr>
              <w:t>外售给</w:t>
            </w:r>
            <w:r>
              <w:rPr>
                <w:rFonts w:hint="eastAsia"/>
                <w:color w:val="auto"/>
                <w:highlight w:val="none"/>
              </w:rPr>
              <w:t>四川省米兰诺陶瓷有限公司、四川香莱尔陶瓷有限公司</w:t>
            </w:r>
            <w:r>
              <w:rPr>
                <w:color w:val="auto"/>
                <w:highlight w:val="none"/>
              </w:rPr>
              <w:t>作为原料使用</w:t>
            </w:r>
            <w:r>
              <w:rPr>
                <w:rFonts w:hint="eastAsia"/>
                <w:color w:val="auto"/>
                <w:highlight w:val="none"/>
              </w:rPr>
              <w:t>。</w:t>
            </w:r>
          </w:p>
        </w:tc>
        <w:tc>
          <w:tcPr>
            <w:tcW w:w="608" w:type="pct"/>
            <w:vAlign w:val="center"/>
          </w:tcPr>
          <w:p w14:paraId="7C14499C">
            <w:pPr>
              <w:pStyle w:val="37"/>
              <w:adjustRightInd w:val="0"/>
              <w:rPr>
                <w:color w:val="auto"/>
                <w:highlight w:val="none"/>
              </w:rPr>
            </w:pPr>
            <w:r>
              <w:rPr>
                <w:color w:val="auto"/>
                <w:highlight w:val="none"/>
              </w:rPr>
              <w:t>符合</w:t>
            </w:r>
          </w:p>
        </w:tc>
      </w:tr>
      <w:tr w14:paraId="182A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3C158180">
            <w:pPr>
              <w:pStyle w:val="37"/>
              <w:adjustRightInd w:val="0"/>
              <w:jc w:val="both"/>
              <w:rPr>
                <w:color w:val="auto"/>
                <w:highlight w:val="none"/>
              </w:rPr>
            </w:pPr>
            <w:r>
              <w:rPr>
                <w:color w:val="auto"/>
                <w:highlight w:val="none"/>
              </w:rPr>
              <w:t>第二十条 禁止在生态保护红线区域、永久基本农田集中区域和其他需要特别保护的区域内选址建设尾矿库、冶炼渣库、磷石膏库。</w:t>
            </w:r>
          </w:p>
        </w:tc>
        <w:tc>
          <w:tcPr>
            <w:tcW w:w="1822" w:type="pct"/>
            <w:vAlign w:val="center"/>
          </w:tcPr>
          <w:p w14:paraId="2015D9E1">
            <w:pPr>
              <w:pStyle w:val="37"/>
              <w:adjustRightInd w:val="0"/>
              <w:rPr>
                <w:color w:val="auto"/>
                <w:highlight w:val="none"/>
              </w:rPr>
            </w:pPr>
            <w:r>
              <w:rPr>
                <w:color w:val="auto"/>
                <w:highlight w:val="none"/>
              </w:rPr>
              <w:t>本项目所在地不涉及生态保护红线区域、永久基本农田集中区域和其他需要特别保护的区域内，项目建设不属于尾矿库、冶炼渣库、磷石膏库。本项目尾矿</w:t>
            </w:r>
            <w:r>
              <w:rPr>
                <w:rFonts w:hint="eastAsia"/>
                <w:color w:val="auto"/>
                <w:highlight w:val="none"/>
              </w:rPr>
              <w:t>、黑砂</w:t>
            </w:r>
            <w:r>
              <w:rPr>
                <w:color w:val="auto"/>
                <w:highlight w:val="none"/>
              </w:rPr>
              <w:t>不长期暂存，尾矿</w:t>
            </w:r>
            <w:r>
              <w:rPr>
                <w:rFonts w:hint="eastAsia"/>
                <w:color w:val="auto"/>
                <w:highlight w:val="none"/>
              </w:rPr>
              <w:t>、黑砂</w:t>
            </w:r>
            <w:r>
              <w:rPr>
                <w:color w:val="auto"/>
                <w:highlight w:val="none"/>
              </w:rPr>
              <w:t>外售给</w:t>
            </w:r>
            <w:r>
              <w:rPr>
                <w:rFonts w:hint="eastAsia"/>
                <w:color w:val="auto"/>
                <w:highlight w:val="none"/>
              </w:rPr>
              <w:t>四川省米兰诺陶瓷有限公司、四川香莱尔陶瓷有限公司</w:t>
            </w:r>
            <w:r>
              <w:rPr>
                <w:color w:val="auto"/>
                <w:highlight w:val="none"/>
              </w:rPr>
              <w:t>作为原料使用</w:t>
            </w:r>
            <w:r>
              <w:rPr>
                <w:rFonts w:hint="eastAsia"/>
                <w:color w:val="auto"/>
                <w:highlight w:val="none"/>
              </w:rPr>
              <w:t>。</w:t>
            </w:r>
          </w:p>
        </w:tc>
        <w:tc>
          <w:tcPr>
            <w:tcW w:w="608" w:type="pct"/>
            <w:vAlign w:val="center"/>
          </w:tcPr>
          <w:p w14:paraId="01544011">
            <w:pPr>
              <w:pStyle w:val="37"/>
              <w:adjustRightInd w:val="0"/>
              <w:rPr>
                <w:color w:val="auto"/>
                <w:highlight w:val="none"/>
              </w:rPr>
            </w:pPr>
            <w:r>
              <w:rPr>
                <w:color w:val="auto"/>
                <w:highlight w:val="none"/>
              </w:rPr>
              <w:t>符合</w:t>
            </w:r>
          </w:p>
        </w:tc>
      </w:tr>
      <w:tr w14:paraId="2251C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33DFBF47">
            <w:pPr>
              <w:pStyle w:val="37"/>
              <w:adjustRightInd w:val="0"/>
              <w:jc w:val="both"/>
              <w:rPr>
                <w:color w:val="auto"/>
                <w:highlight w:val="none"/>
              </w:rPr>
            </w:pPr>
            <w:r>
              <w:rPr>
                <w:color w:val="auto"/>
                <w:highlight w:val="none"/>
              </w:rPr>
              <w:t>第二十一条 禁止在合规园区外新建、扩建钢铁、石化、化工、焦化、建材、有色、制浆造纸等高污染项目。</w:t>
            </w:r>
          </w:p>
        </w:tc>
        <w:tc>
          <w:tcPr>
            <w:tcW w:w="1822" w:type="pct"/>
            <w:vAlign w:val="center"/>
          </w:tcPr>
          <w:p w14:paraId="29B9DFC6">
            <w:pPr>
              <w:pStyle w:val="37"/>
              <w:adjustRightInd w:val="0"/>
              <w:rPr>
                <w:color w:val="auto"/>
                <w:highlight w:val="none"/>
              </w:rPr>
            </w:pPr>
            <w:r>
              <w:rPr>
                <w:color w:val="auto"/>
                <w:highlight w:val="none"/>
              </w:rPr>
              <w:t>本项目建设不属于新建、扩建、钢铁、石化、化工、焦化、建材、有色、制浆造纸等高污染项目，项目建设位于合规园区内。</w:t>
            </w:r>
          </w:p>
        </w:tc>
        <w:tc>
          <w:tcPr>
            <w:tcW w:w="608" w:type="pct"/>
            <w:vAlign w:val="center"/>
          </w:tcPr>
          <w:p w14:paraId="5ACA6A02">
            <w:pPr>
              <w:pStyle w:val="37"/>
              <w:adjustRightInd w:val="0"/>
              <w:rPr>
                <w:color w:val="auto"/>
                <w:highlight w:val="none"/>
              </w:rPr>
            </w:pPr>
            <w:r>
              <w:rPr>
                <w:color w:val="auto"/>
                <w:highlight w:val="none"/>
              </w:rPr>
              <w:t>符合</w:t>
            </w:r>
          </w:p>
        </w:tc>
      </w:tr>
      <w:tr w14:paraId="7B6C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35E59465">
            <w:pPr>
              <w:pStyle w:val="37"/>
              <w:adjustRightInd w:val="0"/>
              <w:jc w:val="both"/>
              <w:rPr>
                <w:color w:val="auto"/>
                <w:highlight w:val="none"/>
              </w:rPr>
            </w:pPr>
            <w:r>
              <w:rPr>
                <w:color w:val="auto"/>
                <w:highlight w:val="none"/>
              </w:rPr>
              <w:t>第二十二条 禁止新建、扩建不符合国家石化、现代煤化工等产业布局规划的项目。</w:t>
            </w:r>
          </w:p>
          <w:p w14:paraId="437AC447">
            <w:pPr>
              <w:pStyle w:val="37"/>
              <w:adjustRightInd w:val="0"/>
              <w:jc w:val="both"/>
              <w:rPr>
                <w:color w:val="auto"/>
                <w:highlight w:val="none"/>
              </w:rPr>
            </w:pPr>
            <w:r>
              <w:rPr>
                <w:color w:val="auto"/>
                <w:highlight w:val="none"/>
              </w:rPr>
              <w:t>（一）严格控制新增炼油产能，未列入《石化产业规划布局方案（修订版）》的新增炼油产能一律不得建设。</w:t>
            </w:r>
          </w:p>
          <w:p w14:paraId="57C8AC9C">
            <w:pPr>
              <w:pStyle w:val="37"/>
              <w:adjustRightInd w:val="0"/>
              <w:jc w:val="both"/>
              <w:rPr>
                <w:color w:val="auto"/>
                <w:highlight w:val="none"/>
              </w:rPr>
            </w:pPr>
            <w:r>
              <w:rPr>
                <w:color w:val="auto"/>
                <w:highlight w:val="none"/>
              </w:rPr>
              <w:t>（二）新建煤制烯烃、煤制芳烃项目必须列入《现代煤化工产业创新发展布局方案》，必须符合《现代煤化工建设项目环境准入条件（试行）》要求。</w:t>
            </w:r>
          </w:p>
        </w:tc>
        <w:tc>
          <w:tcPr>
            <w:tcW w:w="1822" w:type="pct"/>
            <w:vAlign w:val="center"/>
          </w:tcPr>
          <w:p w14:paraId="4892CE30">
            <w:pPr>
              <w:pStyle w:val="37"/>
              <w:adjustRightInd w:val="0"/>
              <w:rPr>
                <w:color w:val="auto"/>
                <w:highlight w:val="none"/>
              </w:rPr>
            </w:pPr>
            <w:r>
              <w:rPr>
                <w:color w:val="auto"/>
                <w:highlight w:val="none"/>
              </w:rPr>
              <w:t>本项目建设不属于石化、现代煤化工项目，项目建设不新增炼油产能，不属于新建煤制烯烃、煤制芳烃项目。</w:t>
            </w:r>
          </w:p>
        </w:tc>
        <w:tc>
          <w:tcPr>
            <w:tcW w:w="608" w:type="pct"/>
            <w:vAlign w:val="center"/>
          </w:tcPr>
          <w:p w14:paraId="42FCE865">
            <w:pPr>
              <w:pStyle w:val="37"/>
              <w:adjustRightInd w:val="0"/>
              <w:rPr>
                <w:color w:val="auto"/>
                <w:highlight w:val="none"/>
              </w:rPr>
            </w:pPr>
            <w:r>
              <w:rPr>
                <w:color w:val="auto"/>
                <w:highlight w:val="none"/>
              </w:rPr>
              <w:t>符合</w:t>
            </w:r>
          </w:p>
        </w:tc>
      </w:tr>
      <w:tr w14:paraId="1A1D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03CD243D">
            <w:pPr>
              <w:pStyle w:val="37"/>
              <w:adjustRightInd w:val="0"/>
              <w:jc w:val="both"/>
              <w:rPr>
                <w:color w:val="auto"/>
                <w:highlight w:val="none"/>
              </w:rPr>
            </w:pPr>
            <w:r>
              <w:rPr>
                <w:color w:val="auto"/>
                <w:highlight w:val="none"/>
              </w:rPr>
              <w:t>第二十三条 禁止新建、扩建法律法规和相关政策明令禁止的落后产能项目。对《产业结构调整指导目录》中淘汰类项目，禁止投资；限制类的新建项目，禁止投资，对属于限制类的现有生产能力，允许企业在一定期限内采取措施改造升级。</w:t>
            </w:r>
          </w:p>
        </w:tc>
        <w:tc>
          <w:tcPr>
            <w:tcW w:w="1822" w:type="pct"/>
            <w:vAlign w:val="center"/>
          </w:tcPr>
          <w:p w14:paraId="6FF3DD3F">
            <w:pPr>
              <w:pStyle w:val="37"/>
              <w:adjustRightInd w:val="0"/>
              <w:rPr>
                <w:color w:val="auto"/>
                <w:highlight w:val="none"/>
              </w:rPr>
            </w:pPr>
            <w:r>
              <w:rPr>
                <w:color w:val="auto"/>
                <w:highlight w:val="none"/>
              </w:rPr>
              <w:t>本项目不属于法律法规和相关政策明令禁止的落后产能项目，不属于《产业结构调整指导目录》</w:t>
            </w:r>
            <w:r>
              <w:rPr>
                <w:rFonts w:hint="eastAsia"/>
                <w:color w:val="auto"/>
                <w:highlight w:val="none"/>
              </w:rPr>
              <w:t>（2024年本）</w:t>
            </w:r>
            <w:r>
              <w:rPr>
                <w:color w:val="auto"/>
                <w:highlight w:val="none"/>
              </w:rPr>
              <w:t>中的淘汰类、限制类项目。</w:t>
            </w:r>
          </w:p>
        </w:tc>
        <w:tc>
          <w:tcPr>
            <w:tcW w:w="608" w:type="pct"/>
            <w:vAlign w:val="center"/>
          </w:tcPr>
          <w:p w14:paraId="797BB6B7">
            <w:pPr>
              <w:pStyle w:val="37"/>
              <w:adjustRightInd w:val="0"/>
              <w:rPr>
                <w:color w:val="auto"/>
                <w:highlight w:val="none"/>
              </w:rPr>
            </w:pPr>
            <w:r>
              <w:rPr>
                <w:color w:val="auto"/>
                <w:highlight w:val="none"/>
              </w:rPr>
              <w:t>符合</w:t>
            </w:r>
          </w:p>
        </w:tc>
      </w:tr>
      <w:tr w14:paraId="5ACC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782AC6AA">
            <w:pPr>
              <w:pStyle w:val="37"/>
              <w:adjustRightInd w:val="0"/>
              <w:jc w:val="both"/>
              <w:rPr>
                <w:color w:val="auto"/>
                <w:highlight w:val="none"/>
              </w:rPr>
            </w:pPr>
            <w:r>
              <w:rPr>
                <w:color w:val="auto"/>
                <w:highlight w:val="none"/>
              </w:rPr>
              <w:t>第二十四条 禁止新建、扩建不符合国家产能置换要求的严重过剩产能行业的项目。对于不符合国家产能置换要求的严重过剩产能行业，不得以其他任何名义、任何方式备案新增产能项目。</w:t>
            </w:r>
          </w:p>
        </w:tc>
        <w:tc>
          <w:tcPr>
            <w:tcW w:w="1822" w:type="pct"/>
            <w:vAlign w:val="center"/>
          </w:tcPr>
          <w:p w14:paraId="1C147094">
            <w:pPr>
              <w:pStyle w:val="37"/>
              <w:adjustRightInd w:val="0"/>
              <w:rPr>
                <w:color w:val="auto"/>
                <w:highlight w:val="none"/>
              </w:rPr>
            </w:pPr>
            <w:r>
              <w:rPr>
                <w:color w:val="auto"/>
                <w:highlight w:val="none"/>
              </w:rPr>
              <w:t>本项目建设不属于不符合国家产能置换要求的严重过剩产能行业的项目。</w:t>
            </w:r>
          </w:p>
        </w:tc>
        <w:tc>
          <w:tcPr>
            <w:tcW w:w="608" w:type="pct"/>
            <w:vAlign w:val="center"/>
          </w:tcPr>
          <w:p w14:paraId="572FAB51">
            <w:pPr>
              <w:pStyle w:val="37"/>
              <w:adjustRightInd w:val="0"/>
              <w:rPr>
                <w:color w:val="auto"/>
                <w:highlight w:val="none"/>
              </w:rPr>
            </w:pPr>
            <w:r>
              <w:rPr>
                <w:color w:val="auto"/>
                <w:highlight w:val="none"/>
              </w:rPr>
              <w:t>符合</w:t>
            </w:r>
          </w:p>
        </w:tc>
      </w:tr>
      <w:tr w14:paraId="37891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63624E81">
            <w:pPr>
              <w:pStyle w:val="37"/>
              <w:adjustRightInd w:val="0"/>
              <w:jc w:val="both"/>
              <w:rPr>
                <w:color w:val="auto"/>
                <w:highlight w:val="none"/>
              </w:rPr>
            </w:pPr>
            <w:r>
              <w:rPr>
                <w:color w:val="auto"/>
                <w:highlight w:val="none"/>
              </w:rPr>
              <w:t>第二十五条 禁止建设以下燃油汽车投资项目（不在中国境内销售产品的投资项目除外）：</w:t>
            </w:r>
          </w:p>
          <w:p w14:paraId="4D6A8860">
            <w:pPr>
              <w:pStyle w:val="37"/>
              <w:adjustRightInd w:val="0"/>
              <w:jc w:val="both"/>
              <w:rPr>
                <w:color w:val="auto"/>
                <w:highlight w:val="none"/>
              </w:rPr>
            </w:pPr>
            <w:r>
              <w:rPr>
                <w:color w:val="auto"/>
                <w:highlight w:val="none"/>
              </w:rPr>
              <w:t>（一）新建独立燃油汽车企业；</w:t>
            </w:r>
          </w:p>
          <w:p w14:paraId="0AFE98BB">
            <w:pPr>
              <w:pStyle w:val="37"/>
              <w:adjustRightInd w:val="0"/>
              <w:jc w:val="both"/>
              <w:rPr>
                <w:color w:val="auto"/>
                <w:highlight w:val="none"/>
              </w:rPr>
            </w:pPr>
            <w:r>
              <w:rPr>
                <w:color w:val="auto"/>
                <w:highlight w:val="none"/>
              </w:rPr>
              <w:t>（二）现有汽车企业跨乘用车、商用车类别建设燃油汽车生产能力；</w:t>
            </w:r>
          </w:p>
          <w:p w14:paraId="6435E6D8">
            <w:pPr>
              <w:pStyle w:val="37"/>
              <w:adjustRightInd w:val="0"/>
              <w:jc w:val="both"/>
              <w:rPr>
                <w:color w:val="auto"/>
                <w:highlight w:val="none"/>
              </w:rPr>
            </w:pPr>
            <w:r>
              <w:rPr>
                <w:color w:val="auto"/>
                <w:highlight w:val="none"/>
              </w:rPr>
              <w:t>（三）外省现有燃油汽车企业整体搬迁至本省（列入国家级区域发展规划或不改变企业股权结构的项目除外）；</w:t>
            </w:r>
          </w:p>
          <w:p w14:paraId="02E5CD0E">
            <w:pPr>
              <w:pStyle w:val="37"/>
              <w:adjustRightInd w:val="0"/>
              <w:jc w:val="both"/>
              <w:rPr>
                <w:color w:val="auto"/>
                <w:highlight w:val="none"/>
              </w:rPr>
            </w:pPr>
            <w:r>
              <w:rPr>
                <w:color w:val="auto"/>
                <w:highlight w:val="none"/>
              </w:rPr>
              <w:t>（四）对行业管理部门特别公示的燃油汽车企业进行投资（企业原有股东投资或将该企业转为非独立法人的投资项目除外）。</w:t>
            </w:r>
          </w:p>
        </w:tc>
        <w:tc>
          <w:tcPr>
            <w:tcW w:w="1822" w:type="pct"/>
            <w:vAlign w:val="center"/>
          </w:tcPr>
          <w:p w14:paraId="44F84ABB">
            <w:pPr>
              <w:pStyle w:val="37"/>
              <w:adjustRightInd w:val="0"/>
              <w:rPr>
                <w:color w:val="auto"/>
                <w:highlight w:val="none"/>
              </w:rPr>
            </w:pPr>
            <w:r>
              <w:rPr>
                <w:color w:val="auto"/>
                <w:highlight w:val="none"/>
              </w:rPr>
              <w:t>本项目建设不属于燃油汽车投资项目。</w:t>
            </w:r>
          </w:p>
        </w:tc>
        <w:tc>
          <w:tcPr>
            <w:tcW w:w="608" w:type="pct"/>
            <w:vAlign w:val="center"/>
          </w:tcPr>
          <w:p w14:paraId="0457CE11">
            <w:pPr>
              <w:pStyle w:val="37"/>
              <w:adjustRightInd w:val="0"/>
              <w:rPr>
                <w:color w:val="auto"/>
                <w:highlight w:val="none"/>
              </w:rPr>
            </w:pPr>
            <w:r>
              <w:rPr>
                <w:color w:val="auto"/>
                <w:highlight w:val="none"/>
              </w:rPr>
              <w:t>符合</w:t>
            </w:r>
          </w:p>
        </w:tc>
      </w:tr>
      <w:tr w14:paraId="05A1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68" w:type="pct"/>
            <w:vAlign w:val="center"/>
          </w:tcPr>
          <w:p w14:paraId="22132DB4">
            <w:pPr>
              <w:pStyle w:val="37"/>
              <w:adjustRightInd w:val="0"/>
              <w:jc w:val="both"/>
              <w:rPr>
                <w:color w:val="auto"/>
                <w:highlight w:val="none"/>
              </w:rPr>
            </w:pPr>
            <w:r>
              <w:rPr>
                <w:color w:val="auto"/>
                <w:highlight w:val="none"/>
              </w:rPr>
              <w:t>第二十六条 禁止新建、扩建不符合要求的高耗能、高排放、低水平项目。</w:t>
            </w:r>
          </w:p>
        </w:tc>
        <w:tc>
          <w:tcPr>
            <w:tcW w:w="1822" w:type="pct"/>
            <w:vAlign w:val="center"/>
          </w:tcPr>
          <w:p w14:paraId="54CD1227">
            <w:pPr>
              <w:pStyle w:val="37"/>
              <w:adjustRightInd w:val="0"/>
              <w:rPr>
                <w:color w:val="auto"/>
                <w:highlight w:val="none"/>
              </w:rPr>
            </w:pPr>
            <w:r>
              <w:rPr>
                <w:color w:val="auto"/>
                <w:highlight w:val="none"/>
              </w:rPr>
              <w:t>根据《关于印发&lt;四川省</w:t>
            </w:r>
            <w:r>
              <w:rPr>
                <w:rFonts w:hint="eastAsia"/>
                <w:color w:val="auto"/>
                <w:highlight w:val="none"/>
              </w:rPr>
              <w:t>“</w:t>
            </w:r>
            <w:r>
              <w:rPr>
                <w:color w:val="auto"/>
                <w:highlight w:val="none"/>
              </w:rPr>
              <w:t>两高</w:t>
            </w:r>
            <w:r>
              <w:rPr>
                <w:rFonts w:hint="eastAsia"/>
                <w:color w:val="auto"/>
                <w:highlight w:val="none"/>
              </w:rPr>
              <w:t>”</w:t>
            </w:r>
            <w:r>
              <w:rPr>
                <w:color w:val="auto"/>
                <w:highlight w:val="none"/>
              </w:rPr>
              <w:t>项目管理目录（试行）&gt;的通知》（川发改环资函〔2024〕259号），本项目不属于两高项目。</w:t>
            </w:r>
          </w:p>
          <w:p w14:paraId="5A3E521C">
            <w:pPr>
              <w:pStyle w:val="37"/>
              <w:adjustRightInd w:val="0"/>
              <w:rPr>
                <w:color w:val="auto"/>
                <w:highlight w:val="none"/>
              </w:rPr>
            </w:pPr>
            <w:r>
              <w:rPr>
                <w:color w:val="auto"/>
                <w:highlight w:val="none"/>
              </w:rPr>
              <w:t>本项目建设不属于高耗能、高排放、低水平项目。</w:t>
            </w:r>
          </w:p>
        </w:tc>
        <w:tc>
          <w:tcPr>
            <w:tcW w:w="608" w:type="pct"/>
            <w:vAlign w:val="center"/>
          </w:tcPr>
          <w:p w14:paraId="23E0E440">
            <w:pPr>
              <w:pStyle w:val="37"/>
              <w:adjustRightInd w:val="0"/>
              <w:rPr>
                <w:color w:val="auto"/>
                <w:highlight w:val="none"/>
              </w:rPr>
            </w:pPr>
            <w:r>
              <w:rPr>
                <w:color w:val="auto"/>
                <w:highlight w:val="none"/>
              </w:rPr>
              <w:t>符合</w:t>
            </w:r>
          </w:p>
        </w:tc>
      </w:tr>
    </w:tbl>
    <w:p w14:paraId="12DC6375">
      <w:pPr>
        <w:adjustRightInd w:val="0"/>
        <w:ind w:firstLine="480"/>
        <w:rPr>
          <w:rFonts w:cs="Times New Roman"/>
          <w:color w:val="auto"/>
          <w:highlight w:val="none"/>
        </w:rPr>
      </w:pPr>
      <w:r>
        <w:rPr>
          <w:rFonts w:cs="Times New Roman"/>
          <w:color w:val="auto"/>
          <w:highlight w:val="none"/>
        </w:rPr>
        <w:t>与《乐山市三江岸线保护条例》符合性分析如下：</w:t>
      </w:r>
    </w:p>
    <w:p w14:paraId="2BE04830">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项目与《乐山市三江岸线保护条例》的符合性分析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956"/>
        <w:gridCol w:w="2893"/>
        <w:gridCol w:w="952"/>
      </w:tblGrid>
      <w:tr w14:paraId="5F8F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3" w:type="pct"/>
            <w:gridSpan w:val="2"/>
            <w:vAlign w:val="center"/>
          </w:tcPr>
          <w:p w14:paraId="563E1441">
            <w:pPr>
              <w:pStyle w:val="69"/>
              <w:spacing w:before="65" w:after="65"/>
              <w:rPr>
                <w:rFonts w:cs="Times New Roman"/>
                <w:b/>
                <w:bCs w:val="0"/>
                <w:color w:val="auto"/>
                <w:highlight w:val="none"/>
              </w:rPr>
            </w:pPr>
            <w:r>
              <w:rPr>
                <w:rFonts w:cs="Times New Roman"/>
                <w:b/>
                <w:bCs w:val="0"/>
                <w:color w:val="auto"/>
                <w:highlight w:val="none"/>
              </w:rPr>
              <w:t>主要内容</w:t>
            </w:r>
          </w:p>
        </w:tc>
        <w:tc>
          <w:tcPr>
            <w:tcW w:w="1696" w:type="pct"/>
            <w:vAlign w:val="center"/>
          </w:tcPr>
          <w:p w14:paraId="269BF202">
            <w:pPr>
              <w:pStyle w:val="69"/>
              <w:spacing w:before="65" w:after="65"/>
              <w:rPr>
                <w:rFonts w:cs="Times New Roman"/>
                <w:b/>
                <w:bCs w:val="0"/>
                <w:color w:val="auto"/>
                <w:highlight w:val="none"/>
              </w:rPr>
            </w:pPr>
            <w:r>
              <w:rPr>
                <w:rFonts w:cs="Times New Roman"/>
                <w:b/>
                <w:bCs w:val="0"/>
                <w:color w:val="auto"/>
                <w:highlight w:val="none"/>
              </w:rPr>
              <w:t>本项目情况</w:t>
            </w:r>
          </w:p>
        </w:tc>
        <w:tc>
          <w:tcPr>
            <w:tcW w:w="559" w:type="pct"/>
            <w:vAlign w:val="center"/>
          </w:tcPr>
          <w:p w14:paraId="479FFBE3">
            <w:pPr>
              <w:pStyle w:val="69"/>
              <w:spacing w:before="65" w:after="65"/>
              <w:rPr>
                <w:rFonts w:cs="Times New Roman"/>
                <w:b/>
                <w:bCs w:val="0"/>
                <w:color w:val="auto"/>
                <w:highlight w:val="none"/>
              </w:rPr>
            </w:pPr>
            <w:r>
              <w:rPr>
                <w:rFonts w:cs="Times New Roman"/>
                <w:b/>
                <w:bCs w:val="0"/>
                <w:color w:val="auto"/>
                <w:highlight w:val="none"/>
              </w:rPr>
              <w:t>符合性</w:t>
            </w:r>
          </w:p>
        </w:tc>
      </w:tr>
      <w:tr w14:paraId="66BFC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0C0171E7">
            <w:pPr>
              <w:pStyle w:val="69"/>
              <w:spacing w:before="65" w:after="65"/>
              <w:rPr>
                <w:rFonts w:cs="Times New Roman"/>
                <w:color w:val="auto"/>
                <w:highlight w:val="none"/>
              </w:rPr>
            </w:pPr>
            <w:r>
              <w:rPr>
                <w:rFonts w:cs="Times New Roman"/>
                <w:color w:val="auto"/>
                <w:highlight w:val="none"/>
              </w:rPr>
              <w:t>第十二条</w:t>
            </w:r>
          </w:p>
        </w:tc>
        <w:tc>
          <w:tcPr>
            <w:tcW w:w="2319" w:type="pct"/>
            <w:vAlign w:val="center"/>
          </w:tcPr>
          <w:p w14:paraId="2E7B5E78">
            <w:pPr>
              <w:pStyle w:val="69"/>
              <w:spacing w:before="65" w:after="65"/>
              <w:rPr>
                <w:rFonts w:cs="Times New Roman"/>
                <w:color w:val="auto"/>
                <w:highlight w:val="none"/>
              </w:rPr>
            </w:pPr>
            <w:r>
              <w:rPr>
                <w:rFonts w:cs="Times New Roman"/>
                <w:color w:val="auto"/>
                <w:highlight w:val="none"/>
              </w:rPr>
              <w:t>禁止违法利用、占用三江岸线。</w:t>
            </w:r>
          </w:p>
          <w:p w14:paraId="4DE3FA3C">
            <w:pPr>
              <w:pStyle w:val="69"/>
              <w:spacing w:before="65" w:after="65"/>
              <w:rPr>
                <w:rFonts w:cs="Times New Roman"/>
                <w:color w:val="auto"/>
                <w:highlight w:val="none"/>
              </w:rPr>
            </w:pPr>
            <w:r>
              <w:rPr>
                <w:rFonts w:cs="Times New Roman"/>
                <w:color w:val="auto"/>
                <w:highlight w:val="none"/>
              </w:rPr>
              <w:t>禁止在三江岸线二百米范围内建立畜禽养殖场（小区）、发展畜禽养殖专业户。</w:t>
            </w:r>
          </w:p>
          <w:p w14:paraId="3E03A511">
            <w:pPr>
              <w:pStyle w:val="69"/>
              <w:spacing w:before="65" w:after="65"/>
              <w:rPr>
                <w:rFonts w:cs="Times New Roman"/>
                <w:color w:val="auto"/>
                <w:highlight w:val="none"/>
              </w:rPr>
            </w:pPr>
            <w:r>
              <w:rPr>
                <w:rFonts w:cs="Times New Roman"/>
                <w:color w:val="auto"/>
                <w:highlight w:val="none"/>
              </w:rPr>
              <w:t>禁止在三江岸线一公里范围内新建、扩建化工园区和化工项目。</w:t>
            </w:r>
          </w:p>
          <w:p w14:paraId="2CE04BC7">
            <w:pPr>
              <w:pStyle w:val="69"/>
              <w:spacing w:before="65" w:after="65"/>
              <w:rPr>
                <w:rFonts w:cs="Times New Roman"/>
                <w:color w:val="auto"/>
                <w:highlight w:val="none"/>
              </w:rPr>
            </w:pPr>
            <w:r>
              <w:rPr>
                <w:rFonts w:cs="Times New Roman"/>
                <w:color w:val="auto"/>
                <w:highlight w:val="none"/>
              </w:rPr>
              <w:t>禁止在三江岸线一公里范围内新建、改建、扩建尾矿库；但是以提升安全、生态环境保护水平目的的改建除外。</w:t>
            </w:r>
          </w:p>
          <w:p w14:paraId="33C7D986">
            <w:pPr>
              <w:pStyle w:val="69"/>
              <w:spacing w:before="65" w:after="65"/>
              <w:rPr>
                <w:rFonts w:cs="Times New Roman"/>
                <w:color w:val="auto"/>
                <w:highlight w:val="none"/>
              </w:rPr>
            </w:pPr>
            <w:r>
              <w:rPr>
                <w:rFonts w:cs="Times New Roman"/>
                <w:color w:val="auto"/>
                <w:highlight w:val="none"/>
              </w:rPr>
              <w:t>对于不符合生态环境保护要求的既有建设项目，市、县级人民政府应当依法建立逐步退出机制。</w:t>
            </w:r>
          </w:p>
        </w:tc>
        <w:tc>
          <w:tcPr>
            <w:tcW w:w="1696" w:type="pct"/>
            <w:vAlign w:val="center"/>
          </w:tcPr>
          <w:p w14:paraId="14F0C76B">
            <w:pPr>
              <w:pStyle w:val="69"/>
              <w:spacing w:before="65" w:after="65"/>
              <w:rPr>
                <w:rFonts w:cs="Times New Roman"/>
                <w:color w:val="auto"/>
                <w:highlight w:val="none"/>
              </w:rPr>
            </w:pPr>
            <w:r>
              <w:rPr>
                <w:rFonts w:cs="Times New Roman"/>
                <w:color w:val="auto"/>
                <w:highlight w:val="none"/>
              </w:rPr>
              <w:t>本项目建设不占用三江岸线。本项目不属于畜禽养殖场（小区）、畜禽养殖专业户、化工项目、尾矿库</w:t>
            </w:r>
            <w:r>
              <w:rPr>
                <w:rFonts w:hint="eastAsia" w:cs="Times New Roman"/>
                <w:color w:val="auto"/>
                <w:highlight w:val="none"/>
              </w:rPr>
              <w:t>，本项目尾矿、黑砂不长期暂存，尾矿、黑砂外售给四川省米兰诺陶瓷有限公司、四川香莱尔陶瓷有限公司作为原料使用。</w:t>
            </w:r>
          </w:p>
        </w:tc>
        <w:tc>
          <w:tcPr>
            <w:tcW w:w="559" w:type="pct"/>
            <w:vAlign w:val="center"/>
          </w:tcPr>
          <w:p w14:paraId="741F1043">
            <w:pPr>
              <w:pStyle w:val="69"/>
              <w:spacing w:before="65" w:after="65"/>
              <w:rPr>
                <w:rFonts w:cs="Times New Roman"/>
                <w:color w:val="auto"/>
                <w:highlight w:val="none"/>
              </w:rPr>
            </w:pPr>
            <w:r>
              <w:rPr>
                <w:rFonts w:cs="Times New Roman"/>
                <w:color w:val="auto"/>
                <w:highlight w:val="none"/>
              </w:rPr>
              <w:t>符合</w:t>
            </w:r>
          </w:p>
        </w:tc>
      </w:tr>
      <w:tr w14:paraId="46F60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3" w:type="pct"/>
            <w:vAlign w:val="center"/>
          </w:tcPr>
          <w:p w14:paraId="65C03FD1">
            <w:pPr>
              <w:pStyle w:val="69"/>
              <w:spacing w:before="65" w:after="65"/>
              <w:rPr>
                <w:rFonts w:cs="Times New Roman"/>
                <w:color w:val="auto"/>
                <w:highlight w:val="none"/>
              </w:rPr>
            </w:pPr>
            <w:r>
              <w:rPr>
                <w:rFonts w:cs="Times New Roman"/>
                <w:color w:val="auto"/>
                <w:highlight w:val="none"/>
              </w:rPr>
              <w:t>第十三条</w:t>
            </w:r>
          </w:p>
        </w:tc>
        <w:tc>
          <w:tcPr>
            <w:tcW w:w="2319" w:type="pct"/>
            <w:vAlign w:val="center"/>
          </w:tcPr>
          <w:p w14:paraId="1B5D1057">
            <w:pPr>
              <w:pStyle w:val="69"/>
              <w:spacing w:before="65" w:after="65"/>
              <w:rPr>
                <w:rFonts w:cs="Times New Roman"/>
                <w:color w:val="auto"/>
                <w:highlight w:val="none"/>
              </w:rPr>
            </w:pPr>
            <w:r>
              <w:rPr>
                <w:rFonts w:cs="Times New Roman"/>
                <w:color w:val="auto"/>
                <w:highlight w:val="none"/>
              </w:rPr>
              <w:t>市、县级人民政府及其有关部门应当加强对燃煤、工业、机动车船、扬尘、农业等大气污染的综合防治工作，控制或者逐步削减大气污染物的排放量，使大气环境质量达到规定标准并逐步改善。</w:t>
            </w:r>
          </w:p>
          <w:p w14:paraId="5C48A428">
            <w:pPr>
              <w:pStyle w:val="69"/>
              <w:spacing w:before="65" w:after="65"/>
              <w:rPr>
                <w:rFonts w:cs="Times New Roman"/>
                <w:color w:val="auto"/>
                <w:highlight w:val="none"/>
              </w:rPr>
            </w:pPr>
            <w:r>
              <w:rPr>
                <w:rFonts w:cs="Times New Roman"/>
                <w:color w:val="auto"/>
                <w:highlight w:val="none"/>
              </w:rPr>
              <w:t>市、县级人民政府及其有关部门应当优先保护饮用水水源，严格控制工业污染、城镇生活污染，防治农业面源污染，加强污水收集处理能力建设，预防、控制和减少水环境污染。</w:t>
            </w:r>
          </w:p>
          <w:p w14:paraId="69CE8877">
            <w:pPr>
              <w:pStyle w:val="69"/>
              <w:spacing w:before="65" w:after="65"/>
              <w:rPr>
                <w:rFonts w:cs="Times New Roman"/>
                <w:color w:val="auto"/>
                <w:highlight w:val="none"/>
              </w:rPr>
            </w:pPr>
            <w:r>
              <w:rPr>
                <w:rFonts w:cs="Times New Roman"/>
                <w:color w:val="auto"/>
                <w:highlight w:val="none"/>
              </w:rPr>
              <w:t>市、县级人民政府及其有关部门应当切实管控土壤污染风险，防治工业固体废物、生活垃圾、建筑垃圾、农业固体废物、危险废物等固体废物污染环境。</w:t>
            </w:r>
          </w:p>
        </w:tc>
        <w:tc>
          <w:tcPr>
            <w:tcW w:w="1696" w:type="pct"/>
            <w:vAlign w:val="center"/>
          </w:tcPr>
          <w:p w14:paraId="335639B0">
            <w:pPr>
              <w:pStyle w:val="69"/>
              <w:spacing w:before="65" w:after="65"/>
              <w:rPr>
                <w:rFonts w:cs="Times New Roman"/>
                <w:color w:val="auto"/>
                <w:highlight w:val="none"/>
              </w:rPr>
            </w:pPr>
            <w:r>
              <w:rPr>
                <w:rFonts w:cs="Times New Roman"/>
                <w:color w:val="auto"/>
                <w:highlight w:val="none"/>
              </w:rPr>
              <w:t>根据大气环境影响预测结果，项目建成后粉尘影响较低。本项目生产废水循环使用，不外排，</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标准后外排大渡河。本项目工业固体废物、生活垃圾、危险废物等均得到有效处置。</w:t>
            </w:r>
          </w:p>
        </w:tc>
        <w:tc>
          <w:tcPr>
            <w:tcW w:w="559" w:type="pct"/>
            <w:vAlign w:val="center"/>
          </w:tcPr>
          <w:p w14:paraId="0DEFE377">
            <w:pPr>
              <w:pStyle w:val="69"/>
              <w:spacing w:before="65" w:after="65"/>
              <w:rPr>
                <w:rFonts w:cs="Times New Roman"/>
                <w:color w:val="auto"/>
                <w:highlight w:val="none"/>
              </w:rPr>
            </w:pPr>
            <w:r>
              <w:rPr>
                <w:rFonts w:cs="Times New Roman"/>
                <w:color w:val="auto"/>
                <w:highlight w:val="none"/>
              </w:rPr>
              <w:t>符合</w:t>
            </w:r>
          </w:p>
        </w:tc>
      </w:tr>
    </w:tbl>
    <w:p w14:paraId="68707CA1">
      <w:pPr>
        <w:adjustRightInd w:val="0"/>
        <w:ind w:firstLine="480"/>
        <w:rPr>
          <w:rFonts w:cs="Times New Roman"/>
          <w:color w:val="auto"/>
          <w:highlight w:val="none"/>
        </w:rPr>
      </w:pPr>
      <w:r>
        <w:rPr>
          <w:rFonts w:cs="Times New Roman"/>
          <w:color w:val="auto"/>
          <w:highlight w:val="none"/>
        </w:rPr>
        <w:t>综上所述，本项目与《中华人民共和国长江保护法》（2021年3月1日）、《长江经济带发展负面清单指南（试行，2022年版）》（长江办〔2022〕7号）、《长江经济带生态环境保护规划》（环规财〔2017〕88号）和《四川省、重庆市长江经济带发展负面清单实施细则（试行，2022年版）》、《乐山市三江岸线保护条例》相符。</w:t>
      </w:r>
    </w:p>
    <w:p w14:paraId="3E6A0EDF">
      <w:pPr>
        <w:pStyle w:val="5"/>
        <w:adjustRightInd w:val="0"/>
        <w:rPr>
          <w:rFonts w:cs="Times New Roman"/>
          <w:color w:val="auto"/>
          <w:highlight w:val="none"/>
        </w:rPr>
      </w:pPr>
      <w:r>
        <w:rPr>
          <w:rFonts w:cs="Times New Roman"/>
          <w:color w:val="auto"/>
          <w:highlight w:val="none"/>
        </w:rPr>
        <w:t>与锂资源政策及规划的符合性分析</w:t>
      </w:r>
    </w:p>
    <w:p w14:paraId="05C94773">
      <w:pPr>
        <w:adjustRightInd w:val="0"/>
        <w:ind w:firstLine="480"/>
        <w:rPr>
          <w:rFonts w:cs="Times New Roman"/>
          <w:color w:val="auto"/>
          <w:highlight w:val="none"/>
        </w:rPr>
      </w:pPr>
      <w:r>
        <w:rPr>
          <w:rFonts w:cs="Times New Roman"/>
          <w:color w:val="auto"/>
          <w:highlight w:val="none"/>
        </w:rPr>
        <w:t>本次评价筛选了与项目相关的锂资源政策及规划文件，筛选结果见下表，并分析了本项目与其相关要求的符合性。</w:t>
      </w:r>
    </w:p>
    <w:p w14:paraId="15C6B05E">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7</w:t>
      </w:r>
      <w:r>
        <w:rPr>
          <w:rFonts w:cs="Times New Roman"/>
          <w:color w:val="auto"/>
          <w:highlight w:val="none"/>
        </w:rPr>
        <w:fldChar w:fldCharType="end"/>
      </w:r>
      <w:r>
        <w:rPr>
          <w:rFonts w:cs="Times New Roman"/>
          <w:color w:val="auto"/>
          <w:highlight w:val="none"/>
        </w:rPr>
        <w:t>与项目有关的锂资源政策及规划文件筛选表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5528"/>
        <w:gridCol w:w="2064"/>
      </w:tblGrid>
      <w:tr w14:paraId="7233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4" w:type="dxa"/>
            <w:vAlign w:val="center"/>
          </w:tcPr>
          <w:p w14:paraId="0268B25C">
            <w:pPr>
              <w:pStyle w:val="37"/>
              <w:adjustRightInd w:val="0"/>
              <w:rPr>
                <w:b/>
                <w:bCs/>
                <w:color w:val="auto"/>
                <w:highlight w:val="none"/>
              </w:rPr>
            </w:pPr>
            <w:r>
              <w:rPr>
                <w:b/>
                <w:bCs/>
                <w:color w:val="auto"/>
                <w:highlight w:val="none"/>
              </w:rPr>
              <w:t>分类</w:t>
            </w:r>
          </w:p>
        </w:tc>
        <w:tc>
          <w:tcPr>
            <w:tcW w:w="5528" w:type="dxa"/>
            <w:vAlign w:val="center"/>
          </w:tcPr>
          <w:p w14:paraId="058F2D58">
            <w:pPr>
              <w:pStyle w:val="37"/>
              <w:adjustRightInd w:val="0"/>
              <w:rPr>
                <w:b/>
                <w:bCs/>
                <w:color w:val="auto"/>
                <w:highlight w:val="none"/>
              </w:rPr>
            </w:pPr>
            <w:r>
              <w:rPr>
                <w:b/>
                <w:bCs/>
                <w:color w:val="auto"/>
                <w:highlight w:val="none"/>
              </w:rPr>
              <w:t>相关政策</w:t>
            </w:r>
          </w:p>
        </w:tc>
        <w:tc>
          <w:tcPr>
            <w:tcW w:w="2064" w:type="dxa"/>
            <w:vAlign w:val="center"/>
          </w:tcPr>
          <w:p w14:paraId="60CB4C1B">
            <w:pPr>
              <w:pStyle w:val="37"/>
              <w:adjustRightInd w:val="0"/>
              <w:rPr>
                <w:b/>
                <w:bCs/>
                <w:color w:val="auto"/>
                <w:highlight w:val="none"/>
              </w:rPr>
            </w:pPr>
            <w:r>
              <w:rPr>
                <w:b/>
                <w:bCs/>
                <w:color w:val="auto"/>
                <w:highlight w:val="none"/>
              </w:rPr>
              <w:t>文件号</w:t>
            </w:r>
          </w:p>
        </w:tc>
      </w:tr>
      <w:tr w14:paraId="6BF7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704" w:type="dxa"/>
            <w:vMerge w:val="restart"/>
            <w:vAlign w:val="center"/>
          </w:tcPr>
          <w:p w14:paraId="3F03BBD1">
            <w:pPr>
              <w:pStyle w:val="37"/>
              <w:adjustRightInd w:val="0"/>
              <w:rPr>
                <w:color w:val="auto"/>
                <w:highlight w:val="none"/>
              </w:rPr>
            </w:pPr>
            <w:bookmarkStart w:id="16" w:name="_Hlk214545178"/>
            <w:r>
              <w:rPr>
                <w:color w:val="auto"/>
                <w:highlight w:val="none"/>
              </w:rPr>
              <w:t>国家层面</w:t>
            </w:r>
          </w:p>
        </w:tc>
        <w:tc>
          <w:tcPr>
            <w:tcW w:w="5528" w:type="dxa"/>
            <w:vAlign w:val="center"/>
          </w:tcPr>
          <w:p w14:paraId="0D490F87">
            <w:pPr>
              <w:pStyle w:val="37"/>
              <w:adjustRightInd w:val="0"/>
              <w:rPr>
                <w:color w:val="auto"/>
                <w:highlight w:val="none"/>
              </w:rPr>
            </w:pPr>
            <w:r>
              <w:rPr>
                <w:color w:val="auto"/>
                <w:highlight w:val="none"/>
              </w:rPr>
              <w:t>《国土资源部</w:t>
            </w:r>
            <w:bookmarkStart w:id="17" w:name="OLE_LINK3"/>
            <w:r>
              <w:rPr>
                <w:color w:val="auto"/>
                <w:highlight w:val="none"/>
              </w:rPr>
              <w:t>&lt;关于锂、锶、重晶石、石灰岩、菱镁矿和硼等矿产资源合理开发利用</w:t>
            </w:r>
            <w:r>
              <w:rPr>
                <w:rFonts w:hint="eastAsia"/>
                <w:color w:val="auto"/>
                <w:highlight w:val="none"/>
              </w:rPr>
              <w:t>“</w:t>
            </w:r>
            <w:r>
              <w:rPr>
                <w:color w:val="auto"/>
                <w:highlight w:val="none"/>
              </w:rPr>
              <w:t>三率</w:t>
            </w:r>
            <w:r>
              <w:rPr>
                <w:rFonts w:hint="eastAsia"/>
                <w:color w:val="auto"/>
                <w:highlight w:val="none"/>
              </w:rPr>
              <w:t>”</w:t>
            </w:r>
            <w:r>
              <w:rPr>
                <w:color w:val="auto"/>
                <w:highlight w:val="none"/>
              </w:rPr>
              <w:t>最低指标要求</w:t>
            </w:r>
            <w:bookmarkEnd w:id="17"/>
            <w:r>
              <w:rPr>
                <w:color w:val="auto"/>
                <w:highlight w:val="none"/>
              </w:rPr>
              <w:t>&gt;（试行）的公告》</w:t>
            </w:r>
          </w:p>
        </w:tc>
        <w:tc>
          <w:tcPr>
            <w:tcW w:w="2064" w:type="dxa"/>
            <w:vAlign w:val="center"/>
          </w:tcPr>
          <w:p w14:paraId="46E57646">
            <w:pPr>
              <w:pStyle w:val="37"/>
              <w:adjustRightInd w:val="0"/>
              <w:rPr>
                <w:color w:val="auto"/>
                <w:highlight w:val="none"/>
              </w:rPr>
            </w:pPr>
            <w:r>
              <w:rPr>
                <w:color w:val="auto"/>
                <w:highlight w:val="none"/>
              </w:rPr>
              <w:t>2016年第30号</w:t>
            </w:r>
          </w:p>
        </w:tc>
      </w:tr>
      <w:bookmarkEnd w:id="16"/>
      <w:tr w14:paraId="33EE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restart"/>
            <w:vAlign w:val="center"/>
          </w:tcPr>
          <w:p w14:paraId="0658E304">
            <w:pPr>
              <w:pStyle w:val="37"/>
              <w:adjustRightInd w:val="0"/>
              <w:rPr>
                <w:color w:val="auto"/>
                <w:highlight w:val="none"/>
              </w:rPr>
            </w:pPr>
            <w:r>
              <w:rPr>
                <w:color w:val="auto"/>
                <w:highlight w:val="none"/>
              </w:rPr>
              <w:t>四川省</w:t>
            </w:r>
          </w:p>
        </w:tc>
        <w:tc>
          <w:tcPr>
            <w:tcW w:w="5528" w:type="dxa"/>
            <w:vAlign w:val="center"/>
          </w:tcPr>
          <w:p w14:paraId="1B09D384">
            <w:pPr>
              <w:pStyle w:val="37"/>
              <w:adjustRightInd w:val="0"/>
              <w:rPr>
                <w:color w:val="auto"/>
                <w:highlight w:val="none"/>
              </w:rPr>
            </w:pPr>
            <w:r>
              <w:rPr>
                <w:color w:val="auto"/>
                <w:highlight w:val="none"/>
              </w:rPr>
              <w:t>《四川省矿产资源总体规划》（2021-2025年）</w:t>
            </w:r>
          </w:p>
        </w:tc>
        <w:tc>
          <w:tcPr>
            <w:tcW w:w="2064" w:type="dxa"/>
            <w:vAlign w:val="center"/>
          </w:tcPr>
          <w:p w14:paraId="6304383B">
            <w:pPr>
              <w:pStyle w:val="37"/>
              <w:adjustRightInd w:val="0"/>
              <w:rPr>
                <w:color w:val="auto"/>
                <w:highlight w:val="none"/>
              </w:rPr>
            </w:pPr>
            <w:r>
              <w:rPr>
                <w:color w:val="auto"/>
                <w:highlight w:val="none"/>
              </w:rPr>
              <w:t>/</w:t>
            </w:r>
          </w:p>
        </w:tc>
      </w:tr>
      <w:tr w14:paraId="327A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519B296C">
            <w:pPr>
              <w:pStyle w:val="37"/>
              <w:adjustRightInd w:val="0"/>
              <w:rPr>
                <w:color w:val="auto"/>
                <w:highlight w:val="none"/>
              </w:rPr>
            </w:pPr>
          </w:p>
        </w:tc>
        <w:tc>
          <w:tcPr>
            <w:tcW w:w="5528" w:type="dxa"/>
            <w:vAlign w:val="center"/>
          </w:tcPr>
          <w:p w14:paraId="489102C1">
            <w:pPr>
              <w:pStyle w:val="37"/>
              <w:adjustRightInd w:val="0"/>
              <w:rPr>
                <w:color w:val="auto"/>
                <w:highlight w:val="none"/>
              </w:rPr>
            </w:pPr>
            <w:r>
              <w:rPr>
                <w:color w:val="auto"/>
                <w:highlight w:val="none"/>
              </w:rPr>
              <w:t>《四川省锂资源开发及产业发展规划（2022-2025年）》</w:t>
            </w:r>
          </w:p>
        </w:tc>
        <w:tc>
          <w:tcPr>
            <w:tcW w:w="2064" w:type="dxa"/>
            <w:vAlign w:val="center"/>
          </w:tcPr>
          <w:p w14:paraId="7E237CE0">
            <w:pPr>
              <w:pStyle w:val="37"/>
              <w:adjustRightInd w:val="0"/>
              <w:rPr>
                <w:color w:val="auto"/>
                <w:highlight w:val="none"/>
              </w:rPr>
            </w:pPr>
            <w:r>
              <w:rPr>
                <w:color w:val="auto"/>
                <w:highlight w:val="none"/>
              </w:rPr>
              <w:t>/</w:t>
            </w:r>
          </w:p>
        </w:tc>
      </w:tr>
      <w:tr w14:paraId="0CF4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26F03203">
            <w:pPr>
              <w:pStyle w:val="37"/>
              <w:adjustRightInd w:val="0"/>
              <w:rPr>
                <w:color w:val="auto"/>
                <w:highlight w:val="none"/>
              </w:rPr>
            </w:pPr>
          </w:p>
        </w:tc>
        <w:tc>
          <w:tcPr>
            <w:tcW w:w="5528" w:type="dxa"/>
            <w:vAlign w:val="center"/>
          </w:tcPr>
          <w:p w14:paraId="67BB62EC">
            <w:pPr>
              <w:pStyle w:val="37"/>
              <w:adjustRightInd w:val="0"/>
              <w:rPr>
                <w:color w:val="auto"/>
                <w:highlight w:val="none"/>
              </w:rPr>
            </w:pPr>
            <w:r>
              <w:rPr>
                <w:color w:val="auto"/>
                <w:highlight w:val="none"/>
              </w:rPr>
              <w:t>《促进锂电产业高质量发展的实施意见》</w:t>
            </w:r>
          </w:p>
        </w:tc>
        <w:tc>
          <w:tcPr>
            <w:tcW w:w="2064" w:type="dxa"/>
            <w:vAlign w:val="center"/>
          </w:tcPr>
          <w:p w14:paraId="1ACEDCAA">
            <w:pPr>
              <w:pStyle w:val="37"/>
              <w:adjustRightInd w:val="0"/>
              <w:rPr>
                <w:color w:val="auto"/>
                <w:highlight w:val="none"/>
              </w:rPr>
            </w:pPr>
          </w:p>
        </w:tc>
      </w:tr>
      <w:tr w14:paraId="30C4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Merge w:val="continue"/>
            <w:vAlign w:val="center"/>
          </w:tcPr>
          <w:p w14:paraId="0F52D81D">
            <w:pPr>
              <w:pStyle w:val="37"/>
              <w:adjustRightInd w:val="0"/>
              <w:rPr>
                <w:color w:val="auto"/>
                <w:highlight w:val="none"/>
              </w:rPr>
            </w:pPr>
          </w:p>
        </w:tc>
        <w:tc>
          <w:tcPr>
            <w:tcW w:w="5528" w:type="dxa"/>
            <w:vAlign w:val="center"/>
          </w:tcPr>
          <w:p w14:paraId="7839897A">
            <w:pPr>
              <w:pStyle w:val="37"/>
              <w:adjustRightInd w:val="0"/>
              <w:rPr>
                <w:color w:val="auto"/>
                <w:highlight w:val="none"/>
              </w:rPr>
            </w:pPr>
            <w:r>
              <w:rPr>
                <w:color w:val="auto"/>
                <w:highlight w:val="none"/>
              </w:rPr>
              <w:t>《关于印发&lt;开展锂电产业项目评价促进高质量发展的实施方案（试行）&gt;的通知》</w:t>
            </w:r>
          </w:p>
        </w:tc>
        <w:tc>
          <w:tcPr>
            <w:tcW w:w="2064" w:type="dxa"/>
            <w:vAlign w:val="center"/>
          </w:tcPr>
          <w:p w14:paraId="525C0F52">
            <w:pPr>
              <w:pStyle w:val="37"/>
              <w:adjustRightInd w:val="0"/>
              <w:rPr>
                <w:color w:val="auto"/>
                <w:highlight w:val="none"/>
              </w:rPr>
            </w:pPr>
            <w:r>
              <w:rPr>
                <w:color w:val="auto"/>
                <w:highlight w:val="none"/>
              </w:rPr>
              <w:t>川经信规〔2024〕6号</w:t>
            </w:r>
          </w:p>
        </w:tc>
      </w:tr>
    </w:tbl>
    <w:p w14:paraId="01ADE656">
      <w:pPr>
        <w:adjustRightInd w:val="0"/>
        <w:ind w:firstLine="480"/>
        <w:rPr>
          <w:rFonts w:cs="Times New Roman"/>
          <w:color w:val="auto"/>
          <w:highlight w:val="none"/>
        </w:rPr>
      </w:pPr>
      <w:r>
        <w:rPr>
          <w:rFonts w:cs="Times New Roman"/>
          <w:color w:val="auto"/>
          <w:highlight w:val="none"/>
        </w:rPr>
        <w:t>本项目</w:t>
      </w:r>
      <w:r>
        <w:rPr>
          <w:rFonts w:hint="eastAsia" w:cs="Times New Roman"/>
          <w:color w:val="auto"/>
          <w:highlight w:val="none"/>
        </w:rPr>
        <w:t>与《国土资源部&lt;关于锂、锶、重晶石、石灰岩、菱镁矿和硼等矿产资源合理开发利用“三率”最低指标要求&gt;（试行）的公告》（2016年第30号）</w:t>
      </w:r>
      <w:r>
        <w:rPr>
          <w:rFonts w:cs="Times New Roman"/>
          <w:color w:val="auto"/>
          <w:highlight w:val="none"/>
        </w:rPr>
        <w:t>的符合性见下表：</w:t>
      </w:r>
    </w:p>
    <w:p w14:paraId="076A1DFA">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8</w:t>
      </w:r>
      <w:r>
        <w:rPr>
          <w:rFonts w:cs="Times New Roman"/>
          <w:color w:val="auto"/>
          <w:highlight w:val="none"/>
        </w:rPr>
        <w:fldChar w:fldCharType="end"/>
      </w:r>
      <w:r>
        <w:rPr>
          <w:rFonts w:cs="Times New Roman"/>
          <w:color w:val="auto"/>
          <w:highlight w:val="none"/>
        </w:rPr>
        <w:t>与《关于锂、锶、重晶石、石灰岩、菱镁矿和硼等矿产资源合理开发利用</w:t>
      </w:r>
      <w:r>
        <w:rPr>
          <w:rFonts w:hint="eastAsia" w:cs="Times New Roman"/>
          <w:color w:val="auto"/>
          <w:highlight w:val="none"/>
        </w:rPr>
        <w:t>“</w:t>
      </w:r>
      <w:r>
        <w:rPr>
          <w:rFonts w:cs="Times New Roman"/>
          <w:color w:val="auto"/>
          <w:highlight w:val="none"/>
        </w:rPr>
        <w:t>三率</w:t>
      </w:r>
      <w:r>
        <w:rPr>
          <w:rFonts w:hint="eastAsia" w:cs="Times New Roman"/>
          <w:color w:val="auto"/>
          <w:highlight w:val="none"/>
        </w:rPr>
        <w:t>”</w:t>
      </w:r>
      <w:r>
        <w:rPr>
          <w:rFonts w:cs="Times New Roman"/>
          <w:color w:val="auto"/>
          <w:highlight w:val="none"/>
        </w:rPr>
        <w:t>最低指标要求》的符合性分析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2"/>
        <w:gridCol w:w="2885"/>
        <w:gridCol w:w="1035"/>
      </w:tblGrid>
      <w:tr w14:paraId="71DEC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99" w:type="pct"/>
            <w:vAlign w:val="center"/>
          </w:tcPr>
          <w:p w14:paraId="0D0CC429">
            <w:pPr>
              <w:pStyle w:val="37"/>
              <w:adjustRightInd w:val="0"/>
              <w:rPr>
                <w:b/>
                <w:bCs/>
                <w:color w:val="auto"/>
                <w:highlight w:val="none"/>
              </w:rPr>
            </w:pPr>
            <w:r>
              <w:rPr>
                <w:b/>
                <w:bCs/>
                <w:color w:val="auto"/>
                <w:highlight w:val="none"/>
              </w:rPr>
              <w:t>指标要求</w:t>
            </w:r>
          </w:p>
        </w:tc>
        <w:tc>
          <w:tcPr>
            <w:tcW w:w="1692" w:type="pct"/>
            <w:vAlign w:val="center"/>
          </w:tcPr>
          <w:p w14:paraId="3DCE162D">
            <w:pPr>
              <w:pStyle w:val="37"/>
              <w:adjustRightInd w:val="0"/>
              <w:rPr>
                <w:b/>
                <w:bCs/>
                <w:color w:val="auto"/>
                <w:highlight w:val="none"/>
              </w:rPr>
            </w:pPr>
            <w:r>
              <w:rPr>
                <w:b/>
                <w:bCs/>
                <w:color w:val="auto"/>
                <w:highlight w:val="none"/>
              </w:rPr>
              <w:t>本项目情况</w:t>
            </w:r>
          </w:p>
        </w:tc>
        <w:tc>
          <w:tcPr>
            <w:tcW w:w="607" w:type="pct"/>
            <w:vAlign w:val="center"/>
          </w:tcPr>
          <w:p w14:paraId="26359D43">
            <w:pPr>
              <w:pStyle w:val="37"/>
              <w:adjustRightInd w:val="0"/>
              <w:rPr>
                <w:b/>
                <w:bCs/>
                <w:color w:val="auto"/>
                <w:highlight w:val="none"/>
              </w:rPr>
            </w:pPr>
            <w:r>
              <w:rPr>
                <w:b/>
                <w:bCs/>
                <w:color w:val="auto"/>
                <w:highlight w:val="none"/>
              </w:rPr>
              <w:t>符合性</w:t>
            </w:r>
          </w:p>
        </w:tc>
      </w:tr>
      <w:tr w14:paraId="29F71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9" w:type="pct"/>
            <w:vAlign w:val="center"/>
          </w:tcPr>
          <w:p w14:paraId="0ACE8DFB">
            <w:pPr>
              <w:pStyle w:val="37"/>
              <w:adjustRightInd w:val="0"/>
              <w:rPr>
                <w:color w:val="auto"/>
                <w:highlight w:val="none"/>
              </w:rPr>
            </w:pPr>
            <w:r>
              <w:rPr>
                <w:color w:val="auto"/>
                <w:highlight w:val="none"/>
              </w:rPr>
              <w:t>第八条  国家完善政策措施，加大对战略性矿产资源勘查、开采、贸易、储备等的支持力度，推动战略性矿产资源增加储量和提高产能，推进战略性矿产资源产业优化升级，提升矿产资源安全保障水平。</w:t>
            </w:r>
          </w:p>
        </w:tc>
        <w:tc>
          <w:tcPr>
            <w:tcW w:w="1692" w:type="pct"/>
            <w:vAlign w:val="center"/>
          </w:tcPr>
          <w:p w14:paraId="31298910">
            <w:pPr>
              <w:pStyle w:val="37"/>
              <w:adjustRightInd w:val="0"/>
              <w:rPr>
                <w:color w:val="auto"/>
                <w:highlight w:val="none"/>
              </w:rPr>
            </w:pPr>
            <w:r>
              <w:rPr>
                <w:color w:val="auto"/>
                <w:highlight w:val="none"/>
              </w:rPr>
              <w:t>《全国矿产资源总体规划（2021-2025年）》中明确锂是战略性短缺矿产和战略性洁净能源矿产，本项目属于锂辉石原矿加工项目，本项目实施后，有利于推动战略性矿产资源增加储量和提高产能，提升矿产资源安全保障水平。</w:t>
            </w:r>
          </w:p>
        </w:tc>
        <w:tc>
          <w:tcPr>
            <w:tcW w:w="607" w:type="pct"/>
            <w:vAlign w:val="center"/>
          </w:tcPr>
          <w:p w14:paraId="217BEB1A">
            <w:pPr>
              <w:pStyle w:val="37"/>
              <w:adjustRightInd w:val="0"/>
              <w:rPr>
                <w:color w:val="auto"/>
                <w:highlight w:val="none"/>
              </w:rPr>
            </w:pPr>
            <w:r>
              <w:rPr>
                <w:color w:val="auto"/>
                <w:highlight w:val="none"/>
              </w:rPr>
              <w:t>符合</w:t>
            </w:r>
          </w:p>
        </w:tc>
      </w:tr>
      <w:tr w14:paraId="40D6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9" w:type="pct"/>
            <w:vAlign w:val="center"/>
          </w:tcPr>
          <w:p w14:paraId="07717248">
            <w:pPr>
              <w:pStyle w:val="37"/>
              <w:adjustRightInd w:val="0"/>
              <w:rPr>
                <w:color w:val="auto"/>
                <w:highlight w:val="none"/>
              </w:rPr>
            </w:pPr>
            <w:r>
              <w:rPr>
                <w:color w:val="auto"/>
                <w:highlight w:val="none"/>
              </w:rPr>
              <w:t>第五十条  国家构建产品储备、产能储备和产地储备相结合的战略性矿产资源储备体系，科学合理确定储备结构、规模和布局并动态调整。</w:t>
            </w:r>
          </w:p>
          <w:p w14:paraId="2639F5B8">
            <w:pPr>
              <w:pStyle w:val="37"/>
              <w:adjustRightInd w:val="0"/>
              <w:rPr>
                <w:color w:val="auto"/>
                <w:highlight w:val="none"/>
              </w:rPr>
            </w:pPr>
            <w:r>
              <w:rPr>
                <w:color w:val="auto"/>
                <w:highlight w:val="none"/>
              </w:rPr>
              <w:t>第五十一条  国务院发展改革、财政、物资储备、能源等有关部门和省、自治区、直辖市人民政府应当按照国家有关规定加强战略性矿产资源储备设施建设，组织实施矿产品储备，建立灵活高效的收储、轮换、动用机制。</w:t>
            </w:r>
          </w:p>
        </w:tc>
        <w:tc>
          <w:tcPr>
            <w:tcW w:w="1692" w:type="pct"/>
            <w:vAlign w:val="center"/>
          </w:tcPr>
          <w:p w14:paraId="18946B36">
            <w:pPr>
              <w:pStyle w:val="37"/>
              <w:adjustRightInd w:val="0"/>
              <w:rPr>
                <w:color w:val="auto"/>
                <w:highlight w:val="none"/>
              </w:rPr>
            </w:pPr>
            <w:r>
              <w:rPr>
                <w:color w:val="auto"/>
                <w:highlight w:val="none"/>
              </w:rPr>
              <w:t>《全国矿产资源总体规划（2021-2025年）》中明确锂是战略性短缺矿产和战略性洁净能源矿产，本项目属于锂矿加工项目，本项目实施后，有利于完善战略性矿产资源储备体系。</w:t>
            </w:r>
          </w:p>
        </w:tc>
        <w:tc>
          <w:tcPr>
            <w:tcW w:w="607" w:type="pct"/>
            <w:vAlign w:val="center"/>
          </w:tcPr>
          <w:p w14:paraId="10E1C884">
            <w:pPr>
              <w:pStyle w:val="37"/>
              <w:adjustRightInd w:val="0"/>
              <w:rPr>
                <w:color w:val="auto"/>
                <w:highlight w:val="none"/>
              </w:rPr>
            </w:pPr>
            <w:r>
              <w:rPr>
                <w:color w:val="auto"/>
                <w:highlight w:val="none"/>
              </w:rPr>
              <w:t>符合</w:t>
            </w:r>
          </w:p>
        </w:tc>
      </w:tr>
      <w:tr w14:paraId="0C6B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99" w:type="pct"/>
            <w:vAlign w:val="center"/>
          </w:tcPr>
          <w:p w14:paraId="752AC153">
            <w:pPr>
              <w:pStyle w:val="37"/>
              <w:adjustRightInd w:val="0"/>
              <w:rPr>
                <w:color w:val="auto"/>
                <w:highlight w:val="none"/>
              </w:rPr>
            </w:pPr>
            <w:r>
              <w:rPr>
                <w:color w:val="auto"/>
                <w:highlight w:val="none"/>
              </w:rPr>
              <w:t>第五十五条  出现矿产品供需严重失衡、经济社会发展和人民生活受到重大影响等矿产资源应急状态的，省级以上人民政府应当按照职责权限及时启动应急响应，可以依法采取下列应急处置措施：</w:t>
            </w:r>
          </w:p>
          <w:p w14:paraId="04478065">
            <w:pPr>
              <w:pStyle w:val="37"/>
              <w:adjustRightInd w:val="0"/>
              <w:rPr>
                <w:color w:val="auto"/>
                <w:highlight w:val="none"/>
              </w:rPr>
            </w:pPr>
            <w:r>
              <w:rPr>
                <w:color w:val="auto"/>
                <w:highlight w:val="none"/>
              </w:rPr>
              <w:t>（一）发布矿产品供求等相关信息；</w:t>
            </w:r>
          </w:p>
          <w:p w14:paraId="46156441">
            <w:pPr>
              <w:pStyle w:val="37"/>
              <w:adjustRightInd w:val="0"/>
              <w:rPr>
                <w:color w:val="auto"/>
                <w:highlight w:val="none"/>
              </w:rPr>
            </w:pPr>
            <w:r>
              <w:rPr>
                <w:color w:val="auto"/>
                <w:highlight w:val="none"/>
              </w:rPr>
              <w:t>（二）紧急调度矿产资源开采以及矿产品运输、供应；</w:t>
            </w:r>
          </w:p>
          <w:p w14:paraId="3DB3E8FB">
            <w:pPr>
              <w:pStyle w:val="37"/>
              <w:adjustRightInd w:val="0"/>
              <w:rPr>
                <w:color w:val="auto"/>
                <w:highlight w:val="none"/>
              </w:rPr>
            </w:pPr>
            <w:r>
              <w:rPr>
                <w:color w:val="auto"/>
                <w:highlight w:val="none"/>
              </w:rPr>
              <w:t>（三）在战略性矿产资源储备地等区域组织实施矿产资源应急性开采；</w:t>
            </w:r>
          </w:p>
          <w:p w14:paraId="39FDB715">
            <w:pPr>
              <w:pStyle w:val="37"/>
              <w:adjustRightInd w:val="0"/>
              <w:rPr>
                <w:color w:val="auto"/>
                <w:highlight w:val="none"/>
              </w:rPr>
            </w:pPr>
            <w:r>
              <w:rPr>
                <w:color w:val="auto"/>
                <w:highlight w:val="none"/>
              </w:rPr>
              <w:t>（四）动用矿产品储备；</w:t>
            </w:r>
          </w:p>
          <w:p w14:paraId="5565688F">
            <w:pPr>
              <w:pStyle w:val="37"/>
              <w:adjustRightInd w:val="0"/>
              <w:rPr>
                <w:color w:val="auto"/>
                <w:highlight w:val="none"/>
              </w:rPr>
            </w:pPr>
            <w:r>
              <w:rPr>
                <w:color w:val="auto"/>
                <w:highlight w:val="none"/>
              </w:rPr>
              <w:t>（五）实施价格干预措施、紧急措施；</w:t>
            </w:r>
          </w:p>
          <w:p w14:paraId="2E691E2D">
            <w:pPr>
              <w:pStyle w:val="37"/>
              <w:adjustRightInd w:val="0"/>
              <w:rPr>
                <w:color w:val="auto"/>
                <w:highlight w:val="none"/>
              </w:rPr>
            </w:pPr>
            <w:r>
              <w:rPr>
                <w:color w:val="auto"/>
                <w:highlight w:val="none"/>
              </w:rPr>
              <w:t>（六）其他必要措施。</w:t>
            </w:r>
          </w:p>
          <w:p w14:paraId="11B7713A">
            <w:pPr>
              <w:pStyle w:val="37"/>
              <w:adjustRightInd w:val="0"/>
              <w:rPr>
                <w:color w:val="auto"/>
                <w:highlight w:val="none"/>
              </w:rPr>
            </w:pPr>
            <w:r>
              <w:rPr>
                <w:color w:val="auto"/>
                <w:highlight w:val="none"/>
              </w:rPr>
              <w:t>出现矿产资源应急状态时，有关单位和个人应当服从统一指挥和安排，承担相应的应急义务，配合采取应急处置措施，协助维护市场秩序。</w:t>
            </w:r>
          </w:p>
          <w:p w14:paraId="457F7F7C">
            <w:pPr>
              <w:pStyle w:val="37"/>
              <w:adjustRightInd w:val="0"/>
              <w:rPr>
                <w:color w:val="auto"/>
                <w:highlight w:val="none"/>
              </w:rPr>
            </w:pPr>
            <w:r>
              <w:rPr>
                <w:color w:val="auto"/>
                <w:highlight w:val="none"/>
              </w:rPr>
              <w:t>因执行应急处置措施给有关单位、个人造成损失的，应当按照有关规定给予补偿。</w:t>
            </w:r>
          </w:p>
          <w:p w14:paraId="474A817A">
            <w:pPr>
              <w:pStyle w:val="37"/>
              <w:adjustRightInd w:val="0"/>
              <w:rPr>
                <w:color w:val="auto"/>
                <w:highlight w:val="none"/>
              </w:rPr>
            </w:pPr>
            <w:r>
              <w:rPr>
                <w:color w:val="auto"/>
                <w:highlight w:val="none"/>
              </w:rPr>
              <w:t>矿产资源应急状态消除后，省级以上人民政府应当按照职责权限及时终止实施应急处置措施。</w:t>
            </w:r>
          </w:p>
        </w:tc>
        <w:tc>
          <w:tcPr>
            <w:tcW w:w="1692" w:type="pct"/>
            <w:vAlign w:val="center"/>
          </w:tcPr>
          <w:p w14:paraId="1055FF76">
            <w:pPr>
              <w:pStyle w:val="37"/>
              <w:adjustRightInd w:val="0"/>
              <w:rPr>
                <w:color w:val="auto"/>
                <w:highlight w:val="none"/>
              </w:rPr>
            </w:pPr>
            <w:r>
              <w:rPr>
                <w:color w:val="auto"/>
                <w:highlight w:val="none"/>
              </w:rPr>
              <w:t>《全国矿产资源总体规划（2021-2025年）》中明确锂是战略性短缺矿产和战略性洁净能源矿产，本项目属于锂矿</w:t>
            </w:r>
            <w:r>
              <w:rPr>
                <w:rFonts w:hint="eastAsia"/>
                <w:color w:val="auto"/>
                <w:highlight w:val="none"/>
              </w:rPr>
              <w:t>选矿</w:t>
            </w:r>
            <w:r>
              <w:rPr>
                <w:color w:val="auto"/>
                <w:highlight w:val="none"/>
              </w:rPr>
              <w:t>项目，本项目实施后，有利于提高乐山市矿产品储备量，能有效应对矿产资源应急状态。</w:t>
            </w:r>
          </w:p>
        </w:tc>
        <w:tc>
          <w:tcPr>
            <w:tcW w:w="607" w:type="pct"/>
            <w:vAlign w:val="center"/>
          </w:tcPr>
          <w:p w14:paraId="4E36190C">
            <w:pPr>
              <w:pStyle w:val="37"/>
              <w:adjustRightInd w:val="0"/>
              <w:rPr>
                <w:color w:val="auto"/>
                <w:highlight w:val="none"/>
              </w:rPr>
            </w:pPr>
            <w:r>
              <w:rPr>
                <w:color w:val="auto"/>
                <w:highlight w:val="none"/>
              </w:rPr>
              <w:t>符合</w:t>
            </w:r>
          </w:p>
        </w:tc>
      </w:tr>
    </w:tbl>
    <w:p w14:paraId="1F2F8037">
      <w:pPr>
        <w:adjustRightInd w:val="0"/>
        <w:ind w:firstLine="480"/>
        <w:rPr>
          <w:rFonts w:cs="Times New Roman"/>
          <w:color w:val="auto"/>
          <w:highlight w:val="none"/>
        </w:rPr>
      </w:pPr>
      <w:r>
        <w:rPr>
          <w:rFonts w:cs="Times New Roman"/>
          <w:color w:val="auto"/>
          <w:highlight w:val="none"/>
        </w:rPr>
        <w:t>2023年2月8日，四川省自然资源厅发布《四川省矿产资源总体规划》（2021-2025年），与本项目的符合性见下表：</w:t>
      </w:r>
    </w:p>
    <w:p w14:paraId="7C567BA5">
      <w:pPr>
        <w:pStyle w:val="12"/>
        <w:adjustRightInd w:val="0"/>
        <w:ind w:firstLine="48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与《四川省矿产资源总体规划》（2021-2025年）的符合性分析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9"/>
        <w:gridCol w:w="3107"/>
        <w:gridCol w:w="1036"/>
      </w:tblGrid>
      <w:tr w14:paraId="2DAC4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69" w:type="pct"/>
            <w:vAlign w:val="center"/>
          </w:tcPr>
          <w:p w14:paraId="1CD25597">
            <w:pPr>
              <w:pStyle w:val="37"/>
              <w:adjustRightInd w:val="0"/>
              <w:rPr>
                <w:b/>
                <w:bCs/>
                <w:color w:val="auto"/>
                <w:highlight w:val="none"/>
              </w:rPr>
            </w:pPr>
            <w:r>
              <w:rPr>
                <w:b/>
                <w:bCs/>
                <w:color w:val="auto"/>
                <w:highlight w:val="none"/>
              </w:rPr>
              <w:t>规划</w:t>
            </w:r>
          </w:p>
        </w:tc>
        <w:tc>
          <w:tcPr>
            <w:tcW w:w="1823" w:type="pct"/>
            <w:vAlign w:val="center"/>
          </w:tcPr>
          <w:p w14:paraId="4C2A4404">
            <w:pPr>
              <w:pStyle w:val="37"/>
              <w:adjustRightInd w:val="0"/>
              <w:rPr>
                <w:b/>
                <w:bCs/>
                <w:color w:val="auto"/>
                <w:highlight w:val="none"/>
              </w:rPr>
            </w:pPr>
            <w:r>
              <w:rPr>
                <w:b/>
                <w:bCs/>
                <w:color w:val="auto"/>
                <w:highlight w:val="none"/>
              </w:rPr>
              <w:t>本项目情况</w:t>
            </w:r>
          </w:p>
        </w:tc>
        <w:tc>
          <w:tcPr>
            <w:tcW w:w="608" w:type="pct"/>
            <w:vAlign w:val="center"/>
          </w:tcPr>
          <w:p w14:paraId="0C803635">
            <w:pPr>
              <w:pStyle w:val="37"/>
              <w:adjustRightInd w:val="0"/>
              <w:rPr>
                <w:b/>
                <w:bCs/>
                <w:color w:val="auto"/>
                <w:highlight w:val="none"/>
              </w:rPr>
            </w:pPr>
            <w:r>
              <w:rPr>
                <w:b/>
                <w:bCs/>
                <w:color w:val="auto"/>
                <w:highlight w:val="none"/>
              </w:rPr>
              <w:t>符合性</w:t>
            </w:r>
          </w:p>
        </w:tc>
      </w:tr>
      <w:tr w14:paraId="5F5C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44271601">
            <w:pPr>
              <w:pStyle w:val="37"/>
              <w:adjustRightInd w:val="0"/>
              <w:jc w:val="both"/>
              <w:rPr>
                <w:color w:val="auto"/>
                <w:highlight w:val="none"/>
              </w:rPr>
            </w:pPr>
            <w:r>
              <w:rPr>
                <w:color w:val="auto"/>
                <w:highlight w:val="none"/>
              </w:rPr>
              <w:t>第五节 节约与综合利用矿产资源</w:t>
            </w:r>
          </w:p>
          <w:p w14:paraId="2A83F06B">
            <w:pPr>
              <w:pStyle w:val="37"/>
              <w:adjustRightInd w:val="0"/>
              <w:jc w:val="both"/>
              <w:rPr>
                <w:color w:val="auto"/>
                <w:highlight w:val="none"/>
              </w:rPr>
            </w:pPr>
            <w:r>
              <w:rPr>
                <w:color w:val="auto"/>
                <w:highlight w:val="none"/>
              </w:rPr>
              <w:t>提高矿产资源开采回采率和选矿回收率。以煤、钒钛磁铁、铜、铅锌、金、稀土、锂、磷、岩盐、芒硝、饰面石材等生产矿山为重点，鼓励和支持矿山企业开发、应用先进适用的采选技术、工艺和设备，不断提高矿产资源采选水平，提升矿产资源利用效率，减少固废排放。加强矿产资源开采回采率、选矿回收率和综合利用率（简称</w:t>
            </w:r>
            <w:r>
              <w:rPr>
                <w:rFonts w:hint="eastAsia"/>
                <w:color w:val="auto"/>
                <w:highlight w:val="none"/>
              </w:rPr>
              <w:t>“</w:t>
            </w:r>
            <w:r>
              <w:rPr>
                <w:color w:val="auto"/>
                <w:highlight w:val="none"/>
              </w:rPr>
              <w:t>三率</w:t>
            </w:r>
            <w:r>
              <w:rPr>
                <w:rFonts w:hint="eastAsia"/>
                <w:color w:val="auto"/>
                <w:highlight w:val="none"/>
              </w:rPr>
              <w:t>”</w:t>
            </w:r>
            <w:r>
              <w:rPr>
                <w:color w:val="auto"/>
                <w:highlight w:val="none"/>
              </w:rPr>
              <w:t>）准入管理和监督检查。</w:t>
            </w:r>
          </w:p>
        </w:tc>
        <w:tc>
          <w:tcPr>
            <w:tcW w:w="1823" w:type="pct"/>
            <w:vAlign w:val="center"/>
          </w:tcPr>
          <w:p w14:paraId="22AAFA5C">
            <w:pPr>
              <w:pStyle w:val="37"/>
              <w:adjustRightInd w:val="0"/>
              <w:rPr>
                <w:color w:val="auto"/>
                <w:highlight w:val="none"/>
              </w:rPr>
            </w:pPr>
            <w:r>
              <w:rPr>
                <w:color w:val="auto"/>
                <w:highlight w:val="none"/>
              </w:rPr>
              <w:t>本项目选矿回收率为</w:t>
            </w:r>
            <w:r>
              <w:rPr>
                <w:rFonts w:hint="eastAsia"/>
                <w:color w:val="auto"/>
                <w:highlight w:val="none"/>
              </w:rPr>
              <w:t>83.37</w:t>
            </w:r>
            <w:r>
              <w:rPr>
                <w:color w:val="auto"/>
                <w:highlight w:val="none"/>
              </w:rPr>
              <w:t>%，达到行业先进水平。本项目固废综合率达到100%。</w:t>
            </w:r>
          </w:p>
        </w:tc>
        <w:tc>
          <w:tcPr>
            <w:tcW w:w="608" w:type="pct"/>
            <w:vAlign w:val="center"/>
          </w:tcPr>
          <w:p w14:paraId="14536BD3">
            <w:pPr>
              <w:pStyle w:val="37"/>
              <w:adjustRightInd w:val="0"/>
              <w:rPr>
                <w:color w:val="auto"/>
                <w:highlight w:val="none"/>
              </w:rPr>
            </w:pPr>
            <w:r>
              <w:rPr>
                <w:color w:val="auto"/>
                <w:highlight w:val="none"/>
              </w:rPr>
              <w:t>符合</w:t>
            </w:r>
          </w:p>
        </w:tc>
      </w:tr>
    </w:tbl>
    <w:p w14:paraId="6E42F741">
      <w:pPr>
        <w:adjustRightInd w:val="0"/>
        <w:ind w:firstLine="480"/>
        <w:rPr>
          <w:rFonts w:cs="Times New Roman"/>
          <w:color w:val="auto"/>
          <w:highlight w:val="none"/>
        </w:rPr>
      </w:pPr>
      <w:r>
        <w:rPr>
          <w:rFonts w:cs="Times New Roman"/>
          <w:color w:val="auto"/>
          <w:highlight w:val="none"/>
        </w:rPr>
        <w:t>本项目与《四川省锂资源开发及产业发展规划（2022-2025年）》符合性分析见下表。</w:t>
      </w:r>
    </w:p>
    <w:p w14:paraId="1A14645D">
      <w:pPr>
        <w:pStyle w:val="12"/>
        <w:adjustRightInd w:val="0"/>
        <w:rPr>
          <w:rFonts w:cs="Times New Roman"/>
          <w:color w:val="auto"/>
          <w:highlight w:val="none"/>
        </w:rPr>
      </w:pPr>
      <w:bookmarkStart w:id="18" w:name="_Hlk214531606"/>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10</w:t>
      </w:r>
      <w:r>
        <w:rPr>
          <w:rFonts w:cs="Times New Roman"/>
          <w:color w:val="auto"/>
          <w:highlight w:val="none"/>
        </w:rPr>
        <w:fldChar w:fldCharType="end"/>
      </w:r>
      <w:r>
        <w:rPr>
          <w:rFonts w:cs="Times New Roman"/>
          <w:color w:val="auto"/>
          <w:highlight w:val="none"/>
        </w:rPr>
        <w:t>与《四川省锂资源开发及产业发展规划（2022-2025年）》</w:t>
      </w:r>
      <w:r>
        <w:rPr>
          <w:rFonts w:hint="eastAsia" w:cs="Times New Roman"/>
          <w:color w:val="auto"/>
          <w:highlight w:val="none"/>
        </w:rPr>
        <w:t>的</w:t>
      </w:r>
      <w:r>
        <w:rPr>
          <w:rFonts w:cs="Times New Roman"/>
          <w:color w:val="auto"/>
          <w:highlight w:val="none"/>
        </w:rPr>
        <w:t>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9"/>
        <w:gridCol w:w="3107"/>
        <w:gridCol w:w="1036"/>
      </w:tblGrid>
      <w:tr w14:paraId="3759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69" w:type="pct"/>
            <w:vAlign w:val="center"/>
          </w:tcPr>
          <w:p w14:paraId="1B5AFF0E">
            <w:pPr>
              <w:pStyle w:val="37"/>
              <w:adjustRightInd w:val="0"/>
              <w:rPr>
                <w:b/>
                <w:bCs/>
                <w:color w:val="auto"/>
                <w:highlight w:val="none"/>
              </w:rPr>
            </w:pPr>
            <w:r>
              <w:rPr>
                <w:b/>
                <w:bCs/>
                <w:color w:val="auto"/>
                <w:highlight w:val="none"/>
              </w:rPr>
              <w:t>规划</w:t>
            </w:r>
          </w:p>
        </w:tc>
        <w:tc>
          <w:tcPr>
            <w:tcW w:w="1823" w:type="pct"/>
            <w:vAlign w:val="center"/>
          </w:tcPr>
          <w:p w14:paraId="0CF78991">
            <w:pPr>
              <w:pStyle w:val="37"/>
              <w:adjustRightInd w:val="0"/>
              <w:rPr>
                <w:b/>
                <w:bCs/>
                <w:color w:val="auto"/>
                <w:highlight w:val="none"/>
              </w:rPr>
            </w:pPr>
            <w:r>
              <w:rPr>
                <w:b/>
                <w:bCs/>
                <w:color w:val="auto"/>
                <w:highlight w:val="none"/>
              </w:rPr>
              <w:t>本项目情况</w:t>
            </w:r>
          </w:p>
        </w:tc>
        <w:tc>
          <w:tcPr>
            <w:tcW w:w="608" w:type="pct"/>
            <w:vAlign w:val="center"/>
          </w:tcPr>
          <w:p w14:paraId="0F652C1D">
            <w:pPr>
              <w:pStyle w:val="37"/>
              <w:adjustRightInd w:val="0"/>
              <w:rPr>
                <w:b/>
                <w:bCs/>
                <w:color w:val="auto"/>
                <w:highlight w:val="none"/>
              </w:rPr>
            </w:pPr>
            <w:r>
              <w:rPr>
                <w:b/>
                <w:bCs/>
                <w:color w:val="auto"/>
                <w:highlight w:val="none"/>
              </w:rPr>
              <w:t>符合性</w:t>
            </w:r>
          </w:p>
        </w:tc>
      </w:tr>
      <w:tr w14:paraId="0592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124B9FC7">
            <w:pPr>
              <w:pStyle w:val="37"/>
              <w:adjustRightInd w:val="0"/>
              <w:jc w:val="both"/>
              <w:rPr>
                <w:color w:val="auto"/>
                <w:highlight w:val="none"/>
              </w:rPr>
            </w:pPr>
            <w:r>
              <w:rPr>
                <w:color w:val="auto"/>
                <w:highlight w:val="none"/>
              </w:rPr>
              <w:t>省委十一届十次全会作出《以实现碳达峰碳中和目标为引领推动绿色低碳优势产业高质量发展的决定》，明确提出要科学有序推进锂辉石矿高效综合利用，促进锂材料全产业链协同发展，壮大动力电池产业，为保障国家产业链供应链作出贡献。</w:t>
            </w:r>
          </w:p>
        </w:tc>
        <w:tc>
          <w:tcPr>
            <w:tcW w:w="1823" w:type="pct"/>
            <w:vAlign w:val="center"/>
          </w:tcPr>
          <w:p w14:paraId="7A3D404C">
            <w:pPr>
              <w:pStyle w:val="37"/>
              <w:adjustRightInd w:val="0"/>
              <w:rPr>
                <w:color w:val="auto"/>
                <w:highlight w:val="none"/>
              </w:rPr>
            </w:pPr>
            <w:r>
              <w:rPr>
                <w:color w:val="auto"/>
                <w:highlight w:val="none"/>
              </w:rPr>
              <w:t>本项目建设属于锂材料产业链一环，为保障国家产业链供应链作出贡献。</w:t>
            </w:r>
          </w:p>
        </w:tc>
        <w:tc>
          <w:tcPr>
            <w:tcW w:w="608" w:type="pct"/>
            <w:vAlign w:val="center"/>
          </w:tcPr>
          <w:p w14:paraId="1AD8ADDB">
            <w:pPr>
              <w:pStyle w:val="37"/>
              <w:adjustRightInd w:val="0"/>
              <w:rPr>
                <w:color w:val="auto"/>
                <w:highlight w:val="none"/>
              </w:rPr>
            </w:pPr>
            <w:r>
              <w:rPr>
                <w:color w:val="auto"/>
                <w:highlight w:val="none"/>
              </w:rPr>
              <w:t>符合</w:t>
            </w:r>
          </w:p>
        </w:tc>
      </w:tr>
      <w:bookmarkEnd w:id="18"/>
      <w:tr w14:paraId="63C0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5BEC0868">
            <w:pPr>
              <w:pStyle w:val="37"/>
              <w:adjustRightInd w:val="0"/>
              <w:jc w:val="both"/>
              <w:rPr>
                <w:color w:val="auto"/>
                <w:highlight w:val="none"/>
              </w:rPr>
            </w:pPr>
            <w:r>
              <w:rPr>
                <w:color w:val="auto"/>
                <w:highlight w:val="none"/>
              </w:rPr>
              <w:t>深化产业协同。坚持开放合作，推动各类要素合理有序流动，促进资源开发与市场需求有效对接，形成产业链上中下游企业优势互补、互利共赢的协同发展格局。</w:t>
            </w:r>
          </w:p>
        </w:tc>
        <w:tc>
          <w:tcPr>
            <w:tcW w:w="1823" w:type="pct"/>
            <w:vAlign w:val="center"/>
          </w:tcPr>
          <w:p w14:paraId="090B53BA">
            <w:pPr>
              <w:pStyle w:val="37"/>
              <w:adjustRightInd w:val="0"/>
              <w:rPr>
                <w:color w:val="auto"/>
                <w:highlight w:val="none"/>
              </w:rPr>
            </w:pPr>
            <w:r>
              <w:rPr>
                <w:color w:val="auto"/>
                <w:highlight w:val="none"/>
              </w:rPr>
              <w:t>浮选得到的锂精矿提供给下游锂材料加工企业，生产过程中产生的尾矿交</w:t>
            </w:r>
            <w:r>
              <w:rPr>
                <w:rFonts w:hint="eastAsia"/>
                <w:color w:val="auto"/>
                <w:highlight w:val="none"/>
              </w:rPr>
              <w:t>由</w:t>
            </w:r>
            <w:r>
              <w:rPr>
                <w:color w:val="auto"/>
                <w:highlight w:val="none"/>
              </w:rPr>
              <w:t>下游新型建材企业综合利用，形成了产业链上中下游协同发展格局。</w:t>
            </w:r>
          </w:p>
        </w:tc>
        <w:tc>
          <w:tcPr>
            <w:tcW w:w="608" w:type="pct"/>
            <w:vAlign w:val="center"/>
          </w:tcPr>
          <w:p w14:paraId="1297C729">
            <w:pPr>
              <w:pStyle w:val="37"/>
              <w:adjustRightInd w:val="0"/>
              <w:rPr>
                <w:color w:val="auto"/>
                <w:highlight w:val="none"/>
              </w:rPr>
            </w:pPr>
            <w:r>
              <w:rPr>
                <w:color w:val="auto"/>
                <w:highlight w:val="none"/>
              </w:rPr>
              <w:t>符合</w:t>
            </w:r>
          </w:p>
        </w:tc>
      </w:tr>
      <w:tr w14:paraId="7E83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6066DF29">
            <w:pPr>
              <w:pStyle w:val="37"/>
              <w:adjustRightInd w:val="0"/>
              <w:jc w:val="both"/>
              <w:rPr>
                <w:color w:val="auto"/>
                <w:highlight w:val="none"/>
              </w:rPr>
            </w:pPr>
            <w:r>
              <w:rPr>
                <w:color w:val="auto"/>
                <w:highlight w:val="none"/>
              </w:rPr>
              <w:t>完善锂产业跨区域生态圈，引导行业龙头企业选择符合条件的地方合理布局，鼓励锂矿企业、锂电材料企业、锂电池企业全产业链协同发展。</w:t>
            </w:r>
          </w:p>
        </w:tc>
        <w:tc>
          <w:tcPr>
            <w:tcW w:w="1823" w:type="pct"/>
            <w:vAlign w:val="center"/>
          </w:tcPr>
          <w:p w14:paraId="658C1151">
            <w:pPr>
              <w:pStyle w:val="37"/>
              <w:adjustRightInd w:val="0"/>
              <w:rPr>
                <w:color w:val="auto"/>
                <w:highlight w:val="none"/>
              </w:rPr>
            </w:pPr>
            <w:r>
              <w:rPr>
                <w:color w:val="auto"/>
                <w:highlight w:val="none"/>
              </w:rPr>
              <w:t>本项目属于锂矿</w:t>
            </w:r>
            <w:r>
              <w:rPr>
                <w:rFonts w:hint="eastAsia"/>
                <w:color w:val="auto"/>
                <w:highlight w:val="none"/>
              </w:rPr>
              <w:t>选矿项目</w:t>
            </w:r>
            <w:r>
              <w:rPr>
                <w:color w:val="auto"/>
                <w:highlight w:val="none"/>
              </w:rPr>
              <w:t>，衔接锂矿企业和锂电材料企业。</w:t>
            </w:r>
          </w:p>
        </w:tc>
        <w:tc>
          <w:tcPr>
            <w:tcW w:w="608" w:type="pct"/>
            <w:vAlign w:val="center"/>
          </w:tcPr>
          <w:p w14:paraId="49814012">
            <w:pPr>
              <w:pStyle w:val="37"/>
              <w:adjustRightInd w:val="0"/>
              <w:rPr>
                <w:color w:val="auto"/>
                <w:highlight w:val="none"/>
              </w:rPr>
            </w:pPr>
            <w:r>
              <w:rPr>
                <w:color w:val="auto"/>
                <w:highlight w:val="none"/>
              </w:rPr>
              <w:t>符合</w:t>
            </w:r>
          </w:p>
        </w:tc>
      </w:tr>
      <w:tr w14:paraId="0F70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1F394E73">
            <w:pPr>
              <w:pStyle w:val="37"/>
              <w:adjustRightInd w:val="0"/>
              <w:jc w:val="both"/>
              <w:rPr>
                <w:color w:val="auto"/>
                <w:highlight w:val="none"/>
              </w:rPr>
            </w:pPr>
            <w:r>
              <w:rPr>
                <w:color w:val="auto"/>
                <w:highlight w:val="none"/>
              </w:rPr>
              <w:t>深化甘孜州、阿坝州等资源地与成都市、宜宾市、眉山市等产业集聚地合作共建</w:t>
            </w:r>
            <w:r>
              <w:rPr>
                <w:rFonts w:hint="eastAsia"/>
                <w:color w:val="auto"/>
                <w:highlight w:val="none"/>
              </w:rPr>
              <w:t>“</w:t>
            </w:r>
            <w:r>
              <w:rPr>
                <w:color w:val="auto"/>
                <w:highlight w:val="none"/>
              </w:rPr>
              <w:t>飞地园区</w:t>
            </w:r>
            <w:r>
              <w:rPr>
                <w:rFonts w:hint="eastAsia"/>
                <w:color w:val="auto"/>
                <w:highlight w:val="none"/>
              </w:rPr>
              <w:t>”</w:t>
            </w:r>
            <w:r>
              <w:rPr>
                <w:color w:val="auto"/>
                <w:highlight w:val="none"/>
              </w:rPr>
              <w:t>，进一步加大力度开拓国内市场、促进产业转移，推动锂资源稳妥有序开发、锂产业跨区域协同发展。</w:t>
            </w:r>
          </w:p>
        </w:tc>
        <w:tc>
          <w:tcPr>
            <w:tcW w:w="1823" w:type="pct"/>
            <w:vAlign w:val="center"/>
          </w:tcPr>
          <w:p w14:paraId="748359EE">
            <w:pPr>
              <w:pStyle w:val="37"/>
              <w:adjustRightInd w:val="0"/>
              <w:rPr>
                <w:color w:val="auto"/>
                <w:highlight w:val="none"/>
              </w:rPr>
            </w:pPr>
            <w:r>
              <w:rPr>
                <w:color w:val="auto"/>
                <w:highlight w:val="none"/>
              </w:rPr>
              <w:t>本项目加工甘孜州企业提供的锂矿，有利于推动锂资源稳妥有序开发、锂产业跨区域协同发展。</w:t>
            </w:r>
          </w:p>
        </w:tc>
        <w:tc>
          <w:tcPr>
            <w:tcW w:w="608" w:type="pct"/>
            <w:vAlign w:val="center"/>
          </w:tcPr>
          <w:p w14:paraId="6E1DFC97">
            <w:pPr>
              <w:pStyle w:val="37"/>
              <w:adjustRightInd w:val="0"/>
              <w:rPr>
                <w:color w:val="auto"/>
                <w:highlight w:val="none"/>
              </w:rPr>
            </w:pPr>
            <w:r>
              <w:rPr>
                <w:color w:val="auto"/>
                <w:highlight w:val="none"/>
              </w:rPr>
              <w:t>符合</w:t>
            </w:r>
          </w:p>
        </w:tc>
      </w:tr>
      <w:tr w14:paraId="3E9BC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59B795A6">
            <w:pPr>
              <w:pStyle w:val="37"/>
              <w:adjustRightInd w:val="0"/>
              <w:jc w:val="both"/>
              <w:rPr>
                <w:color w:val="auto"/>
                <w:highlight w:val="none"/>
              </w:rPr>
            </w:pPr>
            <w:r>
              <w:rPr>
                <w:color w:val="auto"/>
                <w:highlight w:val="none"/>
              </w:rPr>
              <w:t>推广资源环境友好型开发模式，聚焦勘查、采选等关键领域环节，加强自主创新和引进消化吸收再创新。以降低成本、提高效益为重点，大力推进矿石提锂技术革新，加大探矿、采选矿、尾矿处理、共伴生矿产资源综合利用等关键技术研发力度。积极发展深部探矿技术，改进重选、浮选、磁选技术，淘汰落后产能与技术装备，引进清洁生产新工艺、新技术，提高资源利用率。</w:t>
            </w:r>
          </w:p>
        </w:tc>
        <w:tc>
          <w:tcPr>
            <w:tcW w:w="1823" w:type="pct"/>
            <w:vAlign w:val="center"/>
          </w:tcPr>
          <w:p w14:paraId="72F4E542">
            <w:pPr>
              <w:pStyle w:val="37"/>
              <w:adjustRightInd w:val="0"/>
              <w:rPr>
                <w:color w:val="auto"/>
                <w:highlight w:val="none"/>
              </w:rPr>
            </w:pPr>
            <w:r>
              <w:rPr>
                <w:color w:val="auto"/>
                <w:highlight w:val="none"/>
              </w:rPr>
              <w:t>本项目所选设备不属于《产业结构调整指导目录（2024年本）</w:t>
            </w:r>
            <w:r>
              <w:rPr>
                <w:rFonts w:hint="eastAsia"/>
                <w:color w:val="auto"/>
                <w:highlight w:val="none"/>
              </w:rPr>
              <w:t>》《</w:t>
            </w:r>
            <w:r>
              <w:rPr>
                <w:color w:val="auto"/>
                <w:highlight w:val="none"/>
              </w:rPr>
              <w:t>高耗能落后机电设备（产品）淘汰目录（第一、二、三、四批）》（中华人民共和国工业和信息化部）中的淘汰类或限制类设备。本项目选用浮选法及磁选法相结合的生产工艺，该技术能有效地解决原料中存在品位较低和铁含量较高的问题，废水可实现循环利用，产品质量稳定，环境污染可有效减轻，其生产工艺总体达到了国内先进水平，属清洁生产工艺。本项目资料利用率满足《关于锂、锶、重晶石、石灰岩、菱镁矿和硼等矿产资源合理开发利用</w:t>
            </w:r>
            <w:r>
              <w:rPr>
                <w:rFonts w:hint="eastAsia"/>
                <w:color w:val="auto"/>
                <w:highlight w:val="none"/>
              </w:rPr>
              <w:t>“</w:t>
            </w:r>
            <w:r>
              <w:rPr>
                <w:color w:val="auto"/>
                <w:highlight w:val="none"/>
              </w:rPr>
              <w:t>三率</w:t>
            </w:r>
            <w:r>
              <w:rPr>
                <w:rFonts w:hint="eastAsia"/>
                <w:color w:val="auto"/>
                <w:highlight w:val="none"/>
              </w:rPr>
              <w:t>”</w:t>
            </w:r>
            <w:r>
              <w:rPr>
                <w:color w:val="auto"/>
                <w:highlight w:val="none"/>
              </w:rPr>
              <w:t>最低指标要求》的要求。</w:t>
            </w:r>
          </w:p>
        </w:tc>
        <w:tc>
          <w:tcPr>
            <w:tcW w:w="608" w:type="pct"/>
            <w:vAlign w:val="center"/>
          </w:tcPr>
          <w:p w14:paraId="380BFAA8">
            <w:pPr>
              <w:pStyle w:val="37"/>
              <w:adjustRightInd w:val="0"/>
              <w:rPr>
                <w:color w:val="auto"/>
                <w:highlight w:val="none"/>
              </w:rPr>
            </w:pPr>
          </w:p>
        </w:tc>
      </w:tr>
    </w:tbl>
    <w:p w14:paraId="78EA9690">
      <w:pPr>
        <w:pStyle w:val="42"/>
        <w:adjustRightInd w:val="0"/>
        <w:ind w:firstLine="480"/>
        <w:rPr>
          <w:color w:val="auto"/>
          <w:highlight w:val="none"/>
        </w:rPr>
      </w:pPr>
      <w:r>
        <w:rPr>
          <w:color w:val="auto"/>
          <w:highlight w:val="none"/>
        </w:rPr>
        <w:t>2023年9月25日，四川省经济合作局发布《促进锂电产业高质量发展的实施意见》，与本项目的符合性见下表：</w:t>
      </w:r>
    </w:p>
    <w:p w14:paraId="5A9F179C">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11</w:t>
      </w:r>
      <w:r>
        <w:rPr>
          <w:rFonts w:cs="Times New Roman"/>
          <w:color w:val="auto"/>
          <w:highlight w:val="none"/>
        </w:rPr>
        <w:fldChar w:fldCharType="end"/>
      </w:r>
      <w:r>
        <w:rPr>
          <w:rFonts w:cs="Times New Roman"/>
          <w:color w:val="auto"/>
          <w:highlight w:val="none"/>
        </w:rPr>
        <w:t>与《促进锂电产业高质量发展的实施意见》的符合性分析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0"/>
        <w:gridCol w:w="3107"/>
        <w:gridCol w:w="1035"/>
      </w:tblGrid>
      <w:tr w14:paraId="552B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69" w:type="pct"/>
            <w:vAlign w:val="center"/>
          </w:tcPr>
          <w:p w14:paraId="24599AE8">
            <w:pPr>
              <w:pStyle w:val="37"/>
              <w:adjustRightInd w:val="0"/>
              <w:rPr>
                <w:b/>
                <w:bCs/>
                <w:color w:val="auto"/>
                <w:highlight w:val="none"/>
              </w:rPr>
            </w:pPr>
            <w:r>
              <w:rPr>
                <w:b/>
                <w:bCs/>
                <w:color w:val="auto"/>
                <w:highlight w:val="none"/>
              </w:rPr>
              <w:t>实施意见</w:t>
            </w:r>
          </w:p>
        </w:tc>
        <w:tc>
          <w:tcPr>
            <w:tcW w:w="1822" w:type="pct"/>
            <w:vAlign w:val="center"/>
          </w:tcPr>
          <w:p w14:paraId="1C988AF4">
            <w:pPr>
              <w:pStyle w:val="37"/>
              <w:adjustRightInd w:val="0"/>
              <w:rPr>
                <w:b/>
                <w:bCs/>
                <w:color w:val="auto"/>
                <w:highlight w:val="none"/>
              </w:rPr>
            </w:pPr>
            <w:r>
              <w:rPr>
                <w:b/>
                <w:bCs/>
                <w:color w:val="auto"/>
                <w:highlight w:val="none"/>
              </w:rPr>
              <w:t>本项目情况</w:t>
            </w:r>
          </w:p>
        </w:tc>
        <w:tc>
          <w:tcPr>
            <w:tcW w:w="607" w:type="pct"/>
            <w:vAlign w:val="center"/>
          </w:tcPr>
          <w:p w14:paraId="23176FDC">
            <w:pPr>
              <w:pStyle w:val="37"/>
              <w:adjustRightInd w:val="0"/>
              <w:rPr>
                <w:b/>
                <w:bCs/>
                <w:color w:val="auto"/>
                <w:highlight w:val="none"/>
              </w:rPr>
            </w:pPr>
            <w:r>
              <w:rPr>
                <w:b/>
                <w:bCs/>
                <w:color w:val="auto"/>
                <w:highlight w:val="none"/>
              </w:rPr>
              <w:t>符合性</w:t>
            </w:r>
          </w:p>
        </w:tc>
      </w:tr>
      <w:tr w14:paraId="535B4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6FBBA636">
            <w:pPr>
              <w:pStyle w:val="37"/>
              <w:adjustRightInd w:val="0"/>
              <w:jc w:val="both"/>
              <w:rPr>
                <w:color w:val="auto"/>
                <w:highlight w:val="none"/>
              </w:rPr>
            </w:pPr>
            <w:r>
              <w:rPr>
                <w:color w:val="auto"/>
                <w:highlight w:val="none"/>
              </w:rPr>
              <w:t>支持锂电产业重点项目建设。按照</w:t>
            </w:r>
            <w:r>
              <w:rPr>
                <w:rFonts w:hint="eastAsia"/>
                <w:color w:val="auto"/>
                <w:highlight w:val="none"/>
              </w:rPr>
              <w:t>“</w:t>
            </w:r>
            <w:r>
              <w:rPr>
                <w:color w:val="auto"/>
                <w:highlight w:val="none"/>
              </w:rPr>
              <w:t>省市联动、行业治理、结构优化、效益突出</w:t>
            </w:r>
            <w:r>
              <w:rPr>
                <w:rFonts w:hint="eastAsia"/>
                <w:color w:val="auto"/>
                <w:highlight w:val="none"/>
              </w:rPr>
              <w:t>”</w:t>
            </w:r>
            <w:r>
              <w:rPr>
                <w:color w:val="auto"/>
                <w:highlight w:val="none"/>
              </w:rPr>
              <w:t>原则，对标国际国内先进水平，开展锂电产业项目评价。研究制定项目评价管理措施，围绕基础锂盐、正/负极材料、电解液、隔膜、锂电池等上、中、下游产业环节，对存量项目和拟建项目进行科学评价。对质量效益好、创新能力强、节能减排效率高的项目，在要素保障、财政金融、人才培育等方面给予支持；对综合效益差和生产工艺水平滞后的项目，督促企业对标先进实施技术改造，引导地方政府审慎推动。</w:t>
            </w:r>
          </w:p>
        </w:tc>
        <w:tc>
          <w:tcPr>
            <w:tcW w:w="1822" w:type="pct"/>
            <w:vAlign w:val="center"/>
          </w:tcPr>
          <w:p w14:paraId="0CE4648D">
            <w:pPr>
              <w:pStyle w:val="37"/>
              <w:adjustRightInd w:val="0"/>
              <w:rPr>
                <w:color w:val="auto"/>
                <w:highlight w:val="none"/>
              </w:rPr>
            </w:pPr>
            <w:r>
              <w:rPr>
                <w:color w:val="auto"/>
                <w:highlight w:val="none"/>
              </w:rPr>
              <w:t>本项目属于锂电企业上游，本项目产品为锂精矿，可作为锂电企业生产的原料。</w:t>
            </w:r>
          </w:p>
        </w:tc>
        <w:tc>
          <w:tcPr>
            <w:tcW w:w="607" w:type="pct"/>
            <w:vAlign w:val="center"/>
          </w:tcPr>
          <w:p w14:paraId="30F21D4F">
            <w:pPr>
              <w:pStyle w:val="37"/>
              <w:adjustRightInd w:val="0"/>
              <w:rPr>
                <w:color w:val="auto"/>
                <w:highlight w:val="none"/>
              </w:rPr>
            </w:pPr>
            <w:r>
              <w:rPr>
                <w:color w:val="auto"/>
                <w:highlight w:val="none"/>
              </w:rPr>
              <w:t>符合</w:t>
            </w:r>
          </w:p>
        </w:tc>
      </w:tr>
      <w:tr w14:paraId="23615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6EC0C909">
            <w:pPr>
              <w:pStyle w:val="37"/>
              <w:adjustRightInd w:val="0"/>
              <w:jc w:val="both"/>
              <w:rPr>
                <w:color w:val="auto"/>
                <w:highlight w:val="none"/>
              </w:rPr>
            </w:pPr>
            <w:r>
              <w:rPr>
                <w:color w:val="auto"/>
                <w:highlight w:val="none"/>
              </w:rPr>
              <w:t>培育壮大产业集群。支持成都市、宜宾市、遂宁市、德阳市等建设锂电产业国家先进制造业集群。加强园区承载能力建设，支持锂电产业特色园区创建国家级开发区、国家新型工业化产业示范基地。支持四川射洪经济技术开发区、宜宾临港经济技术开发区、淮州新城（含成都—阿坝工业园区）、甘孜—眉山工业园区等重点园区协作配套，建设高成长性千亿级绿色低碳优势产业重点园区。</w:t>
            </w:r>
          </w:p>
        </w:tc>
        <w:tc>
          <w:tcPr>
            <w:tcW w:w="1822" w:type="pct"/>
            <w:vAlign w:val="center"/>
          </w:tcPr>
          <w:p w14:paraId="74ED4046">
            <w:pPr>
              <w:pStyle w:val="37"/>
              <w:adjustRightInd w:val="0"/>
              <w:rPr>
                <w:color w:val="auto"/>
                <w:highlight w:val="none"/>
              </w:rPr>
            </w:pPr>
            <w:r>
              <w:rPr>
                <w:color w:val="auto"/>
                <w:highlight w:val="none"/>
              </w:rPr>
              <w:t>本项目位于乐山市沙湾区，具有地理优势，能联动甘孜—眉山工业园区，形成园区协作配套。</w:t>
            </w:r>
          </w:p>
        </w:tc>
        <w:tc>
          <w:tcPr>
            <w:tcW w:w="607" w:type="pct"/>
            <w:vAlign w:val="center"/>
          </w:tcPr>
          <w:p w14:paraId="4CC7ADBF">
            <w:pPr>
              <w:pStyle w:val="37"/>
              <w:adjustRightInd w:val="0"/>
              <w:rPr>
                <w:color w:val="auto"/>
                <w:highlight w:val="none"/>
              </w:rPr>
            </w:pPr>
            <w:r>
              <w:rPr>
                <w:color w:val="auto"/>
                <w:highlight w:val="none"/>
              </w:rPr>
              <w:t>符合</w:t>
            </w:r>
          </w:p>
        </w:tc>
      </w:tr>
    </w:tbl>
    <w:p w14:paraId="693A3A1E">
      <w:pPr>
        <w:adjustRightInd w:val="0"/>
        <w:ind w:firstLine="480"/>
        <w:rPr>
          <w:rFonts w:cs="Times New Roman"/>
          <w:color w:val="auto"/>
          <w:szCs w:val="22"/>
          <w:highlight w:val="none"/>
        </w:rPr>
      </w:pPr>
      <w:r>
        <w:rPr>
          <w:rFonts w:cs="Times New Roman"/>
          <w:color w:val="auto"/>
          <w:szCs w:val="22"/>
          <w:highlight w:val="none"/>
        </w:rPr>
        <w:t>202</w:t>
      </w:r>
      <w:r>
        <w:rPr>
          <w:rFonts w:hint="eastAsia" w:cs="Times New Roman"/>
          <w:color w:val="auto"/>
          <w:szCs w:val="22"/>
          <w:highlight w:val="none"/>
        </w:rPr>
        <w:t>4</w:t>
      </w:r>
      <w:r>
        <w:rPr>
          <w:rFonts w:cs="Times New Roman"/>
          <w:color w:val="auto"/>
          <w:szCs w:val="22"/>
          <w:highlight w:val="none"/>
        </w:rPr>
        <w:t>年</w:t>
      </w:r>
      <w:r>
        <w:rPr>
          <w:rFonts w:hint="eastAsia" w:cs="Times New Roman"/>
          <w:color w:val="auto"/>
          <w:szCs w:val="22"/>
          <w:highlight w:val="none"/>
        </w:rPr>
        <w:t>12</w:t>
      </w:r>
      <w:r>
        <w:rPr>
          <w:rFonts w:cs="Times New Roman"/>
          <w:color w:val="auto"/>
          <w:szCs w:val="22"/>
          <w:highlight w:val="none"/>
        </w:rPr>
        <w:t>月</w:t>
      </w:r>
      <w:r>
        <w:rPr>
          <w:rFonts w:hint="eastAsia" w:cs="Times New Roman"/>
          <w:color w:val="auto"/>
          <w:szCs w:val="22"/>
          <w:highlight w:val="none"/>
        </w:rPr>
        <w:t>2</w:t>
      </w:r>
      <w:r>
        <w:rPr>
          <w:rFonts w:cs="Times New Roman"/>
          <w:color w:val="auto"/>
          <w:szCs w:val="22"/>
          <w:highlight w:val="none"/>
        </w:rPr>
        <w:t>日，四川省经济和信息化厅</w:t>
      </w:r>
      <w:r>
        <w:rPr>
          <w:rFonts w:hint="eastAsia" w:cs="Times New Roman"/>
          <w:color w:val="auto"/>
          <w:szCs w:val="22"/>
          <w:highlight w:val="none"/>
        </w:rPr>
        <w:t>、</w:t>
      </w:r>
      <w:r>
        <w:rPr>
          <w:rFonts w:cs="Times New Roman"/>
          <w:color w:val="auto"/>
          <w:szCs w:val="22"/>
          <w:highlight w:val="none"/>
        </w:rPr>
        <w:t>四川省科学技术厅</w:t>
      </w:r>
      <w:r>
        <w:rPr>
          <w:rFonts w:hint="eastAsia" w:cs="Times New Roman"/>
          <w:color w:val="auto"/>
          <w:szCs w:val="22"/>
          <w:highlight w:val="none"/>
        </w:rPr>
        <w:t>、</w:t>
      </w:r>
      <w:r>
        <w:rPr>
          <w:rFonts w:cs="Times New Roman"/>
          <w:color w:val="auto"/>
          <w:szCs w:val="22"/>
          <w:highlight w:val="none"/>
        </w:rPr>
        <w:t>四川省自然资源厅</w:t>
      </w:r>
      <w:r>
        <w:rPr>
          <w:rFonts w:hint="eastAsia" w:cs="Times New Roman"/>
          <w:color w:val="auto"/>
          <w:szCs w:val="22"/>
          <w:highlight w:val="none"/>
        </w:rPr>
        <w:t>、</w:t>
      </w:r>
      <w:r>
        <w:rPr>
          <w:rFonts w:cs="Times New Roman"/>
          <w:color w:val="auto"/>
          <w:szCs w:val="22"/>
          <w:highlight w:val="none"/>
        </w:rPr>
        <w:t>四川省商务厅</w:t>
      </w:r>
      <w:r>
        <w:rPr>
          <w:rFonts w:hint="eastAsia" w:cs="Times New Roman"/>
          <w:color w:val="auto"/>
          <w:szCs w:val="22"/>
          <w:highlight w:val="none"/>
        </w:rPr>
        <w:t>、</w:t>
      </w:r>
      <w:r>
        <w:rPr>
          <w:rFonts w:cs="Times New Roman"/>
          <w:color w:val="auto"/>
          <w:szCs w:val="22"/>
          <w:highlight w:val="none"/>
        </w:rPr>
        <w:t>四川省应急管理厅</w:t>
      </w:r>
      <w:r>
        <w:rPr>
          <w:rFonts w:hint="eastAsia" w:cs="Times New Roman"/>
          <w:color w:val="auto"/>
          <w:szCs w:val="22"/>
          <w:highlight w:val="none"/>
        </w:rPr>
        <w:t>、</w:t>
      </w:r>
      <w:r>
        <w:rPr>
          <w:rFonts w:cs="Times New Roman"/>
          <w:color w:val="auto"/>
          <w:szCs w:val="22"/>
          <w:highlight w:val="none"/>
        </w:rPr>
        <w:t>四川省市场监督管理局</w:t>
      </w:r>
      <w:r>
        <w:rPr>
          <w:rFonts w:hint="eastAsia" w:cs="Times New Roman"/>
          <w:color w:val="auto"/>
          <w:szCs w:val="22"/>
          <w:highlight w:val="none"/>
        </w:rPr>
        <w:t>、</w:t>
      </w:r>
      <w:r>
        <w:rPr>
          <w:rFonts w:cs="Times New Roman"/>
          <w:color w:val="auto"/>
          <w:szCs w:val="22"/>
          <w:highlight w:val="none"/>
        </w:rPr>
        <w:t>四川省统计局</w:t>
      </w:r>
      <w:r>
        <w:rPr>
          <w:rFonts w:hint="eastAsia" w:cs="Times New Roman"/>
          <w:color w:val="auto"/>
          <w:szCs w:val="22"/>
          <w:highlight w:val="none"/>
        </w:rPr>
        <w:t>、</w:t>
      </w:r>
      <w:r>
        <w:rPr>
          <w:rFonts w:cs="Times New Roman"/>
          <w:color w:val="auto"/>
          <w:szCs w:val="22"/>
          <w:highlight w:val="none"/>
        </w:rPr>
        <w:t>四川省经济合作局</w:t>
      </w:r>
      <w:r>
        <w:rPr>
          <w:rFonts w:hint="eastAsia" w:cs="Times New Roman"/>
          <w:color w:val="auto"/>
          <w:szCs w:val="22"/>
          <w:highlight w:val="none"/>
        </w:rPr>
        <w:t>、</w:t>
      </w:r>
      <w:r>
        <w:rPr>
          <w:rFonts w:cs="Times New Roman"/>
          <w:color w:val="auto"/>
          <w:szCs w:val="22"/>
          <w:highlight w:val="none"/>
        </w:rPr>
        <w:t>国家税务总局四川省税务局发布《关于印发</w:t>
      </w:r>
      <w:r>
        <w:rPr>
          <w:rFonts w:hint="eastAsia" w:cs="Times New Roman"/>
          <w:color w:val="auto"/>
          <w:szCs w:val="22"/>
          <w:highlight w:val="none"/>
        </w:rPr>
        <w:t>&lt;</w:t>
      </w:r>
      <w:r>
        <w:rPr>
          <w:rFonts w:cs="Times New Roman"/>
          <w:color w:val="auto"/>
          <w:szCs w:val="22"/>
          <w:highlight w:val="none"/>
        </w:rPr>
        <w:t>开展锂电产业项目评价促进高质量发展的实施方案（试行）</w:t>
      </w:r>
      <w:r>
        <w:rPr>
          <w:rFonts w:hint="eastAsia" w:cs="Times New Roman"/>
          <w:color w:val="auto"/>
          <w:szCs w:val="22"/>
          <w:highlight w:val="none"/>
        </w:rPr>
        <w:t>&gt;</w:t>
      </w:r>
      <w:r>
        <w:rPr>
          <w:rFonts w:cs="Times New Roman"/>
          <w:color w:val="auto"/>
          <w:szCs w:val="22"/>
          <w:highlight w:val="none"/>
        </w:rPr>
        <w:t>的通知》</w:t>
      </w:r>
      <w:r>
        <w:rPr>
          <w:rFonts w:hint="eastAsia" w:cs="Times New Roman"/>
          <w:color w:val="auto"/>
          <w:szCs w:val="22"/>
          <w:highlight w:val="none"/>
        </w:rPr>
        <w:t>（川经信规〔2024〕6号）</w:t>
      </w:r>
      <w:r>
        <w:rPr>
          <w:rFonts w:cs="Times New Roman"/>
          <w:color w:val="auto"/>
          <w:szCs w:val="22"/>
          <w:highlight w:val="none"/>
        </w:rPr>
        <w:t>，与本项目的符合性见下表：</w:t>
      </w:r>
    </w:p>
    <w:p w14:paraId="79D47EAA">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 xml:space="preserve">表 </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1</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12</w:t>
      </w:r>
      <w:r>
        <w:rPr>
          <w:rFonts w:cs="Times New Roman"/>
          <w:b/>
          <w:color w:val="auto"/>
          <w:sz w:val="21"/>
          <w:szCs w:val="20"/>
          <w:highlight w:val="none"/>
        </w:rPr>
        <w:fldChar w:fldCharType="end"/>
      </w:r>
      <w:r>
        <w:rPr>
          <w:rFonts w:cs="Times New Roman"/>
          <w:b/>
          <w:color w:val="auto"/>
          <w:sz w:val="21"/>
          <w:szCs w:val="20"/>
          <w:highlight w:val="none"/>
        </w:rPr>
        <w:t>与《关于印发&lt;开展锂电产业项目评价促进高质量发展的实施方案（试行）&gt;的通知》（川经信规〔2024〕6号）的符合性分析</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0"/>
        <w:gridCol w:w="3107"/>
        <w:gridCol w:w="1035"/>
      </w:tblGrid>
      <w:tr w14:paraId="5EF14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69" w:type="pct"/>
            <w:vAlign w:val="center"/>
          </w:tcPr>
          <w:p w14:paraId="680C43EE">
            <w:pPr>
              <w:pStyle w:val="37"/>
              <w:rPr>
                <w:b/>
                <w:bCs/>
                <w:color w:val="auto"/>
                <w:highlight w:val="none"/>
              </w:rPr>
            </w:pPr>
            <w:r>
              <w:rPr>
                <w:b/>
                <w:bCs/>
                <w:color w:val="auto"/>
                <w:highlight w:val="none"/>
              </w:rPr>
              <w:t>实施方案</w:t>
            </w:r>
          </w:p>
        </w:tc>
        <w:tc>
          <w:tcPr>
            <w:tcW w:w="1822" w:type="pct"/>
            <w:vAlign w:val="center"/>
          </w:tcPr>
          <w:p w14:paraId="3996EB2F">
            <w:pPr>
              <w:pStyle w:val="37"/>
              <w:rPr>
                <w:b/>
                <w:bCs/>
                <w:color w:val="auto"/>
                <w:highlight w:val="none"/>
              </w:rPr>
            </w:pPr>
            <w:r>
              <w:rPr>
                <w:b/>
                <w:bCs/>
                <w:color w:val="auto"/>
                <w:highlight w:val="none"/>
              </w:rPr>
              <w:t>本项目情况</w:t>
            </w:r>
          </w:p>
        </w:tc>
        <w:tc>
          <w:tcPr>
            <w:tcW w:w="607" w:type="pct"/>
            <w:vAlign w:val="center"/>
          </w:tcPr>
          <w:p w14:paraId="6DC94F3A">
            <w:pPr>
              <w:pStyle w:val="37"/>
              <w:rPr>
                <w:b/>
                <w:bCs/>
                <w:color w:val="auto"/>
                <w:highlight w:val="none"/>
              </w:rPr>
            </w:pPr>
            <w:r>
              <w:rPr>
                <w:b/>
                <w:bCs/>
                <w:color w:val="auto"/>
                <w:highlight w:val="none"/>
              </w:rPr>
              <w:t>符合性</w:t>
            </w:r>
          </w:p>
        </w:tc>
      </w:tr>
      <w:tr w14:paraId="1939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9" w:type="pct"/>
            <w:vAlign w:val="center"/>
          </w:tcPr>
          <w:p w14:paraId="691D172A">
            <w:pPr>
              <w:pStyle w:val="37"/>
              <w:rPr>
                <w:color w:val="auto"/>
                <w:highlight w:val="none"/>
              </w:rPr>
            </w:pPr>
            <w:r>
              <w:rPr>
                <w:color w:val="auto"/>
                <w:highlight w:val="none"/>
              </w:rPr>
              <w:t>通过全面构建评价方式科学、指标体系完善、结果应用全面、引导作用突出的锂电产业高质量发展项目评价体系，优化完善土地、财政、金融、能源、人才等资源要素配置机制，引导各地提高项目建设质量，对新建项目明确投资门槛，推动建成项目技术改造、提档升级，避免低水平同质化竞争，推动全省锂电产业发展质量和综合实力持续提升，构建形成质量效益更好、技术创新更强、绿色安全更高、要素配置更优的产业新格局，实现</w:t>
            </w:r>
            <w:r>
              <w:rPr>
                <w:rFonts w:hint="eastAsia"/>
                <w:color w:val="auto"/>
                <w:highlight w:val="none"/>
              </w:rPr>
              <w:t>“</w:t>
            </w:r>
            <w:r>
              <w:rPr>
                <w:color w:val="auto"/>
                <w:highlight w:val="none"/>
              </w:rPr>
              <w:t>四川锂电</w:t>
            </w:r>
            <w:r>
              <w:rPr>
                <w:rFonts w:hint="eastAsia"/>
                <w:color w:val="auto"/>
                <w:highlight w:val="none"/>
              </w:rPr>
              <w:t>”</w:t>
            </w:r>
            <w:r>
              <w:rPr>
                <w:color w:val="auto"/>
                <w:highlight w:val="none"/>
              </w:rPr>
              <w:t>供全国销全球，为先进材料产业提质倍增提供有力支撑。</w:t>
            </w:r>
          </w:p>
        </w:tc>
        <w:tc>
          <w:tcPr>
            <w:tcW w:w="1822" w:type="pct"/>
            <w:vAlign w:val="center"/>
          </w:tcPr>
          <w:p w14:paraId="1C0E8DA9">
            <w:pPr>
              <w:pStyle w:val="37"/>
              <w:rPr>
                <w:color w:val="auto"/>
                <w:highlight w:val="none"/>
              </w:rPr>
            </w:pPr>
            <w:r>
              <w:rPr>
                <w:color w:val="auto"/>
                <w:highlight w:val="none"/>
              </w:rPr>
              <w:t>本项目属于锂电上游企业，本项目产品为锂精矿，可作为锂电企业生产的原料</w:t>
            </w:r>
            <w:r>
              <w:rPr>
                <w:rFonts w:hint="eastAsia"/>
                <w:color w:val="auto"/>
                <w:highlight w:val="none"/>
              </w:rPr>
              <w:t>，有助于完成“四川锂电”供全国销全球的目标。</w:t>
            </w:r>
          </w:p>
        </w:tc>
        <w:tc>
          <w:tcPr>
            <w:tcW w:w="607" w:type="pct"/>
            <w:vAlign w:val="center"/>
          </w:tcPr>
          <w:p w14:paraId="755D5958">
            <w:pPr>
              <w:pStyle w:val="37"/>
              <w:rPr>
                <w:color w:val="auto"/>
                <w:highlight w:val="none"/>
              </w:rPr>
            </w:pPr>
            <w:r>
              <w:rPr>
                <w:color w:val="auto"/>
                <w:highlight w:val="none"/>
              </w:rPr>
              <w:t>符合</w:t>
            </w:r>
          </w:p>
        </w:tc>
      </w:tr>
    </w:tbl>
    <w:p w14:paraId="4C18F8F0">
      <w:pPr>
        <w:pStyle w:val="42"/>
        <w:adjustRightInd w:val="0"/>
        <w:ind w:firstLine="480"/>
        <w:rPr>
          <w:color w:val="auto"/>
          <w:highlight w:val="none"/>
        </w:rPr>
      </w:pPr>
      <w:r>
        <w:rPr>
          <w:color w:val="auto"/>
          <w:highlight w:val="none"/>
        </w:rPr>
        <w:t>综上所述，本项目与</w:t>
      </w:r>
      <w:r>
        <w:rPr>
          <w:rFonts w:hint="eastAsia"/>
          <w:color w:val="auto"/>
          <w:highlight w:val="none"/>
        </w:rPr>
        <w:t>《</w:t>
      </w:r>
      <w:r>
        <w:rPr>
          <w:color w:val="auto"/>
          <w:highlight w:val="none"/>
        </w:rPr>
        <w:t>国土资源部&lt;关于锂、锶、重晶石、石灰岩、菱镁矿和硼等矿产资源合理开发利用</w:t>
      </w:r>
      <w:r>
        <w:rPr>
          <w:rFonts w:hint="eastAsia"/>
          <w:color w:val="auto"/>
          <w:highlight w:val="none"/>
        </w:rPr>
        <w:t>“</w:t>
      </w:r>
      <w:r>
        <w:rPr>
          <w:color w:val="auto"/>
          <w:highlight w:val="none"/>
        </w:rPr>
        <w:t>三率</w:t>
      </w:r>
      <w:r>
        <w:rPr>
          <w:rFonts w:hint="eastAsia"/>
          <w:color w:val="auto"/>
          <w:highlight w:val="none"/>
        </w:rPr>
        <w:t>”</w:t>
      </w:r>
      <w:r>
        <w:rPr>
          <w:color w:val="auto"/>
          <w:highlight w:val="none"/>
        </w:rPr>
        <w:t>最低指标要求&gt;（试行）的公告</w:t>
      </w:r>
      <w:r>
        <w:rPr>
          <w:rFonts w:hint="eastAsia"/>
          <w:color w:val="auto"/>
          <w:highlight w:val="none"/>
        </w:rPr>
        <w:t>》《</w:t>
      </w:r>
      <w:r>
        <w:rPr>
          <w:color w:val="auto"/>
          <w:highlight w:val="none"/>
        </w:rPr>
        <w:t>四川省矿产资源总体规划》（2021-2025年）、《四川省锂资源开发及产业发展规划（2022-2025年）</w:t>
      </w:r>
      <w:r>
        <w:rPr>
          <w:rFonts w:hint="eastAsia"/>
          <w:color w:val="auto"/>
          <w:highlight w:val="none"/>
        </w:rPr>
        <w:t>》《</w:t>
      </w:r>
      <w:r>
        <w:rPr>
          <w:color w:val="auto"/>
          <w:highlight w:val="none"/>
        </w:rPr>
        <w:t>促进锂电产业高质量发展的实施意见》</w:t>
      </w:r>
      <w:r>
        <w:rPr>
          <w:rFonts w:hint="eastAsia"/>
          <w:color w:val="auto"/>
          <w:highlight w:val="none"/>
        </w:rPr>
        <w:t>、《关于印发&lt;开展锂电产业项目评价促进高质量发展的实施方案（试行）&gt;的通知》（川经信规〔2024〕6号）</w:t>
      </w:r>
      <w:r>
        <w:rPr>
          <w:color w:val="auto"/>
          <w:highlight w:val="none"/>
        </w:rPr>
        <w:t>相符。</w:t>
      </w:r>
    </w:p>
    <w:p w14:paraId="7512F7A2">
      <w:pPr>
        <w:pStyle w:val="5"/>
        <w:adjustRightInd w:val="0"/>
        <w:rPr>
          <w:rFonts w:cs="Times New Roman"/>
          <w:color w:val="auto"/>
          <w:highlight w:val="none"/>
        </w:rPr>
      </w:pPr>
      <w:r>
        <w:rPr>
          <w:rFonts w:cs="Times New Roman"/>
          <w:color w:val="auto"/>
          <w:highlight w:val="none"/>
        </w:rPr>
        <w:t>与相关生态环境保护规划的符合性分析</w:t>
      </w:r>
    </w:p>
    <w:p w14:paraId="73B309FE">
      <w:pPr>
        <w:adjustRightInd w:val="0"/>
        <w:ind w:firstLine="480"/>
        <w:rPr>
          <w:rFonts w:cs="Times New Roman"/>
          <w:color w:val="auto"/>
          <w:highlight w:val="none"/>
        </w:rPr>
      </w:pPr>
      <w:r>
        <w:rPr>
          <w:rFonts w:cs="Times New Roman"/>
          <w:color w:val="auto"/>
          <w:highlight w:val="none"/>
        </w:rPr>
        <w:t>本次评价筛选了与项目相关的生态环境保护规划文件，筛选结果见下表，并分析了本项目与其相关要求的符合性。</w:t>
      </w:r>
    </w:p>
    <w:p w14:paraId="36935720">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13</w:t>
      </w:r>
      <w:r>
        <w:rPr>
          <w:rFonts w:cs="Times New Roman"/>
          <w:color w:val="auto"/>
          <w:highlight w:val="none"/>
        </w:rPr>
        <w:fldChar w:fldCharType="end"/>
      </w:r>
      <w:r>
        <w:rPr>
          <w:rFonts w:cs="Times New Roman"/>
          <w:color w:val="auto"/>
          <w:highlight w:val="none"/>
        </w:rPr>
        <w:t>与项目有关的生态环境保护规划文件筛选表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4854"/>
        <w:gridCol w:w="2512"/>
      </w:tblGrid>
      <w:tr w14:paraId="675F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7" w:type="pct"/>
            <w:vAlign w:val="center"/>
          </w:tcPr>
          <w:p w14:paraId="4D823839">
            <w:pPr>
              <w:pStyle w:val="37"/>
              <w:adjustRightInd w:val="0"/>
              <w:rPr>
                <w:b/>
                <w:bCs/>
                <w:color w:val="auto"/>
                <w:highlight w:val="none"/>
              </w:rPr>
            </w:pPr>
            <w:r>
              <w:rPr>
                <w:b/>
                <w:bCs/>
                <w:color w:val="auto"/>
                <w:highlight w:val="none"/>
              </w:rPr>
              <w:t>分类</w:t>
            </w:r>
          </w:p>
        </w:tc>
        <w:tc>
          <w:tcPr>
            <w:tcW w:w="2848" w:type="pct"/>
            <w:vAlign w:val="center"/>
          </w:tcPr>
          <w:p w14:paraId="17B3B522">
            <w:pPr>
              <w:pStyle w:val="37"/>
              <w:adjustRightInd w:val="0"/>
              <w:rPr>
                <w:b/>
                <w:bCs/>
                <w:color w:val="auto"/>
                <w:highlight w:val="none"/>
              </w:rPr>
            </w:pPr>
            <w:r>
              <w:rPr>
                <w:b/>
                <w:bCs/>
                <w:color w:val="auto"/>
                <w:highlight w:val="none"/>
              </w:rPr>
              <w:t>相关政策</w:t>
            </w:r>
          </w:p>
        </w:tc>
        <w:tc>
          <w:tcPr>
            <w:tcW w:w="1474" w:type="pct"/>
            <w:vAlign w:val="center"/>
          </w:tcPr>
          <w:p w14:paraId="64388555">
            <w:pPr>
              <w:pStyle w:val="37"/>
              <w:adjustRightInd w:val="0"/>
              <w:rPr>
                <w:b/>
                <w:bCs/>
                <w:color w:val="auto"/>
                <w:highlight w:val="none"/>
              </w:rPr>
            </w:pPr>
            <w:r>
              <w:rPr>
                <w:b/>
                <w:bCs/>
                <w:color w:val="auto"/>
                <w:highlight w:val="none"/>
              </w:rPr>
              <w:t>文件号</w:t>
            </w:r>
          </w:p>
        </w:tc>
      </w:tr>
      <w:tr w14:paraId="7147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vAlign w:val="center"/>
          </w:tcPr>
          <w:p w14:paraId="68DE4642">
            <w:pPr>
              <w:pStyle w:val="37"/>
              <w:adjustRightInd w:val="0"/>
              <w:rPr>
                <w:color w:val="auto"/>
                <w:highlight w:val="none"/>
              </w:rPr>
            </w:pPr>
            <w:r>
              <w:rPr>
                <w:color w:val="auto"/>
                <w:highlight w:val="none"/>
              </w:rPr>
              <w:t>省级</w:t>
            </w:r>
          </w:p>
        </w:tc>
        <w:tc>
          <w:tcPr>
            <w:tcW w:w="2848" w:type="pct"/>
            <w:vAlign w:val="center"/>
          </w:tcPr>
          <w:p w14:paraId="323A4777">
            <w:pPr>
              <w:pStyle w:val="37"/>
              <w:adjustRightInd w:val="0"/>
              <w:rPr>
                <w:color w:val="auto"/>
                <w:highlight w:val="none"/>
              </w:rPr>
            </w:pPr>
            <w:r>
              <w:rPr>
                <w:color w:val="auto"/>
                <w:highlight w:val="none"/>
              </w:rPr>
              <w:t>《四川省</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生态环境保护规划》</w:t>
            </w:r>
          </w:p>
        </w:tc>
        <w:tc>
          <w:tcPr>
            <w:tcW w:w="1474" w:type="pct"/>
            <w:vAlign w:val="center"/>
          </w:tcPr>
          <w:p w14:paraId="00D472E1">
            <w:pPr>
              <w:pStyle w:val="37"/>
              <w:adjustRightInd w:val="0"/>
              <w:rPr>
                <w:color w:val="auto"/>
                <w:highlight w:val="none"/>
              </w:rPr>
            </w:pPr>
            <w:r>
              <w:rPr>
                <w:color w:val="auto"/>
                <w:highlight w:val="none"/>
              </w:rPr>
              <w:t>川府发〔2022〕2号</w:t>
            </w:r>
          </w:p>
        </w:tc>
      </w:tr>
      <w:tr w14:paraId="543E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vAlign w:val="center"/>
          </w:tcPr>
          <w:p w14:paraId="6DCDF980">
            <w:pPr>
              <w:pStyle w:val="37"/>
              <w:adjustRightInd w:val="0"/>
              <w:rPr>
                <w:color w:val="auto"/>
                <w:highlight w:val="none"/>
              </w:rPr>
            </w:pPr>
            <w:r>
              <w:rPr>
                <w:color w:val="auto"/>
                <w:highlight w:val="none"/>
              </w:rPr>
              <w:t>市级</w:t>
            </w:r>
          </w:p>
        </w:tc>
        <w:tc>
          <w:tcPr>
            <w:tcW w:w="2848" w:type="pct"/>
            <w:vAlign w:val="center"/>
          </w:tcPr>
          <w:p w14:paraId="11E9A61A">
            <w:pPr>
              <w:pStyle w:val="37"/>
              <w:adjustRightInd w:val="0"/>
              <w:rPr>
                <w:color w:val="auto"/>
                <w:highlight w:val="none"/>
              </w:rPr>
            </w:pPr>
            <w:r>
              <w:rPr>
                <w:color w:val="auto"/>
                <w:highlight w:val="none"/>
              </w:rPr>
              <w:t>《乐山市</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生态环境保护规划》</w:t>
            </w:r>
          </w:p>
        </w:tc>
        <w:tc>
          <w:tcPr>
            <w:tcW w:w="1474" w:type="pct"/>
            <w:vAlign w:val="center"/>
          </w:tcPr>
          <w:p w14:paraId="4B95FE00">
            <w:pPr>
              <w:pStyle w:val="37"/>
              <w:adjustRightInd w:val="0"/>
              <w:rPr>
                <w:color w:val="auto"/>
                <w:highlight w:val="none"/>
              </w:rPr>
            </w:pPr>
            <w:r>
              <w:rPr>
                <w:color w:val="auto"/>
                <w:highlight w:val="none"/>
              </w:rPr>
              <w:t>乐府发〔2022〕16号</w:t>
            </w:r>
          </w:p>
        </w:tc>
      </w:tr>
      <w:tr w14:paraId="6828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7" w:type="pct"/>
            <w:vAlign w:val="center"/>
          </w:tcPr>
          <w:p w14:paraId="6CCE7E7E">
            <w:pPr>
              <w:pStyle w:val="37"/>
              <w:adjustRightInd w:val="0"/>
              <w:rPr>
                <w:color w:val="auto"/>
                <w:highlight w:val="none"/>
              </w:rPr>
            </w:pPr>
            <w:r>
              <w:rPr>
                <w:color w:val="auto"/>
                <w:highlight w:val="none"/>
              </w:rPr>
              <w:t>区县级</w:t>
            </w:r>
          </w:p>
        </w:tc>
        <w:tc>
          <w:tcPr>
            <w:tcW w:w="2848" w:type="pct"/>
            <w:vAlign w:val="center"/>
          </w:tcPr>
          <w:p w14:paraId="48D79CA9">
            <w:pPr>
              <w:pStyle w:val="37"/>
              <w:adjustRightInd w:val="0"/>
              <w:rPr>
                <w:color w:val="auto"/>
                <w:highlight w:val="none"/>
              </w:rPr>
            </w:pPr>
            <w:r>
              <w:rPr>
                <w:color w:val="auto"/>
                <w:highlight w:val="none"/>
              </w:rPr>
              <w:t>《乐山市沙湾区</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生态环境保护规划》</w:t>
            </w:r>
          </w:p>
        </w:tc>
        <w:tc>
          <w:tcPr>
            <w:tcW w:w="1474" w:type="pct"/>
            <w:vAlign w:val="center"/>
          </w:tcPr>
          <w:p w14:paraId="12A1E706">
            <w:pPr>
              <w:pStyle w:val="37"/>
              <w:adjustRightInd w:val="0"/>
              <w:rPr>
                <w:color w:val="auto"/>
                <w:highlight w:val="none"/>
              </w:rPr>
            </w:pPr>
            <w:r>
              <w:rPr>
                <w:color w:val="auto"/>
                <w:highlight w:val="none"/>
              </w:rPr>
              <w:t>乐沙府发〔2023〕1号</w:t>
            </w:r>
          </w:p>
        </w:tc>
      </w:tr>
    </w:tbl>
    <w:p w14:paraId="76A984DD">
      <w:pPr>
        <w:adjustRightInd w:val="0"/>
        <w:ind w:firstLine="480"/>
        <w:rPr>
          <w:rFonts w:cs="Times New Roman"/>
          <w:color w:val="auto"/>
          <w:highlight w:val="none"/>
        </w:rPr>
      </w:pPr>
      <w:r>
        <w:rPr>
          <w:rFonts w:cs="Times New Roman"/>
          <w:color w:val="auto"/>
          <w:highlight w:val="none"/>
        </w:rPr>
        <w:t>四川省人民政府于2022年1月20日印发《四川省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生态环境保护规划》，本项目与其符合性分析如下。</w:t>
      </w:r>
    </w:p>
    <w:p w14:paraId="605AFF1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14</w:t>
      </w:r>
      <w:r>
        <w:rPr>
          <w:rFonts w:cs="Times New Roman"/>
          <w:color w:val="auto"/>
          <w:highlight w:val="none"/>
        </w:rPr>
        <w:fldChar w:fldCharType="end"/>
      </w:r>
      <w:r>
        <w:rPr>
          <w:rFonts w:cs="Times New Roman"/>
          <w:color w:val="auto"/>
          <w:highlight w:val="none"/>
        </w:rPr>
        <w:t>本项目与《四川省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生态环境保护规划》的符合性分析</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730"/>
        <w:gridCol w:w="2939"/>
        <w:gridCol w:w="963"/>
      </w:tblGrid>
      <w:tr w14:paraId="0084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2709" w:type="pct"/>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DF89894">
            <w:pPr>
              <w:pStyle w:val="37"/>
              <w:adjustRightInd w:val="0"/>
              <w:rPr>
                <w:b/>
                <w:bCs/>
                <w:color w:val="auto"/>
                <w:highlight w:val="none"/>
              </w:rPr>
            </w:pPr>
            <w:r>
              <w:rPr>
                <w:b/>
                <w:bCs/>
                <w:color w:val="auto"/>
                <w:highlight w:val="none"/>
              </w:rPr>
              <w:t>《规划》规定</w:t>
            </w:r>
          </w:p>
        </w:tc>
        <w:tc>
          <w:tcPr>
            <w:tcW w:w="172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5023856">
            <w:pPr>
              <w:pStyle w:val="37"/>
              <w:adjustRightInd w:val="0"/>
              <w:rPr>
                <w:b/>
                <w:bCs/>
                <w:color w:val="auto"/>
                <w:highlight w:val="none"/>
              </w:rPr>
            </w:pPr>
            <w:r>
              <w:rPr>
                <w:b/>
                <w:bCs/>
                <w:color w:val="auto"/>
                <w:highlight w:val="none"/>
              </w:rPr>
              <w:t>本项目情况</w:t>
            </w:r>
          </w:p>
        </w:tc>
        <w:tc>
          <w:tcPr>
            <w:tcW w:w="56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381B87">
            <w:pPr>
              <w:pStyle w:val="37"/>
              <w:adjustRightInd w:val="0"/>
              <w:rPr>
                <w:b/>
                <w:bCs/>
                <w:color w:val="auto"/>
                <w:highlight w:val="none"/>
              </w:rPr>
            </w:pPr>
            <w:r>
              <w:rPr>
                <w:b/>
                <w:bCs/>
                <w:color w:val="auto"/>
                <w:highlight w:val="none"/>
              </w:rPr>
              <w:t>符合性</w:t>
            </w:r>
          </w:p>
        </w:tc>
      </w:tr>
      <w:tr w14:paraId="2017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C02DF7">
            <w:pPr>
              <w:pStyle w:val="37"/>
              <w:adjustRightInd w:val="0"/>
              <w:rPr>
                <w:b/>
                <w:bCs/>
                <w:color w:val="auto"/>
                <w:highlight w:val="none"/>
              </w:rPr>
            </w:pPr>
            <w:r>
              <w:rPr>
                <w:b/>
                <w:bCs/>
                <w:color w:val="auto"/>
                <w:highlight w:val="none"/>
              </w:rPr>
              <w:t>项目</w:t>
            </w: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AFFE73">
            <w:pPr>
              <w:pStyle w:val="37"/>
              <w:adjustRightInd w:val="0"/>
              <w:rPr>
                <w:b/>
                <w:bCs/>
                <w:color w:val="auto"/>
                <w:highlight w:val="none"/>
              </w:rPr>
            </w:pPr>
            <w:r>
              <w:rPr>
                <w:b/>
                <w:bCs/>
                <w:color w:val="auto"/>
                <w:highlight w:val="none"/>
              </w:rPr>
              <w:t>主要内容</w:t>
            </w:r>
          </w:p>
        </w:tc>
        <w:tc>
          <w:tcPr>
            <w:tcW w:w="172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C15D14">
            <w:pPr>
              <w:pStyle w:val="37"/>
              <w:adjustRightInd w:val="0"/>
              <w:rPr>
                <w:b/>
                <w:bCs/>
                <w:color w:val="auto"/>
                <w:highlight w:val="none"/>
              </w:rPr>
            </w:pPr>
          </w:p>
        </w:tc>
        <w:tc>
          <w:tcPr>
            <w:tcW w:w="56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B1C8495">
            <w:pPr>
              <w:pStyle w:val="37"/>
              <w:adjustRightInd w:val="0"/>
              <w:rPr>
                <w:b/>
                <w:bCs/>
                <w:color w:val="auto"/>
                <w:highlight w:val="none"/>
              </w:rPr>
            </w:pPr>
          </w:p>
        </w:tc>
      </w:tr>
      <w:tr w14:paraId="136E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52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3C3CA27">
            <w:pPr>
              <w:pStyle w:val="37"/>
              <w:adjustRightInd w:val="0"/>
              <w:rPr>
                <w:color w:val="auto"/>
                <w:highlight w:val="none"/>
              </w:rPr>
            </w:pPr>
            <w:r>
              <w:rPr>
                <w:color w:val="auto"/>
                <w:highlight w:val="none"/>
              </w:rPr>
              <w:t>深化工业源污染防治</w:t>
            </w: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2F0E3C">
            <w:pPr>
              <w:pStyle w:val="37"/>
              <w:adjustRightInd w:val="0"/>
              <w:jc w:val="both"/>
              <w:rPr>
                <w:color w:val="auto"/>
                <w:highlight w:val="none"/>
              </w:rPr>
            </w:pPr>
            <w:r>
              <w:rPr>
                <w:color w:val="auto"/>
                <w:highlight w:val="none"/>
              </w:rPr>
              <w:t>强化重点行业污染治理。加快火电、钢铁、水泥、焦化及燃煤工业锅炉超低排放改造。推进平板玻璃、陶瓷、铁合金、有色等重点行业深度治理。</w:t>
            </w:r>
          </w:p>
        </w:tc>
        <w:tc>
          <w:tcPr>
            <w:tcW w:w="17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420C5C">
            <w:pPr>
              <w:pStyle w:val="37"/>
              <w:adjustRightInd w:val="0"/>
              <w:rPr>
                <w:color w:val="auto"/>
                <w:highlight w:val="none"/>
              </w:rPr>
            </w:pPr>
            <w:r>
              <w:rPr>
                <w:color w:val="auto"/>
                <w:highlight w:val="none"/>
              </w:rPr>
              <w:t>本项目不属于火电、钢铁、水泥、焦化及燃煤工业，不属于平板玻璃、陶瓷、铁合金、有色等重点行业。</w:t>
            </w:r>
          </w:p>
        </w:tc>
        <w:tc>
          <w:tcPr>
            <w:tcW w:w="5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0E2F1">
            <w:pPr>
              <w:pStyle w:val="37"/>
              <w:adjustRightInd w:val="0"/>
              <w:rPr>
                <w:color w:val="auto"/>
                <w:highlight w:val="none"/>
              </w:rPr>
            </w:pPr>
            <w:r>
              <w:rPr>
                <w:color w:val="auto"/>
                <w:highlight w:val="none"/>
              </w:rPr>
              <w:t>符合</w:t>
            </w:r>
          </w:p>
        </w:tc>
      </w:tr>
      <w:tr w14:paraId="3760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F614D0">
            <w:pPr>
              <w:pStyle w:val="37"/>
              <w:adjustRightInd w:val="0"/>
              <w:rPr>
                <w:color w:val="auto"/>
                <w:highlight w:val="none"/>
              </w:rPr>
            </w:pP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92343">
            <w:pPr>
              <w:pStyle w:val="37"/>
              <w:adjustRightInd w:val="0"/>
              <w:jc w:val="both"/>
              <w:rPr>
                <w:color w:val="auto"/>
                <w:highlight w:val="none"/>
              </w:rPr>
            </w:pPr>
            <w:r>
              <w:rPr>
                <w:color w:val="auto"/>
                <w:highlight w:val="none"/>
              </w:rPr>
              <w:t>控制挥发性有机物（VOCs）排放。严格控制VOCs排放总量，新建VOCs项目应实施等量或倍量替代。强化VOCs源头削减，以工业涂装、家具制造、包装印刷等行业为重点，大力推进低（无）VOCs含量原辅材料替代。严格控制生产和使用高VOCs含量溶剂型涂料、油墨、胶粘剂、清洗剂等建设项目。强化VOCs综合治理，以石化、化工、工业涂装、包装印刷、电子、纺织印染、制鞋、家具制造、油品储运销等行业为重点，提升废气收集率、治污设施同步运行率和去除率，科学合理选择治理工艺，推进设施设备提标升级改造。强化无组织排放管控，加大含VOCs物料储存、转移和输送、设备与管线组件泄漏、敞开液面逸散等管控力度，开展泄漏检测与修复工作。强化企业VOCs排放达标监管，实施季节性调控。完善挥发性有机物产品标准体系建立低挥发性有机物含量产品标识制度。</w:t>
            </w:r>
          </w:p>
        </w:tc>
        <w:tc>
          <w:tcPr>
            <w:tcW w:w="17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1AA7EB">
            <w:pPr>
              <w:pStyle w:val="37"/>
              <w:adjustRightInd w:val="0"/>
              <w:rPr>
                <w:color w:val="auto"/>
                <w:highlight w:val="none"/>
              </w:rPr>
            </w:pPr>
            <w:r>
              <w:rPr>
                <w:color w:val="auto"/>
                <w:highlight w:val="none"/>
              </w:rPr>
              <w:t>本项目不涉及挥发性有机物排放。本项目建设不属于石化、化工、工业涂装、包装印刷、电子、纺织印染、制鞋、家具制造、油品储运销等行业；本次评价要求建设单位严格落实本报告提出的废气治理措施。</w:t>
            </w:r>
          </w:p>
        </w:tc>
        <w:tc>
          <w:tcPr>
            <w:tcW w:w="5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A8AF79">
            <w:pPr>
              <w:pStyle w:val="37"/>
              <w:adjustRightInd w:val="0"/>
              <w:rPr>
                <w:color w:val="auto"/>
                <w:highlight w:val="none"/>
              </w:rPr>
            </w:pPr>
            <w:r>
              <w:rPr>
                <w:color w:val="auto"/>
                <w:highlight w:val="none"/>
              </w:rPr>
              <w:t>符合</w:t>
            </w:r>
          </w:p>
        </w:tc>
      </w:tr>
      <w:tr w14:paraId="1A7FA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BDFDD">
            <w:pPr>
              <w:pStyle w:val="37"/>
              <w:adjustRightInd w:val="0"/>
              <w:rPr>
                <w:color w:val="auto"/>
                <w:highlight w:val="none"/>
              </w:rPr>
            </w:pPr>
            <w:r>
              <w:rPr>
                <w:color w:val="auto"/>
                <w:highlight w:val="none"/>
              </w:rPr>
              <w:t>系统推进</w:t>
            </w:r>
            <w:r>
              <w:rPr>
                <w:rFonts w:hint="eastAsia"/>
                <w:color w:val="auto"/>
                <w:highlight w:val="none"/>
              </w:rPr>
              <w:t>“</w:t>
            </w:r>
            <w:r>
              <w:rPr>
                <w:color w:val="auto"/>
                <w:highlight w:val="none"/>
              </w:rPr>
              <w:t>三水</w:t>
            </w:r>
            <w:r>
              <w:rPr>
                <w:rFonts w:hint="eastAsia"/>
                <w:color w:val="auto"/>
                <w:highlight w:val="none"/>
              </w:rPr>
              <w:t>”</w:t>
            </w:r>
            <w:r>
              <w:rPr>
                <w:color w:val="auto"/>
                <w:highlight w:val="none"/>
              </w:rPr>
              <w:t>共治</w:t>
            </w:r>
            <w:r>
              <w:rPr>
                <w:rFonts w:hint="eastAsia"/>
                <w:color w:val="auto"/>
                <w:highlight w:val="none"/>
              </w:rPr>
              <w:t>，</w:t>
            </w:r>
            <w:r>
              <w:rPr>
                <w:color w:val="auto"/>
                <w:highlight w:val="none"/>
              </w:rPr>
              <w:t>巩固提升水环境质量</w:t>
            </w: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57D62F">
            <w:pPr>
              <w:pStyle w:val="37"/>
              <w:adjustRightInd w:val="0"/>
              <w:jc w:val="both"/>
              <w:rPr>
                <w:color w:val="auto"/>
                <w:highlight w:val="none"/>
              </w:rPr>
            </w:pPr>
            <w:r>
              <w:rPr>
                <w:color w:val="auto"/>
                <w:highlight w:val="none"/>
              </w:rPr>
              <w:t>强化工业污水综合整治。深入实施工业企业污水处理设施升级改造，重点开展电子信息、造纸、印染、化工、酿造等行业废水专项治理</w:t>
            </w:r>
            <w:r>
              <w:rPr>
                <w:rFonts w:hint="eastAsia"/>
                <w:color w:val="auto"/>
                <w:highlight w:val="none"/>
              </w:rPr>
              <w:t>，</w:t>
            </w:r>
            <w:r>
              <w:rPr>
                <w:color w:val="auto"/>
                <w:highlight w:val="none"/>
              </w:rPr>
              <w:t>全面实现工业废水达标排放。对涉及重金属、高盐和高浓度难降解废水的企业，强化分质、分类预处理</w:t>
            </w:r>
            <w:r>
              <w:rPr>
                <w:rFonts w:hint="eastAsia"/>
                <w:color w:val="auto"/>
                <w:highlight w:val="none"/>
              </w:rPr>
              <w:t>，</w:t>
            </w:r>
            <w:r>
              <w:rPr>
                <w:color w:val="auto"/>
                <w:highlight w:val="none"/>
              </w:rPr>
              <w:t>提高企业与末端处理设施的联动监控能力，确保末端污水处理设施安全稳定运行。推动电镀行业集中集聚发展</w:t>
            </w:r>
            <w:r>
              <w:rPr>
                <w:rFonts w:hint="eastAsia"/>
                <w:color w:val="auto"/>
                <w:highlight w:val="none"/>
              </w:rPr>
              <w:t>，</w:t>
            </w:r>
            <w:r>
              <w:rPr>
                <w:color w:val="auto"/>
                <w:highlight w:val="none"/>
              </w:rPr>
              <w:t>实施一批电镀废水</w:t>
            </w:r>
            <w:r>
              <w:rPr>
                <w:rFonts w:hint="eastAsia"/>
                <w:color w:val="auto"/>
                <w:highlight w:val="none"/>
              </w:rPr>
              <w:t>“</w:t>
            </w:r>
            <w:r>
              <w:rPr>
                <w:color w:val="auto"/>
                <w:highlight w:val="none"/>
              </w:rPr>
              <w:t>零排放</w:t>
            </w:r>
            <w:r>
              <w:rPr>
                <w:rFonts w:hint="eastAsia"/>
                <w:color w:val="auto"/>
                <w:highlight w:val="none"/>
              </w:rPr>
              <w:t>”</w:t>
            </w:r>
            <w:r>
              <w:rPr>
                <w:color w:val="auto"/>
                <w:highlight w:val="none"/>
              </w:rPr>
              <w:t>试点工程。开展开发区污水集中处理设施升级改造和污水管网排查整治，完善园区及企业雨污分流系统，推动初期雨水收集处理，鼓励有条件的园区实施</w:t>
            </w:r>
            <w:r>
              <w:rPr>
                <w:rFonts w:hint="eastAsia"/>
                <w:color w:val="auto"/>
                <w:highlight w:val="none"/>
              </w:rPr>
              <w:t>“</w:t>
            </w:r>
            <w:r>
              <w:rPr>
                <w:color w:val="auto"/>
                <w:highlight w:val="none"/>
              </w:rPr>
              <w:t>一企一管、明管输送、实时监测</w:t>
            </w:r>
            <w:r>
              <w:rPr>
                <w:rFonts w:hint="eastAsia"/>
                <w:color w:val="auto"/>
                <w:highlight w:val="none"/>
              </w:rPr>
              <w:t>”</w:t>
            </w:r>
            <w:r>
              <w:rPr>
                <w:color w:val="auto"/>
                <w:highlight w:val="none"/>
              </w:rPr>
              <w:t>。推进现有企业和园区开展以节水为重点的绿色高质量转型升级和循环化改造</w:t>
            </w:r>
            <w:r>
              <w:rPr>
                <w:rFonts w:hint="eastAsia"/>
                <w:color w:val="auto"/>
                <w:highlight w:val="none"/>
              </w:rPr>
              <w:t>，</w:t>
            </w:r>
            <w:r>
              <w:rPr>
                <w:color w:val="auto"/>
                <w:highlight w:val="none"/>
              </w:rPr>
              <w:t>加快节水及水循环利用设施建设</w:t>
            </w:r>
            <w:r>
              <w:rPr>
                <w:rFonts w:hint="eastAsia"/>
                <w:color w:val="auto"/>
                <w:highlight w:val="none"/>
              </w:rPr>
              <w:t>，</w:t>
            </w:r>
            <w:r>
              <w:rPr>
                <w:color w:val="auto"/>
                <w:highlight w:val="none"/>
              </w:rPr>
              <w:t>促进企业间串联用水、分质用水、一水多用和循环利用</w:t>
            </w:r>
            <w:r>
              <w:rPr>
                <w:rFonts w:hint="eastAsia"/>
                <w:color w:val="auto"/>
                <w:highlight w:val="none"/>
              </w:rPr>
              <w:t>，</w:t>
            </w:r>
            <w:r>
              <w:rPr>
                <w:color w:val="auto"/>
                <w:highlight w:val="none"/>
              </w:rPr>
              <w:t>鼓励岷江、沱江及长江干流流域省级及以上园区积极开展节水标杆园区创建。</w:t>
            </w:r>
          </w:p>
        </w:tc>
        <w:tc>
          <w:tcPr>
            <w:tcW w:w="17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C0AC0F">
            <w:pPr>
              <w:pStyle w:val="37"/>
              <w:adjustRightInd w:val="0"/>
              <w:rPr>
                <w:color w:val="auto"/>
                <w:highlight w:val="none"/>
              </w:rPr>
            </w:pPr>
            <w:r>
              <w:rPr>
                <w:color w:val="auto"/>
                <w:highlight w:val="none"/>
              </w:rPr>
              <w:t>本项目不属于电子信息、造纸、印染、化工、酿造等行业。本项目生活污水</w:t>
            </w:r>
            <w:r>
              <w:rPr>
                <w:rFonts w:hint="eastAsia"/>
                <w:color w:val="auto"/>
                <w:highlight w:val="none"/>
              </w:rPr>
              <w:t>（含食堂废水）</w:t>
            </w:r>
            <w:r>
              <w:rPr>
                <w:color w:val="auto"/>
                <w:highlight w:val="none"/>
              </w:rPr>
              <w:t>排放至园区污水处理厂（乐山沙湾经济开发区污水处理厂），执行《四川省岷江、沱江流域水污染物排放标准》（DB51/2311-2016），本项目生产废水不外排。本项目设施雨污分流，初期雨水经过初期雨水收集池收集后回用于生产。根据本项目原矿检测报告，本项目原矿中国家管控的重金属铅、汞、镉、铬、砷、铊、锑和园区管控的重金属铬、镍均为未检出。</w:t>
            </w:r>
          </w:p>
        </w:tc>
        <w:tc>
          <w:tcPr>
            <w:tcW w:w="5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56CE7">
            <w:pPr>
              <w:pStyle w:val="37"/>
              <w:adjustRightInd w:val="0"/>
              <w:rPr>
                <w:color w:val="auto"/>
                <w:highlight w:val="none"/>
              </w:rPr>
            </w:pPr>
            <w:r>
              <w:rPr>
                <w:color w:val="auto"/>
                <w:highlight w:val="none"/>
              </w:rPr>
              <w:t>符合</w:t>
            </w:r>
          </w:p>
        </w:tc>
      </w:tr>
      <w:tr w14:paraId="18614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389EA">
            <w:pPr>
              <w:pStyle w:val="37"/>
              <w:adjustRightInd w:val="0"/>
              <w:rPr>
                <w:color w:val="auto"/>
                <w:highlight w:val="none"/>
              </w:rPr>
            </w:pPr>
            <w:r>
              <w:rPr>
                <w:color w:val="auto"/>
                <w:highlight w:val="none"/>
              </w:rPr>
              <w:t>推进土壤污染源头防治</w:t>
            </w: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E910C">
            <w:pPr>
              <w:pStyle w:val="37"/>
              <w:adjustRightInd w:val="0"/>
              <w:jc w:val="both"/>
              <w:rPr>
                <w:color w:val="auto"/>
                <w:highlight w:val="none"/>
              </w:rPr>
            </w:pPr>
            <w:r>
              <w:rPr>
                <w:color w:val="auto"/>
                <w:highlight w:val="none"/>
              </w:rPr>
              <w:t>加强空间布局管控。强化规划环评刚性约束，严格空间管控，合理规划土地用途，强化涉及土壤污染建设项目布局论证，鼓励土壤污染重点工业企业集聚发展，探索土壤环境承载能力分析。禁止在居民区、学校、医院、疗养院和养老院等单位周边新（改、扩）建可能造成土壤污染的建设项目，禁止在永久基本农田集中区域新建可能造成土壤污染的建设项目。</w:t>
            </w:r>
          </w:p>
        </w:tc>
        <w:tc>
          <w:tcPr>
            <w:tcW w:w="17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F7EA8">
            <w:pPr>
              <w:pStyle w:val="37"/>
              <w:adjustRightInd w:val="0"/>
              <w:rPr>
                <w:color w:val="auto"/>
                <w:highlight w:val="none"/>
              </w:rPr>
            </w:pPr>
            <w:r>
              <w:rPr>
                <w:color w:val="auto"/>
                <w:highlight w:val="none"/>
              </w:rPr>
              <w:t>本次评价要求建设单位严格落实本报告提出的分区防渗措施，确保对土壤污染途径进行有效阻断。</w:t>
            </w:r>
          </w:p>
        </w:tc>
        <w:tc>
          <w:tcPr>
            <w:tcW w:w="5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FAD245">
            <w:pPr>
              <w:pStyle w:val="37"/>
              <w:adjustRightInd w:val="0"/>
              <w:rPr>
                <w:color w:val="auto"/>
                <w:highlight w:val="none"/>
              </w:rPr>
            </w:pPr>
            <w:r>
              <w:rPr>
                <w:color w:val="auto"/>
                <w:highlight w:val="none"/>
              </w:rPr>
              <w:t>符合</w:t>
            </w:r>
          </w:p>
        </w:tc>
      </w:tr>
      <w:tr w14:paraId="277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jc w:val="center"/>
        </w:trPr>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2ED317">
            <w:pPr>
              <w:pStyle w:val="37"/>
              <w:adjustRightInd w:val="0"/>
              <w:rPr>
                <w:color w:val="auto"/>
                <w:highlight w:val="none"/>
              </w:rPr>
            </w:pPr>
            <w:r>
              <w:rPr>
                <w:color w:val="auto"/>
                <w:highlight w:val="none"/>
              </w:rPr>
              <w:t>强化固体废弃物分类处置</w:t>
            </w:r>
          </w:p>
        </w:tc>
        <w:tc>
          <w:tcPr>
            <w:tcW w:w="21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65028D">
            <w:pPr>
              <w:pStyle w:val="37"/>
              <w:adjustRightInd w:val="0"/>
              <w:jc w:val="both"/>
              <w:rPr>
                <w:color w:val="auto"/>
                <w:highlight w:val="none"/>
              </w:rPr>
            </w:pPr>
            <w:r>
              <w:rPr>
                <w:color w:val="auto"/>
                <w:highlight w:val="none"/>
              </w:rPr>
              <w:t>建立固废信息清单。深入推进固体废物申报登记制度，落实工业企业污染防治的主体责任，建立并动态更新固体废物重点监管点位清单。开展主要固体废物（危险废物）贮存场所排查，建立</w:t>
            </w:r>
            <w:r>
              <w:rPr>
                <w:rFonts w:hint="eastAsia"/>
                <w:color w:val="auto"/>
                <w:highlight w:val="none"/>
              </w:rPr>
              <w:t>“</w:t>
            </w:r>
            <w:r>
              <w:rPr>
                <w:color w:val="auto"/>
                <w:highlight w:val="none"/>
              </w:rPr>
              <w:t>一库一档</w:t>
            </w:r>
            <w:r>
              <w:rPr>
                <w:rFonts w:hint="eastAsia"/>
                <w:color w:val="auto"/>
                <w:highlight w:val="none"/>
              </w:rPr>
              <w:t>”</w:t>
            </w:r>
            <w:r>
              <w:rPr>
                <w:color w:val="auto"/>
                <w:highlight w:val="none"/>
              </w:rPr>
              <w:t>。探索开展固体废物（危险废物）</w:t>
            </w:r>
            <w:r>
              <w:rPr>
                <w:rFonts w:hint="eastAsia"/>
                <w:color w:val="auto"/>
                <w:highlight w:val="none"/>
              </w:rPr>
              <w:t>“</w:t>
            </w:r>
            <w:r>
              <w:rPr>
                <w:color w:val="auto"/>
                <w:highlight w:val="none"/>
              </w:rPr>
              <w:t>二维码</w:t>
            </w:r>
            <w:r>
              <w:rPr>
                <w:rFonts w:hint="eastAsia"/>
                <w:color w:val="auto"/>
                <w:highlight w:val="none"/>
              </w:rPr>
              <w:t>”</w:t>
            </w:r>
            <w:r>
              <w:rPr>
                <w:color w:val="auto"/>
                <w:highlight w:val="none"/>
              </w:rPr>
              <w:t>数字信息登记管理制度。开展危险废物申报登记试点，摸清危险废物产生、转移、贮存、利用和处置情况，推动建立危险废物</w:t>
            </w:r>
            <w:r>
              <w:rPr>
                <w:rFonts w:hint="eastAsia"/>
                <w:color w:val="auto"/>
                <w:highlight w:val="none"/>
              </w:rPr>
              <w:t>“</w:t>
            </w:r>
            <w:r>
              <w:rPr>
                <w:color w:val="auto"/>
                <w:highlight w:val="none"/>
              </w:rPr>
              <w:t>三个清单</w:t>
            </w:r>
            <w:r>
              <w:rPr>
                <w:rFonts w:hint="eastAsia"/>
                <w:color w:val="auto"/>
                <w:highlight w:val="none"/>
              </w:rPr>
              <w:t>”</w:t>
            </w:r>
            <w:r>
              <w:rPr>
                <w:color w:val="auto"/>
                <w:highlight w:val="none"/>
              </w:rPr>
              <w:t>，持续推进危险废物规范化环境管理评估工作。</w:t>
            </w:r>
          </w:p>
        </w:tc>
        <w:tc>
          <w:tcPr>
            <w:tcW w:w="172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FDC53">
            <w:pPr>
              <w:pStyle w:val="37"/>
              <w:adjustRightInd w:val="0"/>
              <w:rPr>
                <w:color w:val="auto"/>
                <w:highlight w:val="none"/>
              </w:rPr>
            </w:pPr>
            <w:r>
              <w:rPr>
                <w:color w:val="auto"/>
                <w:highlight w:val="none"/>
              </w:rPr>
              <w:t>本项目产生的危险废物暂存于厂内标准</w:t>
            </w:r>
            <w:r>
              <w:rPr>
                <w:rFonts w:hint="eastAsia"/>
                <w:color w:val="auto"/>
                <w:highlight w:val="none"/>
              </w:rPr>
              <w:t>危废暂存间</w:t>
            </w:r>
            <w:r>
              <w:rPr>
                <w:color w:val="auto"/>
                <w:highlight w:val="none"/>
              </w:rPr>
              <w:t>，定期交由资质单位处置。本项目一般固废</w:t>
            </w:r>
            <w:r>
              <w:rPr>
                <w:rFonts w:hint="eastAsia"/>
                <w:color w:val="auto"/>
                <w:highlight w:val="none"/>
              </w:rPr>
              <w:t>废滤袋、废布袋由供货厂家回收；布袋收尘灰回用于生产；沉淀池沉砂回用于生产；废包装材料（废聚丙烯酰胺包装袋、废聚合氯化铝包装袋、废捕收剂桶、废碳酸钠包装袋、废氯化镁包装袋）定期外售废品回收站；尾矿、黑砂外售陶瓷生产厂家综合利用；餐厨垃圾和隔油池废油定期交由有资质的单位进行处置；</w:t>
            </w:r>
            <w:r>
              <w:rPr>
                <w:color w:val="auto"/>
                <w:highlight w:val="none"/>
              </w:rPr>
              <w:t>生活垃圾由环卫部门清运。</w:t>
            </w:r>
          </w:p>
        </w:tc>
        <w:tc>
          <w:tcPr>
            <w:tcW w:w="5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5434B8">
            <w:pPr>
              <w:pStyle w:val="37"/>
              <w:adjustRightInd w:val="0"/>
              <w:rPr>
                <w:color w:val="auto"/>
                <w:highlight w:val="none"/>
              </w:rPr>
            </w:pPr>
            <w:r>
              <w:rPr>
                <w:color w:val="auto"/>
                <w:highlight w:val="none"/>
              </w:rPr>
              <w:t>符合</w:t>
            </w:r>
          </w:p>
        </w:tc>
      </w:tr>
    </w:tbl>
    <w:p w14:paraId="25A46F2A">
      <w:pPr>
        <w:adjustRightInd w:val="0"/>
        <w:ind w:firstLine="480"/>
        <w:rPr>
          <w:rFonts w:cs="Times New Roman"/>
          <w:color w:val="auto"/>
          <w:highlight w:val="none"/>
        </w:rPr>
      </w:pPr>
      <w:r>
        <w:rPr>
          <w:rFonts w:cs="Times New Roman"/>
          <w:color w:val="auto"/>
          <w:highlight w:val="none"/>
        </w:rPr>
        <w:t>乐山市人民政府于2022年7月21日印发《乐山市</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生态环境保护规划》，本项目与其符合性分析如下。</w:t>
      </w:r>
    </w:p>
    <w:p w14:paraId="3049661E">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15</w:t>
      </w:r>
      <w:r>
        <w:rPr>
          <w:rFonts w:cs="Times New Roman"/>
          <w:color w:val="auto"/>
          <w:highlight w:val="none"/>
        </w:rPr>
        <w:fldChar w:fldCharType="end"/>
      </w:r>
      <w:r>
        <w:rPr>
          <w:rFonts w:cs="Times New Roman"/>
          <w:color w:val="auto"/>
          <w:highlight w:val="none"/>
        </w:rPr>
        <w:t>本项目与《乐山市</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生态环境保护规划》的符合性分析</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3730"/>
        <w:gridCol w:w="2939"/>
        <w:gridCol w:w="963"/>
      </w:tblGrid>
      <w:tr w14:paraId="4C778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2709" w:type="pct"/>
            <w:gridSpan w:val="2"/>
            <w:vAlign w:val="center"/>
          </w:tcPr>
          <w:p w14:paraId="0ADF47CC">
            <w:pPr>
              <w:pStyle w:val="37"/>
              <w:adjustRightInd w:val="0"/>
              <w:rPr>
                <w:b/>
                <w:bCs/>
                <w:color w:val="auto"/>
                <w:highlight w:val="none"/>
              </w:rPr>
            </w:pPr>
            <w:r>
              <w:rPr>
                <w:b/>
                <w:bCs/>
                <w:color w:val="auto"/>
                <w:highlight w:val="none"/>
              </w:rPr>
              <w:t>《规划》规定</w:t>
            </w:r>
          </w:p>
        </w:tc>
        <w:tc>
          <w:tcPr>
            <w:tcW w:w="1725" w:type="pct"/>
            <w:vMerge w:val="restart"/>
            <w:vAlign w:val="center"/>
          </w:tcPr>
          <w:p w14:paraId="32D207BF">
            <w:pPr>
              <w:pStyle w:val="37"/>
              <w:adjustRightInd w:val="0"/>
              <w:rPr>
                <w:b/>
                <w:bCs/>
                <w:color w:val="auto"/>
                <w:highlight w:val="none"/>
              </w:rPr>
            </w:pPr>
            <w:r>
              <w:rPr>
                <w:b/>
                <w:bCs/>
                <w:color w:val="auto"/>
                <w:highlight w:val="none"/>
              </w:rPr>
              <w:t>本项目情况</w:t>
            </w:r>
          </w:p>
        </w:tc>
        <w:tc>
          <w:tcPr>
            <w:tcW w:w="565" w:type="pct"/>
            <w:vMerge w:val="restart"/>
            <w:vAlign w:val="center"/>
          </w:tcPr>
          <w:p w14:paraId="3E7FEB6D">
            <w:pPr>
              <w:pStyle w:val="37"/>
              <w:adjustRightInd w:val="0"/>
              <w:rPr>
                <w:b/>
                <w:bCs/>
                <w:color w:val="auto"/>
                <w:highlight w:val="none"/>
              </w:rPr>
            </w:pPr>
            <w:r>
              <w:rPr>
                <w:b/>
                <w:bCs/>
                <w:color w:val="auto"/>
                <w:highlight w:val="none"/>
              </w:rPr>
              <w:t>符合性</w:t>
            </w:r>
          </w:p>
        </w:tc>
      </w:tr>
      <w:tr w14:paraId="10103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520" w:type="pct"/>
            <w:vAlign w:val="center"/>
          </w:tcPr>
          <w:p w14:paraId="1FB1C69B">
            <w:pPr>
              <w:pStyle w:val="37"/>
              <w:adjustRightInd w:val="0"/>
              <w:rPr>
                <w:b/>
                <w:bCs/>
                <w:color w:val="auto"/>
                <w:highlight w:val="none"/>
              </w:rPr>
            </w:pPr>
            <w:r>
              <w:rPr>
                <w:b/>
                <w:bCs/>
                <w:color w:val="auto"/>
                <w:highlight w:val="none"/>
              </w:rPr>
              <w:t>项目</w:t>
            </w:r>
          </w:p>
        </w:tc>
        <w:tc>
          <w:tcPr>
            <w:tcW w:w="2188" w:type="pct"/>
            <w:vAlign w:val="center"/>
          </w:tcPr>
          <w:p w14:paraId="021CED9F">
            <w:pPr>
              <w:pStyle w:val="37"/>
              <w:adjustRightInd w:val="0"/>
              <w:rPr>
                <w:b/>
                <w:bCs/>
                <w:color w:val="auto"/>
                <w:highlight w:val="none"/>
              </w:rPr>
            </w:pPr>
            <w:r>
              <w:rPr>
                <w:b/>
                <w:bCs/>
                <w:color w:val="auto"/>
                <w:highlight w:val="none"/>
              </w:rPr>
              <w:t>主要内容</w:t>
            </w:r>
          </w:p>
        </w:tc>
        <w:tc>
          <w:tcPr>
            <w:tcW w:w="1725" w:type="pct"/>
            <w:vMerge w:val="continue"/>
            <w:vAlign w:val="center"/>
          </w:tcPr>
          <w:p w14:paraId="2AD4A0EA">
            <w:pPr>
              <w:pStyle w:val="37"/>
              <w:adjustRightInd w:val="0"/>
              <w:rPr>
                <w:b/>
                <w:bCs/>
                <w:color w:val="auto"/>
                <w:highlight w:val="none"/>
              </w:rPr>
            </w:pPr>
          </w:p>
        </w:tc>
        <w:tc>
          <w:tcPr>
            <w:tcW w:w="565" w:type="pct"/>
            <w:vMerge w:val="continue"/>
            <w:vAlign w:val="center"/>
          </w:tcPr>
          <w:p w14:paraId="3A2DF4AC">
            <w:pPr>
              <w:pStyle w:val="37"/>
              <w:adjustRightInd w:val="0"/>
              <w:rPr>
                <w:b/>
                <w:bCs/>
                <w:color w:val="auto"/>
                <w:highlight w:val="none"/>
              </w:rPr>
            </w:pPr>
          </w:p>
        </w:tc>
      </w:tr>
      <w:tr w14:paraId="54893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Merge w:val="restart"/>
            <w:vAlign w:val="center"/>
          </w:tcPr>
          <w:p w14:paraId="58EC4EEA">
            <w:pPr>
              <w:pStyle w:val="37"/>
              <w:adjustRightInd w:val="0"/>
              <w:rPr>
                <w:color w:val="auto"/>
                <w:highlight w:val="none"/>
              </w:rPr>
            </w:pPr>
            <w:r>
              <w:rPr>
                <w:color w:val="auto"/>
                <w:highlight w:val="none"/>
              </w:rPr>
              <w:t>强化工业源污染治理</w:t>
            </w:r>
          </w:p>
        </w:tc>
        <w:tc>
          <w:tcPr>
            <w:tcW w:w="2188" w:type="pct"/>
            <w:vAlign w:val="center"/>
          </w:tcPr>
          <w:p w14:paraId="7C9C3A40">
            <w:pPr>
              <w:pStyle w:val="37"/>
              <w:adjustRightInd w:val="0"/>
              <w:jc w:val="both"/>
              <w:rPr>
                <w:color w:val="auto"/>
                <w:highlight w:val="none"/>
              </w:rPr>
            </w:pPr>
            <w:r>
              <w:rPr>
                <w:color w:val="auto"/>
                <w:highlight w:val="none"/>
              </w:rPr>
              <w:t>严格涉气项目环境准入。严格控制石化、化工、火电、钢铁、有色金属冶炼、水泥、陶瓷等</w:t>
            </w:r>
            <w:r>
              <w:rPr>
                <w:rFonts w:hint="eastAsia"/>
                <w:color w:val="auto"/>
                <w:highlight w:val="none"/>
              </w:rPr>
              <w:t>“</w:t>
            </w:r>
            <w:r>
              <w:rPr>
                <w:color w:val="auto"/>
                <w:highlight w:val="none"/>
              </w:rPr>
              <w:t>两高</w:t>
            </w:r>
            <w:r>
              <w:rPr>
                <w:rFonts w:hint="eastAsia"/>
                <w:color w:val="auto"/>
                <w:highlight w:val="none"/>
              </w:rPr>
              <w:t>”</w:t>
            </w:r>
            <w:r>
              <w:rPr>
                <w:color w:val="auto"/>
                <w:highlight w:val="none"/>
              </w:rPr>
              <w:t>项目建设。严格控制城市及近郊新增涉气排放高架点源（排气筒高度高于50米）。严格控制园区外新建涉气工业企业，空气质量不达标区域严格落实颗粒物、二氧化硫、氮氧化物、挥发性有机物2倍现役源削减替代。</w:t>
            </w:r>
          </w:p>
        </w:tc>
        <w:tc>
          <w:tcPr>
            <w:tcW w:w="1725" w:type="pct"/>
            <w:vAlign w:val="center"/>
          </w:tcPr>
          <w:p w14:paraId="1073A1E3">
            <w:pPr>
              <w:pStyle w:val="37"/>
              <w:adjustRightInd w:val="0"/>
              <w:rPr>
                <w:color w:val="auto"/>
                <w:highlight w:val="none"/>
              </w:rPr>
            </w:pPr>
            <w:r>
              <w:rPr>
                <w:color w:val="auto"/>
                <w:highlight w:val="none"/>
              </w:rPr>
              <w:t>本项目不属于石化、化工、火电、钢铁、有色金属冶炼、水泥、陶瓷等</w:t>
            </w:r>
            <w:r>
              <w:rPr>
                <w:rFonts w:hint="eastAsia"/>
                <w:color w:val="auto"/>
                <w:highlight w:val="none"/>
              </w:rPr>
              <w:t>“</w:t>
            </w:r>
            <w:r>
              <w:rPr>
                <w:color w:val="auto"/>
                <w:highlight w:val="none"/>
              </w:rPr>
              <w:t>两高</w:t>
            </w:r>
            <w:r>
              <w:rPr>
                <w:rFonts w:hint="eastAsia"/>
                <w:color w:val="auto"/>
                <w:highlight w:val="none"/>
              </w:rPr>
              <w:t>”</w:t>
            </w:r>
            <w:r>
              <w:rPr>
                <w:color w:val="auto"/>
                <w:highlight w:val="none"/>
              </w:rPr>
              <w:t>项目。本项目颗粒物总量由生态环境主管部门调控。</w:t>
            </w:r>
          </w:p>
        </w:tc>
        <w:tc>
          <w:tcPr>
            <w:tcW w:w="565" w:type="pct"/>
            <w:vAlign w:val="center"/>
          </w:tcPr>
          <w:p w14:paraId="3F164606">
            <w:pPr>
              <w:pStyle w:val="37"/>
              <w:adjustRightInd w:val="0"/>
              <w:rPr>
                <w:color w:val="auto"/>
                <w:highlight w:val="none"/>
              </w:rPr>
            </w:pPr>
            <w:r>
              <w:rPr>
                <w:color w:val="auto"/>
                <w:highlight w:val="none"/>
              </w:rPr>
              <w:t>符合</w:t>
            </w:r>
          </w:p>
        </w:tc>
      </w:tr>
      <w:tr w14:paraId="0BB22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Merge w:val="continue"/>
            <w:vAlign w:val="center"/>
          </w:tcPr>
          <w:p w14:paraId="2EDF5A2B">
            <w:pPr>
              <w:pStyle w:val="37"/>
              <w:adjustRightInd w:val="0"/>
              <w:rPr>
                <w:color w:val="auto"/>
                <w:highlight w:val="none"/>
              </w:rPr>
            </w:pPr>
          </w:p>
        </w:tc>
        <w:tc>
          <w:tcPr>
            <w:tcW w:w="2188" w:type="pct"/>
            <w:vAlign w:val="center"/>
          </w:tcPr>
          <w:p w14:paraId="4992FA8A">
            <w:pPr>
              <w:pStyle w:val="37"/>
              <w:adjustRightInd w:val="0"/>
              <w:jc w:val="both"/>
              <w:rPr>
                <w:color w:val="auto"/>
                <w:highlight w:val="none"/>
              </w:rPr>
            </w:pPr>
            <w:r>
              <w:rPr>
                <w:color w:val="auto"/>
                <w:highlight w:val="none"/>
              </w:rPr>
              <w:t>持续深化重点行业深度治理。持续推进水泥、陶瓷、砖瓦、铸造、铁合金、钢铁等行业大气污染防治深度治理，深入推进颗粒物、二氧化硫、氮氧化物和挥发性有机物治理，持续推进陶瓷行业（喷雾干燥塔）清洁能源改造工程，加快推进五通桥区涉氨排放化工企业氨排放治理。强化钢铁、水泥、矿山等行业无组织排放整治。</w:t>
            </w:r>
          </w:p>
        </w:tc>
        <w:tc>
          <w:tcPr>
            <w:tcW w:w="1725" w:type="pct"/>
            <w:vAlign w:val="center"/>
          </w:tcPr>
          <w:p w14:paraId="26A24E96">
            <w:pPr>
              <w:pStyle w:val="37"/>
              <w:adjustRightInd w:val="0"/>
              <w:rPr>
                <w:color w:val="auto"/>
                <w:highlight w:val="none"/>
              </w:rPr>
            </w:pPr>
            <w:r>
              <w:rPr>
                <w:color w:val="auto"/>
                <w:highlight w:val="none"/>
              </w:rPr>
              <w:t>本项目不属于水泥、陶瓷、砖瓦、铸造、铁合金、钢铁等行业，本次评价要求建设单位严格落实本报告提出的废气治理措施。</w:t>
            </w:r>
          </w:p>
        </w:tc>
        <w:tc>
          <w:tcPr>
            <w:tcW w:w="565" w:type="pct"/>
            <w:vAlign w:val="center"/>
          </w:tcPr>
          <w:p w14:paraId="3BAD8AC9">
            <w:pPr>
              <w:pStyle w:val="37"/>
              <w:adjustRightInd w:val="0"/>
              <w:rPr>
                <w:color w:val="auto"/>
                <w:highlight w:val="none"/>
              </w:rPr>
            </w:pPr>
            <w:r>
              <w:rPr>
                <w:color w:val="auto"/>
                <w:highlight w:val="none"/>
              </w:rPr>
              <w:t>符合</w:t>
            </w:r>
          </w:p>
        </w:tc>
      </w:tr>
      <w:tr w14:paraId="6B36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Align w:val="center"/>
          </w:tcPr>
          <w:p w14:paraId="4C8EE6A4">
            <w:pPr>
              <w:pStyle w:val="37"/>
              <w:adjustRightInd w:val="0"/>
              <w:rPr>
                <w:color w:val="auto"/>
                <w:highlight w:val="none"/>
              </w:rPr>
            </w:pPr>
            <w:r>
              <w:rPr>
                <w:color w:val="auto"/>
                <w:highlight w:val="none"/>
              </w:rPr>
              <w:t>推进建设用地污染防治</w:t>
            </w:r>
          </w:p>
        </w:tc>
        <w:tc>
          <w:tcPr>
            <w:tcW w:w="2188" w:type="pct"/>
            <w:vAlign w:val="center"/>
          </w:tcPr>
          <w:p w14:paraId="213311E6">
            <w:pPr>
              <w:pStyle w:val="37"/>
              <w:adjustRightInd w:val="0"/>
              <w:jc w:val="both"/>
              <w:rPr>
                <w:color w:val="auto"/>
                <w:highlight w:val="none"/>
              </w:rPr>
            </w:pPr>
            <w:r>
              <w:rPr>
                <w:color w:val="auto"/>
                <w:highlight w:val="none"/>
              </w:rPr>
              <w:t>加强土壤、地下水污染协同防治。在土壤污染风险管控中，充分考虑地下水影响与污染防控，做到统筹安排、同步考虑、同步落实。对土壤污染影响或可能影响地下水的农用地地块，将地下水内容纳入污染防治方案。对列入风险管控和修复名录的建设用地地块，将地下水污染风险管控和修复内容纳入地块的风险管控措施和修复方案。</w:t>
            </w:r>
          </w:p>
        </w:tc>
        <w:tc>
          <w:tcPr>
            <w:tcW w:w="1725" w:type="pct"/>
            <w:vAlign w:val="center"/>
          </w:tcPr>
          <w:p w14:paraId="3F4262BF">
            <w:pPr>
              <w:pStyle w:val="37"/>
              <w:adjustRightInd w:val="0"/>
              <w:rPr>
                <w:color w:val="auto"/>
                <w:highlight w:val="none"/>
              </w:rPr>
            </w:pPr>
            <w:r>
              <w:rPr>
                <w:color w:val="auto"/>
                <w:highlight w:val="none"/>
              </w:rPr>
              <w:t>本次评价要求建设单位严格落实本报告提出的分区防渗措施，确保对土壤污染途径进行有效阻断。</w:t>
            </w:r>
            <w:r>
              <w:rPr>
                <w:rFonts w:hint="eastAsia"/>
                <w:color w:val="auto"/>
                <w:highlight w:val="none"/>
              </w:rPr>
              <w:t>本地块历史上无企业，</w:t>
            </w:r>
            <w:r>
              <w:rPr>
                <w:color w:val="auto"/>
                <w:highlight w:val="none"/>
              </w:rPr>
              <w:t>本地块未列入风险管控和修复名录。</w:t>
            </w:r>
          </w:p>
        </w:tc>
        <w:tc>
          <w:tcPr>
            <w:tcW w:w="565" w:type="pct"/>
            <w:vAlign w:val="center"/>
          </w:tcPr>
          <w:p w14:paraId="70D30A15">
            <w:pPr>
              <w:pStyle w:val="37"/>
              <w:adjustRightInd w:val="0"/>
              <w:rPr>
                <w:color w:val="auto"/>
                <w:highlight w:val="none"/>
              </w:rPr>
            </w:pPr>
            <w:r>
              <w:rPr>
                <w:color w:val="auto"/>
                <w:highlight w:val="none"/>
              </w:rPr>
              <w:t>符合</w:t>
            </w:r>
          </w:p>
        </w:tc>
      </w:tr>
      <w:tr w14:paraId="409F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0" w:type="pct"/>
            <w:vAlign w:val="center"/>
          </w:tcPr>
          <w:p w14:paraId="2D7800C1">
            <w:pPr>
              <w:pStyle w:val="37"/>
              <w:adjustRightInd w:val="0"/>
              <w:rPr>
                <w:color w:val="auto"/>
                <w:highlight w:val="none"/>
              </w:rPr>
            </w:pPr>
            <w:r>
              <w:rPr>
                <w:color w:val="auto"/>
                <w:highlight w:val="none"/>
              </w:rPr>
              <w:t>强化固体废弃物分类处置</w:t>
            </w:r>
          </w:p>
        </w:tc>
        <w:tc>
          <w:tcPr>
            <w:tcW w:w="2188" w:type="pct"/>
            <w:vAlign w:val="center"/>
          </w:tcPr>
          <w:p w14:paraId="6FC1B311">
            <w:pPr>
              <w:pStyle w:val="37"/>
              <w:adjustRightInd w:val="0"/>
              <w:jc w:val="both"/>
              <w:rPr>
                <w:color w:val="auto"/>
                <w:highlight w:val="none"/>
              </w:rPr>
            </w:pPr>
            <w:r>
              <w:rPr>
                <w:color w:val="auto"/>
                <w:highlight w:val="none"/>
              </w:rPr>
              <w:t>建立固废信息清单。深入推进固体废物申报登记制度，落实工业企业污染防治的主体责任，建立并动态更新固体废物重点监管点位清单。开展主要固体废物（危险废物）贮存场所排查，建立尾矿库</w:t>
            </w:r>
            <w:r>
              <w:rPr>
                <w:rFonts w:hint="eastAsia"/>
                <w:color w:val="auto"/>
                <w:highlight w:val="none"/>
              </w:rPr>
              <w:t>“</w:t>
            </w:r>
            <w:r>
              <w:rPr>
                <w:color w:val="auto"/>
                <w:highlight w:val="none"/>
              </w:rPr>
              <w:t>一库一档</w:t>
            </w:r>
            <w:r>
              <w:rPr>
                <w:rFonts w:hint="eastAsia"/>
                <w:color w:val="auto"/>
                <w:highlight w:val="none"/>
              </w:rPr>
              <w:t>”</w:t>
            </w:r>
            <w:r>
              <w:rPr>
                <w:color w:val="auto"/>
                <w:highlight w:val="none"/>
              </w:rPr>
              <w:t>。摸清危险废物产生、转移、贮存、利用和处置情况，持续推进危险废物规范化环境管理评估工作。</w:t>
            </w:r>
          </w:p>
        </w:tc>
        <w:tc>
          <w:tcPr>
            <w:tcW w:w="1725" w:type="pct"/>
            <w:vAlign w:val="center"/>
          </w:tcPr>
          <w:p w14:paraId="74FF93E6">
            <w:pPr>
              <w:pStyle w:val="37"/>
              <w:adjustRightInd w:val="0"/>
              <w:rPr>
                <w:color w:val="auto"/>
                <w:highlight w:val="none"/>
              </w:rPr>
            </w:pPr>
            <w:r>
              <w:rPr>
                <w:color w:val="auto"/>
                <w:highlight w:val="none"/>
              </w:rPr>
              <w:t>本项目产生的危险废物</w:t>
            </w:r>
            <w:r>
              <w:rPr>
                <w:rFonts w:hint="eastAsia"/>
                <w:color w:val="auto"/>
                <w:highlight w:val="none"/>
              </w:rPr>
              <w:t>（废机油、废机油桶、含油抹布及手套、废氢氧化钠包装袋）</w:t>
            </w:r>
            <w:r>
              <w:rPr>
                <w:color w:val="auto"/>
                <w:highlight w:val="none"/>
              </w:rPr>
              <w:t>暂存于厂内标准</w:t>
            </w:r>
            <w:r>
              <w:rPr>
                <w:rFonts w:hint="eastAsia"/>
                <w:color w:val="auto"/>
                <w:highlight w:val="none"/>
              </w:rPr>
              <w:t>危废暂存间</w:t>
            </w:r>
            <w:r>
              <w:rPr>
                <w:color w:val="auto"/>
                <w:highlight w:val="none"/>
              </w:rPr>
              <w:t>，定期交由资质单位处置。</w:t>
            </w:r>
            <w:r>
              <w:rPr>
                <w:rStyle w:val="36"/>
                <w:color w:val="auto"/>
                <w:highlight w:val="none"/>
              </w:rPr>
              <w:t>本项目一般固废</w:t>
            </w:r>
            <w:r>
              <w:rPr>
                <w:rStyle w:val="36"/>
                <w:rFonts w:hint="eastAsia"/>
                <w:color w:val="auto"/>
                <w:highlight w:val="none"/>
              </w:rPr>
              <w:t>废滤袋、废布袋由供货厂家回收；布袋收尘灰回用于生产；沉淀池沉砂回用于生产；废包装材料（废聚丙烯酰胺包装袋、废聚合氯化铝包装袋、废捕收剂桶、废碳酸钠包装袋、废氯化镁包装袋）定期外售废品回收站；尾矿、黑砂外售陶瓷生产厂家综合利用；餐厨垃圾和隔油池废油定期交由有资质的单位进行处置；</w:t>
            </w:r>
            <w:r>
              <w:rPr>
                <w:rStyle w:val="36"/>
                <w:color w:val="auto"/>
                <w:highlight w:val="none"/>
              </w:rPr>
              <w:t>生活垃圾由环卫部门清运。</w:t>
            </w:r>
          </w:p>
        </w:tc>
        <w:tc>
          <w:tcPr>
            <w:tcW w:w="565" w:type="pct"/>
            <w:vAlign w:val="center"/>
          </w:tcPr>
          <w:p w14:paraId="0BD9E129">
            <w:pPr>
              <w:pStyle w:val="37"/>
              <w:adjustRightInd w:val="0"/>
              <w:rPr>
                <w:color w:val="auto"/>
                <w:highlight w:val="none"/>
              </w:rPr>
            </w:pPr>
            <w:r>
              <w:rPr>
                <w:color w:val="auto"/>
                <w:highlight w:val="none"/>
              </w:rPr>
              <w:t>符合</w:t>
            </w:r>
          </w:p>
        </w:tc>
      </w:tr>
    </w:tbl>
    <w:p w14:paraId="42E7C991">
      <w:pPr>
        <w:adjustRightInd w:val="0"/>
        <w:ind w:firstLine="480"/>
        <w:rPr>
          <w:rFonts w:cs="Times New Roman"/>
          <w:color w:val="auto"/>
          <w:highlight w:val="none"/>
        </w:rPr>
      </w:pPr>
      <w:r>
        <w:rPr>
          <w:rFonts w:cs="Times New Roman"/>
          <w:color w:val="auto"/>
          <w:highlight w:val="none"/>
        </w:rPr>
        <w:t>乐山市沙湾区人民政府于2023年1月31日印发《乐山市沙湾区</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生态环境保护规划》（乐沙府发〔2023〕1号），本项目与其符合性分析如下。</w:t>
      </w:r>
    </w:p>
    <w:p w14:paraId="512C95C5">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16</w:t>
      </w:r>
      <w:r>
        <w:rPr>
          <w:rFonts w:cs="Times New Roman"/>
          <w:color w:val="auto"/>
          <w:highlight w:val="none"/>
        </w:rPr>
        <w:fldChar w:fldCharType="end"/>
      </w:r>
      <w:r>
        <w:rPr>
          <w:rFonts w:cs="Times New Roman"/>
          <w:color w:val="auto"/>
          <w:highlight w:val="none"/>
        </w:rPr>
        <w:t>本项目与《乐山市沙湾区</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生态环境保护规划》的符合性分析</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4"/>
        <w:gridCol w:w="3731"/>
        <w:gridCol w:w="2939"/>
        <w:gridCol w:w="963"/>
      </w:tblGrid>
      <w:tr w14:paraId="5E97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2709" w:type="pct"/>
            <w:gridSpan w:val="2"/>
            <w:vAlign w:val="center"/>
          </w:tcPr>
          <w:p w14:paraId="367A7518">
            <w:pPr>
              <w:pStyle w:val="37"/>
              <w:adjustRightInd w:val="0"/>
              <w:rPr>
                <w:b/>
                <w:bCs/>
                <w:color w:val="auto"/>
                <w:highlight w:val="none"/>
              </w:rPr>
            </w:pPr>
            <w:r>
              <w:rPr>
                <w:b/>
                <w:bCs/>
                <w:color w:val="auto"/>
                <w:highlight w:val="none"/>
              </w:rPr>
              <w:t>《规划》规定</w:t>
            </w:r>
          </w:p>
        </w:tc>
        <w:tc>
          <w:tcPr>
            <w:tcW w:w="1725" w:type="pct"/>
            <w:vMerge w:val="restart"/>
            <w:vAlign w:val="center"/>
          </w:tcPr>
          <w:p w14:paraId="12EADAFC">
            <w:pPr>
              <w:pStyle w:val="37"/>
              <w:adjustRightInd w:val="0"/>
              <w:rPr>
                <w:b/>
                <w:bCs/>
                <w:color w:val="auto"/>
                <w:highlight w:val="none"/>
              </w:rPr>
            </w:pPr>
            <w:r>
              <w:rPr>
                <w:b/>
                <w:bCs/>
                <w:color w:val="auto"/>
                <w:highlight w:val="none"/>
              </w:rPr>
              <w:t>本项目情况</w:t>
            </w:r>
          </w:p>
        </w:tc>
        <w:tc>
          <w:tcPr>
            <w:tcW w:w="565" w:type="pct"/>
            <w:vMerge w:val="restart"/>
            <w:vAlign w:val="center"/>
          </w:tcPr>
          <w:p w14:paraId="56DFB10A">
            <w:pPr>
              <w:pStyle w:val="37"/>
              <w:adjustRightInd w:val="0"/>
              <w:rPr>
                <w:b/>
                <w:bCs/>
                <w:color w:val="auto"/>
                <w:highlight w:val="none"/>
              </w:rPr>
            </w:pPr>
            <w:r>
              <w:rPr>
                <w:b/>
                <w:bCs/>
                <w:color w:val="auto"/>
                <w:highlight w:val="none"/>
              </w:rPr>
              <w:t>符合性</w:t>
            </w:r>
          </w:p>
        </w:tc>
      </w:tr>
      <w:tr w14:paraId="59102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blHeader/>
          <w:jc w:val="center"/>
        </w:trPr>
        <w:tc>
          <w:tcPr>
            <w:tcW w:w="519" w:type="pct"/>
            <w:vAlign w:val="center"/>
          </w:tcPr>
          <w:p w14:paraId="7C21F2E2">
            <w:pPr>
              <w:pStyle w:val="37"/>
              <w:adjustRightInd w:val="0"/>
              <w:rPr>
                <w:b/>
                <w:bCs/>
                <w:color w:val="auto"/>
                <w:highlight w:val="none"/>
              </w:rPr>
            </w:pPr>
            <w:r>
              <w:rPr>
                <w:b/>
                <w:bCs/>
                <w:color w:val="auto"/>
                <w:highlight w:val="none"/>
              </w:rPr>
              <w:t>项目</w:t>
            </w:r>
          </w:p>
        </w:tc>
        <w:tc>
          <w:tcPr>
            <w:tcW w:w="2189" w:type="pct"/>
            <w:vAlign w:val="center"/>
          </w:tcPr>
          <w:p w14:paraId="3D6FBE6A">
            <w:pPr>
              <w:pStyle w:val="37"/>
              <w:adjustRightInd w:val="0"/>
              <w:rPr>
                <w:b/>
                <w:bCs/>
                <w:color w:val="auto"/>
                <w:highlight w:val="none"/>
              </w:rPr>
            </w:pPr>
            <w:r>
              <w:rPr>
                <w:b/>
                <w:bCs/>
                <w:color w:val="auto"/>
                <w:highlight w:val="none"/>
              </w:rPr>
              <w:t>主要内容</w:t>
            </w:r>
          </w:p>
        </w:tc>
        <w:tc>
          <w:tcPr>
            <w:tcW w:w="1725" w:type="pct"/>
            <w:vMerge w:val="continue"/>
            <w:vAlign w:val="center"/>
          </w:tcPr>
          <w:p w14:paraId="02E8BB28">
            <w:pPr>
              <w:pStyle w:val="37"/>
              <w:adjustRightInd w:val="0"/>
              <w:rPr>
                <w:b/>
                <w:bCs/>
                <w:color w:val="auto"/>
                <w:highlight w:val="none"/>
              </w:rPr>
            </w:pPr>
          </w:p>
        </w:tc>
        <w:tc>
          <w:tcPr>
            <w:tcW w:w="565" w:type="pct"/>
            <w:vMerge w:val="continue"/>
            <w:vAlign w:val="center"/>
          </w:tcPr>
          <w:p w14:paraId="3560AE6C">
            <w:pPr>
              <w:pStyle w:val="37"/>
              <w:adjustRightInd w:val="0"/>
              <w:rPr>
                <w:b/>
                <w:bCs/>
                <w:color w:val="auto"/>
                <w:highlight w:val="none"/>
              </w:rPr>
            </w:pPr>
          </w:p>
        </w:tc>
      </w:tr>
      <w:tr w14:paraId="2585E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Merge w:val="restart"/>
            <w:vAlign w:val="center"/>
          </w:tcPr>
          <w:p w14:paraId="5B4B92E0">
            <w:pPr>
              <w:pStyle w:val="37"/>
              <w:adjustRightInd w:val="0"/>
              <w:rPr>
                <w:color w:val="auto"/>
                <w:highlight w:val="none"/>
              </w:rPr>
            </w:pPr>
            <w:r>
              <w:rPr>
                <w:color w:val="auto"/>
                <w:highlight w:val="none"/>
              </w:rPr>
              <w:t>深入推进工业源污染防治</w:t>
            </w:r>
          </w:p>
        </w:tc>
        <w:tc>
          <w:tcPr>
            <w:tcW w:w="2189" w:type="pct"/>
            <w:vAlign w:val="center"/>
          </w:tcPr>
          <w:p w14:paraId="7D4E7D3A">
            <w:pPr>
              <w:pStyle w:val="37"/>
              <w:adjustRightInd w:val="0"/>
              <w:jc w:val="both"/>
              <w:rPr>
                <w:color w:val="auto"/>
                <w:highlight w:val="none"/>
              </w:rPr>
            </w:pPr>
            <w:r>
              <w:rPr>
                <w:color w:val="auto"/>
                <w:highlight w:val="none"/>
              </w:rPr>
              <w:t>推进工业污染达标排放。聚焦钢铁、水泥、砖瓦、石灰等重点行业，严禁新增大气污染物排放。严格实施工业污染源清单制管理，加大超标处罚和联合惩戒力度，依法依规责令排放未达标的企业停产整治，问题严重、屡次整治无法达标的企业，依法责令关闭。加大不达标工业炉窑淘汰力度，加快推进工业炉窑使用电、天然气等清洁能源进程，鼓励由周边热电联产项目集中供热。强化治理设施运行监管，确保按照排放限值及相关标准要求运行，减少非正常工况排放。</w:t>
            </w:r>
          </w:p>
        </w:tc>
        <w:tc>
          <w:tcPr>
            <w:tcW w:w="1725" w:type="pct"/>
            <w:vAlign w:val="center"/>
          </w:tcPr>
          <w:p w14:paraId="472722D0">
            <w:pPr>
              <w:pStyle w:val="37"/>
              <w:adjustRightInd w:val="0"/>
              <w:rPr>
                <w:color w:val="auto"/>
                <w:highlight w:val="none"/>
              </w:rPr>
            </w:pPr>
            <w:r>
              <w:rPr>
                <w:color w:val="auto"/>
                <w:highlight w:val="none"/>
              </w:rPr>
              <w:t>本项目不</w:t>
            </w:r>
            <w:r>
              <w:rPr>
                <w:rFonts w:hint="eastAsia"/>
                <w:color w:val="auto"/>
                <w:highlight w:val="none"/>
              </w:rPr>
              <w:t>属于</w:t>
            </w:r>
            <w:r>
              <w:rPr>
                <w:color w:val="auto"/>
                <w:highlight w:val="none"/>
              </w:rPr>
              <w:t>钢铁、水泥、砖瓦、石灰等重点行业。本项目不涉及工业炉窑。</w:t>
            </w:r>
          </w:p>
        </w:tc>
        <w:tc>
          <w:tcPr>
            <w:tcW w:w="565" w:type="pct"/>
            <w:vAlign w:val="center"/>
          </w:tcPr>
          <w:p w14:paraId="436F726F">
            <w:pPr>
              <w:pStyle w:val="37"/>
              <w:adjustRightInd w:val="0"/>
              <w:rPr>
                <w:color w:val="auto"/>
                <w:highlight w:val="none"/>
              </w:rPr>
            </w:pPr>
            <w:r>
              <w:rPr>
                <w:color w:val="auto"/>
                <w:highlight w:val="none"/>
              </w:rPr>
              <w:t>符合</w:t>
            </w:r>
          </w:p>
        </w:tc>
      </w:tr>
      <w:tr w14:paraId="0250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Merge w:val="continue"/>
            <w:vAlign w:val="center"/>
          </w:tcPr>
          <w:p w14:paraId="1C6B8FFA">
            <w:pPr>
              <w:pStyle w:val="37"/>
              <w:adjustRightInd w:val="0"/>
              <w:rPr>
                <w:color w:val="auto"/>
                <w:highlight w:val="none"/>
              </w:rPr>
            </w:pPr>
          </w:p>
        </w:tc>
        <w:tc>
          <w:tcPr>
            <w:tcW w:w="2189" w:type="pct"/>
            <w:vAlign w:val="center"/>
          </w:tcPr>
          <w:p w14:paraId="657F241D">
            <w:pPr>
              <w:pStyle w:val="37"/>
              <w:adjustRightInd w:val="0"/>
              <w:jc w:val="both"/>
              <w:rPr>
                <w:color w:val="auto"/>
                <w:highlight w:val="none"/>
              </w:rPr>
            </w:pPr>
            <w:r>
              <w:rPr>
                <w:color w:val="auto"/>
                <w:highlight w:val="none"/>
              </w:rPr>
              <w:t>深度治理工业废气污染。以颗粒物、二氧化硫、氮氧化物和挥发性有机物为重点，深入推进工业大气污染物治理。以钢铁、建材、铸造等重点行业和燃煤锅炉为重点，持续开展无组织排放整治，建立动态管理台账，实施精细化管理。深度整治钢铁、水泥等大气污染重点行业，督促指导恒大矿业、德胜钒钛、德胜水泥等重点企业按时保质完成大气污染治理设施升级改造。严格控制工业园区外新建涉气工业企业，探索工业园区集中供热，支持工业园区燃气热电联产项目规划建设，新建工业炉窑建设项目原则上进入工业园区。</w:t>
            </w:r>
          </w:p>
        </w:tc>
        <w:tc>
          <w:tcPr>
            <w:tcW w:w="1725" w:type="pct"/>
            <w:vAlign w:val="center"/>
          </w:tcPr>
          <w:p w14:paraId="59995283">
            <w:pPr>
              <w:pStyle w:val="37"/>
              <w:adjustRightInd w:val="0"/>
              <w:rPr>
                <w:color w:val="auto"/>
                <w:highlight w:val="none"/>
              </w:rPr>
            </w:pPr>
            <w:r>
              <w:rPr>
                <w:color w:val="auto"/>
                <w:highlight w:val="none"/>
              </w:rPr>
              <w:t>本项目不属于钢铁、建材、铸造等重点行业，本项目不涉及燃煤锅炉、工业炉窑，本项目位于工业园区内，本次评价要求建设单位严格落实本报告提出的废气治理措施。</w:t>
            </w:r>
          </w:p>
        </w:tc>
        <w:tc>
          <w:tcPr>
            <w:tcW w:w="565" w:type="pct"/>
            <w:vAlign w:val="center"/>
          </w:tcPr>
          <w:p w14:paraId="69FF4D98">
            <w:pPr>
              <w:pStyle w:val="37"/>
              <w:adjustRightInd w:val="0"/>
              <w:rPr>
                <w:color w:val="auto"/>
                <w:highlight w:val="none"/>
              </w:rPr>
            </w:pPr>
            <w:r>
              <w:rPr>
                <w:color w:val="auto"/>
                <w:highlight w:val="none"/>
              </w:rPr>
              <w:t>符合</w:t>
            </w:r>
          </w:p>
        </w:tc>
      </w:tr>
      <w:tr w14:paraId="4E96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Align w:val="center"/>
          </w:tcPr>
          <w:p w14:paraId="6C915C52">
            <w:pPr>
              <w:pStyle w:val="37"/>
              <w:adjustRightInd w:val="0"/>
              <w:rPr>
                <w:color w:val="auto"/>
                <w:highlight w:val="none"/>
              </w:rPr>
            </w:pPr>
            <w:r>
              <w:rPr>
                <w:color w:val="auto"/>
                <w:highlight w:val="none"/>
              </w:rPr>
              <w:t>严控挥发性有机物排放</w:t>
            </w:r>
          </w:p>
        </w:tc>
        <w:tc>
          <w:tcPr>
            <w:tcW w:w="2189" w:type="pct"/>
            <w:vAlign w:val="center"/>
          </w:tcPr>
          <w:p w14:paraId="1F8FACDB">
            <w:pPr>
              <w:pStyle w:val="37"/>
              <w:adjustRightInd w:val="0"/>
              <w:jc w:val="both"/>
              <w:rPr>
                <w:color w:val="auto"/>
                <w:highlight w:val="none"/>
              </w:rPr>
            </w:pPr>
            <w:r>
              <w:rPr>
                <w:color w:val="auto"/>
                <w:highlight w:val="none"/>
              </w:rPr>
              <w:t>严格落实污染总量减排。严格控制涉VOCs排放新建项目，对新增VOCs 排放项目实施倍量或减量替代。持续开展重点行业企业</w:t>
            </w:r>
            <w:r>
              <w:rPr>
                <w:rFonts w:hint="eastAsia"/>
                <w:color w:val="auto"/>
                <w:highlight w:val="none"/>
              </w:rPr>
              <w:t>“</w:t>
            </w:r>
            <w:r>
              <w:rPr>
                <w:color w:val="auto"/>
                <w:highlight w:val="none"/>
              </w:rPr>
              <w:t>一厂一策</w:t>
            </w:r>
            <w:r>
              <w:rPr>
                <w:rFonts w:hint="eastAsia"/>
                <w:color w:val="auto"/>
                <w:highlight w:val="none"/>
              </w:rPr>
              <w:t>”</w:t>
            </w:r>
            <w:r>
              <w:rPr>
                <w:color w:val="auto"/>
                <w:highlight w:val="none"/>
              </w:rPr>
              <w:t>综合治理，实施重点行业VOCs 达标排放整治。明确优先减排的重点控制区和重点行业，持续更新区域VOCs排放清单，及时修正制定VOCs减排策略。对含VOCs 物料（包括含VOCs原辅材料、含VOCs 产品、含VOCs 废料以及有机聚合物材料等）储存、转移和输送、设备与管线组件泄漏、敞开液面逸散以及工艺过程等五类排放源实施重点管控，通过采取设备与场所密闭、工艺改进、废气有效收集等措施，削减VOCs 无组织排放。</w:t>
            </w:r>
          </w:p>
        </w:tc>
        <w:tc>
          <w:tcPr>
            <w:tcW w:w="1725" w:type="pct"/>
            <w:vAlign w:val="center"/>
          </w:tcPr>
          <w:p w14:paraId="65E709B9">
            <w:pPr>
              <w:pStyle w:val="37"/>
              <w:adjustRightInd w:val="0"/>
              <w:rPr>
                <w:color w:val="auto"/>
                <w:highlight w:val="none"/>
              </w:rPr>
            </w:pPr>
            <w:r>
              <w:rPr>
                <w:color w:val="auto"/>
                <w:highlight w:val="none"/>
              </w:rPr>
              <w:t>本项目不涉及VOCs。</w:t>
            </w:r>
          </w:p>
        </w:tc>
        <w:tc>
          <w:tcPr>
            <w:tcW w:w="565" w:type="pct"/>
            <w:vAlign w:val="center"/>
          </w:tcPr>
          <w:p w14:paraId="6B6CF8F0">
            <w:pPr>
              <w:pStyle w:val="37"/>
              <w:adjustRightInd w:val="0"/>
              <w:rPr>
                <w:color w:val="auto"/>
                <w:highlight w:val="none"/>
              </w:rPr>
            </w:pPr>
            <w:r>
              <w:rPr>
                <w:color w:val="auto"/>
                <w:highlight w:val="none"/>
              </w:rPr>
              <w:t>符合</w:t>
            </w:r>
          </w:p>
        </w:tc>
      </w:tr>
      <w:tr w14:paraId="7E703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Align w:val="center"/>
          </w:tcPr>
          <w:p w14:paraId="117EA060">
            <w:pPr>
              <w:pStyle w:val="37"/>
              <w:adjustRightInd w:val="0"/>
              <w:rPr>
                <w:color w:val="auto"/>
                <w:highlight w:val="none"/>
              </w:rPr>
            </w:pPr>
            <w:r>
              <w:rPr>
                <w:color w:val="auto"/>
                <w:highlight w:val="none"/>
              </w:rPr>
              <w:t>加强水资源管理保护及利用</w:t>
            </w:r>
          </w:p>
        </w:tc>
        <w:tc>
          <w:tcPr>
            <w:tcW w:w="2189" w:type="pct"/>
            <w:vAlign w:val="center"/>
          </w:tcPr>
          <w:p w14:paraId="41DB3CB8">
            <w:pPr>
              <w:pStyle w:val="37"/>
              <w:adjustRightInd w:val="0"/>
              <w:jc w:val="both"/>
              <w:rPr>
                <w:color w:val="auto"/>
                <w:highlight w:val="none"/>
              </w:rPr>
            </w:pPr>
            <w:r>
              <w:rPr>
                <w:color w:val="auto"/>
                <w:highlight w:val="none"/>
              </w:rPr>
              <w:t>强力推进河湖岸线保护。严格执行长江岸线保护和开发利用总体规划，统筹规划岸线资源，严格分区管理与用途管制，强化长江重要支流岸线保护，严禁在大渡河等长江重要支流岸线1公里范围内新建化工园区和化工项目。全面落实河（湖）长制，编制实施</w:t>
            </w:r>
            <w:r>
              <w:rPr>
                <w:rFonts w:hint="eastAsia"/>
                <w:color w:val="auto"/>
                <w:highlight w:val="none"/>
              </w:rPr>
              <w:t>“</w:t>
            </w:r>
            <w:r>
              <w:rPr>
                <w:color w:val="auto"/>
                <w:highlight w:val="none"/>
              </w:rPr>
              <w:t>一河一策</w:t>
            </w:r>
            <w:r>
              <w:rPr>
                <w:rFonts w:hint="eastAsia"/>
                <w:color w:val="auto"/>
                <w:highlight w:val="none"/>
              </w:rPr>
              <w:t>”“</w:t>
            </w:r>
            <w:r>
              <w:rPr>
                <w:color w:val="auto"/>
                <w:highlight w:val="none"/>
              </w:rPr>
              <w:t>一湖一策</w:t>
            </w:r>
            <w:r>
              <w:rPr>
                <w:rFonts w:hint="eastAsia"/>
                <w:color w:val="auto"/>
                <w:highlight w:val="none"/>
              </w:rPr>
              <w:t>”</w:t>
            </w:r>
            <w:r>
              <w:rPr>
                <w:color w:val="auto"/>
                <w:highlight w:val="none"/>
              </w:rPr>
              <w:t>方案，针对突出问题，开展专项整治行动，推进河湖岸线综合整治，严厉打击筑坝围堰等违法违规行为，加强水域岸线管理保护。严格涉河建设项目审批，依法加强监管。严禁非法采砂，严格落实禁采区、可采区、保留区和禁采期管理措施，加强对非法采砂行为的监督执法。持续巩固非法采砂、非法码头专项整治成果，实现已拆除非法码头生态复绿。加强大渡河、沫溪河等水质优良水体保护，严格控制河流湖库周边开发建设，持续改善河流湖库自然生态环境。协同推进山水林田湖草系统治理，强化水域、岸线空间管控与保护，继续开展大渡河</w:t>
            </w:r>
            <w:r>
              <w:rPr>
                <w:rFonts w:hint="eastAsia"/>
                <w:color w:val="auto"/>
                <w:highlight w:val="none"/>
              </w:rPr>
              <w:t>“</w:t>
            </w:r>
            <w:r>
              <w:rPr>
                <w:color w:val="auto"/>
                <w:highlight w:val="none"/>
              </w:rPr>
              <w:t>绿岸行动</w:t>
            </w:r>
            <w:r>
              <w:rPr>
                <w:rFonts w:hint="eastAsia"/>
                <w:color w:val="auto"/>
                <w:highlight w:val="none"/>
              </w:rPr>
              <w:t>”</w:t>
            </w:r>
            <w:r>
              <w:rPr>
                <w:color w:val="auto"/>
                <w:highlight w:val="none"/>
              </w:rPr>
              <w:t>和生态湿地修复，严格规范采砂等涉水活动，坚决整治侵占、破坏河湖的行为。</w:t>
            </w:r>
          </w:p>
        </w:tc>
        <w:tc>
          <w:tcPr>
            <w:tcW w:w="1725" w:type="pct"/>
            <w:vAlign w:val="center"/>
          </w:tcPr>
          <w:p w14:paraId="12B54161">
            <w:pPr>
              <w:pStyle w:val="37"/>
              <w:adjustRightInd w:val="0"/>
              <w:rPr>
                <w:color w:val="auto"/>
                <w:highlight w:val="none"/>
              </w:rPr>
            </w:pPr>
            <w:r>
              <w:rPr>
                <w:color w:val="auto"/>
                <w:highlight w:val="none"/>
              </w:rPr>
              <w:t>本项目位于四川乐山沙湾经济开发区内，不属于化工园区。本项目不属于化工项目。本项目不涉及采砂等涉水活动。</w:t>
            </w:r>
          </w:p>
        </w:tc>
        <w:tc>
          <w:tcPr>
            <w:tcW w:w="565" w:type="pct"/>
            <w:vAlign w:val="center"/>
          </w:tcPr>
          <w:p w14:paraId="4E99D43E">
            <w:pPr>
              <w:pStyle w:val="37"/>
              <w:adjustRightInd w:val="0"/>
              <w:rPr>
                <w:color w:val="auto"/>
                <w:highlight w:val="none"/>
              </w:rPr>
            </w:pPr>
            <w:r>
              <w:rPr>
                <w:color w:val="auto"/>
                <w:highlight w:val="none"/>
              </w:rPr>
              <w:t>符合</w:t>
            </w:r>
          </w:p>
        </w:tc>
      </w:tr>
      <w:tr w14:paraId="30E6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Align w:val="center"/>
          </w:tcPr>
          <w:p w14:paraId="32D1668A">
            <w:pPr>
              <w:pStyle w:val="37"/>
              <w:adjustRightInd w:val="0"/>
              <w:rPr>
                <w:color w:val="auto"/>
                <w:highlight w:val="none"/>
              </w:rPr>
            </w:pPr>
            <w:r>
              <w:rPr>
                <w:color w:val="auto"/>
                <w:highlight w:val="none"/>
              </w:rPr>
              <w:t>推进土壤污染源头防控</w:t>
            </w:r>
          </w:p>
        </w:tc>
        <w:tc>
          <w:tcPr>
            <w:tcW w:w="2189" w:type="pct"/>
            <w:vAlign w:val="center"/>
          </w:tcPr>
          <w:p w14:paraId="26579560">
            <w:pPr>
              <w:pStyle w:val="37"/>
              <w:adjustRightInd w:val="0"/>
              <w:jc w:val="both"/>
              <w:rPr>
                <w:color w:val="auto"/>
                <w:highlight w:val="none"/>
              </w:rPr>
            </w:pPr>
            <w:r>
              <w:rPr>
                <w:color w:val="auto"/>
                <w:highlight w:val="none"/>
              </w:rPr>
              <w:t>加强工业污染源头防控。持续开展重点企业、固体废物堆存场所、再生利用行业企业等土壤污染隐患排查整治行动，督促土壤重点监管单位依法开展隐患排查、自行监测、信息公开，并有序纳入排污许可证管理。加强耕地周边涉重企业排查整治。严格执行拆除活动污染防治方案报备制度，鼓励土壤污染重点监管单位实施防渗漏改造。</w:t>
            </w:r>
          </w:p>
        </w:tc>
        <w:tc>
          <w:tcPr>
            <w:tcW w:w="1725" w:type="pct"/>
            <w:vAlign w:val="center"/>
          </w:tcPr>
          <w:p w14:paraId="090A442B">
            <w:pPr>
              <w:pStyle w:val="37"/>
              <w:adjustRightInd w:val="0"/>
              <w:rPr>
                <w:color w:val="auto"/>
                <w:highlight w:val="none"/>
              </w:rPr>
            </w:pPr>
            <w:r>
              <w:rPr>
                <w:color w:val="auto"/>
                <w:highlight w:val="none"/>
              </w:rPr>
              <w:t>本次评价要求建设单位严格落实本报告提出的分区防渗措施，确保对土壤污染途径进行有效阻断。根据《环境监管重点单位名录管理办法》：</w:t>
            </w:r>
            <w:r>
              <w:rPr>
                <w:rFonts w:hint="eastAsia"/>
                <w:color w:val="auto"/>
                <w:highlight w:val="none"/>
              </w:rPr>
              <w:t>“</w:t>
            </w:r>
            <w:r>
              <w:rPr>
                <w:color w:val="auto"/>
                <w:highlight w:val="none"/>
              </w:rPr>
              <w:t>具备下列条件之一的，应当列为土壤污染重点监管单位：（一）</w:t>
            </w:r>
            <w:r>
              <w:rPr>
                <w:b/>
                <w:bCs/>
                <w:color w:val="auto"/>
                <w:highlight w:val="none"/>
              </w:rPr>
              <w:t>有色金属矿采选</w:t>
            </w:r>
            <w:r>
              <w:rPr>
                <w:color w:val="auto"/>
                <w:highlight w:val="none"/>
              </w:rPr>
              <w:t>、有色金属冶炼、石油开采、石油加工、化工、焦化、电镀、制革行业规模以上企业</w:t>
            </w:r>
            <w:r>
              <w:rPr>
                <w:rFonts w:hint="eastAsia"/>
                <w:color w:val="auto"/>
                <w:highlight w:val="none"/>
              </w:rPr>
              <w:t>”</w:t>
            </w:r>
            <w:r>
              <w:rPr>
                <w:color w:val="auto"/>
                <w:highlight w:val="none"/>
              </w:rPr>
              <w:t>，本次报告要求企业后续开展土壤污染隐患排查。</w:t>
            </w:r>
          </w:p>
        </w:tc>
        <w:tc>
          <w:tcPr>
            <w:tcW w:w="565" w:type="pct"/>
            <w:vAlign w:val="center"/>
          </w:tcPr>
          <w:p w14:paraId="69E5D340">
            <w:pPr>
              <w:pStyle w:val="37"/>
              <w:adjustRightInd w:val="0"/>
              <w:rPr>
                <w:color w:val="auto"/>
                <w:highlight w:val="none"/>
              </w:rPr>
            </w:pPr>
          </w:p>
        </w:tc>
      </w:tr>
      <w:tr w14:paraId="7953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Merge w:val="restart"/>
            <w:vAlign w:val="center"/>
          </w:tcPr>
          <w:p w14:paraId="09C63309">
            <w:pPr>
              <w:pStyle w:val="37"/>
              <w:adjustRightInd w:val="0"/>
              <w:rPr>
                <w:color w:val="auto"/>
                <w:highlight w:val="none"/>
              </w:rPr>
            </w:pPr>
            <w:r>
              <w:rPr>
                <w:color w:val="auto"/>
                <w:highlight w:val="none"/>
              </w:rPr>
              <w:t>强化固体废物分类处置</w:t>
            </w:r>
          </w:p>
        </w:tc>
        <w:tc>
          <w:tcPr>
            <w:tcW w:w="2189" w:type="pct"/>
            <w:vAlign w:val="center"/>
          </w:tcPr>
          <w:p w14:paraId="13A09147">
            <w:pPr>
              <w:pStyle w:val="37"/>
              <w:adjustRightInd w:val="0"/>
              <w:jc w:val="both"/>
              <w:rPr>
                <w:color w:val="auto"/>
                <w:highlight w:val="none"/>
              </w:rPr>
            </w:pPr>
            <w:r>
              <w:rPr>
                <w:color w:val="auto"/>
                <w:highlight w:val="none"/>
              </w:rPr>
              <w:t>提升工业固废利用水平。构建工业固体废物管理体系，按照《工业企业一般工业固废</w:t>
            </w:r>
            <w:r>
              <w:rPr>
                <w:rFonts w:hint="eastAsia"/>
                <w:color w:val="auto"/>
                <w:highlight w:val="none"/>
              </w:rPr>
              <w:t>管理台账</w:t>
            </w:r>
            <w:r>
              <w:rPr>
                <w:color w:val="auto"/>
                <w:highlight w:val="none"/>
              </w:rPr>
              <w:t>（企业用）》相关要求，掌握工业固体废物产生类别、数量以及贮存、利用、处置、转移等情况。强化新建项目固废源头管理，对工业固体废物处置出路难、产生量大且无法就近处置的项目从严把关审批。建立遗存工业固废管控台账，全面排查辖区范围内工业固废堆放点，完成工业废物堆放点的勘测及取样监测，明确各个堆放点的位置、面积、储存量及废料成份，并对危险性进行鉴别，建立沙湾区遗存工业固废管控台账。推进固废流转全过程监管，积极构建固体废弃物资源化利用平台。加快构建废旧物资循环利用体系，鼓励有条件的大中型企业、产业功能区延伸产业链，自行配套建设综合利用项目进行消纳，提升生活污水厂污泥及工业固废综合利用率。2025年，一般工业固体废物综合利用率达到94%。</w:t>
            </w:r>
          </w:p>
        </w:tc>
        <w:tc>
          <w:tcPr>
            <w:tcW w:w="1725" w:type="pct"/>
            <w:vAlign w:val="center"/>
          </w:tcPr>
          <w:p w14:paraId="11F1FC54">
            <w:pPr>
              <w:pStyle w:val="37"/>
              <w:adjustRightInd w:val="0"/>
              <w:rPr>
                <w:color w:val="auto"/>
                <w:highlight w:val="none"/>
              </w:rPr>
            </w:pPr>
            <w:r>
              <w:rPr>
                <w:color w:val="auto"/>
                <w:highlight w:val="none"/>
              </w:rPr>
              <w:t>本项目产生的一般工业固废沉淀池沉渣、废滤袋、</w:t>
            </w:r>
            <w:r>
              <w:rPr>
                <w:rFonts w:hint="eastAsia"/>
                <w:color w:val="auto"/>
                <w:highlight w:val="none"/>
              </w:rPr>
              <w:t>布袋收尘灰</w:t>
            </w:r>
            <w:r>
              <w:rPr>
                <w:color w:val="auto"/>
                <w:highlight w:val="none"/>
              </w:rPr>
              <w:t>、废布袋、废包装材料</w:t>
            </w:r>
            <w:r>
              <w:rPr>
                <w:rFonts w:hint="eastAsia"/>
                <w:color w:val="auto"/>
                <w:highlight w:val="none"/>
              </w:rPr>
              <w:t>（废聚丙烯酰胺包装袋、废聚合氯化铝包装袋、废捕收剂桶、废碳酸钠包装袋、废氯化镁包装袋）</w:t>
            </w:r>
            <w:r>
              <w:rPr>
                <w:color w:val="auto"/>
                <w:highlight w:val="none"/>
              </w:rPr>
              <w:t>暂存于一般固废暂存间，</w:t>
            </w:r>
            <w:r>
              <w:rPr>
                <w:rFonts w:hint="eastAsia"/>
                <w:color w:val="auto"/>
                <w:highlight w:val="none"/>
              </w:rPr>
              <w:t>尾矿、黑砂暂存于尾矿仓库，</w:t>
            </w:r>
            <w:r>
              <w:rPr>
                <w:color w:val="auto"/>
                <w:highlight w:val="none"/>
              </w:rPr>
              <w:t>按照《一般工业固体废物管理台账制定指南（试行）》相关要求进行管理</w:t>
            </w:r>
            <w:r>
              <w:rPr>
                <w:rFonts w:hint="eastAsia"/>
                <w:color w:val="auto"/>
                <w:highlight w:val="none"/>
              </w:rPr>
              <w:t>。餐厨垃圾和隔油池废油定期交由有资质的单位进行处置，生活垃圾由环卫部门清运。</w:t>
            </w:r>
          </w:p>
        </w:tc>
        <w:tc>
          <w:tcPr>
            <w:tcW w:w="565" w:type="pct"/>
            <w:vAlign w:val="center"/>
          </w:tcPr>
          <w:p w14:paraId="0B69EA73">
            <w:pPr>
              <w:pStyle w:val="37"/>
              <w:adjustRightInd w:val="0"/>
              <w:rPr>
                <w:color w:val="auto"/>
                <w:highlight w:val="none"/>
              </w:rPr>
            </w:pPr>
          </w:p>
        </w:tc>
      </w:tr>
      <w:tr w14:paraId="23B6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9" w:type="pct"/>
            <w:vMerge w:val="continue"/>
            <w:vAlign w:val="center"/>
          </w:tcPr>
          <w:p w14:paraId="26830375">
            <w:pPr>
              <w:pStyle w:val="37"/>
              <w:adjustRightInd w:val="0"/>
              <w:rPr>
                <w:color w:val="auto"/>
                <w:highlight w:val="none"/>
              </w:rPr>
            </w:pPr>
          </w:p>
        </w:tc>
        <w:tc>
          <w:tcPr>
            <w:tcW w:w="2189" w:type="pct"/>
            <w:vAlign w:val="center"/>
          </w:tcPr>
          <w:p w14:paraId="0B286112">
            <w:pPr>
              <w:pStyle w:val="37"/>
              <w:adjustRightInd w:val="0"/>
              <w:jc w:val="both"/>
              <w:rPr>
                <w:color w:val="auto"/>
                <w:highlight w:val="none"/>
              </w:rPr>
            </w:pPr>
            <w:r>
              <w:rPr>
                <w:color w:val="auto"/>
                <w:highlight w:val="none"/>
              </w:rPr>
              <w:t>推进危险废物规范化处置。根据本地区危险废物产生数量、危害特性，科学评估其环境风险，实施分级分类管理，建立危险废物信息化监管体系。开展危险废物利用处置单位的整治提升行动，规范危险废物贮存，紧密对接危废产处企业，加快推进危险转移管理，完善危险废物流转全过程监管机制，确保危险废物100%处置。</w:t>
            </w:r>
          </w:p>
        </w:tc>
        <w:tc>
          <w:tcPr>
            <w:tcW w:w="1725" w:type="pct"/>
            <w:vAlign w:val="center"/>
          </w:tcPr>
          <w:p w14:paraId="2720A08B">
            <w:pPr>
              <w:pStyle w:val="37"/>
              <w:adjustRightInd w:val="0"/>
              <w:rPr>
                <w:color w:val="auto"/>
                <w:highlight w:val="none"/>
              </w:rPr>
            </w:pPr>
            <w:r>
              <w:rPr>
                <w:color w:val="auto"/>
                <w:highlight w:val="none"/>
              </w:rPr>
              <w:t>本项目产生的危险废物（废机油、废机油桶、含油抹布及手套、废氢氧化钠包装袋）暂存于</w:t>
            </w:r>
            <w:r>
              <w:rPr>
                <w:rFonts w:hint="eastAsia"/>
                <w:color w:val="auto"/>
                <w:highlight w:val="none"/>
              </w:rPr>
              <w:t>危废暂存间</w:t>
            </w:r>
            <w:r>
              <w:rPr>
                <w:color w:val="auto"/>
                <w:highlight w:val="none"/>
              </w:rPr>
              <w:t>，交有资质单位进行处置</w:t>
            </w:r>
          </w:p>
        </w:tc>
        <w:tc>
          <w:tcPr>
            <w:tcW w:w="565" w:type="pct"/>
            <w:vAlign w:val="center"/>
          </w:tcPr>
          <w:p w14:paraId="29BBC665">
            <w:pPr>
              <w:pStyle w:val="37"/>
              <w:adjustRightInd w:val="0"/>
              <w:rPr>
                <w:color w:val="auto"/>
                <w:highlight w:val="none"/>
              </w:rPr>
            </w:pPr>
          </w:p>
        </w:tc>
      </w:tr>
    </w:tbl>
    <w:p w14:paraId="38A133FD">
      <w:pPr>
        <w:adjustRightInd w:val="0"/>
        <w:ind w:firstLine="480"/>
        <w:rPr>
          <w:rFonts w:cs="Times New Roman"/>
          <w:color w:val="auto"/>
          <w:highlight w:val="none"/>
        </w:rPr>
      </w:pPr>
      <w:r>
        <w:rPr>
          <w:rFonts w:cs="Times New Roman"/>
          <w:color w:val="auto"/>
          <w:highlight w:val="none"/>
        </w:rPr>
        <w:t>综上所述，本项目建设符合综上所述，本项目建设符合《四川省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w:t>
      </w:r>
      <w:r>
        <w:rPr>
          <w:rFonts w:hint="eastAsia" w:cs="Times New Roman"/>
          <w:color w:val="auto"/>
          <w:highlight w:val="none"/>
        </w:rPr>
        <w:t>》《</w:t>
      </w:r>
      <w:r>
        <w:rPr>
          <w:rFonts w:cs="Times New Roman"/>
          <w:color w:val="auto"/>
          <w:highlight w:val="none"/>
        </w:rPr>
        <w:t>乐山市</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w:t>
      </w:r>
      <w:r>
        <w:rPr>
          <w:rFonts w:hint="eastAsia" w:cs="Times New Roman"/>
          <w:color w:val="auto"/>
          <w:highlight w:val="none"/>
        </w:rPr>
        <w:t>》《</w:t>
      </w:r>
      <w:r>
        <w:rPr>
          <w:rFonts w:cs="Times New Roman"/>
          <w:color w:val="auto"/>
          <w:highlight w:val="none"/>
        </w:rPr>
        <w:t>乐山市沙湾区</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生态环境保护规划》的相关要求。</w:t>
      </w:r>
    </w:p>
    <w:p w14:paraId="1B543DCA">
      <w:pPr>
        <w:pStyle w:val="5"/>
        <w:adjustRightInd w:val="0"/>
        <w:rPr>
          <w:rFonts w:cs="Times New Roman"/>
          <w:color w:val="auto"/>
          <w:highlight w:val="none"/>
        </w:rPr>
      </w:pPr>
      <w:r>
        <w:rPr>
          <w:rFonts w:cs="Times New Roman"/>
          <w:color w:val="auto"/>
          <w:highlight w:val="none"/>
        </w:rPr>
        <w:t>与环境污染防治政策及规划的符合性分析</w:t>
      </w:r>
    </w:p>
    <w:p w14:paraId="09D32FCD">
      <w:pPr>
        <w:adjustRightInd w:val="0"/>
        <w:ind w:firstLine="480"/>
        <w:rPr>
          <w:rFonts w:cs="Times New Roman"/>
          <w:color w:val="auto"/>
          <w:highlight w:val="none"/>
        </w:rPr>
      </w:pPr>
      <w:r>
        <w:rPr>
          <w:rFonts w:cs="Times New Roman"/>
          <w:color w:val="auto"/>
          <w:highlight w:val="none"/>
        </w:rPr>
        <w:t>（1）与大气污染防治相关规划及方案的符合性分析</w:t>
      </w:r>
    </w:p>
    <w:p w14:paraId="05DD6E8B">
      <w:pPr>
        <w:adjustRightInd w:val="0"/>
        <w:ind w:firstLine="480"/>
        <w:rPr>
          <w:rFonts w:cs="Times New Roman"/>
          <w:color w:val="auto"/>
          <w:highlight w:val="none"/>
        </w:rPr>
      </w:pPr>
      <w:r>
        <w:rPr>
          <w:rFonts w:cs="Times New Roman"/>
          <w:color w:val="auto"/>
          <w:highlight w:val="none"/>
        </w:rPr>
        <w:t>本项目与现行污染防治政策及规划相关要求的符合性如下。</w:t>
      </w:r>
    </w:p>
    <w:p w14:paraId="1AE67E46">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17</w:t>
      </w:r>
      <w:r>
        <w:rPr>
          <w:rFonts w:cs="Times New Roman"/>
          <w:color w:val="auto"/>
          <w:highlight w:val="none"/>
        </w:rPr>
        <w:fldChar w:fldCharType="end"/>
      </w:r>
      <w:r>
        <w:rPr>
          <w:rFonts w:cs="Times New Roman"/>
          <w:color w:val="auto"/>
          <w:highlight w:val="none"/>
        </w:rPr>
        <w:t>本项目与污染防治相关政策符合性</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3844"/>
        <w:gridCol w:w="2803"/>
        <w:gridCol w:w="891"/>
      </w:tblGrid>
      <w:tr w14:paraId="03187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72" w:type="pct"/>
            <w:vAlign w:val="center"/>
          </w:tcPr>
          <w:p w14:paraId="17870A9D">
            <w:pPr>
              <w:pStyle w:val="37"/>
              <w:adjustRightInd w:val="0"/>
              <w:rPr>
                <w:b/>
                <w:bCs/>
                <w:color w:val="auto"/>
                <w:highlight w:val="none"/>
              </w:rPr>
            </w:pPr>
            <w:r>
              <w:rPr>
                <w:b/>
                <w:bCs/>
                <w:color w:val="auto"/>
                <w:highlight w:val="none"/>
              </w:rPr>
              <w:t>名称</w:t>
            </w:r>
          </w:p>
        </w:tc>
        <w:tc>
          <w:tcPr>
            <w:tcW w:w="2257" w:type="pct"/>
            <w:vAlign w:val="center"/>
          </w:tcPr>
          <w:p w14:paraId="32AEF1F1">
            <w:pPr>
              <w:pStyle w:val="37"/>
              <w:adjustRightInd w:val="0"/>
              <w:rPr>
                <w:b/>
                <w:bCs/>
                <w:color w:val="auto"/>
                <w:highlight w:val="none"/>
              </w:rPr>
            </w:pPr>
            <w:r>
              <w:rPr>
                <w:b/>
                <w:bCs/>
                <w:color w:val="auto"/>
                <w:highlight w:val="none"/>
              </w:rPr>
              <w:t>具体要求</w:t>
            </w:r>
          </w:p>
        </w:tc>
        <w:tc>
          <w:tcPr>
            <w:tcW w:w="1646" w:type="pct"/>
            <w:vAlign w:val="center"/>
          </w:tcPr>
          <w:p w14:paraId="7C847A45">
            <w:pPr>
              <w:pStyle w:val="37"/>
              <w:adjustRightInd w:val="0"/>
              <w:rPr>
                <w:b/>
                <w:bCs/>
                <w:color w:val="auto"/>
                <w:highlight w:val="none"/>
              </w:rPr>
            </w:pPr>
            <w:r>
              <w:rPr>
                <w:b/>
                <w:bCs/>
                <w:color w:val="auto"/>
                <w:highlight w:val="none"/>
              </w:rPr>
              <w:t>本项目情况</w:t>
            </w:r>
          </w:p>
        </w:tc>
        <w:tc>
          <w:tcPr>
            <w:tcW w:w="523" w:type="pct"/>
            <w:vAlign w:val="center"/>
          </w:tcPr>
          <w:p w14:paraId="0153B377">
            <w:pPr>
              <w:pStyle w:val="37"/>
              <w:adjustRightInd w:val="0"/>
              <w:rPr>
                <w:b/>
                <w:bCs/>
                <w:color w:val="auto"/>
                <w:highlight w:val="none"/>
              </w:rPr>
            </w:pPr>
            <w:r>
              <w:rPr>
                <w:b/>
                <w:bCs/>
                <w:color w:val="auto"/>
                <w:highlight w:val="none"/>
              </w:rPr>
              <w:t>符合性</w:t>
            </w:r>
          </w:p>
        </w:tc>
      </w:tr>
      <w:tr w14:paraId="11C0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vAlign w:val="center"/>
          </w:tcPr>
          <w:p w14:paraId="5D62860D">
            <w:pPr>
              <w:pStyle w:val="37"/>
              <w:adjustRightInd w:val="0"/>
              <w:rPr>
                <w:color w:val="auto"/>
                <w:highlight w:val="none"/>
              </w:rPr>
            </w:pPr>
            <w:r>
              <w:rPr>
                <w:color w:val="auto"/>
                <w:highlight w:val="none"/>
              </w:rPr>
              <w:t>《中华人民共和国大气污染防治法》（2018年10月26日修订）</w:t>
            </w:r>
          </w:p>
        </w:tc>
        <w:tc>
          <w:tcPr>
            <w:tcW w:w="2257" w:type="pct"/>
            <w:vAlign w:val="center"/>
          </w:tcPr>
          <w:p w14:paraId="27BD82EA">
            <w:pPr>
              <w:pStyle w:val="37"/>
              <w:adjustRightInd w:val="0"/>
              <w:jc w:val="both"/>
              <w:rPr>
                <w:color w:val="auto"/>
                <w:highlight w:val="none"/>
              </w:rPr>
            </w:pPr>
            <w:r>
              <w:rPr>
                <w:color w:val="auto"/>
                <w:highlight w:val="none"/>
              </w:rPr>
              <w:t>企业事业单位和其他生产经营者应当采取有效措施，防止、减少大气污染，对所造成的损害依法承担责任。</w:t>
            </w:r>
          </w:p>
        </w:tc>
        <w:tc>
          <w:tcPr>
            <w:tcW w:w="1646" w:type="pct"/>
            <w:vMerge w:val="restart"/>
            <w:vAlign w:val="center"/>
          </w:tcPr>
          <w:p w14:paraId="2C54229A">
            <w:pPr>
              <w:pStyle w:val="37"/>
              <w:adjustRightInd w:val="0"/>
              <w:rPr>
                <w:color w:val="auto"/>
                <w:highlight w:val="none"/>
              </w:rPr>
            </w:pPr>
            <w:r>
              <w:rPr>
                <w:color w:val="auto"/>
                <w:highlight w:val="none"/>
              </w:rPr>
              <w:t>本项目在生产过程中主要大气污染物为颗粒物等，项目产生的废气经治理后，外排的废气能够实现达标排放。</w:t>
            </w:r>
          </w:p>
        </w:tc>
        <w:tc>
          <w:tcPr>
            <w:tcW w:w="523" w:type="pct"/>
            <w:vMerge w:val="restart"/>
            <w:vAlign w:val="center"/>
          </w:tcPr>
          <w:p w14:paraId="32C02E63">
            <w:pPr>
              <w:pStyle w:val="37"/>
              <w:adjustRightInd w:val="0"/>
              <w:rPr>
                <w:color w:val="auto"/>
                <w:highlight w:val="none"/>
              </w:rPr>
            </w:pPr>
            <w:r>
              <w:rPr>
                <w:color w:val="auto"/>
                <w:highlight w:val="none"/>
              </w:rPr>
              <w:t>符合</w:t>
            </w:r>
          </w:p>
        </w:tc>
      </w:tr>
      <w:tr w14:paraId="55DFE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188515C2">
            <w:pPr>
              <w:pStyle w:val="37"/>
              <w:adjustRightInd w:val="0"/>
              <w:rPr>
                <w:color w:val="auto"/>
                <w:highlight w:val="none"/>
              </w:rPr>
            </w:pPr>
          </w:p>
        </w:tc>
        <w:tc>
          <w:tcPr>
            <w:tcW w:w="2257" w:type="pct"/>
            <w:vAlign w:val="center"/>
          </w:tcPr>
          <w:p w14:paraId="44A075CA">
            <w:pPr>
              <w:pStyle w:val="37"/>
              <w:adjustRightInd w:val="0"/>
              <w:jc w:val="both"/>
              <w:rPr>
                <w:color w:val="auto"/>
                <w:highlight w:val="none"/>
              </w:rPr>
            </w:pPr>
            <w:r>
              <w:rPr>
                <w:color w:val="auto"/>
                <w:highlight w:val="none"/>
              </w:rPr>
              <w:t>企业事业单位和其他生产经营者建设对大气环境有影响的项目，应当依法进行环境影响评价、公开环境影响评价文件；向大气排放污染物的，应当符合大气污染物排放标准，遵守重点大气污染物排放总量控制要求。</w:t>
            </w:r>
          </w:p>
        </w:tc>
        <w:tc>
          <w:tcPr>
            <w:tcW w:w="1646" w:type="pct"/>
            <w:vMerge w:val="continue"/>
            <w:vAlign w:val="center"/>
          </w:tcPr>
          <w:p w14:paraId="5AD396B4">
            <w:pPr>
              <w:pStyle w:val="37"/>
              <w:adjustRightInd w:val="0"/>
              <w:rPr>
                <w:color w:val="auto"/>
                <w:highlight w:val="none"/>
              </w:rPr>
            </w:pPr>
          </w:p>
        </w:tc>
        <w:tc>
          <w:tcPr>
            <w:tcW w:w="523" w:type="pct"/>
            <w:vMerge w:val="continue"/>
            <w:vAlign w:val="center"/>
          </w:tcPr>
          <w:p w14:paraId="02496CCF">
            <w:pPr>
              <w:pStyle w:val="37"/>
              <w:adjustRightInd w:val="0"/>
              <w:rPr>
                <w:color w:val="auto"/>
                <w:highlight w:val="none"/>
              </w:rPr>
            </w:pPr>
          </w:p>
        </w:tc>
      </w:tr>
      <w:tr w14:paraId="10FB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099B1AF8">
            <w:pPr>
              <w:pStyle w:val="37"/>
              <w:adjustRightInd w:val="0"/>
              <w:rPr>
                <w:color w:val="auto"/>
                <w:highlight w:val="none"/>
              </w:rPr>
            </w:pPr>
          </w:p>
        </w:tc>
        <w:tc>
          <w:tcPr>
            <w:tcW w:w="2257" w:type="pct"/>
            <w:vAlign w:val="center"/>
          </w:tcPr>
          <w:p w14:paraId="1E664B60">
            <w:pPr>
              <w:pStyle w:val="37"/>
              <w:adjustRightInd w:val="0"/>
              <w:jc w:val="both"/>
              <w:rPr>
                <w:color w:val="auto"/>
                <w:highlight w:val="none"/>
              </w:rPr>
            </w:pPr>
            <w:r>
              <w:rPr>
                <w:color w:val="auto"/>
                <w:highlight w:val="none"/>
              </w:rPr>
              <w:t>企业事业单位和其他生产经营者向大气排放污染物的，应当依照法律法规和国务院生态环境主管部门的规定设置大气污染物排放口。</w:t>
            </w:r>
          </w:p>
        </w:tc>
        <w:tc>
          <w:tcPr>
            <w:tcW w:w="1646" w:type="pct"/>
            <w:vMerge w:val="continue"/>
            <w:vAlign w:val="center"/>
          </w:tcPr>
          <w:p w14:paraId="55666CF4">
            <w:pPr>
              <w:pStyle w:val="37"/>
              <w:adjustRightInd w:val="0"/>
              <w:rPr>
                <w:color w:val="auto"/>
                <w:highlight w:val="none"/>
              </w:rPr>
            </w:pPr>
          </w:p>
        </w:tc>
        <w:tc>
          <w:tcPr>
            <w:tcW w:w="523" w:type="pct"/>
            <w:vMerge w:val="continue"/>
            <w:vAlign w:val="center"/>
          </w:tcPr>
          <w:p w14:paraId="556EA6A1">
            <w:pPr>
              <w:pStyle w:val="37"/>
              <w:adjustRightInd w:val="0"/>
              <w:rPr>
                <w:color w:val="auto"/>
                <w:highlight w:val="none"/>
              </w:rPr>
            </w:pPr>
          </w:p>
        </w:tc>
      </w:tr>
      <w:tr w14:paraId="62F8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13EFE63B">
            <w:pPr>
              <w:pStyle w:val="37"/>
              <w:adjustRightInd w:val="0"/>
              <w:rPr>
                <w:color w:val="auto"/>
                <w:highlight w:val="none"/>
              </w:rPr>
            </w:pPr>
          </w:p>
        </w:tc>
        <w:tc>
          <w:tcPr>
            <w:tcW w:w="2257" w:type="pct"/>
            <w:vAlign w:val="center"/>
          </w:tcPr>
          <w:p w14:paraId="75603468">
            <w:pPr>
              <w:pStyle w:val="37"/>
              <w:adjustRightInd w:val="0"/>
              <w:jc w:val="both"/>
              <w:rPr>
                <w:color w:val="auto"/>
                <w:highlight w:val="none"/>
              </w:rPr>
            </w:pPr>
            <w:r>
              <w:rPr>
                <w:color w:val="auto"/>
                <w:highlight w:val="none"/>
              </w:rPr>
              <w:t>钢铁、建材、有色金属、石油、化工、制药、矿产开采等企业，应当加强精细化管理，采取集中收集处理等措施，严格控制粉尘和气态污染物的排放。</w:t>
            </w:r>
          </w:p>
        </w:tc>
        <w:tc>
          <w:tcPr>
            <w:tcW w:w="1646" w:type="pct"/>
            <w:vMerge w:val="continue"/>
            <w:vAlign w:val="center"/>
          </w:tcPr>
          <w:p w14:paraId="06C764DC">
            <w:pPr>
              <w:pStyle w:val="37"/>
              <w:adjustRightInd w:val="0"/>
              <w:rPr>
                <w:color w:val="auto"/>
                <w:highlight w:val="none"/>
              </w:rPr>
            </w:pPr>
          </w:p>
        </w:tc>
        <w:tc>
          <w:tcPr>
            <w:tcW w:w="523" w:type="pct"/>
            <w:vMerge w:val="continue"/>
            <w:vAlign w:val="center"/>
          </w:tcPr>
          <w:p w14:paraId="2A74EEC4">
            <w:pPr>
              <w:pStyle w:val="37"/>
              <w:adjustRightInd w:val="0"/>
              <w:rPr>
                <w:color w:val="auto"/>
                <w:highlight w:val="none"/>
              </w:rPr>
            </w:pPr>
          </w:p>
        </w:tc>
      </w:tr>
      <w:tr w14:paraId="7951E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vAlign w:val="center"/>
          </w:tcPr>
          <w:p w14:paraId="76498E3B">
            <w:pPr>
              <w:pStyle w:val="37"/>
              <w:adjustRightInd w:val="0"/>
              <w:rPr>
                <w:color w:val="auto"/>
                <w:highlight w:val="none"/>
              </w:rPr>
            </w:pPr>
            <w:r>
              <w:rPr>
                <w:rFonts w:hint="eastAsia"/>
                <w:color w:val="auto"/>
                <w:highlight w:val="none"/>
              </w:rPr>
              <w:t>《空气质量持续改善行动计划》（国发〔2023〕24号）</w:t>
            </w:r>
          </w:p>
        </w:tc>
        <w:tc>
          <w:tcPr>
            <w:tcW w:w="2257" w:type="pct"/>
            <w:vAlign w:val="center"/>
          </w:tcPr>
          <w:p w14:paraId="7EE25B93">
            <w:pPr>
              <w:pStyle w:val="37"/>
              <w:adjustRightInd w:val="0"/>
              <w:jc w:val="both"/>
              <w:rPr>
                <w:color w:val="auto"/>
                <w:highlight w:val="none"/>
              </w:rPr>
            </w:pPr>
            <w:r>
              <w:rPr>
                <w:color w:val="auto"/>
                <w:highlight w:val="none"/>
              </w:rPr>
              <w:t>强化VOCs全流程、全环节综合治理。鼓励储罐使用低泄漏的呼吸阀、紧急泄压阀，定期开展密封性检测。汽车罐车推广使用密封式快速接头。污水处理场所高浓度有机废气要单独收集处理；含VOCs有机废水储罐、装置区集水井（池）有机废气要密闭收集处理。</w:t>
            </w:r>
          </w:p>
        </w:tc>
        <w:tc>
          <w:tcPr>
            <w:tcW w:w="1646" w:type="pct"/>
            <w:vAlign w:val="center"/>
          </w:tcPr>
          <w:p w14:paraId="4CE01734">
            <w:pPr>
              <w:pStyle w:val="37"/>
              <w:adjustRightInd w:val="0"/>
              <w:rPr>
                <w:color w:val="auto"/>
                <w:highlight w:val="none"/>
              </w:rPr>
            </w:pPr>
            <w:r>
              <w:rPr>
                <w:color w:val="auto"/>
                <w:highlight w:val="none"/>
              </w:rPr>
              <w:t>本项目不涉及VOCs排放。</w:t>
            </w:r>
          </w:p>
        </w:tc>
        <w:tc>
          <w:tcPr>
            <w:tcW w:w="523" w:type="pct"/>
            <w:vAlign w:val="center"/>
          </w:tcPr>
          <w:p w14:paraId="4BE70905">
            <w:pPr>
              <w:pStyle w:val="37"/>
              <w:adjustRightInd w:val="0"/>
              <w:rPr>
                <w:color w:val="auto"/>
                <w:highlight w:val="none"/>
              </w:rPr>
            </w:pPr>
            <w:r>
              <w:rPr>
                <w:color w:val="auto"/>
                <w:highlight w:val="none"/>
              </w:rPr>
              <w:t>符合</w:t>
            </w:r>
          </w:p>
        </w:tc>
      </w:tr>
      <w:tr w14:paraId="46AA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56A0B024">
            <w:pPr>
              <w:pStyle w:val="37"/>
              <w:adjustRightInd w:val="0"/>
              <w:rPr>
                <w:color w:val="auto"/>
                <w:highlight w:val="none"/>
              </w:rPr>
            </w:pPr>
          </w:p>
        </w:tc>
        <w:tc>
          <w:tcPr>
            <w:tcW w:w="2257" w:type="pct"/>
            <w:vAlign w:val="center"/>
          </w:tcPr>
          <w:p w14:paraId="6D922B78">
            <w:pPr>
              <w:pStyle w:val="37"/>
              <w:adjustRightInd w:val="0"/>
              <w:jc w:val="both"/>
              <w:rPr>
                <w:color w:val="auto"/>
                <w:highlight w:val="none"/>
              </w:rPr>
            </w:pPr>
            <w:r>
              <w:rPr>
                <w:color w:val="auto"/>
                <w:highlight w:val="none"/>
              </w:rPr>
              <w:t>推进重点行业污染深度治理。高质量推进钢铁、水泥、焦化等重点行业及燃煤锅炉超低排放改造。到2025年，全国80%以上的钢铁产能完成超低排放改造任务；重点区域全部实现钢铁行业超低排放，基本完成燃煤锅炉超低排放改造</w:t>
            </w:r>
            <w:r>
              <w:rPr>
                <w:rFonts w:hint="eastAsia"/>
                <w:color w:val="auto"/>
                <w:highlight w:val="none"/>
              </w:rPr>
              <w:t>。</w:t>
            </w:r>
          </w:p>
        </w:tc>
        <w:tc>
          <w:tcPr>
            <w:tcW w:w="1646" w:type="pct"/>
            <w:vAlign w:val="center"/>
          </w:tcPr>
          <w:p w14:paraId="1B9A84FF">
            <w:pPr>
              <w:pStyle w:val="37"/>
              <w:adjustRightInd w:val="0"/>
              <w:rPr>
                <w:color w:val="auto"/>
                <w:highlight w:val="none"/>
              </w:rPr>
            </w:pPr>
            <w:r>
              <w:rPr>
                <w:color w:val="auto"/>
                <w:highlight w:val="none"/>
              </w:rPr>
              <w:t>本项目不属于钢铁、水泥、焦化等行业。</w:t>
            </w:r>
          </w:p>
        </w:tc>
        <w:tc>
          <w:tcPr>
            <w:tcW w:w="523" w:type="pct"/>
            <w:vAlign w:val="center"/>
          </w:tcPr>
          <w:p w14:paraId="11ECDB6B">
            <w:pPr>
              <w:pStyle w:val="37"/>
              <w:adjustRightInd w:val="0"/>
              <w:rPr>
                <w:color w:val="auto"/>
                <w:highlight w:val="none"/>
              </w:rPr>
            </w:pPr>
            <w:r>
              <w:rPr>
                <w:color w:val="auto"/>
                <w:highlight w:val="none"/>
              </w:rPr>
              <w:t>符合</w:t>
            </w:r>
          </w:p>
        </w:tc>
      </w:tr>
      <w:tr w14:paraId="5D6F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vAlign w:val="center"/>
          </w:tcPr>
          <w:p w14:paraId="0F867695">
            <w:pPr>
              <w:pStyle w:val="37"/>
              <w:adjustRightInd w:val="0"/>
              <w:rPr>
                <w:color w:val="auto"/>
                <w:highlight w:val="none"/>
              </w:rPr>
            </w:pPr>
            <w:r>
              <w:rPr>
                <w:color w:val="auto"/>
                <w:highlight w:val="none"/>
              </w:rPr>
              <w:t>《四川省空气质量持续改善行动计划实施方案》的通知（川府发〔2024〕15号）</w:t>
            </w:r>
          </w:p>
        </w:tc>
        <w:tc>
          <w:tcPr>
            <w:tcW w:w="2257" w:type="pct"/>
            <w:vAlign w:val="center"/>
          </w:tcPr>
          <w:p w14:paraId="347FF2DE">
            <w:pPr>
              <w:pStyle w:val="37"/>
              <w:adjustRightInd w:val="0"/>
              <w:jc w:val="both"/>
              <w:rPr>
                <w:color w:val="auto"/>
                <w:highlight w:val="none"/>
              </w:rPr>
            </w:pPr>
            <w:r>
              <w:rPr>
                <w:color w:val="auto"/>
                <w:highlight w:val="none"/>
              </w:rPr>
              <w:t>（一）严格产业准入</w:t>
            </w:r>
          </w:p>
          <w:p w14:paraId="2B950617">
            <w:pPr>
              <w:pStyle w:val="37"/>
              <w:adjustRightInd w:val="0"/>
              <w:jc w:val="both"/>
              <w:rPr>
                <w:color w:val="auto"/>
                <w:highlight w:val="none"/>
              </w:rPr>
            </w:pPr>
            <w:r>
              <w:rPr>
                <w:color w:val="auto"/>
                <w:highlight w:val="none"/>
              </w:rPr>
              <w:t>坚决遏制高耗能、高排放、低水平项目盲目上马，新改扩建项目严格落实国家和四川省产业规划、产业政策、生态环境分区管控方案、规划环评、项目环评、节能审查、产能置换、重点污染物总量控制、污染物排放区域削减、碳排放达峰目标等相关要求，原则上采用清洁运输方式，从严控制高耗能项目节能审查，对年综合能耗5万吨标准煤以上的项目按要求开展，能耗替代。涉及产能置换的项目，被置换产能及其配套设施关停后，新建项目方可投产。</w:t>
            </w:r>
          </w:p>
          <w:p w14:paraId="0F177939">
            <w:pPr>
              <w:pStyle w:val="37"/>
              <w:adjustRightInd w:val="0"/>
              <w:jc w:val="both"/>
              <w:rPr>
                <w:color w:val="auto"/>
                <w:highlight w:val="none"/>
              </w:rPr>
            </w:pPr>
            <w:r>
              <w:rPr>
                <w:color w:val="auto"/>
                <w:highlight w:val="none"/>
              </w:rPr>
              <w:t>严禁违规新增钢铁产能。严格落实产能产量双控制度，推行钢铁、焦化、烧结一体化布局，减少独立焦化、烧结、球团和热轧企业及工序。达州钢铁集团有限责任公司、四川省煤焦化集团有限公司按时序完成退城搬迁。</w:t>
            </w:r>
          </w:p>
        </w:tc>
        <w:tc>
          <w:tcPr>
            <w:tcW w:w="1646" w:type="pct"/>
            <w:vAlign w:val="center"/>
          </w:tcPr>
          <w:p w14:paraId="12924385">
            <w:pPr>
              <w:pStyle w:val="37"/>
              <w:adjustRightInd w:val="0"/>
              <w:rPr>
                <w:color w:val="auto"/>
                <w:highlight w:val="none"/>
              </w:rPr>
            </w:pPr>
            <w:r>
              <w:rPr>
                <w:color w:val="auto"/>
                <w:highlight w:val="none"/>
              </w:rPr>
              <w:t>本项目不属于高耗能、高排放、低水平项目；不属于钢铁、焦化和烧结项目。</w:t>
            </w:r>
          </w:p>
        </w:tc>
        <w:tc>
          <w:tcPr>
            <w:tcW w:w="523" w:type="pct"/>
            <w:vAlign w:val="center"/>
          </w:tcPr>
          <w:p w14:paraId="1035078E">
            <w:pPr>
              <w:pStyle w:val="37"/>
              <w:adjustRightInd w:val="0"/>
              <w:rPr>
                <w:color w:val="auto"/>
                <w:highlight w:val="none"/>
              </w:rPr>
            </w:pPr>
            <w:r>
              <w:rPr>
                <w:color w:val="auto"/>
                <w:highlight w:val="none"/>
              </w:rPr>
              <w:t>符合</w:t>
            </w:r>
          </w:p>
        </w:tc>
      </w:tr>
      <w:tr w14:paraId="329F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1DBE3FB9">
            <w:pPr>
              <w:pStyle w:val="37"/>
              <w:adjustRightInd w:val="0"/>
              <w:rPr>
                <w:color w:val="auto"/>
                <w:highlight w:val="none"/>
              </w:rPr>
            </w:pPr>
          </w:p>
        </w:tc>
        <w:tc>
          <w:tcPr>
            <w:tcW w:w="2257" w:type="pct"/>
            <w:vAlign w:val="center"/>
          </w:tcPr>
          <w:p w14:paraId="269F6783">
            <w:pPr>
              <w:pStyle w:val="37"/>
              <w:adjustRightInd w:val="0"/>
              <w:jc w:val="both"/>
              <w:rPr>
                <w:color w:val="auto"/>
                <w:highlight w:val="none"/>
              </w:rPr>
            </w:pPr>
            <w:r>
              <w:rPr>
                <w:color w:val="auto"/>
                <w:highlight w:val="none"/>
              </w:rPr>
              <w:t>（五）提升绿色环保产业发展水平。</w:t>
            </w:r>
          </w:p>
          <w:p w14:paraId="4C52D51F">
            <w:pPr>
              <w:pStyle w:val="37"/>
              <w:adjustRightInd w:val="0"/>
              <w:jc w:val="both"/>
              <w:rPr>
                <w:color w:val="auto"/>
                <w:highlight w:val="none"/>
              </w:rPr>
            </w:pPr>
            <w:r>
              <w:rPr>
                <w:color w:val="auto"/>
                <w:highlight w:val="none"/>
              </w:rPr>
              <w:t>在低（无）VOCs含量原辅材料生产和使用、VOCs污染治理、超低排放、环境和大气成分监测、节能环保装备制造等领域支持培育一批龙头企业。多措并举治理环保领域低价低质中标乱象，营造公平竞争环境，推动产业健康有序发展。</w:t>
            </w:r>
          </w:p>
        </w:tc>
        <w:tc>
          <w:tcPr>
            <w:tcW w:w="1646" w:type="pct"/>
            <w:vAlign w:val="center"/>
          </w:tcPr>
          <w:p w14:paraId="20C6D982">
            <w:pPr>
              <w:pStyle w:val="37"/>
              <w:adjustRightInd w:val="0"/>
              <w:rPr>
                <w:color w:val="auto"/>
                <w:highlight w:val="none"/>
              </w:rPr>
            </w:pPr>
            <w:r>
              <w:rPr>
                <w:color w:val="auto"/>
                <w:highlight w:val="none"/>
              </w:rPr>
              <w:t>本项目不涉及VOCs的排放。</w:t>
            </w:r>
          </w:p>
        </w:tc>
        <w:tc>
          <w:tcPr>
            <w:tcW w:w="523" w:type="pct"/>
            <w:vAlign w:val="center"/>
          </w:tcPr>
          <w:p w14:paraId="07932280">
            <w:pPr>
              <w:pStyle w:val="37"/>
              <w:adjustRightInd w:val="0"/>
              <w:rPr>
                <w:color w:val="auto"/>
                <w:highlight w:val="none"/>
              </w:rPr>
            </w:pPr>
            <w:r>
              <w:rPr>
                <w:color w:val="auto"/>
                <w:highlight w:val="none"/>
              </w:rPr>
              <w:t>符合</w:t>
            </w:r>
          </w:p>
        </w:tc>
      </w:tr>
      <w:tr w14:paraId="5305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vAlign w:val="center"/>
          </w:tcPr>
          <w:p w14:paraId="24565A44">
            <w:pPr>
              <w:pStyle w:val="37"/>
              <w:adjustRightInd w:val="0"/>
              <w:rPr>
                <w:color w:val="auto"/>
                <w:highlight w:val="none"/>
              </w:rPr>
            </w:pPr>
            <w:r>
              <w:rPr>
                <w:color w:val="auto"/>
                <w:highlight w:val="none"/>
              </w:rPr>
              <w:t>四川省生态环境厅《关于执行大气污染物特别排放限值的公告》（2020年第2号）</w:t>
            </w:r>
          </w:p>
        </w:tc>
        <w:tc>
          <w:tcPr>
            <w:tcW w:w="2257" w:type="pct"/>
            <w:vAlign w:val="center"/>
          </w:tcPr>
          <w:p w14:paraId="1FD1B174">
            <w:pPr>
              <w:pStyle w:val="37"/>
              <w:adjustRightInd w:val="0"/>
              <w:jc w:val="both"/>
              <w:rPr>
                <w:color w:val="auto"/>
                <w:highlight w:val="none"/>
              </w:rPr>
            </w:pPr>
            <w:r>
              <w:rPr>
                <w:color w:val="auto"/>
                <w:highlight w:val="none"/>
              </w:rPr>
              <w:t>一、执行地区：为《四川省打赢蓝天保卫战实施方案》划定的省大气污染防治重点区域，涉及15市77县（市、区）。</w:t>
            </w:r>
          </w:p>
        </w:tc>
        <w:tc>
          <w:tcPr>
            <w:tcW w:w="1646" w:type="pct"/>
            <w:vAlign w:val="center"/>
          </w:tcPr>
          <w:p w14:paraId="4A91854F">
            <w:pPr>
              <w:pStyle w:val="37"/>
              <w:adjustRightInd w:val="0"/>
              <w:rPr>
                <w:color w:val="auto"/>
                <w:highlight w:val="none"/>
              </w:rPr>
            </w:pPr>
            <w:r>
              <w:rPr>
                <w:color w:val="auto"/>
                <w:highlight w:val="none"/>
              </w:rPr>
              <w:t>本项目位于乐山市沙湾区，属于重点区域。</w:t>
            </w:r>
          </w:p>
        </w:tc>
        <w:tc>
          <w:tcPr>
            <w:tcW w:w="523" w:type="pct"/>
            <w:vAlign w:val="center"/>
          </w:tcPr>
          <w:p w14:paraId="4BB3FD31">
            <w:pPr>
              <w:pStyle w:val="37"/>
              <w:adjustRightInd w:val="0"/>
              <w:rPr>
                <w:color w:val="auto"/>
                <w:highlight w:val="none"/>
              </w:rPr>
            </w:pPr>
            <w:r>
              <w:rPr>
                <w:color w:val="auto"/>
                <w:highlight w:val="none"/>
              </w:rPr>
              <w:t>符合</w:t>
            </w:r>
          </w:p>
        </w:tc>
      </w:tr>
      <w:tr w14:paraId="67E7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074EA692">
            <w:pPr>
              <w:pStyle w:val="37"/>
              <w:adjustRightInd w:val="0"/>
              <w:rPr>
                <w:color w:val="auto"/>
                <w:highlight w:val="none"/>
              </w:rPr>
            </w:pPr>
          </w:p>
        </w:tc>
        <w:tc>
          <w:tcPr>
            <w:tcW w:w="2257" w:type="pct"/>
            <w:vAlign w:val="center"/>
          </w:tcPr>
          <w:p w14:paraId="6F58E788">
            <w:pPr>
              <w:pStyle w:val="37"/>
              <w:adjustRightInd w:val="0"/>
              <w:jc w:val="both"/>
              <w:rPr>
                <w:color w:val="auto"/>
                <w:highlight w:val="none"/>
              </w:rPr>
            </w:pPr>
            <w:r>
              <w:rPr>
                <w:color w:val="auto"/>
                <w:highlight w:val="none"/>
              </w:rPr>
              <w:t>二、执行行业与时间：（一）新建企业（项目）1.对于国家排放标准中已规定大气污染物特别排放限值或特别控制要求的行业以及锅炉，自本公告发布之日起9个月后，新建企业（项目）执行本公告中相应标准颗粒物、二氧化硫、氮氧化物和挥发性有机物特别排放限值和特别控制要求。</w:t>
            </w:r>
          </w:p>
          <w:p w14:paraId="40B74AF6">
            <w:pPr>
              <w:pStyle w:val="37"/>
              <w:adjustRightInd w:val="0"/>
              <w:jc w:val="both"/>
              <w:rPr>
                <w:color w:val="auto"/>
                <w:highlight w:val="none"/>
              </w:rPr>
            </w:pPr>
            <w:r>
              <w:rPr>
                <w:color w:val="auto"/>
                <w:highlight w:val="none"/>
              </w:rPr>
              <w:t>2.对于目前国家排放标准中未规定大气污染物特别排放限值或特别控制要求的行业，待相应排放标准制修订或修改后，按规定时间执行相应大气污染物特别排放限值和特别控制要求。</w:t>
            </w:r>
          </w:p>
        </w:tc>
        <w:tc>
          <w:tcPr>
            <w:tcW w:w="1646" w:type="pct"/>
            <w:vAlign w:val="center"/>
          </w:tcPr>
          <w:p w14:paraId="52C39143">
            <w:pPr>
              <w:pStyle w:val="37"/>
              <w:adjustRightInd w:val="0"/>
              <w:rPr>
                <w:color w:val="auto"/>
                <w:highlight w:val="none"/>
              </w:rPr>
            </w:pPr>
            <w:r>
              <w:rPr>
                <w:color w:val="auto"/>
                <w:highlight w:val="none"/>
              </w:rPr>
              <w:t>本项目属于其他稀有金属采选业，不属于国家排放标准中规定大气污染物特别排放限值或特别控制要求的行业。</w:t>
            </w:r>
          </w:p>
        </w:tc>
        <w:tc>
          <w:tcPr>
            <w:tcW w:w="523" w:type="pct"/>
            <w:vAlign w:val="center"/>
          </w:tcPr>
          <w:p w14:paraId="33A8A5A3">
            <w:pPr>
              <w:pStyle w:val="37"/>
              <w:adjustRightInd w:val="0"/>
              <w:rPr>
                <w:color w:val="auto"/>
                <w:highlight w:val="none"/>
              </w:rPr>
            </w:pPr>
            <w:r>
              <w:rPr>
                <w:color w:val="auto"/>
                <w:highlight w:val="none"/>
              </w:rPr>
              <w:t>符合</w:t>
            </w:r>
          </w:p>
        </w:tc>
      </w:tr>
      <w:tr w14:paraId="03457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28C66C25">
            <w:pPr>
              <w:pStyle w:val="37"/>
              <w:adjustRightInd w:val="0"/>
              <w:rPr>
                <w:color w:val="auto"/>
                <w:highlight w:val="none"/>
              </w:rPr>
            </w:pPr>
            <w:r>
              <w:rPr>
                <w:color w:val="auto"/>
                <w:highlight w:val="none"/>
              </w:rPr>
              <w:t>《乐山市大气污染防治三年攻坚行动2024年度</w:t>
            </w:r>
            <w:r>
              <w:rPr>
                <w:rFonts w:hint="eastAsia"/>
                <w:color w:val="auto"/>
                <w:highlight w:val="none"/>
              </w:rPr>
              <w:t>“</w:t>
            </w:r>
            <w:r>
              <w:rPr>
                <w:color w:val="auto"/>
                <w:highlight w:val="none"/>
              </w:rPr>
              <w:t>十字措施</w:t>
            </w:r>
            <w:r>
              <w:rPr>
                <w:rFonts w:hint="eastAsia"/>
                <w:color w:val="auto"/>
                <w:highlight w:val="none"/>
              </w:rPr>
              <w:t>”</w:t>
            </w:r>
            <w:r>
              <w:rPr>
                <w:color w:val="auto"/>
                <w:highlight w:val="none"/>
              </w:rPr>
              <w:t>》（乐污防攻坚〔2024〕2号）</w:t>
            </w:r>
          </w:p>
        </w:tc>
        <w:tc>
          <w:tcPr>
            <w:tcW w:w="2257" w:type="pct"/>
            <w:vAlign w:val="center"/>
          </w:tcPr>
          <w:p w14:paraId="5F2F88DA">
            <w:pPr>
              <w:pStyle w:val="37"/>
              <w:adjustRightInd w:val="0"/>
              <w:jc w:val="both"/>
              <w:rPr>
                <w:color w:val="auto"/>
                <w:highlight w:val="none"/>
              </w:rPr>
            </w:pPr>
            <w:r>
              <w:rPr>
                <w:color w:val="auto"/>
                <w:highlight w:val="none"/>
              </w:rPr>
              <w:t>充分发挥</w:t>
            </w:r>
            <w:r>
              <w:rPr>
                <w:rFonts w:hint="eastAsia"/>
                <w:color w:val="auto"/>
                <w:highlight w:val="none"/>
              </w:rPr>
              <w:t>“</w:t>
            </w:r>
            <w:r>
              <w:rPr>
                <w:color w:val="auto"/>
                <w:highlight w:val="none"/>
              </w:rPr>
              <w:t>三线一单</w:t>
            </w:r>
            <w:r>
              <w:rPr>
                <w:rFonts w:hint="eastAsia"/>
                <w:color w:val="auto"/>
                <w:highlight w:val="none"/>
              </w:rPr>
              <w:t>”</w:t>
            </w:r>
            <w:r>
              <w:rPr>
                <w:color w:val="auto"/>
                <w:highlight w:val="none"/>
              </w:rPr>
              <w:t>作用，严格建设项目准入管理，新改扩建项目严格落实国家、省市产业规划、产业政策、生态环境分区管控方案、规划环评、项目环评、节能审查、产能置换、重点污染物总量控制、污染物排放区域削减、碳排放达峰目标等相关要求，原则上采用清洁运输方式。坚决遏制高耗能、高排放、低水平项目盲目上马，严格控制钢铁、水泥新增产能，积极引导砖瓦行业产能资源整合和减量淘汰，加快推动落后产能落后装备淘汰。</w:t>
            </w:r>
          </w:p>
        </w:tc>
        <w:tc>
          <w:tcPr>
            <w:tcW w:w="1646" w:type="pct"/>
            <w:vAlign w:val="center"/>
          </w:tcPr>
          <w:p w14:paraId="3DA202FD">
            <w:pPr>
              <w:pStyle w:val="37"/>
              <w:adjustRightInd w:val="0"/>
              <w:rPr>
                <w:color w:val="auto"/>
                <w:highlight w:val="none"/>
              </w:rPr>
            </w:pPr>
            <w:r>
              <w:rPr>
                <w:color w:val="auto"/>
                <w:highlight w:val="none"/>
              </w:rPr>
              <w:t>本项目严格落实国家、省市产业规划、产业政策、生态环境分区管控方案、规划环评、项目环评、节能审查、产能置换、重点污染物总量控制、污染物排放区域削减、碳排放达峰目标等相关要求。本项目采用公路运输。本项目不属于高耗能、高排放、低水平项目。本项目不属于钢铁、水泥、砖瓦行业。</w:t>
            </w:r>
          </w:p>
        </w:tc>
        <w:tc>
          <w:tcPr>
            <w:tcW w:w="523" w:type="pct"/>
            <w:vAlign w:val="center"/>
          </w:tcPr>
          <w:p w14:paraId="0B597E0D">
            <w:pPr>
              <w:pStyle w:val="37"/>
              <w:adjustRightInd w:val="0"/>
              <w:rPr>
                <w:color w:val="auto"/>
                <w:highlight w:val="none"/>
              </w:rPr>
            </w:pPr>
            <w:r>
              <w:rPr>
                <w:color w:val="auto"/>
                <w:highlight w:val="none"/>
              </w:rPr>
              <w:t>符合</w:t>
            </w:r>
          </w:p>
        </w:tc>
      </w:tr>
      <w:tr w14:paraId="7D40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restart"/>
            <w:vAlign w:val="center"/>
          </w:tcPr>
          <w:p w14:paraId="1C48B030">
            <w:pPr>
              <w:pStyle w:val="37"/>
              <w:adjustRightInd w:val="0"/>
              <w:rPr>
                <w:color w:val="auto"/>
                <w:highlight w:val="none"/>
              </w:rPr>
            </w:pPr>
            <w:r>
              <w:rPr>
                <w:color w:val="auto"/>
                <w:highlight w:val="none"/>
              </w:rPr>
              <w:t>《乐山市大气污染防治六大攻坚战实施方案》（2024年10月9日）</w:t>
            </w:r>
          </w:p>
        </w:tc>
        <w:tc>
          <w:tcPr>
            <w:tcW w:w="2257" w:type="pct"/>
            <w:vAlign w:val="center"/>
          </w:tcPr>
          <w:p w14:paraId="2B9BF12A">
            <w:pPr>
              <w:pStyle w:val="37"/>
              <w:adjustRightInd w:val="0"/>
              <w:jc w:val="both"/>
              <w:rPr>
                <w:color w:val="auto"/>
                <w:highlight w:val="none"/>
              </w:rPr>
            </w:pPr>
            <w:r>
              <w:rPr>
                <w:color w:val="auto"/>
                <w:highlight w:val="none"/>
              </w:rPr>
              <w:t>抓好工业企业环保绩效提升。以钢铁、水泥、焦化、陶瓷、砖瓦、化工、铸造、家具、包装印刷、工业涂装、化工等行业为重点，加快实施重污染天气绩效分级，到2025年，全市新创建B级（含B-）及以上和绩效引领企业数量达到21家，总数达到50家以上，环保绩效水平在全省排名前列。....企业新建、改建、扩建项目应达到绩效分级B级及以上水平。</w:t>
            </w:r>
          </w:p>
        </w:tc>
        <w:tc>
          <w:tcPr>
            <w:tcW w:w="1646" w:type="pct"/>
            <w:vAlign w:val="center"/>
          </w:tcPr>
          <w:p w14:paraId="187FACEE">
            <w:pPr>
              <w:pStyle w:val="37"/>
              <w:adjustRightInd w:val="0"/>
              <w:rPr>
                <w:color w:val="auto"/>
                <w:highlight w:val="none"/>
              </w:rPr>
            </w:pPr>
            <w:r>
              <w:rPr>
                <w:color w:val="auto"/>
                <w:highlight w:val="none"/>
              </w:rPr>
              <w:t>本项目原矿均暂存于封闭库房内，并设置喷雾降尘措施；</w:t>
            </w:r>
            <w:r>
              <w:rPr>
                <w:rFonts w:hint="eastAsia"/>
                <w:color w:val="auto"/>
                <w:highlight w:val="none"/>
              </w:rPr>
              <w:t>精矿、尾矿</w:t>
            </w:r>
            <w:r>
              <w:rPr>
                <w:rFonts w:hint="eastAsia"/>
                <w:color w:val="auto"/>
                <w:highlight w:val="none"/>
                <w:lang w:eastAsia="zh-CN"/>
              </w:rPr>
              <w:t>、</w:t>
            </w:r>
            <w:r>
              <w:rPr>
                <w:rFonts w:hint="eastAsia"/>
                <w:color w:val="auto"/>
                <w:highlight w:val="none"/>
                <w:lang w:val="en-US" w:eastAsia="zh-CN"/>
              </w:rPr>
              <w:t>粉矿均暂存于封闭库房内，并设置炮雾机进行降尘。</w:t>
            </w:r>
            <w:r>
              <w:rPr>
                <w:color w:val="auto"/>
                <w:highlight w:val="none"/>
              </w:rPr>
              <w:t>项目破碎、筛分等产尘工序均在封闭车间内进行，本项目</w:t>
            </w:r>
            <w:r>
              <w:rPr>
                <w:rFonts w:hint="eastAsia"/>
                <w:color w:val="auto"/>
                <w:highlight w:val="none"/>
              </w:rPr>
              <w:t>给料</w:t>
            </w:r>
            <w:r>
              <w:rPr>
                <w:color w:val="auto"/>
                <w:highlight w:val="none"/>
              </w:rPr>
              <w:t>、破碎粉尘经收集后统一经1套袋式除尘装置（TA001）处理后经一根15m排气筒（DA001）处理后达标外排</w:t>
            </w:r>
            <w:r>
              <w:rPr>
                <w:rFonts w:hint="eastAsia"/>
                <w:color w:val="auto"/>
                <w:highlight w:val="none"/>
              </w:rPr>
              <w:t>，</w:t>
            </w:r>
            <w:r>
              <w:rPr>
                <w:color w:val="auto"/>
                <w:highlight w:val="none"/>
              </w:rPr>
              <w:t>筛分废气经收集后统一经1套袋式除尘装置（TA002）处理后经一根15m排气筒（DA001，共用）处理后达标外排，并在</w:t>
            </w:r>
            <w:r>
              <w:rPr>
                <w:rFonts w:hint="eastAsia"/>
                <w:color w:val="auto"/>
                <w:highlight w:val="none"/>
              </w:rPr>
              <w:t>碎矿</w:t>
            </w:r>
            <w:r>
              <w:rPr>
                <w:color w:val="auto"/>
                <w:highlight w:val="none"/>
              </w:rPr>
              <w:t>车间安装自动喷雾等降尘除尘设施；本项目运输车辆全部进行遮盖，车辆出厂前全部洗净。本次评价要求建设单位严格按照B级企业要求落实相关措施。与绩效分级B级相关要求的符合性分析见1.4.1.6。</w:t>
            </w:r>
          </w:p>
        </w:tc>
        <w:tc>
          <w:tcPr>
            <w:tcW w:w="523" w:type="pct"/>
            <w:vAlign w:val="center"/>
          </w:tcPr>
          <w:p w14:paraId="7519E3AD">
            <w:pPr>
              <w:pStyle w:val="37"/>
              <w:adjustRightInd w:val="0"/>
              <w:rPr>
                <w:color w:val="auto"/>
                <w:highlight w:val="none"/>
              </w:rPr>
            </w:pPr>
            <w:r>
              <w:rPr>
                <w:color w:val="auto"/>
                <w:highlight w:val="none"/>
              </w:rPr>
              <w:t>符合</w:t>
            </w:r>
          </w:p>
        </w:tc>
      </w:tr>
      <w:tr w14:paraId="19F2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26D8A019">
            <w:pPr>
              <w:pStyle w:val="37"/>
              <w:adjustRightInd w:val="0"/>
              <w:rPr>
                <w:color w:val="auto"/>
                <w:highlight w:val="none"/>
              </w:rPr>
            </w:pPr>
          </w:p>
        </w:tc>
        <w:tc>
          <w:tcPr>
            <w:tcW w:w="2257" w:type="pct"/>
            <w:vAlign w:val="center"/>
          </w:tcPr>
          <w:p w14:paraId="5F82B7B8">
            <w:pPr>
              <w:pStyle w:val="37"/>
              <w:adjustRightInd w:val="0"/>
              <w:jc w:val="both"/>
              <w:rPr>
                <w:color w:val="auto"/>
                <w:highlight w:val="none"/>
              </w:rPr>
            </w:pPr>
            <w:r>
              <w:rPr>
                <w:color w:val="auto"/>
                <w:highlight w:val="none"/>
              </w:rPr>
              <w:t>实施超低排放改造和深度治理。大力推进重点行业超低排放改造和深度治理，2024年底前完成2家钢铁企业（德胜钒钛、罡宸不锈钢）全流程超低排放改造，并于2025年底前完成公示；</w:t>
            </w:r>
          </w:p>
        </w:tc>
        <w:tc>
          <w:tcPr>
            <w:tcW w:w="1646" w:type="pct"/>
            <w:vAlign w:val="center"/>
          </w:tcPr>
          <w:p w14:paraId="34CF097A">
            <w:pPr>
              <w:pStyle w:val="37"/>
              <w:adjustRightInd w:val="0"/>
              <w:rPr>
                <w:color w:val="auto"/>
                <w:highlight w:val="none"/>
              </w:rPr>
            </w:pPr>
            <w:r>
              <w:rPr>
                <w:color w:val="auto"/>
                <w:highlight w:val="none"/>
              </w:rPr>
              <w:t>本项目不</w:t>
            </w:r>
            <w:r>
              <w:rPr>
                <w:rFonts w:hint="eastAsia"/>
                <w:color w:val="auto"/>
                <w:highlight w:val="none"/>
              </w:rPr>
              <w:t>涉及</w:t>
            </w:r>
            <w:r>
              <w:rPr>
                <w:color w:val="auto"/>
                <w:highlight w:val="none"/>
              </w:rPr>
              <w:t>。</w:t>
            </w:r>
          </w:p>
        </w:tc>
        <w:tc>
          <w:tcPr>
            <w:tcW w:w="523" w:type="pct"/>
            <w:vAlign w:val="center"/>
          </w:tcPr>
          <w:p w14:paraId="05AB5BED">
            <w:pPr>
              <w:pStyle w:val="37"/>
              <w:adjustRightInd w:val="0"/>
              <w:rPr>
                <w:color w:val="auto"/>
                <w:highlight w:val="none"/>
              </w:rPr>
            </w:pPr>
            <w:r>
              <w:rPr>
                <w:color w:val="auto"/>
                <w:highlight w:val="none"/>
              </w:rPr>
              <w:t>符合</w:t>
            </w:r>
          </w:p>
        </w:tc>
      </w:tr>
      <w:tr w14:paraId="0012A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Merge w:val="continue"/>
            <w:vAlign w:val="center"/>
          </w:tcPr>
          <w:p w14:paraId="7BE6C576">
            <w:pPr>
              <w:pStyle w:val="37"/>
              <w:adjustRightInd w:val="0"/>
              <w:rPr>
                <w:color w:val="auto"/>
                <w:highlight w:val="none"/>
              </w:rPr>
            </w:pPr>
          </w:p>
        </w:tc>
        <w:tc>
          <w:tcPr>
            <w:tcW w:w="2257" w:type="pct"/>
            <w:vAlign w:val="center"/>
          </w:tcPr>
          <w:p w14:paraId="5F3248FC">
            <w:pPr>
              <w:pStyle w:val="37"/>
              <w:adjustRightInd w:val="0"/>
              <w:jc w:val="both"/>
              <w:rPr>
                <w:color w:val="auto"/>
                <w:highlight w:val="none"/>
              </w:rPr>
            </w:pPr>
            <w:r>
              <w:rPr>
                <w:color w:val="auto"/>
                <w:highlight w:val="none"/>
              </w:rPr>
              <w:t>严格非正常工况管控要求。钢铁、化工等大气环境重点排污单位应提前向当地生态环境部门报告开停工、检维修计划；制定非正常工况管控规程，严格按规程操作。企业开停工、检维修期间，退料、清洗、吹扫等作业产生的污染物废气应及时收集处理，确保满足标准要求。</w:t>
            </w:r>
          </w:p>
        </w:tc>
        <w:tc>
          <w:tcPr>
            <w:tcW w:w="1646" w:type="pct"/>
            <w:vAlign w:val="center"/>
          </w:tcPr>
          <w:p w14:paraId="2726D4F9">
            <w:pPr>
              <w:pStyle w:val="37"/>
              <w:adjustRightInd w:val="0"/>
              <w:rPr>
                <w:color w:val="auto"/>
                <w:highlight w:val="none"/>
              </w:rPr>
            </w:pPr>
            <w:r>
              <w:rPr>
                <w:color w:val="auto"/>
                <w:highlight w:val="none"/>
              </w:rPr>
              <w:t>本项目不属于钢铁、化工等大气环境重点排污单位。本次报告要求企业开停工、检维修期间，退料、清洗、吹扫等作业产生的污染物废气需及时收集处理。</w:t>
            </w:r>
          </w:p>
        </w:tc>
        <w:tc>
          <w:tcPr>
            <w:tcW w:w="523" w:type="pct"/>
            <w:vAlign w:val="center"/>
          </w:tcPr>
          <w:p w14:paraId="17C51DBD">
            <w:pPr>
              <w:pStyle w:val="37"/>
              <w:adjustRightInd w:val="0"/>
              <w:rPr>
                <w:color w:val="auto"/>
                <w:highlight w:val="none"/>
              </w:rPr>
            </w:pPr>
            <w:r>
              <w:rPr>
                <w:color w:val="auto"/>
                <w:highlight w:val="none"/>
              </w:rPr>
              <w:t>符合</w:t>
            </w:r>
          </w:p>
        </w:tc>
      </w:tr>
    </w:tbl>
    <w:p w14:paraId="66BE98B5">
      <w:pPr>
        <w:adjustRightInd w:val="0"/>
        <w:ind w:firstLine="480"/>
        <w:rPr>
          <w:rFonts w:cs="Times New Roman"/>
          <w:color w:val="auto"/>
          <w:highlight w:val="none"/>
        </w:rPr>
      </w:pPr>
      <w:r>
        <w:rPr>
          <w:rFonts w:cs="Times New Roman"/>
          <w:color w:val="auto"/>
          <w:highlight w:val="none"/>
        </w:rPr>
        <w:t>（2）与水污染防治相关规划及方案的符合性分析</w:t>
      </w:r>
    </w:p>
    <w:p w14:paraId="38F54646">
      <w:pPr>
        <w:adjustRightInd w:val="0"/>
        <w:ind w:firstLine="480"/>
        <w:rPr>
          <w:rFonts w:cs="Times New Roman"/>
          <w:color w:val="auto"/>
          <w:highlight w:val="none"/>
        </w:rPr>
      </w:pPr>
      <w:r>
        <w:rPr>
          <w:rFonts w:cs="Times New Roman"/>
          <w:color w:val="auto"/>
          <w:highlight w:val="none"/>
        </w:rPr>
        <w:t>本项目与现行污染防治政策及规划相关要求的符合性如下。</w:t>
      </w:r>
    </w:p>
    <w:p w14:paraId="3495CFD6">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18</w:t>
      </w:r>
      <w:r>
        <w:rPr>
          <w:rFonts w:cs="Times New Roman"/>
          <w:color w:val="auto"/>
          <w:highlight w:val="none"/>
        </w:rPr>
        <w:fldChar w:fldCharType="end"/>
      </w:r>
      <w:r>
        <w:rPr>
          <w:rFonts w:cs="Times New Roman"/>
          <w:color w:val="auto"/>
          <w:highlight w:val="none"/>
        </w:rPr>
        <w:t>本项目与污染防治相关政策符合性</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991"/>
        <w:gridCol w:w="2992"/>
        <w:gridCol w:w="2898"/>
        <w:gridCol w:w="797"/>
      </w:tblGrid>
      <w:tr w14:paraId="5FAA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 w:type="pct"/>
            <w:vAlign w:val="center"/>
          </w:tcPr>
          <w:p w14:paraId="72530780">
            <w:pPr>
              <w:pStyle w:val="37"/>
              <w:adjustRightInd w:val="0"/>
              <w:rPr>
                <w:b/>
                <w:bCs/>
                <w:color w:val="auto"/>
                <w:highlight w:val="none"/>
              </w:rPr>
            </w:pPr>
            <w:r>
              <w:rPr>
                <w:b/>
                <w:bCs/>
                <w:color w:val="auto"/>
                <w:highlight w:val="none"/>
              </w:rPr>
              <w:t>名称</w:t>
            </w:r>
          </w:p>
        </w:tc>
        <w:tc>
          <w:tcPr>
            <w:tcW w:w="2339" w:type="pct"/>
            <w:gridSpan w:val="2"/>
            <w:vAlign w:val="center"/>
          </w:tcPr>
          <w:p w14:paraId="7653B3A1">
            <w:pPr>
              <w:pStyle w:val="37"/>
              <w:adjustRightInd w:val="0"/>
              <w:rPr>
                <w:b/>
                <w:bCs/>
                <w:color w:val="auto"/>
                <w:highlight w:val="none"/>
              </w:rPr>
            </w:pPr>
            <w:r>
              <w:rPr>
                <w:b/>
                <w:bCs/>
                <w:color w:val="auto"/>
                <w:highlight w:val="none"/>
              </w:rPr>
              <w:t>具体要求</w:t>
            </w:r>
          </w:p>
        </w:tc>
        <w:tc>
          <w:tcPr>
            <w:tcW w:w="1701" w:type="pct"/>
            <w:vAlign w:val="center"/>
          </w:tcPr>
          <w:p w14:paraId="041F2AB1">
            <w:pPr>
              <w:pStyle w:val="37"/>
              <w:adjustRightInd w:val="0"/>
              <w:rPr>
                <w:b/>
                <w:bCs/>
                <w:color w:val="auto"/>
                <w:highlight w:val="none"/>
              </w:rPr>
            </w:pPr>
            <w:r>
              <w:rPr>
                <w:b/>
                <w:bCs/>
                <w:color w:val="auto"/>
                <w:highlight w:val="none"/>
              </w:rPr>
              <w:t>本项目情况</w:t>
            </w:r>
          </w:p>
        </w:tc>
        <w:tc>
          <w:tcPr>
            <w:tcW w:w="468" w:type="pct"/>
            <w:vAlign w:val="center"/>
          </w:tcPr>
          <w:p w14:paraId="3AB57DE0">
            <w:pPr>
              <w:pStyle w:val="37"/>
              <w:adjustRightInd w:val="0"/>
              <w:rPr>
                <w:b/>
                <w:bCs/>
                <w:color w:val="auto"/>
                <w:highlight w:val="none"/>
              </w:rPr>
            </w:pPr>
            <w:r>
              <w:rPr>
                <w:b/>
                <w:bCs/>
                <w:color w:val="auto"/>
                <w:highlight w:val="none"/>
              </w:rPr>
              <w:t>符合性</w:t>
            </w:r>
          </w:p>
        </w:tc>
      </w:tr>
      <w:tr w14:paraId="34C8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restart"/>
            <w:vAlign w:val="center"/>
          </w:tcPr>
          <w:p w14:paraId="36E13C0F">
            <w:pPr>
              <w:pStyle w:val="37"/>
              <w:adjustRightInd w:val="0"/>
              <w:rPr>
                <w:color w:val="auto"/>
                <w:highlight w:val="none"/>
              </w:rPr>
            </w:pPr>
            <w:r>
              <w:rPr>
                <w:rFonts w:hint="eastAsia"/>
                <w:color w:val="auto"/>
                <w:highlight w:val="none"/>
              </w:rPr>
              <w:t>《</w:t>
            </w:r>
            <w:r>
              <w:rPr>
                <w:color w:val="auto"/>
                <w:highlight w:val="none"/>
              </w:rPr>
              <w:t>水污染防治行动计划</w:t>
            </w:r>
            <w:r>
              <w:rPr>
                <w:rFonts w:hint="eastAsia"/>
                <w:color w:val="auto"/>
                <w:highlight w:val="none"/>
              </w:rPr>
              <w:t>》（国发〔2015〕17号）</w:t>
            </w:r>
          </w:p>
        </w:tc>
        <w:tc>
          <w:tcPr>
            <w:tcW w:w="2339" w:type="pct"/>
            <w:gridSpan w:val="2"/>
            <w:vAlign w:val="center"/>
          </w:tcPr>
          <w:p w14:paraId="79C9E429">
            <w:pPr>
              <w:pStyle w:val="37"/>
              <w:adjustRightInd w:val="0"/>
              <w:jc w:val="both"/>
              <w:rPr>
                <w:color w:val="auto"/>
                <w:highlight w:val="none"/>
              </w:rPr>
            </w:pPr>
            <w:r>
              <w:rPr>
                <w:color w:val="auto"/>
                <w:highlight w:val="none"/>
              </w:rPr>
              <w:t>（五）调整产业结构。依法淘汰落后产能。自2015年起，各地要依据部分工业行业淘汰落后生产工艺装备和产品指导目录、产业结构调整指导目录及相关行业污染物排放标准，结合水质改善要求及产业发展情况，制定并实施分年度的落后产能淘汰方案，报工业和信息化部、环境保护部备案。未完成淘汰任务的地区，暂停审批和核准其相关行业新建项目。</w:t>
            </w:r>
          </w:p>
        </w:tc>
        <w:tc>
          <w:tcPr>
            <w:tcW w:w="1701" w:type="pct"/>
            <w:vAlign w:val="center"/>
          </w:tcPr>
          <w:p w14:paraId="5142FB7E">
            <w:pPr>
              <w:pStyle w:val="37"/>
              <w:adjustRightInd w:val="0"/>
              <w:rPr>
                <w:color w:val="auto"/>
                <w:highlight w:val="none"/>
              </w:rPr>
            </w:pPr>
            <w:r>
              <w:rPr>
                <w:color w:val="auto"/>
                <w:highlight w:val="none"/>
              </w:rPr>
              <w:t>本项目属于《产业结构调整指导目录（2024年本）》中允许类，符合国家产业政策。</w:t>
            </w:r>
          </w:p>
        </w:tc>
        <w:tc>
          <w:tcPr>
            <w:tcW w:w="468" w:type="pct"/>
            <w:vAlign w:val="center"/>
          </w:tcPr>
          <w:p w14:paraId="11B701B2">
            <w:pPr>
              <w:pStyle w:val="37"/>
              <w:adjustRightInd w:val="0"/>
              <w:rPr>
                <w:color w:val="auto"/>
                <w:highlight w:val="none"/>
              </w:rPr>
            </w:pPr>
            <w:r>
              <w:rPr>
                <w:color w:val="auto"/>
                <w:highlight w:val="none"/>
              </w:rPr>
              <w:t>符合</w:t>
            </w:r>
          </w:p>
        </w:tc>
      </w:tr>
      <w:tr w14:paraId="19D7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12831179">
            <w:pPr>
              <w:pStyle w:val="37"/>
              <w:adjustRightInd w:val="0"/>
              <w:rPr>
                <w:color w:val="auto"/>
                <w:highlight w:val="none"/>
              </w:rPr>
            </w:pPr>
          </w:p>
        </w:tc>
        <w:tc>
          <w:tcPr>
            <w:tcW w:w="2339" w:type="pct"/>
            <w:gridSpan w:val="2"/>
            <w:vAlign w:val="center"/>
          </w:tcPr>
          <w:p w14:paraId="4941F71E">
            <w:pPr>
              <w:pStyle w:val="37"/>
              <w:adjustRightInd w:val="0"/>
              <w:jc w:val="both"/>
              <w:rPr>
                <w:color w:val="auto"/>
                <w:highlight w:val="none"/>
              </w:rPr>
            </w:pPr>
            <w:r>
              <w:rPr>
                <w:color w:val="auto"/>
                <w:highlight w:val="none"/>
              </w:rPr>
              <w:t>（七）推进循环发展。加强工业水循环利用。推进矿井水综合利用，煤炭矿区的补充用水、周边地区生产和生态用水应优先使用矿井水，加强洗煤废水循环利用。鼓励钢铁、纺织印染、造纸、石油石化、化工、制革等高耗水企业废水深度处理回用。</w:t>
            </w:r>
          </w:p>
        </w:tc>
        <w:tc>
          <w:tcPr>
            <w:tcW w:w="1701" w:type="pct"/>
            <w:vAlign w:val="center"/>
          </w:tcPr>
          <w:p w14:paraId="02B22187">
            <w:pPr>
              <w:pStyle w:val="37"/>
              <w:adjustRightInd w:val="0"/>
              <w:rPr>
                <w:color w:val="auto"/>
                <w:highlight w:val="none"/>
              </w:rPr>
            </w:pPr>
            <w:r>
              <w:rPr>
                <w:color w:val="auto"/>
                <w:highlight w:val="none"/>
              </w:rPr>
              <w:t>本项目不属于钢铁、纺织印染、造纸、石油石化、化工、制革等高耗水企业，不属于高耗水企业，项目生产废水循环使用，不外排。</w:t>
            </w:r>
          </w:p>
        </w:tc>
        <w:tc>
          <w:tcPr>
            <w:tcW w:w="468" w:type="pct"/>
            <w:vAlign w:val="center"/>
          </w:tcPr>
          <w:p w14:paraId="06BCF38A">
            <w:pPr>
              <w:pStyle w:val="37"/>
              <w:adjustRightInd w:val="0"/>
              <w:rPr>
                <w:color w:val="auto"/>
                <w:highlight w:val="none"/>
              </w:rPr>
            </w:pPr>
            <w:r>
              <w:rPr>
                <w:color w:val="auto"/>
                <w:highlight w:val="none"/>
              </w:rPr>
              <w:t>符合</w:t>
            </w:r>
          </w:p>
        </w:tc>
      </w:tr>
      <w:tr w14:paraId="0350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restart"/>
            <w:vAlign w:val="center"/>
          </w:tcPr>
          <w:p w14:paraId="02B40299">
            <w:pPr>
              <w:pStyle w:val="37"/>
              <w:adjustRightInd w:val="0"/>
              <w:rPr>
                <w:color w:val="auto"/>
                <w:highlight w:val="none"/>
              </w:rPr>
            </w:pPr>
            <w:r>
              <w:rPr>
                <w:color w:val="auto"/>
                <w:highlight w:val="none"/>
              </w:rPr>
              <w:t>《水污染防治行动计划四川省工作方案》（2016年2月17日）</w:t>
            </w:r>
          </w:p>
        </w:tc>
        <w:tc>
          <w:tcPr>
            <w:tcW w:w="2339" w:type="pct"/>
            <w:gridSpan w:val="2"/>
            <w:vAlign w:val="center"/>
          </w:tcPr>
          <w:p w14:paraId="4ED45F37">
            <w:pPr>
              <w:pStyle w:val="37"/>
              <w:adjustRightInd w:val="0"/>
              <w:jc w:val="both"/>
              <w:rPr>
                <w:color w:val="auto"/>
                <w:highlight w:val="none"/>
              </w:rPr>
            </w:pPr>
            <w:r>
              <w:rPr>
                <w:color w:val="auto"/>
                <w:highlight w:val="none"/>
              </w:rPr>
              <w:t>（五）调整产业结构。16.依法淘汰落后产能。经济和信息化部门会同相关部门依据部分工业行业淘汰落后生产工艺装备和产品指导目录、产业结构调整指导目录及相关行业污染物排放标准，结合水质改善要求及产业发展情况，制定并实施分年度的落后产能淘汰方案，报工业和信息化部、环境保护部备案。各市（州）应层层分解落实，未完成淘汰任务的地方，暂停审批和核准相关行业新建项目。</w:t>
            </w:r>
          </w:p>
        </w:tc>
        <w:tc>
          <w:tcPr>
            <w:tcW w:w="1701" w:type="pct"/>
            <w:vAlign w:val="center"/>
          </w:tcPr>
          <w:p w14:paraId="4455A8F2">
            <w:pPr>
              <w:pStyle w:val="37"/>
              <w:adjustRightInd w:val="0"/>
              <w:rPr>
                <w:color w:val="auto"/>
                <w:highlight w:val="none"/>
              </w:rPr>
            </w:pPr>
            <w:r>
              <w:rPr>
                <w:color w:val="auto"/>
                <w:highlight w:val="none"/>
              </w:rPr>
              <w:t>本项目属于《产业结构调整指导目录（2024年本）》中允许类，符合国家产业政策。</w:t>
            </w:r>
          </w:p>
        </w:tc>
        <w:tc>
          <w:tcPr>
            <w:tcW w:w="468" w:type="pct"/>
            <w:vAlign w:val="center"/>
          </w:tcPr>
          <w:p w14:paraId="253F2A8D">
            <w:pPr>
              <w:pStyle w:val="37"/>
              <w:adjustRightInd w:val="0"/>
              <w:rPr>
                <w:color w:val="auto"/>
                <w:highlight w:val="none"/>
              </w:rPr>
            </w:pPr>
            <w:r>
              <w:rPr>
                <w:color w:val="auto"/>
                <w:highlight w:val="none"/>
              </w:rPr>
              <w:t>符合</w:t>
            </w:r>
          </w:p>
        </w:tc>
      </w:tr>
      <w:tr w14:paraId="0A908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9" w:type="pct"/>
            <w:vMerge w:val="continue"/>
            <w:vAlign w:val="center"/>
          </w:tcPr>
          <w:p w14:paraId="34E2276A">
            <w:pPr>
              <w:pStyle w:val="37"/>
              <w:adjustRightInd w:val="0"/>
              <w:rPr>
                <w:color w:val="auto"/>
                <w:highlight w:val="none"/>
              </w:rPr>
            </w:pPr>
          </w:p>
        </w:tc>
        <w:tc>
          <w:tcPr>
            <w:tcW w:w="2339" w:type="pct"/>
            <w:gridSpan w:val="2"/>
            <w:vAlign w:val="center"/>
          </w:tcPr>
          <w:p w14:paraId="630ECD59">
            <w:pPr>
              <w:pStyle w:val="37"/>
              <w:adjustRightInd w:val="0"/>
              <w:jc w:val="both"/>
              <w:rPr>
                <w:color w:val="auto"/>
                <w:highlight w:val="none"/>
              </w:rPr>
            </w:pPr>
            <w:r>
              <w:rPr>
                <w:color w:val="auto"/>
                <w:highlight w:val="none"/>
              </w:rPr>
              <w:t>（七）推进循环发展。22.加强工业水循环利用。经济和信息化部门指导钢铁、纺织印染、造纸、石油石化、化工、制革等高耗水企业废水深度处理回用。</w:t>
            </w:r>
          </w:p>
        </w:tc>
        <w:tc>
          <w:tcPr>
            <w:tcW w:w="1701" w:type="pct"/>
            <w:vAlign w:val="center"/>
          </w:tcPr>
          <w:p w14:paraId="49E8B6E2">
            <w:pPr>
              <w:pStyle w:val="37"/>
              <w:adjustRightInd w:val="0"/>
              <w:rPr>
                <w:color w:val="auto"/>
                <w:highlight w:val="none"/>
              </w:rPr>
            </w:pPr>
            <w:r>
              <w:rPr>
                <w:color w:val="auto"/>
                <w:highlight w:val="none"/>
              </w:rPr>
              <w:t>本项目不属于钢铁、纺织印染、造纸、石油石化、化工、制革等高耗水企业，不属于高耗水企业，项目生产废水循环使用，不外排。</w:t>
            </w:r>
          </w:p>
        </w:tc>
        <w:tc>
          <w:tcPr>
            <w:tcW w:w="468" w:type="pct"/>
            <w:vAlign w:val="center"/>
          </w:tcPr>
          <w:p w14:paraId="7FBCD6FC">
            <w:pPr>
              <w:pStyle w:val="37"/>
              <w:adjustRightInd w:val="0"/>
              <w:rPr>
                <w:color w:val="auto"/>
                <w:highlight w:val="none"/>
              </w:rPr>
            </w:pPr>
            <w:r>
              <w:rPr>
                <w:color w:val="auto"/>
                <w:highlight w:val="none"/>
              </w:rPr>
              <w:t>符合</w:t>
            </w:r>
          </w:p>
        </w:tc>
      </w:tr>
      <w:tr w14:paraId="7D2E3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89" w:type="pct"/>
            <w:vMerge w:val="restart"/>
            <w:vAlign w:val="center"/>
          </w:tcPr>
          <w:p w14:paraId="66B43E90">
            <w:pPr>
              <w:pStyle w:val="37"/>
              <w:adjustRightInd w:val="0"/>
              <w:rPr>
                <w:color w:val="auto"/>
                <w:highlight w:val="none"/>
              </w:rPr>
            </w:pPr>
            <w:r>
              <w:rPr>
                <w:color w:val="auto"/>
                <w:highlight w:val="none"/>
              </w:rPr>
              <w:t>《四川省打赢蓝天保卫战等九个实施方案》（川府发〔2019〕4号）</w:t>
            </w:r>
          </w:p>
        </w:tc>
        <w:tc>
          <w:tcPr>
            <w:tcW w:w="582" w:type="pct"/>
            <w:vAlign w:val="center"/>
          </w:tcPr>
          <w:p w14:paraId="2BD11426">
            <w:pPr>
              <w:pStyle w:val="37"/>
              <w:adjustRightInd w:val="0"/>
              <w:jc w:val="both"/>
              <w:rPr>
                <w:color w:val="auto"/>
                <w:highlight w:val="none"/>
              </w:rPr>
            </w:pPr>
            <w:r>
              <w:rPr>
                <w:color w:val="auto"/>
                <w:highlight w:val="none"/>
              </w:rPr>
              <w:t>四川省打赢碧水保卫战实施方案</w:t>
            </w:r>
          </w:p>
        </w:tc>
        <w:tc>
          <w:tcPr>
            <w:tcW w:w="1757" w:type="pct"/>
            <w:vAlign w:val="center"/>
          </w:tcPr>
          <w:p w14:paraId="0EFEB69F">
            <w:pPr>
              <w:pStyle w:val="37"/>
              <w:adjustRightInd w:val="0"/>
              <w:jc w:val="both"/>
              <w:rPr>
                <w:color w:val="auto"/>
                <w:highlight w:val="none"/>
              </w:rPr>
            </w:pPr>
            <w:r>
              <w:rPr>
                <w:color w:val="auto"/>
                <w:highlight w:val="none"/>
              </w:rPr>
              <w:t>三、实施工业污染治理</w:t>
            </w:r>
          </w:p>
          <w:p w14:paraId="5CB0A9CF">
            <w:pPr>
              <w:pStyle w:val="37"/>
              <w:adjustRightInd w:val="0"/>
              <w:jc w:val="both"/>
              <w:rPr>
                <w:color w:val="auto"/>
                <w:highlight w:val="none"/>
              </w:rPr>
            </w:pPr>
            <w:r>
              <w:rPr>
                <w:color w:val="auto"/>
                <w:highlight w:val="none"/>
              </w:rPr>
              <w:t>加快推进工业园区（工业集聚区）污水处理设施建设，确保污水处理设施按期建成投入使用和正常运行。在处理设施建成前，依托生活污水处理厂、一体化应急设备全面处理工业废水，确保达标排放。</w:t>
            </w:r>
          </w:p>
        </w:tc>
        <w:tc>
          <w:tcPr>
            <w:tcW w:w="1701" w:type="pct"/>
            <w:vMerge w:val="restart"/>
            <w:vAlign w:val="center"/>
          </w:tcPr>
          <w:p w14:paraId="006F3EF3">
            <w:pPr>
              <w:pStyle w:val="37"/>
              <w:adjustRightInd w:val="0"/>
              <w:rPr>
                <w:color w:val="auto"/>
                <w:highlight w:val="none"/>
              </w:rPr>
            </w:pPr>
            <w:r>
              <w:rPr>
                <w:color w:val="auto"/>
                <w:highlight w:val="none"/>
              </w:rPr>
              <w:t>本项目选矿废水经絮凝沉淀处理后回用于</w:t>
            </w:r>
            <w:r>
              <w:rPr>
                <w:rFonts w:hint="eastAsia"/>
                <w:color w:val="auto"/>
                <w:highlight w:val="none"/>
              </w:rPr>
              <w:t>湿式磨矿、浮选等工序</w:t>
            </w:r>
            <w:r>
              <w:rPr>
                <w:color w:val="auto"/>
                <w:highlight w:val="none"/>
              </w:rPr>
              <w:t>，不外排；车辆冲洗废水经沉淀池处理后回用于车辆冲洗，不外排；初期雨水经</w:t>
            </w:r>
            <w:r>
              <w:rPr>
                <w:rFonts w:hint="eastAsia"/>
                <w:color w:val="auto"/>
                <w:highlight w:val="none"/>
              </w:rPr>
              <w:t>依托的乐山市沙湾区豪沐科技有限公司</w:t>
            </w:r>
            <w:r>
              <w:rPr>
                <w:color w:val="auto"/>
                <w:highlight w:val="none"/>
              </w:rPr>
              <w:t>初期雨水池沉淀处理后回用于喷雾降尘，不外排；</w:t>
            </w: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）处理达</w:t>
            </w:r>
            <w:r>
              <w:rPr>
                <w:rFonts w:hint="eastAsia"/>
                <w:color w:val="auto"/>
                <w:highlight w:val="none"/>
              </w:rPr>
              <w:t>“</w:t>
            </w:r>
            <w:r>
              <w:rPr>
                <w:color w:val="auto"/>
                <w:highlight w:val="none"/>
              </w:rPr>
              <w:t>乐山沙湾经济开发区污水处理厂设计进水水质</w:t>
            </w:r>
            <w:r>
              <w:rPr>
                <w:rFonts w:hint="eastAsia"/>
                <w:color w:val="auto"/>
                <w:highlight w:val="none"/>
              </w:rPr>
              <w:t>”</w:t>
            </w:r>
            <w:r>
              <w:rPr>
                <w:color w:val="auto"/>
                <w:highlight w:val="none"/>
              </w:rPr>
              <w:t>后经园区污水管网排入乐山沙湾经济开发区污水处理厂进一步处理达《四川省岷江、沱江流域水污染物排放标准》（DB51/2311-2016）中</w:t>
            </w:r>
            <w:r>
              <w:rPr>
                <w:rFonts w:hint="eastAsia"/>
                <w:color w:val="auto"/>
                <w:highlight w:val="none"/>
              </w:rPr>
              <w:t>“</w:t>
            </w:r>
            <w:r>
              <w:rPr>
                <w:color w:val="auto"/>
                <w:highlight w:val="none"/>
              </w:rPr>
              <w:t>工业园区集中式污水处理厂</w:t>
            </w:r>
            <w:r>
              <w:rPr>
                <w:rFonts w:hint="eastAsia"/>
                <w:color w:val="auto"/>
                <w:highlight w:val="none"/>
              </w:rPr>
              <w:t>”</w:t>
            </w:r>
            <w:r>
              <w:rPr>
                <w:color w:val="auto"/>
                <w:highlight w:val="none"/>
              </w:rPr>
              <w:t>标准后外排大渡河。</w:t>
            </w:r>
          </w:p>
        </w:tc>
        <w:tc>
          <w:tcPr>
            <w:tcW w:w="468" w:type="pct"/>
            <w:vMerge w:val="restart"/>
            <w:vAlign w:val="center"/>
          </w:tcPr>
          <w:p w14:paraId="46CE8E19">
            <w:pPr>
              <w:pStyle w:val="37"/>
              <w:adjustRightInd w:val="0"/>
              <w:rPr>
                <w:color w:val="auto"/>
                <w:highlight w:val="none"/>
              </w:rPr>
            </w:pPr>
            <w:r>
              <w:rPr>
                <w:color w:val="auto"/>
                <w:highlight w:val="none"/>
              </w:rPr>
              <w:t>符合</w:t>
            </w:r>
          </w:p>
        </w:tc>
      </w:tr>
      <w:tr w14:paraId="378E6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717A1D78">
            <w:pPr>
              <w:pStyle w:val="37"/>
              <w:adjustRightInd w:val="0"/>
              <w:rPr>
                <w:color w:val="auto"/>
                <w:highlight w:val="none"/>
              </w:rPr>
            </w:pPr>
          </w:p>
        </w:tc>
        <w:tc>
          <w:tcPr>
            <w:tcW w:w="582" w:type="pct"/>
            <w:vAlign w:val="center"/>
          </w:tcPr>
          <w:p w14:paraId="74C9780E">
            <w:pPr>
              <w:pStyle w:val="37"/>
              <w:adjustRightInd w:val="0"/>
              <w:jc w:val="both"/>
              <w:rPr>
                <w:color w:val="auto"/>
                <w:highlight w:val="none"/>
              </w:rPr>
            </w:pPr>
            <w:r>
              <w:rPr>
                <w:color w:val="auto"/>
                <w:highlight w:val="none"/>
              </w:rPr>
              <w:t>四川省打好城市黑臭水体治理攻坚战实施方案</w:t>
            </w:r>
          </w:p>
        </w:tc>
        <w:tc>
          <w:tcPr>
            <w:tcW w:w="1757" w:type="pct"/>
            <w:vAlign w:val="center"/>
          </w:tcPr>
          <w:p w14:paraId="700FADD7">
            <w:pPr>
              <w:pStyle w:val="37"/>
              <w:adjustRightInd w:val="0"/>
              <w:jc w:val="both"/>
              <w:rPr>
                <w:color w:val="auto"/>
                <w:highlight w:val="none"/>
              </w:rPr>
            </w:pPr>
            <w:r>
              <w:rPr>
                <w:color w:val="auto"/>
                <w:highlight w:val="none"/>
              </w:rPr>
              <w:t>强化工业企业污染控制。排入环境的工业污水要符合国家或地方排放标准。工业园区应建成污水集中处理设施并稳定达标运行，对废水分类收集、分质处理、应收尽收，禁止偷排漏排行为，入园企业应当按照国家有关规定进行预处理，达到工艺要求后，接入污水集中处理设施处理。</w:t>
            </w:r>
          </w:p>
        </w:tc>
        <w:tc>
          <w:tcPr>
            <w:tcW w:w="1701" w:type="pct"/>
            <w:vMerge w:val="continue"/>
            <w:vAlign w:val="center"/>
          </w:tcPr>
          <w:p w14:paraId="248CFB95">
            <w:pPr>
              <w:pStyle w:val="37"/>
              <w:adjustRightInd w:val="0"/>
              <w:rPr>
                <w:color w:val="auto"/>
                <w:highlight w:val="none"/>
              </w:rPr>
            </w:pPr>
          </w:p>
        </w:tc>
        <w:tc>
          <w:tcPr>
            <w:tcW w:w="468" w:type="pct"/>
            <w:vMerge w:val="continue"/>
            <w:vAlign w:val="center"/>
          </w:tcPr>
          <w:p w14:paraId="4F9C3AF3">
            <w:pPr>
              <w:pStyle w:val="37"/>
              <w:adjustRightInd w:val="0"/>
              <w:rPr>
                <w:color w:val="auto"/>
                <w:highlight w:val="none"/>
              </w:rPr>
            </w:pPr>
          </w:p>
        </w:tc>
      </w:tr>
      <w:tr w14:paraId="54F3C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restart"/>
            <w:vAlign w:val="center"/>
          </w:tcPr>
          <w:p w14:paraId="6C64D93B">
            <w:pPr>
              <w:pStyle w:val="37"/>
              <w:adjustRightInd w:val="0"/>
              <w:rPr>
                <w:color w:val="auto"/>
                <w:highlight w:val="none"/>
              </w:rPr>
            </w:pPr>
            <w:r>
              <w:rPr>
                <w:color w:val="auto"/>
                <w:highlight w:val="none"/>
              </w:rPr>
              <w:t>《四川省大渡河岸线保护与利用规划》岸线功能分区负面清单</w:t>
            </w:r>
          </w:p>
        </w:tc>
        <w:tc>
          <w:tcPr>
            <w:tcW w:w="582" w:type="pct"/>
            <w:vMerge w:val="restart"/>
            <w:vAlign w:val="center"/>
          </w:tcPr>
          <w:p w14:paraId="73EE9063">
            <w:pPr>
              <w:pStyle w:val="37"/>
              <w:adjustRightInd w:val="0"/>
              <w:jc w:val="both"/>
              <w:rPr>
                <w:color w:val="auto"/>
                <w:highlight w:val="none"/>
              </w:rPr>
            </w:pPr>
            <w:r>
              <w:rPr>
                <w:color w:val="auto"/>
                <w:highlight w:val="none"/>
              </w:rPr>
              <w:t>岸线保护区</w:t>
            </w:r>
          </w:p>
        </w:tc>
        <w:tc>
          <w:tcPr>
            <w:tcW w:w="1757" w:type="pct"/>
            <w:vAlign w:val="center"/>
          </w:tcPr>
          <w:p w14:paraId="22260BCB">
            <w:pPr>
              <w:pStyle w:val="37"/>
              <w:adjustRightInd w:val="0"/>
              <w:jc w:val="both"/>
              <w:rPr>
                <w:color w:val="auto"/>
                <w:highlight w:val="none"/>
              </w:rPr>
            </w:pPr>
            <w:r>
              <w:rPr>
                <w:color w:val="auto"/>
                <w:highlight w:val="none"/>
              </w:rPr>
              <w:t>①禁止建设除防洪安全工程、河道整治工程以外的其他项目。</w:t>
            </w:r>
          </w:p>
          <w:p w14:paraId="289F3EE4">
            <w:pPr>
              <w:pStyle w:val="37"/>
              <w:adjustRightInd w:val="0"/>
              <w:jc w:val="both"/>
              <w:rPr>
                <w:color w:val="auto"/>
                <w:highlight w:val="none"/>
              </w:rPr>
            </w:pPr>
            <w:r>
              <w:rPr>
                <w:color w:val="auto"/>
                <w:highlight w:val="none"/>
              </w:rPr>
              <w:t>②在重要防洪枢纽岸线保护区内，禁止建设影响水利枢纽正常运行安全的项目。</w:t>
            </w:r>
          </w:p>
          <w:p w14:paraId="003C89FF">
            <w:pPr>
              <w:pStyle w:val="37"/>
              <w:adjustRightInd w:val="0"/>
              <w:jc w:val="both"/>
              <w:rPr>
                <w:color w:val="auto"/>
                <w:highlight w:val="none"/>
              </w:rPr>
            </w:pPr>
            <w:r>
              <w:rPr>
                <w:color w:val="auto"/>
                <w:highlight w:val="none"/>
              </w:rPr>
              <w:t>③在改变分汊河段分流态势的分汇流段的岸线保护区内，禁止建设影响河势稳定的项目。</w:t>
            </w:r>
          </w:p>
        </w:tc>
        <w:tc>
          <w:tcPr>
            <w:tcW w:w="1701" w:type="pct"/>
            <w:vAlign w:val="center"/>
          </w:tcPr>
          <w:p w14:paraId="2D86B4F5">
            <w:pPr>
              <w:pStyle w:val="37"/>
              <w:adjustRightInd w:val="0"/>
              <w:rPr>
                <w:color w:val="auto"/>
                <w:highlight w:val="none"/>
              </w:rPr>
            </w:pPr>
            <w:r>
              <w:rPr>
                <w:color w:val="auto"/>
                <w:highlight w:val="none"/>
              </w:rPr>
              <w:t>本项目不涉及大渡河岸线保护区</w:t>
            </w:r>
          </w:p>
        </w:tc>
        <w:tc>
          <w:tcPr>
            <w:tcW w:w="468" w:type="pct"/>
            <w:vAlign w:val="center"/>
          </w:tcPr>
          <w:p w14:paraId="23D8F320">
            <w:pPr>
              <w:pStyle w:val="37"/>
              <w:adjustRightInd w:val="0"/>
              <w:rPr>
                <w:color w:val="auto"/>
                <w:highlight w:val="none"/>
              </w:rPr>
            </w:pPr>
            <w:r>
              <w:rPr>
                <w:color w:val="auto"/>
                <w:highlight w:val="none"/>
              </w:rPr>
              <w:t>符合</w:t>
            </w:r>
          </w:p>
        </w:tc>
      </w:tr>
      <w:tr w14:paraId="6A94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26ECA627">
            <w:pPr>
              <w:pStyle w:val="37"/>
              <w:adjustRightInd w:val="0"/>
              <w:rPr>
                <w:color w:val="auto"/>
                <w:highlight w:val="none"/>
              </w:rPr>
            </w:pPr>
          </w:p>
        </w:tc>
        <w:tc>
          <w:tcPr>
            <w:tcW w:w="582" w:type="pct"/>
            <w:vMerge w:val="continue"/>
            <w:vAlign w:val="center"/>
          </w:tcPr>
          <w:p w14:paraId="5FAEFA29">
            <w:pPr>
              <w:pStyle w:val="37"/>
              <w:adjustRightInd w:val="0"/>
              <w:jc w:val="both"/>
              <w:rPr>
                <w:color w:val="auto"/>
                <w:highlight w:val="none"/>
              </w:rPr>
            </w:pPr>
          </w:p>
        </w:tc>
        <w:tc>
          <w:tcPr>
            <w:tcW w:w="1757" w:type="pct"/>
            <w:vAlign w:val="center"/>
          </w:tcPr>
          <w:p w14:paraId="56BFE87C">
            <w:pPr>
              <w:pStyle w:val="37"/>
              <w:adjustRightInd w:val="0"/>
              <w:jc w:val="both"/>
              <w:rPr>
                <w:color w:val="auto"/>
                <w:highlight w:val="none"/>
              </w:rPr>
            </w:pPr>
            <w:r>
              <w:rPr>
                <w:color w:val="auto"/>
                <w:highlight w:val="none"/>
              </w:rPr>
              <w:t>①在饮用水水源一级保护区内，禁止新建、改建、扩建与供水设施和保护水源无关的建设项目。</w:t>
            </w:r>
          </w:p>
          <w:p w14:paraId="1B46C4FA">
            <w:pPr>
              <w:pStyle w:val="37"/>
              <w:adjustRightInd w:val="0"/>
              <w:jc w:val="both"/>
              <w:rPr>
                <w:color w:val="auto"/>
                <w:highlight w:val="none"/>
              </w:rPr>
            </w:pPr>
            <w:r>
              <w:rPr>
                <w:color w:val="auto"/>
                <w:highlight w:val="none"/>
              </w:rPr>
              <w:t>②在地表水饮用水水源保护区内，禁止设置排污口。</w:t>
            </w:r>
          </w:p>
        </w:tc>
        <w:tc>
          <w:tcPr>
            <w:tcW w:w="1701" w:type="pct"/>
            <w:vAlign w:val="center"/>
          </w:tcPr>
          <w:p w14:paraId="04FF5BD4">
            <w:pPr>
              <w:pStyle w:val="37"/>
              <w:adjustRightInd w:val="0"/>
              <w:rPr>
                <w:color w:val="auto"/>
                <w:highlight w:val="none"/>
              </w:rPr>
            </w:pPr>
            <w:r>
              <w:rPr>
                <w:color w:val="auto"/>
                <w:highlight w:val="none"/>
              </w:rPr>
              <w:t>本项目不涉及大渡河岸线保护区</w:t>
            </w:r>
          </w:p>
        </w:tc>
        <w:tc>
          <w:tcPr>
            <w:tcW w:w="468" w:type="pct"/>
            <w:vAlign w:val="center"/>
          </w:tcPr>
          <w:p w14:paraId="53727F8C">
            <w:pPr>
              <w:pStyle w:val="37"/>
              <w:adjustRightInd w:val="0"/>
              <w:rPr>
                <w:color w:val="auto"/>
                <w:highlight w:val="none"/>
              </w:rPr>
            </w:pPr>
            <w:r>
              <w:rPr>
                <w:color w:val="auto"/>
                <w:highlight w:val="none"/>
              </w:rPr>
              <w:t>符合</w:t>
            </w:r>
          </w:p>
        </w:tc>
      </w:tr>
      <w:tr w14:paraId="1364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4CA31C65">
            <w:pPr>
              <w:pStyle w:val="37"/>
              <w:adjustRightInd w:val="0"/>
              <w:rPr>
                <w:color w:val="auto"/>
                <w:highlight w:val="none"/>
              </w:rPr>
            </w:pPr>
          </w:p>
        </w:tc>
        <w:tc>
          <w:tcPr>
            <w:tcW w:w="582" w:type="pct"/>
            <w:vMerge w:val="continue"/>
            <w:vAlign w:val="center"/>
          </w:tcPr>
          <w:p w14:paraId="28851B92">
            <w:pPr>
              <w:pStyle w:val="37"/>
              <w:adjustRightInd w:val="0"/>
              <w:jc w:val="both"/>
              <w:rPr>
                <w:color w:val="auto"/>
                <w:highlight w:val="none"/>
              </w:rPr>
            </w:pPr>
          </w:p>
        </w:tc>
        <w:tc>
          <w:tcPr>
            <w:tcW w:w="1757" w:type="pct"/>
            <w:vAlign w:val="center"/>
          </w:tcPr>
          <w:p w14:paraId="157F7174">
            <w:pPr>
              <w:pStyle w:val="37"/>
              <w:adjustRightInd w:val="0"/>
              <w:jc w:val="both"/>
              <w:rPr>
                <w:color w:val="auto"/>
                <w:highlight w:val="none"/>
              </w:rPr>
            </w:pPr>
            <w:r>
              <w:rPr>
                <w:color w:val="auto"/>
                <w:highlight w:val="none"/>
              </w:rPr>
              <w:t>①在自然保护区核心区、缓冲区内的岸线保护区，不得建设任何生产设施。（根据自然资函〔2020〕71号，原核心区和原缓冲区转为核心保护区）</w:t>
            </w:r>
          </w:p>
          <w:p w14:paraId="55303892">
            <w:pPr>
              <w:pStyle w:val="37"/>
              <w:adjustRightInd w:val="0"/>
              <w:jc w:val="both"/>
              <w:rPr>
                <w:color w:val="auto"/>
                <w:highlight w:val="none"/>
              </w:rPr>
            </w:pPr>
            <w:r>
              <w:rPr>
                <w:color w:val="auto"/>
                <w:highlight w:val="none"/>
              </w:rPr>
              <w:t>②在风景名胜区核心景区内的岸线保护区，禁止违反规划设立各类开发区和建设宾馆、招待所、培训中心、疗养院以及与风景名胜资源保护无关的其它建筑物；已经建设的，应当按照风景名胜区规划，逐步迁出。</w:t>
            </w:r>
          </w:p>
          <w:p w14:paraId="35F7132E">
            <w:pPr>
              <w:pStyle w:val="37"/>
              <w:adjustRightInd w:val="0"/>
              <w:jc w:val="both"/>
              <w:rPr>
                <w:color w:val="auto"/>
                <w:highlight w:val="none"/>
              </w:rPr>
            </w:pPr>
            <w:r>
              <w:rPr>
                <w:color w:val="auto"/>
                <w:highlight w:val="none"/>
              </w:rPr>
              <w:t>③在各类自然保护地的岸线保护区，禁止建设与相应法律法规不符的项目。</w:t>
            </w:r>
          </w:p>
        </w:tc>
        <w:tc>
          <w:tcPr>
            <w:tcW w:w="1701" w:type="pct"/>
            <w:vAlign w:val="center"/>
          </w:tcPr>
          <w:p w14:paraId="62A792E4">
            <w:pPr>
              <w:pStyle w:val="37"/>
              <w:adjustRightInd w:val="0"/>
              <w:rPr>
                <w:color w:val="auto"/>
                <w:highlight w:val="none"/>
              </w:rPr>
            </w:pPr>
            <w:r>
              <w:rPr>
                <w:color w:val="auto"/>
                <w:highlight w:val="none"/>
              </w:rPr>
              <w:t>本项目不涉及大渡河岸线保护区</w:t>
            </w:r>
          </w:p>
        </w:tc>
        <w:tc>
          <w:tcPr>
            <w:tcW w:w="468" w:type="pct"/>
            <w:vAlign w:val="center"/>
          </w:tcPr>
          <w:p w14:paraId="51BB2419">
            <w:pPr>
              <w:pStyle w:val="37"/>
              <w:adjustRightInd w:val="0"/>
              <w:rPr>
                <w:color w:val="auto"/>
                <w:highlight w:val="none"/>
              </w:rPr>
            </w:pPr>
            <w:r>
              <w:rPr>
                <w:color w:val="auto"/>
                <w:highlight w:val="none"/>
              </w:rPr>
              <w:t>符合</w:t>
            </w:r>
          </w:p>
        </w:tc>
      </w:tr>
      <w:tr w14:paraId="5BD25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16C69CDE">
            <w:pPr>
              <w:pStyle w:val="37"/>
              <w:adjustRightInd w:val="0"/>
              <w:rPr>
                <w:color w:val="auto"/>
                <w:highlight w:val="none"/>
              </w:rPr>
            </w:pPr>
          </w:p>
        </w:tc>
        <w:tc>
          <w:tcPr>
            <w:tcW w:w="582" w:type="pct"/>
            <w:vMerge w:val="continue"/>
            <w:vAlign w:val="center"/>
          </w:tcPr>
          <w:p w14:paraId="5C7CB6EE">
            <w:pPr>
              <w:pStyle w:val="37"/>
              <w:adjustRightInd w:val="0"/>
              <w:jc w:val="both"/>
              <w:rPr>
                <w:color w:val="auto"/>
                <w:highlight w:val="none"/>
              </w:rPr>
            </w:pPr>
          </w:p>
        </w:tc>
        <w:tc>
          <w:tcPr>
            <w:tcW w:w="1757" w:type="pct"/>
            <w:vAlign w:val="center"/>
          </w:tcPr>
          <w:p w14:paraId="3782B0D6">
            <w:pPr>
              <w:pStyle w:val="37"/>
              <w:adjustRightInd w:val="0"/>
              <w:jc w:val="both"/>
              <w:rPr>
                <w:color w:val="auto"/>
                <w:highlight w:val="none"/>
              </w:rPr>
            </w:pPr>
            <w:r>
              <w:rPr>
                <w:color w:val="auto"/>
                <w:highlight w:val="none"/>
              </w:rPr>
              <w:t>按照《生态保护红线管理办法》以及《关于在国土空间规划中统筹划定落实三条控制线的指导意见》有关要求对岸线的开发利用活动进行管控。生态红线内自然保护地核心保护区原则上按禁止人类活动的要求进行管理。</w:t>
            </w:r>
          </w:p>
        </w:tc>
        <w:tc>
          <w:tcPr>
            <w:tcW w:w="1701" w:type="pct"/>
            <w:vAlign w:val="center"/>
          </w:tcPr>
          <w:p w14:paraId="2BC6DC8F">
            <w:pPr>
              <w:pStyle w:val="37"/>
              <w:adjustRightInd w:val="0"/>
              <w:rPr>
                <w:color w:val="auto"/>
                <w:highlight w:val="none"/>
              </w:rPr>
            </w:pPr>
            <w:r>
              <w:rPr>
                <w:color w:val="auto"/>
                <w:highlight w:val="none"/>
              </w:rPr>
              <w:t>本项目不涉及大渡河岸线保护区</w:t>
            </w:r>
          </w:p>
        </w:tc>
        <w:tc>
          <w:tcPr>
            <w:tcW w:w="468" w:type="pct"/>
            <w:vAlign w:val="center"/>
          </w:tcPr>
          <w:p w14:paraId="07081320">
            <w:pPr>
              <w:pStyle w:val="37"/>
              <w:adjustRightInd w:val="0"/>
              <w:rPr>
                <w:color w:val="auto"/>
                <w:highlight w:val="none"/>
              </w:rPr>
            </w:pPr>
            <w:r>
              <w:rPr>
                <w:color w:val="auto"/>
                <w:highlight w:val="none"/>
              </w:rPr>
              <w:t>符合</w:t>
            </w:r>
          </w:p>
        </w:tc>
      </w:tr>
      <w:tr w14:paraId="4C2BA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2F4B0026">
            <w:pPr>
              <w:pStyle w:val="37"/>
              <w:adjustRightInd w:val="0"/>
              <w:rPr>
                <w:color w:val="auto"/>
                <w:highlight w:val="none"/>
              </w:rPr>
            </w:pPr>
          </w:p>
        </w:tc>
        <w:tc>
          <w:tcPr>
            <w:tcW w:w="582" w:type="pct"/>
            <w:vMerge w:val="restart"/>
            <w:vAlign w:val="center"/>
          </w:tcPr>
          <w:p w14:paraId="6B517623">
            <w:pPr>
              <w:pStyle w:val="37"/>
              <w:adjustRightInd w:val="0"/>
              <w:jc w:val="both"/>
              <w:rPr>
                <w:color w:val="auto"/>
                <w:highlight w:val="none"/>
              </w:rPr>
            </w:pPr>
            <w:r>
              <w:rPr>
                <w:color w:val="auto"/>
                <w:highlight w:val="none"/>
              </w:rPr>
              <w:t>岸线保留区</w:t>
            </w:r>
          </w:p>
        </w:tc>
        <w:tc>
          <w:tcPr>
            <w:tcW w:w="1757" w:type="pct"/>
            <w:vAlign w:val="center"/>
          </w:tcPr>
          <w:p w14:paraId="2F2E0FBB">
            <w:pPr>
              <w:pStyle w:val="37"/>
              <w:adjustRightInd w:val="0"/>
              <w:jc w:val="both"/>
              <w:rPr>
                <w:color w:val="auto"/>
                <w:highlight w:val="none"/>
              </w:rPr>
            </w:pPr>
            <w:r>
              <w:rPr>
                <w:color w:val="auto"/>
                <w:highlight w:val="none"/>
              </w:rPr>
              <w:t>对河势变化剧烈的河段，规划期内暂不开发利用。</w:t>
            </w:r>
          </w:p>
        </w:tc>
        <w:tc>
          <w:tcPr>
            <w:tcW w:w="1701" w:type="pct"/>
            <w:vAlign w:val="center"/>
          </w:tcPr>
          <w:p w14:paraId="151E4BE2">
            <w:pPr>
              <w:pStyle w:val="37"/>
              <w:adjustRightInd w:val="0"/>
              <w:rPr>
                <w:color w:val="auto"/>
                <w:highlight w:val="none"/>
              </w:rPr>
            </w:pPr>
            <w:r>
              <w:rPr>
                <w:color w:val="auto"/>
                <w:highlight w:val="none"/>
              </w:rPr>
              <w:t>本项目不涉及大渡河岸线保留区</w:t>
            </w:r>
          </w:p>
        </w:tc>
        <w:tc>
          <w:tcPr>
            <w:tcW w:w="468" w:type="pct"/>
            <w:vAlign w:val="center"/>
          </w:tcPr>
          <w:p w14:paraId="4651D380">
            <w:pPr>
              <w:pStyle w:val="37"/>
              <w:adjustRightInd w:val="0"/>
              <w:rPr>
                <w:color w:val="auto"/>
                <w:highlight w:val="none"/>
              </w:rPr>
            </w:pPr>
            <w:r>
              <w:rPr>
                <w:color w:val="auto"/>
                <w:highlight w:val="none"/>
              </w:rPr>
              <w:t>符合</w:t>
            </w:r>
          </w:p>
        </w:tc>
      </w:tr>
      <w:tr w14:paraId="27F42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4234B6D0">
            <w:pPr>
              <w:pStyle w:val="37"/>
              <w:adjustRightInd w:val="0"/>
              <w:rPr>
                <w:color w:val="auto"/>
                <w:highlight w:val="none"/>
              </w:rPr>
            </w:pPr>
          </w:p>
        </w:tc>
        <w:tc>
          <w:tcPr>
            <w:tcW w:w="582" w:type="pct"/>
            <w:vMerge w:val="continue"/>
            <w:vAlign w:val="center"/>
          </w:tcPr>
          <w:p w14:paraId="7B562665">
            <w:pPr>
              <w:pStyle w:val="37"/>
              <w:adjustRightInd w:val="0"/>
              <w:jc w:val="both"/>
              <w:rPr>
                <w:color w:val="auto"/>
                <w:highlight w:val="none"/>
              </w:rPr>
            </w:pPr>
          </w:p>
        </w:tc>
        <w:tc>
          <w:tcPr>
            <w:tcW w:w="1757" w:type="pct"/>
            <w:vAlign w:val="center"/>
          </w:tcPr>
          <w:p w14:paraId="330BF2EB">
            <w:pPr>
              <w:pStyle w:val="37"/>
              <w:adjustRightInd w:val="0"/>
              <w:jc w:val="both"/>
              <w:rPr>
                <w:color w:val="auto"/>
                <w:highlight w:val="none"/>
              </w:rPr>
            </w:pPr>
            <w:r>
              <w:rPr>
                <w:color w:val="auto"/>
                <w:highlight w:val="none"/>
              </w:rPr>
              <w:t>保留区内涉及国家级和省级自然保护区的实验区、水产种质资源保护区、国际重要湿地、国家重要湿地以及国家湿地公园、森林公园生态保育区和核心景区、地质公园地质遗迹保护区、世界自然遗产核心区和缓冲区等生态敏感区，但未纳入生态保护红线范围内的，禁止建设与各区相应法律法规不符合的项目。</w:t>
            </w:r>
          </w:p>
        </w:tc>
        <w:tc>
          <w:tcPr>
            <w:tcW w:w="1701" w:type="pct"/>
            <w:vAlign w:val="center"/>
          </w:tcPr>
          <w:p w14:paraId="6C72EF85">
            <w:pPr>
              <w:pStyle w:val="37"/>
              <w:adjustRightInd w:val="0"/>
              <w:rPr>
                <w:color w:val="auto"/>
                <w:highlight w:val="none"/>
              </w:rPr>
            </w:pPr>
            <w:r>
              <w:rPr>
                <w:color w:val="auto"/>
                <w:highlight w:val="none"/>
              </w:rPr>
              <w:t>本项目不涉及大渡河岸线保留区</w:t>
            </w:r>
          </w:p>
        </w:tc>
        <w:tc>
          <w:tcPr>
            <w:tcW w:w="468" w:type="pct"/>
            <w:vAlign w:val="center"/>
          </w:tcPr>
          <w:p w14:paraId="105BAC78">
            <w:pPr>
              <w:pStyle w:val="37"/>
              <w:adjustRightInd w:val="0"/>
              <w:rPr>
                <w:color w:val="auto"/>
                <w:highlight w:val="none"/>
              </w:rPr>
            </w:pPr>
            <w:r>
              <w:rPr>
                <w:color w:val="auto"/>
                <w:highlight w:val="none"/>
              </w:rPr>
              <w:t>符合</w:t>
            </w:r>
          </w:p>
        </w:tc>
      </w:tr>
      <w:tr w14:paraId="23A3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5BB533C3">
            <w:pPr>
              <w:pStyle w:val="37"/>
              <w:adjustRightInd w:val="0"/>
              <w:rPr>
                <w:color w:val="auto"/>
                <w:highlight w:val="none"/>
              </w:rPr>
            </w:pPr>
          </w:p>
        </w:tc>
        <w:tc>
          <w:tcPr>
            <w:tcW w:w="582" w:type="pct"/>
            <w:vMerge w:val="continue"/>
            <w:vAlign w:val="center"/>
          </w:tcPr>
          <w:p w14:paraId="518FB600">
            <w:pPr>
              <w:pStyle w:val="37"/>
              <w:adjustRightInd w:val="0"/>
              <w:jc w:val="both"/>
              <w:rPr>
                <w:color w:val="auto"/>
                <w:highlight w:val="none"/>
              </w:rPr>
            </w:pPr>
          </w:p>
        </w:tc>
        <w:tc>
          <w:tcPr>
            <w:tcW w:w="1757" w:type="pct"/>
            <w:vAlign w:val="center"/>
          </w:tcPr>
          <w:p w14:paraId="11460900">
            <w:pPr>
              <w:pStyle w:val="37"/>
              <w:adjustRightInd w:val="0"/>
              <w:jc w:val="both"/>
              <w:rPr>
                <w:color w:val="auto"/>
                <w:highlight w:val="none"/>
              </w:rPr>
            </w:pPr>
            <w:r>
              <w:rPr>
                <w:color w:val="auto"/>
                <w:highlight w:val="none"/>
              </w:rPr>
              <w:t>为规划工程预留的岸线保留区，因经济社会发展需要，确需开展的重要基础设施建设，须充分论证，在不影响规划工程未来建设、以及防洪、供水、生态安全的前提下，按相关法律法规要求履行河道内建设项目相关审批程序。</w:t>
            </w:r>
          </w:p>
        </w:tc>
        <w:tc>
          <w:tcPr>
            <w:tcW w:w="1701" w:type="pct"/>
            <w:vAlign w:val="center"/>
          </w:tcPr>
          <w:p w14:paraId="46D40729">
            <w:pPr>
              <w:pStyle w:val="37"/>
              <w:adjustRightInd w:val="0"/>
              <w:rPr>
                <w:color w:val="auto"/>
                <w:highlight w:val="none"/>
              </w:rPr>
            </w:pPr>
            <w:r>
              <w:rPr>
                <w:color w:val="auto"/>
                <w:highlight w:val="none"/>
              </w:rPr>
              <w:t>本项目不涉及大渡河岸线保留区</w:t>
            </w:r>
          </w:p>
        </w:tc>
        <w:tc>
          <w:tcPr>
            <w:tcW w:w="468" w:type="pct"/>
            <w:vAlign w:val="center"/>
          </w:tcPr>
          <w:p w14:paraId="4F2398A5">
            <w:pPr>
              <w:pStyle w:val="37"/>
              <w:adjustRightInd w:val="0"/>
              <w:rPr>
                <w:color w:val="auto"/>
                <w:highlight w:val="none"/>
              </w:rPr>
            </w:pPr>
            <w:r>
              <w:rPr>
                <w:color w:val="auto"/>
                <w:highlight w:val="none"/>
              </w:rPr>
              <w:t>符合</w:t>
            </w:r>
          </w:p>
        </w:tc>
      </w:tr>
      <w:tr w14:paraId="228A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5D6BCDB9">
            <w:pPr>
              <w:pStyle w:val="37"/>
              <w:adjustRightInd w:val="0"/>
              <w:rPr>
                <w:color w:val="auto"/>
                <w:highlight w:val="none"/>
              </w:rPr>
            </w:pPr>
          </w:p>
        </w:tc>
        <w:tc>
          <w:tcPr>
            <w:tcW w:w="582" w:type="pct"/>
            <w:vMerge w:val="continue"/>
            <w:vAlign w:val="center"/>
          </w:tcPr>
          <w:p w14:paraId="0BC024A0">
            <w:pPr>
              <w:pStyle w:val="37"/>
              <w:adjustRightInd w:val="0"/>
              <w:jc w:val="both"/>
              <w:rPr>
                <w:color w:val="auto"/>
                <w:highlight w:val="none"/>
              </w:rPr>
            </w:pPr>
          </w:p>
        </w:tc>
        <w:tc>
          <w:tcPr>
            <w:tcW w:w="1757" w:type="pct"/>
            <w:vAlign w:val="center"/>
          </w:tcPr>
          <w:p w14:paraId="6549CF9C">
            <w:pPr>
              <w:pStyle w:val="37"/>
              <w:adjustRightInd w:val="0"/>
              <w:jc w:val="both"/>
              <w:rPr>
                <w:color w:val="auto"/>
                <w:highlight w:val="none"/>
              </w:rPr>
            </w:pPr>
            <w:r>
              <w:rPr>
                <w:color w:val="auto"/>
                <w:highlight w:val="none"/>
              </w:rPr>
              <w:t>为满足生活生态岸线开发需要划定的岸线保留区，除建设生态公园、江滩风光带等项目外，不得建设其他生产设施。</w:t>
            </w:r>
          </w:p>
        </w:tc>
        <w:tc>
          <w:tcPr>
            <w:tcW w:w="1701" w:type="pct"/>
            <w:vAlign w:val="center"/>
          </w:tcPr>
          <w:p w14:paraId="5BAE8A6F">
            <w:pPr>
              <w:pStyle w:val="37"/>
              <w:adjustRightInd w:val="0"/>
              <w:rPr>
                <w:color w:val="auto"/>
                <w:highlight w:val="none"/>
              </w:rPr>
            </w:pPr>
            <w:r>
              <w:rPr>
                <w:color w:val="auto"/>
                <w:highlight w:val="none"/>
              </w:rPr>
              <w:t>本项目不涉及大渡河岸线保留区</w:t>
            </w:r>
          </w:p>
        </w:tc>
        <w:tc>
          <w:tcPr>
            <w:tcW w:w="468" w:type="pct"/>
            <w:vAlign w:val="center"/>
          </w:tcPr>
          <w:p w14:paraId="52019A57">
            <w:pPr>
              <w:pStyle w:val="37"/>
              <w:adjustRightInd w:val="0"/>
              <w:rPr>
                <w:color w:val="auto"/>
                <w:highlight w:val="none"/>
              </w:rPr>
            </w:pPr>
            <w:r>
              <w:rPr>
                <w:color w:val="auto"/>
                <w:highlight w:val="none"/>
              </w:rPr>
              <w:t>符合</w:t>
            </w:r>
          </w:p>
        </w:tc>
      </w:tr>
      <w:tr w14:paraId="6EC1A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462DA56D">
            <w:pPr>
              <w:pStyle w:val="37"/>
              <w:adjustRightInd w:val="0"/>
              <w:rPr>
                <w:color w:val="auto"/>
                <w:highlight w:val="none"/>
              </w:rPr>
            </w:pPr>
          </w:p>
        </w:tc>
        <w:tc>
          <w:tcPr>
            <w:tcW w:w="582" w:type="pct"/>
            <w:vMerge w:val="continue"/>
            <w:vAlign w:val="center"/>
          </w:tcPr>
          <w:p w14:paraId="60302814">
            <w:pPr>
              <w:pStyle w:val="37"/>
              <w:adjustRightInd w:val="0"/>
              <w:jc w:val="both"/>
              <w:rPr>
                <w:color w:val="auto"/>
                <w:highlight w:val="none"/>
              </w:rPr>
            </w:pPr>
          </w:p>
        </w:tc>
        <w:tc>
          <w:tcPr>
            <w:tcW w:w="1757" w:type="pct"/>
            <w:vAlign w:val="center"/>
          </w:tcPr>
          <w:p w14:paraId="327E6D2B">
            <w:pPr>
              <w:pStyle w:val="37"/>
              <w:adjustRightInd w:val="0"/>
              <w:jc w:val="both"/>
              <w:rPr>
                <w:color w:val="auto"/>
                <w:highlight w:val="none"/>
              </w:rPr>
            </w:pPr>
            <w:r>
              <w:rPr>
                <w:color w:val="auto"/>
                <w:highlight w:val="none"/>
              </w:rPr>
              <w:t>对虽具备开发利用条件，但现状经济社会发展水平相对较低，暂无开发利用需求的岸段，今后因经济社会发展确需开发利用的，经充分论证并按照法律法规要求履行相关审批程序后，可根据所在河段实际情况并参照岸线控制利用区或开发利用区管控要求进行管理。</w:t>
            </w:r>
          </w:p>
        </w:tc>
        <w:tc>
          <w:tcPr>
            <w:tcW w:w="1701" w:type="pct"/>
            <w:vAlign w:val="center"/>
          </w:tcPr>
          <w:p w14:paraId="372EE5A9">
            <w:pPr>
              <w:pStyle w:val="37"/>
              <w:adjustRightInd w:val="0"/>
              <w:rPr>
                <w:color w:val="auto"/>
                <w:highlight w:val="none"/>
              </w:rPr>
            </w:pPr>
            <w:r>
              <w:rPr>
                <w:color w:val="auto"/>
                <w:highlight w:val="none"/>
              </w:rPr>
              <w:t>本项目不涉及大渡河岸线保留区</w:t>
            </w:r>
          </w:p>
        </w:tc>
        <w:tc>
          <w:tcPr>
            <w:tcW w:w="468" w:type="pct"/>
            <w:vAlign w:val="center"/>
          </w:tcPr>
          <w:p w14:paraId="1D2D5279">
            <w:pPr>
              <w:pStyle w:val="37"/>
              <w:adjustRightInd w:val="0"/>
              <w:rPr>
                <w:color w:val="auto"/>
                <w:highlight w:val="none"/>
              </w:rPr>
            </w:pPr>
            <w:r>
              <w:rPr>
                <w:color w:val="auto"/>
                <w:highlight w:val="none"/>
              </w:rPr>
              <w:t>符合</w:t>
            </w:r>
          </w:p>
        </w:tc>
      </w:tr>
      <w:tr w14:paraId="70205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169AE527">
            <w:pPr>
              <w:pStyle w:val="37"/>
              <w:adjustRightInd w:val="0"/>
              <w:rPr>
                <w:color w:val="auto"/>
                <w:highlight w:val="none"/>
              </w:rPr>
            </w:pPr>
          </w:p>
        </w:tc>
        <w:tc>
          <w:tcPr>
            <w:tcW w:w="582" w:type="pct"/>
            <w:vMerge w:val="restart"/>
            <w:vAlign w:val="center"/>
          </w:tcPr>
          <w:p w14:paraId="4F55C2F0">
            <w:pPr>
              <w:pStyle w:val="37"/>
              <w:adjustRightInd w:val="0"/>
              <w:jc w:val="both"/>
              <w:rPr>
                <w:color w:val="auto"/>
                <w:highlight w:val="none"/>
              </w:rPr>
            </w:pPr>
            <w:r>
              <w:rPr>
                <w:color w:val="auto"/>
                <w:highlight w:val="none"/>
              </w:rPr>
              <w:t>岸线控制利用区</w:t>
            </w:r>
          </w:p>
        </w:tc>
        <w:tc>
          <w:tcPr>
            <w:tcW w:w="1757" w:type="pct"/>
            <w:vAlign w:val="center"/>
          </w:tcPr>
          <w:p w14:paraId="28244CC0">
            <w:pPr>
              <w:pStyle w:val="37"/>
              <w:adjustRightInd w:val="0"/>
              <w:jc w:val="both"/>
              <w:rPr>
                <w:color w:val="auto"/>
                <w:highlight w:val="none"/>
              </w:rPr>
            </w:pPr>
            <w:r>
              <w:rPr>
                <w:color w:val="auto"/>
                <w:highlight w:val="none"/>
              </w:rPr>
              <w:t>严格控制新增开发利用项目的数量和类型，应按照国土、城市、水利、交通等相关规划，合理控制整体开发规模和强度，新建和改扩建项目必须严格论证，不得加大对防洪安全、河势稳定、供水安全、航道稳定的累计不利影响。</w:t>
            </w:r>
          </w:p>
        </w:tc>
        <w:tc>
          <w:tcPr>
            <w:tcW w:w="1701" w:type="pct"/>
            <w:vAlign w:val="center"/>
          </w:tcPr>
          <w:p w14:paraId="13A13A3E">
            <w:pPr>
              <w:pStyle w:val="37"/>
              <w:adjustRightInd w:val="0"/>
              <w:rPr>
                <w:color w:val="auto"/>
                <w:highlight w:val="none"/>
              </w:rPr>
            </w:pPr>
            <w:r>
              <w:rPr>
                <w:color w:val="auto"/>
                <w:highlight w:val="none"/>
              </w:rPr>
              <w:t>本项目不涉及大渡河岸线控制利用区</w:t>
            </w:r>
          </w:p>
        </w:tc>
        <w:tc>
          <w:tcPr>
            <w:tcW w:w="468" w:type="pct"/>
            <w:vAlign w:val="center"/>
          </w:tcPr>
          <w:p w14:paraId="2B4423DB">
            <w:pPr>
              <w:pStyle w:val="37"/>
              <w:adjustRightInd w:val="0"/>
              <w:rPr>
                <w:color w:val="auto"/>
                <w:highlight w:val="none"/>
              </w:rPr>
            </w:pPr>
            <w:r>
              <w:rPr>
                <w:color w:val="auto"/>
                <w:highlight w:val="none"/>
              </w:rPr>
              <w:t>符合</w:t>
            </w:r>
          </w:p>
        </w:tc>
      </w:tr>
      <w:tr w14:paraId="047E0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24F8B9E7">
            <w:pPr>
              <w:pStyle w:val="37"/>
              <w:adjustRightInd w:val="0"/>
              <w:rPr>
                <w:color w:val="auto"/>
                <w:highlight w:val="none"/>
              </w:rPr>
            </w:pPr>
          </w:p>
        </w:tc>
        <w:tc>
          <w:tcPr>
            <w:tcW w:w="582" w:type="pct"/>
            <w:vMerge w:val="continue"/>
            <w:vAlign w:val="center"/>
          </w:tcPr>
          <w:p w14:paraId="7500917B">
            <w:pPr>
              <w:pStyle w:val="37"/>
              <w:adjustRightInd w:val="0"/>
              <w:jc w:val="both"/>
              <w:rPr>
                <w:color w:val="auto"/>
                <w:highlight w:val="none"/>
              </w:rPr>
            </w:pPr>
          </w:p>
        </w:tc>
        <w:tc>
          <w:tcPr>
            <w:tcW w:w="1757" w:type="pct"/>
            <w:vAlign w:val="center"/>
          </w:tcPr>
          <w:p w14:paraId="31DA0F39">
            <w:pPr>
              <w:pStyle w:val="37"/>
              <w:adjustRightInd w:val="0"/>
              <w:jc w:val="both"/>
              <w:rPr>
                <w:color w:val="auto"/>
                <w:highlight w:val="none"/>
              </w:rPr>
            </w:pPr>
            <w:r>
              <w:rPr>
                <w:color w:val="auto"/>
                <w:highlight w:val="none"/>
              </w:rPr>
              <w:t>严格控制项目类型和开发利用方式，不得加剧险情或影响今后险工险段治理，不得违反生态敏感区特定保护目标。</w:t>
            </w:r>
          </w:p>
        </w:tc>
        <w:tc>
          <w:tcPr>
            <w:tcW w:w="1701" w:type="pct"/>
            <w:vAlign w:val="center"/>
          </w:tcPr>
          <w:p w14:paraId="1586DB25">
            <w:pPr>
              <w:pStyle w:val="37"/>
              <w:adjustRightInd w:val="0"/>
              <w:rPr>
                <w:color w:val="auto"/>
                <w:highlight w:val="none"/>
              </w:rPr>
            </w:pPr>
            <w:r>
              <w:rPr>
                <w:color w:val="auto"/>
                <w:highlight w:val="none"/>
              </w:rPr>
              <w:t>本项目不涉及大渡河岸线控制利用区</w:t>
            </w:r>
          </w:p>
        </w:tc>
        <w:tc>
          <w:tcPr>
            <w:tcW w:w="468" w:type="pct"/>
            <w:vAlign w:val="center"/>
          </w:tcPr>
          <w:p w14:paraId="7191E152">
            <w:pPr>
              <w:pStyle w:val="37"/>
              <w:adjustRightInd w:val="0"/>
              <w:rPr>
                <w:color w:val="auto"/>
                <w:highlight w:val="none"/>
              </w:rPr>
            </w:pPr>
            <w:r>
              <w:rPr>
                <w:color w:val="auto"/>
                <w:highlight w:val="none"/>
              </w:rPr>
              <w:t>符合</w:t>
            </w:r>
          </w:p>
        </w:tc>
      </w:tr>
      <w:tr w14:paraId="7B33C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70E7DB24">
            <w:pPr>
              <w:pStyle w:val="37"/>
              <w:adjustRightInd w:val="0"/>
              <w:rPr>
                <w:color w:val="auto"/>
                <w:highlight w:val="none"/>
              </w:rPr>
            </w:pPr>
          </w:p>
        </w:tc>
        <w:tc>
          <w:tcPr>
            <w:tcW w:w="582" w:type="pct"/>
            <w:vMerge w:val="continue"/>
            <w:vAlign w:val="center"/>
          </w:tcPr>
          <w:p w14:paraId="09CEDD95">
            <w:pPr>
              <w:pStyle w:val="37"/>
              <w:adjustRightInd w:val="0"/>
              <w:jc w:val="both"/>
              <w:rPr>
                <w:color w:val="auto"/>
                <w:highlight w:val="none"/>
              </w:rPr>
            </w:pPr>
          </w:p>
        </w:tc>
        <w:tc>
          <w:tcPr>
            <w:tcW w:w="1757" w:type="pct"/>
            <w:vAlign w:val="center"/>
          </w:tcPr>
          <w:p w14:paraId="60174703">
            <w:pPr>
              <w:pStyle w:val="37"/>
              <w:adjustRightInd w:val="0"/>
              <w:jc w:val="both"/>
              <w:rPr>
                <w:color w:val="auto"/>
                <w:highlight w:val="none"/>
              </w:rPr>
            </w:pPr>
            <w:r>
              <w:rPr>
                <w:color w:val="auto"/>
                <w:highlight w:val="none"/>
              </w:rPr>
              <w:t>除建设生态公园、河滩风光带等社会公益性项目外，一般不得建设其他项目设施。</w:t>
            </w:r>
          </w:p>
        </w:tc>
        <w:tc>
          <w:tcPr>
            <w:tcW w:w="1701" w:type="pct"/>
            <w:vAlign w:val="center"/>
          </w:tcPr>
          <w:p w14:paraId="780C2C88">
            <w:pPr>
              <w:pStyle w:val="37"/>
              <w:adjustRightInd w:val="0"/>
              <w:rPr>
                <w:color w:val="auto"/>
                <w:highlight w:val="none"/>
              </w:rPr>
            </w:pPr>
            <w:r>
              <w:rPr>
                <w:color w:val="auto"/>
                <w:highlight w:val="none"/>
              </w:rPr>
              <w:t>本项目不涉及大渡河岸线控制利用区</w:t>
            </w:r>
          </w:p>
        </w:tc>
        <w:tc>
          <w:tcPr>
            <w:tcW w:w="468" w:type="pct"/>
            <w:vAlign w:val="center"/>
          </w:tcPr>
          <w:p w14:paraId="06155392">
            <w:pPr>
              <w:pStyle w:val="37"/>
              <w:adjustRightInd w:val="0"/>
              <w:rPr>
                <w:color w:val="auto"/>
                <w:highlight w:val="none"/>
              </w:rPr>
            </w:pPr>
            <w:r>
              <w:rPr>
                <w:color w:val="auto"/>
                <w:highlight w:val="none"/>
              </w:rPr>
              <w:t>符合</w:t>
            </w:r>
          </w:p>
        </w:tc>
      </w:tr>
      <w:tr w14:paraId="4221A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0D42AAE2">
            <w:pPr>
              <w:pStyle w:val="37"/>
              <w:adjustRightInd w:val="0"/>
              <w:rPr>
                <w:color w:val="auto"/>
                <w:highlight w:val="none"/>
              </w:rPr>
            </w:pPr>
          </w:p>
        </w:tc>
        <w:tc>
          <w:tcPr>
            <w:tcW w:w="582" w:type="pct"/>
            <w:vAlign w:val="center"/>
          </w:tcPr>
          <w:p w14:paraId="51A25E5E">
            <w:pPr>
              <w:pStyle w:val="37"/>
              <w:adjustRightInd w:val="0"/>
              <w:jc w:val="both"/>
              <w:rPr>
                <w:color w:val="auto"/>
                <w:highlight w:val="none"/>
              </w:rPr>
            </w:pPr>
            <w:r>
              <w:rPr>
                <w:color w:val="auto"/>
                <w:highlight w:val="none"/>
              </w:rPr>
              <w:t>岸线开发利用区</w:t>
            </w:r>
          </w:p>
        </w:tc>
        <w:tc>
          <w:tcPr>
            <w:tcW w:w="1757" w:type="pct"/>
            <w:vAlign w:val="center"/>
          </w:tcPr>
          <w:p w14:paraId="5D0B13D0">
            <w:pPr>
              <w:pStyle w:val="37"/>
              <w:adjustRightInd w:val="0"/>
              <w:jc w:val="both"/>
              <w:rPr>
                <w:color w:val="auto"/>
                <w:highlight w:val="none"/>
              </w:rPr>
            </w:pPr>
            <w:r>
              <w:rPr>
                <w:color w:val="auto"/>
                <w:highlight w:val="none"/>
              </w:rPr>
              <w:t>①符合《长江保护法》《水法》《防洪法》《环境保护法》《港口法》《航道法》《河道管理条例》等国家有关法律法规，在不影响防洪、航运安全、河势稳定、水生态环境的情况下，根据岸线保护要求和沿河（湖泊）地区经济社会发展的需要，依法依规履行水行政许可相关手续后，科学合理地开发利用。</w:t>
            </w:r>
          </w:p>
          <w:p w14:paraId="0D040056">
            <w:pPr>
              <w:pStyle w:val="37"/>
              <w:adjustRightInd w:val="0"/>
              <w:jc w:val="both"/>
              <w:rPr>
                <w:color w:val="auto"/>
                <w:highlight w:val="none"/>
              </w:rPr>
            </w:pPr>
            <w:r>
              <w:rPr>
                <w:color w:val="auto"/>
                <w:highlight w:val="none"/>
              </w:rPr>
              <w:t>②符合依法批准的省域城镇体系规划和城市总体规划，须统筹协调与流域综合规划，防洪规划，取水口、排污口及应急水源地布局规划，航运发展规划，港口规划等相关规划的关系，充分考虑与附近已有涉水工程间的相互影响，合理布局，按照</w:t>
            </w:r>
            <w:r>
              <w:rPr>
                <w:rFonts w:hint="eastAsia"/>
                <w:color w:val="auto"/>
                <w:highlight w:val="none"/>
              </w:rPr>
              <w:t>“</w:t>
            </w:r>
            <w:r>
              <w:rPr>
                <w:color w:val="auto"/>
                <w:highlight w:val="none"/>
              </w:rPr>
              <w:t>深水深用、浅水浅用</w:t>
            </w:r>
            <w:r>
              <w:rPr>
                <w:rFonts w:hint="eastAsia"/>
                <w:color w:val="auto"/>
                <w:highlight w:val="none"/>
              </w:rPr>
              <w:t>”</w:t>
            </w:r>
            <w:r>
              <w:rPr>
                <w:color w:val="auto"/>
                <w:highlight w:val="none"/>
              </w:rPr>
              <w:t>、</w:t>
            </w:r>
            <w:r>
              <w:rPr>
                <w:rFonts w:hint="eastAsia"/>
                <w:color w:val="auto"/>
                <w:highlight w:val="none"/>
              </w:rPr>
              <w:t>“</w:t>
            </w:r>
            <w:r>
              <w:rPr>
                <w:color w:val="auto"/>
                <w:highlight w:val="none"/>
              </w:rPr>
              <w:t>节约、集约利用</w:t>
            </w:r>
            <w:r>
              <w:rPr>
                <w:rFonts w:hint="eastAsia"/>
                <w:color w:val="auto"/>
                <w:highlight w:val="none"/>
              </w:rPr>
              <w:t>”</w:t>
            </w:r>
            <w:r>
              <w:rPr>
                <w:color w:val="auto"/>
                <w:highlight w:val="none"/>
              </w:rPr>
              <w:t>的原则，提高岸线资源利用效率，充分发挥岸线资源的综合效益。</w:t>
            </w:r>
          </w:p>
        </w:tc>
        <w:tc>
          <w:tcPr>
            <w:tcW w:w="1701" w:type="pct"/>
            <w:vAlign w:val="center"/>
          </w:tcPr>
          <w:p w14:paraId="6D8D9AB0">
            <w:pPr>
              <w:pStyle w:val="37"/>
              <w:adjustRightInd w:val="0"/>
              <w:rPr>
                <w:color w:val="auto"/>
                <w:highlight w:val="none"/>
              </w:rPr>
            </w:pPr>
            <w:r>
              <w:rPr>
                <w:color w:val="auto"/>
                <w:highlight w:val="none"/>
              </w:rPr>
              <w:t>本项目不涉及大渡河岸线开发利用区</w:t>
            </w:r>
          </w:p>
        </w:tc>
        <w:tc>
          <w:tcPr>
            <w:tcW w:w="468" w:type="pct"/>
            <w:vAlign w:val="center"/>
          </w:tcPr>
          <w:p w14:paraId="6C743BA9">
            <w:pPr>
              <w:pStyle w:val="37"/>
              <w:adjustRightInd w:val="0"/>
              <w:rPr>
                <w:color w:val="auto"/>
                <w:highlight w:val="none"/>
              </w:rPr>
            </w:pPr>
            <w:r>
              <w:rPr>
                <w:color w:val="auto"/>
                <w:highlight w:val="none"/>
              </w:rPr>
              <w:t>符合</w:t>
            </w:r>
          </w:p>
        </w:tc>
      </w:tr>
    </w:tbl>
    <w:p w14:paraId="202867E3">
      <w:pPr>
        <w:adjustRightInd w:val="0"/>
        <w:ind w:firstLine="480"/>
        <w:rPr>
          <w:rFonts w:cs="Times New Roman"/>
          <w:color w:val="auto"/>
          <w:highlight w:val="none"/>
        </w:rPr>
      </w:pPr>
      <w:r>
        <w:rPr>
          <w:rFonts w:cs="Times New Roman"/>
          <w:color w:val="auto"/>
          <w:highlight w:val="none"/>
        </w:rPr>
        <w:t>（3）与土壤污染防治相关规划及方案的符合性分析</w:t>
      </w:r>
    </w:p>
    <w:p w14:paraId="4926433C">
      <w:pPr>
        <w:adjustRightInd w:val="0"/>
        <w:ind w:firstLine="480"/>
        <w:rPr>
          <w:rFonts w:cs="Times New Roman"/>
          <w:color w:val="auto"/>
          <w:highlight w:val="none"/>
        </w:rPr>
      </w:pPr>
      <w:r>
        <w:rPr>
          <w:rFonts w:cs="Times New Roman"/>
          <w:color w:val="auto"/>
          <w:highlight w:val="none"/>
        </w:rPr>
        <w:t>本项目与现行污染防治政策及规划相关要求的符合性如下。</w:t>
      </w:r>
    </w:p>
    <w:p w14:paraId="5BEE317B">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19</w:t>
      </w:r>
      <w:r>
        <w:rPr>
          <w:rFonts w:cs="Times New Roman"/>
          <w:color w:val="auto"/>
          <w:highlight w:val="none"/>
        </w:rPr>
        <w:fldChar w:fldCharType="end"/>
      </w:r>
      <w:r>
        <w:rPr>
          <w:rFonts w:cs="Times New Roman"/>
          <w:color w:val="auto"/>
          <w:highlight w:val="none"/>
        </w:rPr>
        <w:t>本项目与污染防治相关政策符合性</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984"/>
        <w:gridCol w:w="2898"/>
        <w:gridCol w:w="797"/>
      </w:tblGrid>
      <w:tr w14:paraId="3814C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 w:type="pct"/>
            <w:vAlign w:val="center"/>
          </w:tcPr>
          <w:p w14:paraId="5BED2FF9">
            <w:pPr>
              <w:pStyle w:val="37"/>
              <w:adjustRightInd w:val="0"/>
              <w:rPr>
                <w:b/>
                <w:bCs/>
                <w:color w:val="auto"/>
                <w:highlight w:val="none"/>
              </w:rPr>
            </w:pPr>
            <w:r>
              <w:rPr>
                <w:b/>
                <w:bCs/>
                <w:color w:val="auto"/>
                <w:highlight w:val="none"/>
              </w:rPr>
              <w:t>名称</w:t>
            </w:r>
          </w:p>
        </w:tc>
        <w:tc>
          <w:tcPr>
            <w:tcW w:w="2339" w:type="pct"/>
            <w:vAlign w:val="center"/>
          </w:tcPr>
          <w:p w14:paraId="355639B3">
            <w:pPr>
              <w:pStyle w:val="37"/>
              <w:adjustRightInd w:val="0"/>
              <w:rPr>
                <w:b/>
                <w:bCs/>
                <w:color w:val="auto"/>
                <w:highlight w:val="none"/>
              </w:rPr>
            </w:pPr>
            <w:r>
              <w:rPr>
                <w:b/>
                <w:bCs/>
                <w:color w:val="auto"/>
                <w:highlight w:val="none"/>
              </w:rPr>
              <w:t>具体要求</w:t>
            </w:r>
          </w:p>
        </w:tc>
        <w:tc>
          <w:tcPr>
            <w:tcW w:w="1701" w:type="pct"/>
            <w:vAlign w:val="center"/>
          </w:tcPr>
          <w:p w14:paraId="47F0647D">
            <w:pPr>
              <w:pStyle w:val="37"/>
              <w:adjustRightInd w:val="0"/>
              <w:rPr>
                <w:b/>
                <w:bCs/>
                <w:color w:val="auto"/>
                <w:highlight w:val="none"/>
              </w:rPr>
            </w:pPr>
            <w:r>
              <w:rPr>
                <w:b/>
                <w:bCs/>
                <w:color w:val="auto"/>
                <w:highlight w:val="none"/>
              </w:rPr>
              <w:t>本项目情况</w:t>
            </w:r>
          </w:p>
        </w:tc>
        <w:tc>
          <w:tcPr>
            <w:tcW w:w="468" w:type="pct"/>
            <w:vAlign w:val="center"/>
          </w:tcPr>
          <w:p w14:paraId="6C4BEECB">
            <w:pPr>
              <w:pStyle w:val="37"/>
              <w:adjustRightInd w:val="0"/>
              <w:rPr>
                <w:b/>
                <w:bCs/>
                <w:color w:val="auto"/>
                <w:highlight w:val="none"/>
              </w:rPr>
            </w:pPr>
            <w:r>
              <w:rPr>
                <w:b/>
                <w:bCs/>
                <w:color w:val="auto"/>
                <w:highlight w:val="none"/>
              </w:rPr>
              <w:t>符合性</w:t>
            </w:r>
          </w:p>
        </w:tc>
      </w:tr>
      <w:tr w14:paraId="2F03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489" w:type="pct"/>
            <w:vMerge w:val="restart"/>
            <w:vAlign w:val="center"/>
          </w:tcPr>
          <w:p w14:paraId="0FBD8C09">
            <w:pPr>
              <w:pStyle w:val="37"/>
              <w:adjustRightInd w:val="0"/>
              <w:rPr>
                <w:color w:val="auto"/>
                <w:highlight w:val="none"/>
              </w:rPr>
            </w:pPr>
            <w:r>
              <w:rPr>
                <w:color w:val="auto"/>
                <w:highlight w:val="none"/>
              </w:rPr>
              <w:t>《土壤污染源头防控行动计划》（环土壤〔2024〕80号）</w:t>
            </w:r>
          </w:p>
        </w:tc>
        <w:tc>
          <w:tcPr>
            <w:tcW w:w="2339" w:type="pct"/>
            <w:vAlign w:val="center"/>
          </w:tcPr>
          <w:p w14:paraId="75B1F8DA">
            <w:pPr>
              <w:pStyle w:val="37"/>
              <w:adjustRightInd w:val="0"/>
              <w:jc w:val="both"/>
              <w:rPr>
                <w:color w:val="auto"/>
                <w:highlight w:val="none"/>
              </w:rPr>
            </w:pPr>
            <w:r>
              <w:rPr>
                <w:color w:val="auto"/>
                <w:highlight w:val="none"/>
              </w:rPr>
              <w:t>（一）落实生态环境分区管控。加强农用地分类管理，衔接国土空间规划，根据土壤污染程度和相关标准，动态调整优先保护类、安全利用类和严格管控类农用地的数量和边界，细化并落实分类管 理措施。城镇开发边界外不得规划建设各类开发区，区内各类开发建设活动应严格落实生态环境准入清单。</w:t>
            </w:r>
          </w:p>
        </w:tc>
        <w:tc>
          <w:tcPr>
            <w:tcW w:w="1701" w:type="pct"/>
            <w:vAlign w:val="center"/>
          </w:tcPr>
          <w:p w14:paraId="47A4BD41">
            <w:pPr>
              <w:pStyle w:val="37"/>
              <w:adjustRightInd w:val="0"/>
              <w:rPr>
                <w:color w:val="auto"/>
                <w:highlight w:val="none"/>
              </w:rPr>
            </w:pPr>
            <w:r>
              <w:rPr>
                <w:color w:val="auto"/>
                <w:highlight w:val="none"/>
              </w:rPr>
              <w:t>本项目所在区域位于城镇开发边界内，属于工业用地。</w:t>
            </w:r>
          </w:p>
        </w:tc>
        <w:tc>
          <w:tcPr>
            <w:tcW w:w="468" w:type="pct"/>
            <w:vAlign w:val="center"/>
          </w:tcPr>
          <w:p w14:paraId="15FD3C69">
            <w:pPr>
              <w:pStyle w:val="37"/>
              <w:adjustRightInd w:val="0"/>
              <w:rPr>
                <w:color w:val="auto"/>
                <w:highlight w:val="none"/>
              </w:rPr>
            </w:pPr>
            <w:r>
              <w:rPr>
                <w:color w:val="auto"/>
                <w:highlight w:val="none"/>
              </w:rPr>
              <w:t>符合</w:t>
            </w:r>
          </w:p>
        </w:tc>
      </w:tr>
      <w:tr w14:paraId="0BD2E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489" w:type="pct"/>
            <w:vMerge w:val="continue"/>
            <w:vAlign w:val="center"/>
          </w:tcPr>
          <w:p w14:paraId="29F375DC">
            <w:pPr>
              <w:pStyle w:val="37"/>
              <w:adjustRightInd w:val="0"/>
              <w:rPr>
                <w:color w:val="auto"/>
                <w:highlight w:val="none"/>
              </w:rPr>
            </w:pPr>
          </w:p>
        </w:tc>
        <w:tc>
          <w:tcPr>
            <w:tcW w:w="2339" w:type="pct"/>
            <w:vAlign w:val="center"/>
          </w:tcPr>
          <w:p w14:paraId="7BFD32EA">
            <w:pPr>
              <w:pStyle w:val="37"/>
              <w:adjustRightInd w:val="0"/>
              <w:jc w:val="both"/>
              <w:rPr>
                <w:color w:val="auto"/>
                <w:highlight w:val="none"/>
              </w:rPr>
            </w:pPr>
            <w:r>
              <w:rPr>
                <w:color w:val="auto"/>
                <w:highlight w:val="none"/>
              </w:rPr>
              <w:t>（五）强化重点单位环境管理。严格环境监管重点单位名录管理，确保土壤污染重点监管单位和地下水污染防治重点排污单位应纳尽纳。加强以排污许可为核心的环境管理，督促土壤污染重点监管单位按照排污许可证规定和标准规范落实控制有毒有害物质排放、土壤污染隐患排查、自行监测等要求。</w:t>
            </w:r>
          </w:p>
        </w:tc>
        <w:tc>
          <w:tcPr>
            <w:tcW w:w="1701" w:type="pct"/>
            <w:vAlign w:val="center"/>
          </w:tcPr>
          <w:p w14:paraId="3B972B7A">
            <w:pPr>
              <w:pStyle w:val="37"/>
              <w:adjustRightInd w:val="0"/>
              <w:rPr>
                <w:color w:val="auto"/>
                <w:highlight w:val="none"/>
              </w:rPr>
            </w:pPr>
            <w:r>
              <w:rPr>
                <w:color w:val="auto"/>
                <w:highlight w:val="none"/>
              </w:rPr>
              <w:t>本项目属于新建其他稀有金属</w:t>
            </w:r>
            <w:r>
              <w:rPr>
                <w:rFonts w:hint="eastAsia"/>
                <w:color w:val="auto"/>
                <w:highlight w:val="none"/>
              </w:rPr>
              <w:t>选矿</w:t>
            </w:r>
            <w:r>
              <w:rPr>
                <w:color w:val="auto"/>
                <w:highlight w:val="none"/>
              </w:rPr>
              <w:t>项目，本次评价要求建设单位严格落实本报告提出的分区防渗措施，确保对土壤污染途径进行有效阻断。根据《环境监管重点单位名录管理办法》：</w:t>
            </w:r>
            <w:r>
              <w:rPr>
                <w:rFonts w:hint="eastAsia"/>
                <w:color w:val="auto"/>
                <w:highlight w:val="none"/>
              </w:rPr>
              <w:t>“</w:t>
            </w:r>
            <w:r>
              <w:rPr>
                <w:color w:val="auto"/>
                <w:highlight w:val="none"/>
              </w:rPr>
              <w:t>具备下列条件之一的，应当列为土壤污染重点监管单位：（一）有色金属矿采选、有色金属冶炼、石油开采、石油加工、化工、焦化、电镀、制革行业规模以上企业</w:t>
            </w:r>
            <w:r>
              <w:rPr>
                <w:rFonts w:hint="eastAsia"/>
                <w:color w:val="auto"/>
                <w:highlight w:val="none"/>
              </w:rPr>
              <w:t>”</w:t>
            </w:r>
            <w:r>
              <w:rPr>
                <w:color w:val="auto"/>
                <w:highlight w:val="none"/>
              </w:rPr>
              <w:t>，本次报告要求企业后续开展土壤污染隐患排查。</w:t>
            </w:r>
          </w:p>
        </w:tc>
        <w:tc>
          <w:tcPr>
            <w:tcW w:w="468" w:type="pct"/>
            <w:vAlign w:val="center"/>
          </w:tcPr>
          <w:p w14:paraId="316BB386">
            <w:pPr>
              <w:pStyle w:val="37"/>
              <w:adjustRightInd w:val="0"/>
              <w:rPr>
                <w:color w:val="auto"/>
                <w:highlight w:val="none"/>
              </w:rPr>
            </w:pPr>
            <w:r>
              <w:rPr>
                <w:color w:val="auto"/>
                <w:highlight w:val="none"/>
              </w:rPr>
              <w:t>符合</w:t>
            </w:r>
          </w:p>
        </w:tc>
      </w:tr>
      <w:tr w14:paraId="11D6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9" w:type="pct"/>
            <w:vMerge w:val="restart"/>
            <w:vAlign w:val="center"/>
          </w:tcPr>
          <w:p w14:paraId="359232F7">
            <w:pPr>
              <w:pStyle w:val="37"/>
              <w:adjustRightInd w:val="0"/>
              <w:rPr>
                <w:color w:val="auto"/>
                <w:highlight w:val="none"/>
              </w:rPr>
            </w:pPr>
            <w:r>
              <w:rPr>
                <w:color w:val="auto"/>
                <w:highlight w:val="none"/>
              </w:rPr>
              <w:t>《四川省</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土壤污染防治规划》（川环发〔2022〕5号）</w:t>
            </w:r>
          </w:p>
        </w:tc>
        <w:tc>
          <w:tcPr>
            <w:tcW w:w="2339" w:type="pct"/>
            <w:vAlign w:val="center"/>
          </w:tcPr>
          <w:p w14:paraId="44BA047F">
            <w:pPr>
              <w:pStyle w:val="37"/>
              <w:adjustRightInd w:val="0"/>
              <w:jc w:val="both"/>
              <w:rPr>
                <w:color w:val="auto"/>
                <w:highlight w:val="none"/>
              </w:rPr>
            </w:pPr>
            <w:r>
              <w:rPr>
                <w:color w:val="auto"/>
                <w:highlight w:val="none"/>
              </w:rPr>
              <w:t>加强重点行业企业监管。强化涉及有毒有害物质或可能造成土壤污染的新（改、扩）建项目环境影响评价，提出并落实防腐蚀、防渗漏、防遗撒等土壤污染防治措施。</w:t>
            </w:r>
          </w:p>
        </w:tc>
        <w:tc>
          <w:tcPr>
            <w:tcW w:w="1701" w:type="pct"/>
            <w:vAlign w:val="center"/>
          </w:tcPr>
          <w:p w14:paraId="2F4B6304">
            <w:pPr>
              <w:pStyle w:val="37"/>
              <w:adjustRightInd w:val="0"/>
              <w:rPr>
                <w:color w:val="auto"/>
                <w:highlight w:val="none"/>
              </w:rPr>
            </w:pPr>
            <w:r>
              <w:rPr>
                <w:color w:val="auto"/>
                <w:highlight w:val="none"/>
              </w:rPr>
              <w:t>本项目按照《环境影响评价技术导则 土壤环境（试行）》（HJ964-2018）要求开展土壤环境影响评价，针对可能造成土壤污染的区域，提出并要求建设单位落实防腐蚀、</w:t>
            </w:r>
            <w:r>
              <w:rPr>
                <w:rFonts w:hint="eastAsia"/>
                <w:color w:val="auto"/>
                <w:highlight w:val="none"/>
              </w:rPr>
              <w:t>防渗</w:t>
            </w:r>
            <w:r>
              <w:rPr>
                <w:color w:val="auto"/>
                <w:highlight w:val="none"/>
              </w:rPr>
              <w:t>漏、防遗撒等土壤污染防治措施。</w:t>
            </w:r>
          </w:p>
        </w:tc>
        <w:tc>
          <w:tcPr>
            <w:tcW w:w="468" w:type="pct"/>
            <w:vAlign w:val="center"/>
          </w:tcPr>
          <w:p w14:paraId="7A2252FC">
            <w:pPr>
              <w:pStyle w:val="37"/>
              <w:adjustRightInd w:val="0"/>
              <w:rPr>
                <w:color w:val="auto"/>
                <w:highlight w:val="none"/>
              </w:rPr>
            </w:pPr>
            <w:r>
              <w:rPr>
                <w:color w:val="auto"/>
                <w:highlight w:val="none"/>
              </w:rPr>
              <w:t>符合</w:t>
            </w:r>
          </w:p>
        </w:tc>
      </w:tr>
      <w:tr w14:paraId="697B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489" w:type="pct"/>
            <w:vMerge w:val="continue"/>
            <w:vAlign w:val="center"/>
          </w:tcPr>
          <w:p w14:paraId="70BDBCD6">
            <w:pPr>
              <w:pStyle w:val="37"/>
              <w:adjustRightInd w:val="0"/>
              <w:rPr>
                <w:color w:val="auto"/>
                <w:highlight w:val="none"/>
              </w:rPr>
            </w:pPr>
          </w:p>
        </w:tc>
        <w:tc>
          <w:tcPr>
            <w:tcW w:w="2339" w:type="pct"/>
            <w:vAlign w:val="center"/>
          </w:tcPr>
          <w:p w14:paraId="3A0257E0">
            <w:pPr>
              <w:pStyle w:val="37"/>
              <w:adjustRightInd w:val="0"/>
              <w:jc w:val="both"/>
              <w:rPr>
                <w:color w:val="auto"/>
                <w:highlight w:val="none"/>
              </w:rPr>
            </w:pPr>
            <w:r>
              <w:rPr>
                <w:color w:val="auto"/>
                <w:highlight w:val="none"/>
              </w:rPr>
              <w:t>强化固体废物处置设施监管。定期开展固体废物堆存场所土壤污染隐患排查，以涉危险废物、涉重金属固废堆场为重点，督促企业严格落实</w:t>
            </w:r>
            <w:r>
              <w:rPr>
                <w:rFonts w:hint="eastAsia"/>
                <w:color w:val="auto"/>
                <w:highlight w:val="none"/>
              </w:rPr>
              <w:t>“</w:t>
            </w:r>
            <w:r>
              <w:rPr>
                <w:color w:val="auto"/>
                <w:highlight w:val="none"/>
              </w:rPr>
              <w:t>三防措施</w:t>
            </w:r>
            <w:r>
              <w:rPr>
                <w:rFonts w:hint="eastAsia"/>
                <w:color w:val="auto"/>
                <w:highlight w:val="none"/>
              </w:rPr>
              <w:t>”</w:t>
            </w:r>
            <w:r>
              <w:rPr>
                <w:color w:val="auto"/>
                <w:highlight w:val="none"/>
              </w:rPr>
              <w:t>。强化污水集中处理设施、固体废物处置设施、垃圾焚烧发电设施等周边土壤监测，防止对周边土壤造成污染。</w:t>
            </w:r>
          </w:p>
        </w:tc>
        <w:tc>
          <w:tcPr>
            <w:tcW w:w="1701" w:type="pct"/>
            <w:vAlign w:val="center"/>
          </w:tcPr>
          <w:p w14:paraId="06F20937">
            <w:pPr>
              <w:pStyle w:val="37"/>
              <w:adjustRightInd w:val="0"/>
              <w:rPr>
                <w:color w:val="auto"/>
                <w:highlight w:val="none"/>
              </w:rPr>
            </w:pPr>
            <w:r>
              <w:rPr>
                <w:color w:val="auto"/>
                <w:highlight w:val="none"/>
              </w:rPr>
              <w:t>本项目设有土壤环境影响评价章节，针对项目固废暂存，提出了对应的</w:t>
            </w:r>
            <w:r>
              <w:rPr>
                <w:rFonts w:hint="eastAsia"/>
                <w:color w:val="auto"/>
                <w:highlight w:val="none"/>
              </w:rPr>
              <w:t>“</w:t>
            </w:r>
            <w:r>
              <w:rPr>
                <w:color w:val="auto"/>
                <w:highlight w:val="none"/>
              </w:rPr>
              <w:t>三防</w:t>
            </w:r>
            <w:r>
              <w:rPr>
                <w:rFonts w:hint="eastAsia"/>
                <w:color w:val="auto"/>
                <w:highlight w:val="none"/>
              </w:rPr>
              <w:t>”</w:t>
            </w:r>
            <w:r>
              <w:rPr>
                <w:color w:val="auto"/>
                <w:highlight w:val="none"/>
              </w:rPr>
              <w:t>措施；同时报告制定了土壤环境监测计划，企业运营期将对场地及周边土壤开展例行监测。</w:t>
            </w:r>
          </w:p>
        </w:tc>
        <w:tc>
          <w:tcPr>
            <w:tcW w:w="468" w:type="pct"/>
            <w:vAlign w:val="center"/>
          </w:tcPr>
          <w:p w14:paraId="0E58387C">
            <w:pPr>
              <w:pStyle w:val="37"/>
              <w:adjustRightInd w:val="0"/>
              <w:rPr>
                <w:color w:val="auto"/>
                <w:highlight w:val="none"/>
              </w:rPr>
            </w:pPr>
            <w:r>
              <w:rPr>
                <w:color w:val="auto"/>
                <w:highlight w:val="none"/>
              </w:rPr>
              <w:t>符合</w:t>
            </w:r>
          </w:p>
        </w:tc>
      </w:tr>
      <w:tr w14:paraId="40A8A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489" w:type="pct"/>
            <w:vMerge w:val="continue"/>
            <w:vAlign w:val="center"/>
          </w:tcPr>
          <w:p w14:paraId="4503DAC9">
            <w:pPr>
              <w:pStyle w:val="37"/>
              <w:adjustRightInd w:val="0"/>
              <w:rPr>
                <w:color w:val="auto"/>
                <w:highlight w:val="none"/>
              </w:rPr>
            </w:pPr>
          </w:p>
        </w:tc>
        <w:tc>
          <w:tcPr>
            <w:tcW w:w="2339" w:type="pct"/>
            <w:vAlign w:val="center"/>
          </w:tcPr>
          <w:p w14:paraId="3FED295C">
            <w:pPr>
              <w:pStyle w:val="37"/>
              <w:adjustRightInd w:val="0"/>
              <w:jc w:val="both"/>
              <w:rPr>
                <w:color w:val="auto"/>
                <w:highlight w:val="none"/>
              </w:rPr>
            </w:pPr>
            <w:r>
              <w:rPr>
                <w:color w:val="auto"/>
                <w:highlight w:val="none"/>
              </w:rPr>
              <w:t>加强土地空间管控。落实</w:t>
            </w:r>
            <w:r>
              <w:rPr>
                <w:rFonts w:hint="eastAsia"/>
                <w:color w:val="auto"/>
                <w:highlight w:val="none"/>
              </w:rPr>
              <w:t>“</w:t>
            </w:r>
            <w:r>
              <w:rPr>
                <w:color w:val="auto"/>
                <w:highlight w:val="none"/>
              </w:rPr>
              <w:t>三线一单</w:t>
            </w:r>
            <w:r>
              <w:rPr>
                <w:rFonts w:hint="eastAsia"/>
                <w:color w:val="auto"/>
                <w:highlight w:val="none"/>
              </w:rPr>
              <w:t>”</w:t>
            </w:r>
            <w:r>
              <w:rPr>
                <w:color w:val="auto"/>
                <w:highlight w:val="none"/>
              </w:rPr>
              <w:t>分区管控要求，加强规划区和建设项目布局论证，根据土壤环境承载能力和区域特点，合理确定区域功能定位、空间布局。禁止在居民区、学校、医院、疗养院和养老院等单位周边新（改、扩）建可能造成土壤污染的建设项目。结合新型城镇化、产业结构调整和化解过剩产能等要求，有序搬迁或依法关闭对土壤造成严重污染的企业，推进城市建成区环境风险高的大中型重点行业企业搬迁改造。科学布局生活垃圾处理、危险废物处置、废旧资源再生利用等设施和场所。</w:t>
            </w:r>
          </w:p>
        </w:tc>
        <w:tc>
          <w:tcPr>
            <w:tcW w:w="1701" w:type="pct"/>
            <w:vAlign w:val="center"/>
          </w:tcPr>
          <w:p w14:paraId="08588E2F">
            <w:pPr>
              <w:pStyle w:val="37"/>
              <w:adjustRightInd w:val="0"/>
              <w:rPr>
                <w:color w:val="auto"/>
                <w:highlight w:val="none"/>
              </w:rPr>
            </w:pPr>
            <w:r>
              <w:rPr>
                <w:color w:val="auto"/>
                <w:highlight w:val="none"/>
              </w:rPr>
              <w:t>本项目位于乐山市沙湾区嘉农镇凤凰路1号（四川乐山沙湾经济开发区内），符合生态环境分区管控要求。根据现状调查距离厂界最近的居民位于其东南侧约</w:t>
            </w:r>
            <w:r>
              <w:rPr>
                <w:rFonts w:hint="eastAsia"/>
                <w:color w:val="auto"/>
                <w:highlight w:val="none"/>
              </w:rPr>
              <w:t>301</w:t>
            </w:r>
            <w:r>
              <w:rPr>
                <w:color w:val="auto"/>
                <w:highlight w:val="none"/>
              </w:rPr>
              <w:t>m，本项目不属于土壤严重污染企业。</w:t>
            </w:r>
          </w:p>
        </w:tc>
        <w:tc>
          <w:tcPr>
            <w:tcW w:w="468" w:type="pct"/>
            <w:vAlign w:val="center"/>
          </w:tcPr>
          <w:p w14:paraId="485359CB">
            <w:pPr>
              <w:pStyle w:val="37"/>
              <w:adjustRightInd w:val="0"/>
              <w:rPr>
                <w:color w:val="auto"/>
                <w:highlight w:val="none"/>
              </w:rPr>
            </w:pPr>
            <w:r>
              <w:rPr>
                <w:color w:val="auto"/>
                <w:highlight w:val="none"/>
              </w:rPr>
              <w:t>符合</w:t>
            </w:r>
          </w:p>
        </w:tc>
      </w:tr>
      <w:tr w14:paraId="61A6E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489" w:type="pct"/>
            <w:vMerge w:val="restart"/>
            <w:vAlign w:val="center"/>
          </w:tcPr>
          <w:p w14:paraId="2221FCEE">
            <w:pPr>
              <w:pStyle w:val="37"/>
              <w:adjustRightInd w:val="0"/>
              <w:rPr>
                <w:color w:val="auto"/>
                <w:highlight w:val="none"/>
              </w:rPr>
            </w:pPr>
            <w:r>
              <w:rPr>
                <w:color w:val="auto"/>
                <w:highlight w:val="none"/>
              </w:rPr>
              <w:t>《乐山市人民政府关于印发土壤污染防治行动计划乐山市工作方案的通知》（乐府发〔2017〕10号）</w:t>
            </w:r>
          </w:p>
        </w:tc>
        <w:tc>
          <w:tcPr>
            <w:tcW w:w="2339" w:type="pct"/>
            <w:vAlign w:val="center"/>
          </w:tcPr>
          <w:p w14:paraId="0CF0F88D">
            <w:pPr>
              <w:pStyle w:val="37"/>
              <w:adjustRightInd w:val="0"/>
              <w:jc w:val="both"/>
              <w:rPr>
                <w:color w:val="auto"/>
                <w:highlight w:val="none"/>
              </w:rPr>
            </w:pPr>
            <w:r>
              <w:rPr>
                <w:color w:val="auto"/>
                <w:highlight w:val="none"/>
              </w:rPr>
              <w:t>加强涉重金属行业污染控制。严格执行重金属污染物排放标准并落实相关总量控制指标，涉重金属产业发展规划必须开展规划环境影响评价，严禁在生态红线管控区、生态环境敏感区、人口聚集区新建涉及重金属排放的项目。鼓励涉重企业实施有利于实现区域重金属污染物削减的环保治理项目、技术改造项目和清洁生产项目，加强企业污染物末端治理等措施，实现稳定达标排放。加大环境监管力度，严格落实重金属企业监测制度，加大对重金属企业违法行为查处力度，对整改后仍不达标的企业，要依法责令其停业、关闭，并将企业名单向社会公开。2020年重点行业的重点重金属排放量要比2013年下降9.5%。</w:t>
            </w:r>
          </w:p>
          <w:p w14:paraId="137BF4A5">
            <w:pPr>
              <w:pStyle w:val="37"/>
              <w:adjustRightInd w:val="0"/>
              <w:jc w:val="both"/>
              <w:rPr>
                <w:color w:val="auto"/>
                <w:highlight w:val="none"/>
              </w:rPr>
            </w:pPr>
            <w:r>
              <w:rPr>
                <w:color w:val="auto"/>
                <w:highlight w:val="none"/>
              </w:rPr>
              <w:t>继续淘汰涉重金属重点行业落后产能，执行重金属相关行业准入条件，禁止新建落后产能或产能严重过剩行业的建设项目。以环境倒逼机制和循环经济理念指导涉重产业转型升级，提高产业集中度，鼓励现有优势企业或引进优势企业，对现有涉重金属行业进行资源整合、兼并重组。贯彻执行国家和四川省涉重金属重点工业行业清洁生产技术推行方案，鼓励企业采用先进适用生产工艺和技术。</w:t>
            </w:r>
          </w:p>
        </w:tc>
        <w:tc>
          <w:tcPr>
            <w:tcW w:w="1701" w:type="pct"/>
            <w:vAlign w:val="center"/>
          </w:tcPr>
          <w:p w14:paraId="156512FE">
            <w:pPr>
              <w:pStyle w:val="37"/>
              <w:adjustRightInd w:val="0"/>
              <w:rPr>
                <w:color w:val="auto"/>
                <w:highlight w:val="none"/>
              </w:rPr>
            </w:pPr>
            <w:r>
              <w:rPr>
                <w:color w:val="auto"/>
                <w:highlight w:val="none"/>
              </w:rPr>
              <w:t>根据本项目原矿检测报告，本项目原矿中国家管控的重金属铅、汞、镉、铬、砷、铊、锑和园区管控的重金属铬、镍均为未检出。</w:t>
            </w:r>
          </w:p>
        </w:tc>
        <w:tc>
          <w:tcPr>
            <w:tcW w:w="468" w:type="pct"/>
            <w:vAlign w:val="center"/>
          </w:tcPr>
          <w:p w14:paraId="619664D3">
            <w:pPr>
              <w:pStyle w:val="37"/>
              <w:adjustRightInd w:val="0"/>
              <w:rPr>
                <w:color w:val="auto"/>
                <w:highlight w:val="none"/>
              </w:rPr>
            </w:pPr>
            <w:r>
              <w:rPr>
                <w:color w:val="auto"/>
                <w:highlight w:val="none"/>
              </w:rPr>
              <w:t>符合</w:t>
            </w:r>
          </w:p>
        </w:tc>
      </w:tr>
      <w:tr w14:paraId="4C63C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jc w:val="center"/>
        </w:trPr>
        <w:tc>
          <w:tcPr>
            <w:tcW w:w="489" w:type="pct"/>
            <w:vMerge w:val="continue"/>
            <w:vAlign w:val="center"/>
          </w:tcPr>
          <w:p w14:paraId="5B35BEF2">
            <w:pPr>
              <w:pStyle w:val="37"/>
              <w:adjustRightInd w:val="0"/>
              <w:rPr>
                <w:color w:val="auto"/>
                <w:highlight w:val="none"/>
              </w:rPr>
            </w:pPr>
          </w:p>
        </w:tc>
        <w:tc>
          <w:tcPr>
            <w:tcW w:w="2339" w:type="pct"/>
            <w:vAlign w:val="center"/>
          </w:tcPr>
          <w:p w14:paraId="37EB3ECE">
            <w:pPr>
              <w:pStyle w:val="37"/>
              <w:adjustRightInd w:val="0"/>
              <w:jc w:val="both"/>
              <w:rPr>
                <w:color w:val="auto"/>
                <w:highlight w:val="none"/>
              </w:rPr>
            </w:pPr>
            <w:r>
              <w:rPr>
                <w:color w:val="auto"/>
                <w:highlight w:val="none"/>
              </w:rPr>
              <w:t>加强工业废物处理处置。按照四川省工业废物堆场综合整治方案，全面排查整治尾矿、煤矸石、工业副产石膏、粉煤灰、赤泥、冶炼渣、电石渣、以及脱硫、脱硝、除尘产生固体废物的堆存场所，完善防扬散、防流失、防渗漏等设施。</w:t>
            </w:r>
          </w:p>
        </w:tc>
        <w:tc>
          <w:tcPr>
            <w:tcW w:w="1701" w:type="pct"/>
            <w:vAlign w:val="center"/>
          </w:tcPr>
          <w:p w14:paraId="56D52619">
            <w:pPr>
              <w:pStyle w:val="37"/>
              <w:adjustRightInd w:val="0"/>
              <w:rPr>
                <w:color w:val="auto"/>
                <w:highlight w:val="none"/>
              </w:rPr>
            </w:pPr>
            <w:r>
              <w:rPr>
                <w:color w:val="auto"/>
                <w:highlight w:val="none"/>
              </w:rPr>
              <w:t>本项目尾矿</w:t>
            </w:r>
            <w:r>
              <w:rPr>
                <w:rFonts w:hint="eastAsia"/>
                <w:color w:val="auto"/>
                <w:highlight w:val="none"/>
              </w:rPr>
              <w:t>、黑砂</w:t>
            </w:r>
            <w:r>
              <w:rPr>
                <w:color w:val="auto"/>
                <w:highlight w:val="none"/>
              </w:rPr>
              <w:t>暂存于</w:t>
            </w:r>
            <w:r>
              <w:rPr>
                <w:rFonts w:hint="eastAsia"/>
                <w:color w:val="auto"/>
                <w:highlight w:val="none"/>
              </w:rPr>
              <w:t>尾矿仓库</w:t>
            </w:r>
            <w:r>
              <w:rPr>
                <w:color w:val="auto"/>
                <w:highlight w:val="none"/>
              </w:rPr>
              <w:t>，尾矿仓库为封</w:t>
            </w:r>
            <w:r>
              <w:rPr>
                <w:rFonts w:hint="eastAsia"/>
                <w:color w:val="auto"/>
                <w:highlight w:val="none"/>
              </w:rPr>
              <w:t>闭</w:t>
            </w:r>
            <w:r>
              <w:rPr>
                <w:color w:val="auto"/>
                <w:highlight w:val="none"/>
              </w:rPr>
              <w:t>车间。做到了防扬散、防流失、防渗漏等设施。</w:t>
            </w:r>
          </w:p>
        </w:tc>
        <w:tc>
          <w:tcPr>
            <w:tcW w:w="468" w:type="pct"/>
            <w:vAlign w:val="center"/>
          </w:tcPr>
          <w:p w14:paraId="4A236EF0">
            <w:pPr>
              <w:pStyle w:val="37"/>
              <w:adjustRightInd w:val="0"/>
              <w:rPr>
                <w:color w:val="auto"/>
                <w:highlight w:val="none"/>
              </w:rPr>
            </w:pPr>
            <w:r>
              <w:rPr>
                <w:color w:val="auto"/>
                <w:highlight w:val="none"/>
              </w:rPr>
              <w:t>符合</w:t>
            </w:r>
          </w:p>
        </w:tc>
      </w:tr>
    </w:tbl>
    <w:p w14:paraId="2C1EDA79">
      <w:pPr>
        <w:adjustRightInd w:val="0"/>
        <w:ind w:firstLine="480"/>
        <w:rPr>
          <w:rFonts w:cs="Times New Roman"/>
          <w:color w:val="auto"/>
          <w:highlight w:val="none"/>
        </w:rPr>
      </w:pPr>
      <w:r>
        <w:rPr>
          <w:rFonts w:cs="Times New Roman"/>
          <w:color w:val="auto"/>
          <w:highlight w:val="none"/>
        </w:rPr>
        <w:t>（4）与固体废物污染防治相关规划及方案的符合性分析</w:t>
      </w:r>
    </w:p>
    <w:p w14:paraId="36B023E8">
      <w:pPr>
        <w:adjustRightInd w:val="0"/>
        <w:ind w:firstLine="480"/>
        <w:rPr>
          <w:rFonts w:cs="Times New Roman"/>
          <w:color w:val="auto"/>
          <w:highlight w:val="none"/>
        </w:rPr>
      </w:pPr>
      <w:r>
        <w:rPr>
          <w:rFonts w:cs="Times New Roman"/>
          <w:color w:val="auto"/>
          <w:highlight w:val="none"/>
        </w:rPr>
        <w:t>本项目与现行污染防治政策及规划相关要求的符合性如下。</w:t>
      </w:r>
    </w:p>
    <w:p w14:paraId="1E5E4DDB">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20</w:t>
      </w:r>
      <w:r>
        <w:rPr>
          <w:rFonts w:cs="Times New Roman"/>
          <w:color w:val="auto"/>
          <w:highlight w:val="none"/>
        </w:rPr>
        <w:fldChar w:fldCharType="end"/>
      </w:r>
      <w:r>
        <w:rPr>
          <w:rFonts w:cs="Times New Roman"/>
          <w:color w:val="auto"/>
          <w:highlight w:val="none"/>
        </w:rPr>
        <w:t>本项目与固体废物污染防治相关政策符合性</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984"/>
        <w:gridCol w:w="2898"/>
        <w:gridCol w:w="797"/>
      </w:tblGrid>
      <w:tr w14:paraId="0C862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 w:type="pct"/>
            <w:vAlign w:val="center"/>
          </w:tcPr>
          <w:p w14:paraId="22DD847B">
            <w:pPr>
              <w:pStyle w:val="37"/>
              <w:adjustRightInd w:val="0"/>
              <w:rPr>
                <w:b/>
                <w:bCs/>
                <w:color w:val="auto"/>
                <w:highlight w:val="none"/>
              </w:rPr>
            </w:pPr>
            <w:r>
              <w:rPr>
                <w:b/>
                <w:bCs/>
                <w:color w:val="auto"/>
                <w:highlight w:val="none"/>
              </w:rPr>
              <w:t>名称</w:t>
            </w:r>
          </w:p>
        </w:tc>
        <w:tc>
          <w:tcPr>
            <w:tcW w:w="2339" w:type="pct"/>
            <w:vAlign w:val="center"/>
          </w:tcPr>
          <w:p w14:paraId="273025D2">
            <w:pPr>
              <w:pStyle w:val="37"/>
              <w:adjustRightInd w:val="0"/>
              <w:rPr>
                <w:b/>
                <w:bCs/>
                <w:color w:val="auto"/>
                <w:highlight w:val="none"/>
              </w:rPr>
            </w:pPr>
            <w:r>
              <w:rPr>
                <w:b/>
                <w:bCs/>
                <w:color w:val="auto"/>
                <w:highlight w:val="none"/>
              </w:rPr>
              <w:t>具体要求</w:t>
            </w:r>
          </w:p>
        </w:tc>
        <w:tc>
          <w:tcPr>
            <w:tcW w:w="1701" w:type="pct"/>
            <w:vAlign w:val="center"/>
          </w:tcPr>
          <w:p w14:paraId="7D27B989">
            <w:pPr>
              <w:pStyle w:val="37"/>
              <w:adjustRightInd w:val="0"/>
              <w:rPr>
                <w:b/>
                <w:bCs/>
                <w:color w:val="auto"/>
                <w:highlight w:val="none"/>
              </w:rPr>
            </w:pPr>
            <w:r>
              <w:rPr>
                <w:b/>
                <w:bCs/>
                <w:color w:val="auto"/>
                <w:highlight w:val="none"/>
              </w:rPr>
              <w:t>本项目情况</w:t>
            </w:r>
          </w:p>
        </w:tc>
        <w:tc>
          <w:tcPr>
            <w:tcW w:w="468" w:type="pct"/>
            <w:vAlign w:val="center"/>
          </w:tcPr>
          <w:p w14:paraId="7805AB36">
            <w:pPr>
              <w:pStyle w:val="37"/>
              <w:adjustRightInd w:val="0"/>
              <w:rPr>
                <w:b/>
                <w:bCs/>
                <w:color w:val="auto"/>
                <w:highlight w:val="none"/>
              </w:rPr>
            </w:pPr>
            <w:r>
              <w:rPr>
                <w:b/>
                <w:bCs/>
                <w:color w:val="auto"/>
                <w:highlight w:val="none"/>
              </w:rPr>
              <w:t>符合性</w:t>
            </w:r>
          </w:p>
        </w:tc>
      </w:tr>
      <w:tr w14:paraId="4C81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Align w:val="center"/>
          </w:tcPr>
          <w:p w14:paraId="1276791C">
            <w:pPr>
              <w:pStyle w:val="37"/>
              <w:adjustRightInd w:val="0"/>
              <w:rPr>
                <w:color w:val="auto"/>
                <w:highlight w:val="none"/>
              </w:rPr>
            </w:pPr>
            <w:r>
              <w:rPr>
                <w:color w:val="auto"/>
                <w:highlight w:val="none"/>
              </w:rPr>
              <w:t>《乐山市</w:t>
            </w:r>
            <w:r>
              <w:rPr>
                <w:rFonts w:hint="eastAsia"/>
                <w:color w:val="auto"/>
                <w:highlight w:val="none"/>
              </w:rPr>
              <w:t>“</w:t>
            </w:r>
            <w:r>
              <w:rPr>
                <w:color w:val="auto"/>
                <w:highlight w:val="none"/>
              </w:rPr>
              <w:t>无废城市</w:t>
            </w:r>
            <w:r>
              <w:rPr>
                <w:rFonts w:hint="eastAsia"/>
                <w:color w:val="auto"/>
                <w:highlight w:val="none"/>
              </w:rPr>
              <w:t>”</w:t>
            </w:r>
            <w:r>
              <w:rPr>
                <w:color w:val="auto"/>
                <w:highlight w:val="none"/>
              </w:rPr>
              <w:t>建设实施方案》（乐府发〔2022〕22号）</w:t>
            </w:r>
          </w:p>
        </w:tc>
        <w:tc>
          <w:tcPr>
            <w:tcW w:w="2339" w:type="pct"/>
            <w:vAlign w:val="center"/>
          </w:tcPr>
          <w:p w14:paraId="6610E80F">
            <w:pPr>
              <w:pStyle w:val="37"/>
              <w:adjustRightInd w:val="0"/>
              <w:jc w:val="both"/>
              <w:rPr>
                <w:color w:val="auto"/>
                <w:highlight w:val="none"/>
              </w:rPr>
            </w:pPr>
            <w:r>
              <w:rPr>
                <w:color w:val="auto"/>
                <w:highlight w:val="none"/>
              </w:rPr>
              <w:t>加强工业固体废物减量化和循环利用，支持大宗工业固体废物资源化技术研发、成果转化和示范项目建设，重点推动炉渣、冶炼废渣、粉煤灰、选矿尾矿、造纸污泥等大宗固体废物的资源化综合利用，进一步拓宽建筑材料生产、原料替代、井下充填等综合利用渠道，提升大宗工业固废综合利用率，减少填埋处置量</w:t>
            </w:r>
          </w:p>
        </w:tc>
        <w:tc>
          <w:tcPr>
            <w:tcW w:w="1701" w:type="pct"/>
            <w:vAlign w:val="center"/>
          </w:tcPr>
          <w:p w14:paraId="31A36CD4">
            <w:pPr>
              <w:pStyle w:val="37"/>
              <w:adjustRightInd w:val="0"/>
              <w:rPr>
                <w:color w:val="auto"/>
                <w:highlight w:val="none"/>
              </w:rPr>
            </w:pPr>
            <w:r>
              <w:rPr>
                <w:color w:val="auto"/>
                <w:highlight w:val="none"/>
              </w:rPr>
              <w:t>本项目</w:t>
            </w:r>
            <w:r>
              <w:rPr>
                <w:rFonts w:hint="eastAsia"/>
                <w:color w:val="auto"/>
                <w:highlight w:val="none"/>
              </w:rPr>
              <w:t>产生的一般固废</w:t>
            </w:r>
            <w:r>
              <w:rPr>
                <w:color w:val="auto"/>
                <w:highlight w:val="none"/>
              </w:rPr>
              <w:t>尾矿、黑砂</w:t>
            </w:r>
            <w:r>
              <w:rPr>
                <w:rFonts w:hint="eastAsia"/>
                <w:color w:val="auto"/>
                <w:highlight w:val="none"/>
              </w:rPr>
              <w:t>外售陶瓷生产厂家综合利用</w:t>
            </w:r>
            <w:r>
              <w:rPr>
                <w:color w:val="auto"/>
                <w:highlight w:val="none"/>
              </w:rPr>
              <w:t>，做到固体废物循环利用。</w:t>
            </w:r>
          </w:p>
        </w:tc>
        <w:tc>
          <w:tcPr>
            <w:tcW w:w="468" w:type="pct"/>
            <w:vAlign w:val="center"/>
          </w:tcPr>
          <w:p w14:paraId="6592D1A3">
            <w:pPr>
              <w:pStyle w:val="37"/>
              <w:adjustRightInd w:val="0"/>
              <w:rPr>
                <w:color w:val="auto"/>
                <w:highlight w:val="none"/>
              </w:rPr>
            </w:pPr>
            <w:r>
              <w:rPr>
                <w:color w:val="auto"/>
                <w:highlight w:val="none"/>
              </w:rPr>
              <w:t>符合</w:t>
            </w:r>
          </w:p>
        </w:tc>
      </w:tr>
      <w:tr w14:paraId="7DCB0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restart"/>
            <w:vAlign w:val="center"/>
          </w:tcPr>
          <w:p w14:paraId="16463146">
            <w:pPr>
              <w:pStyle w:val="37"/>
              <w:adjustRightInd w:val="0"/>
              <w:rPr>
                <w:color w:val="auto"/>
                <w:highlight w:val="none"/>
              </w:rPr>
            </w:pPr>
            <w:r>
              <w:rPr>
                <w:color w:val="auto"/>
                <w:highlight w:val="none"/>
              </w:rPr>
              <w:t>《关于印发乐山市沙湾区</w:t>
            </w:r>
            <w:r>
              <w:rPr>
                <w:rFonts w:hint="eastAsia"/>
                <w:color w:val="auto"/>
                <w:highlight w:val="none"/>
              </w:rPr>
              <w:t>“</w:t>
            </w:r>
            <w:r>
              <w:rPr>
                <w:color w:val="auto"/>
                <w:highlight w:val="none"/>
              </w:rPr>
              <w:t>无废城市</w:t>
            </w:r>
            <w:r>
              <w:rPr>
                <w:rFonts w:hint="eastAsia"/>
                <w:color w:val="auto"/>
                <w:highlight w:val="none"/>
              </w:rPr>
              <w:t>”</w:t>
            </w:r>
            <w:r>
              <w:rPr>
                <w:color w:val="auto"/>
                <w:highlight w:val="none"/>
              </w:rPr>
              <w:t>建设实施方案的通知》</w:t>
            </w:r>
          </w:p>
        </w:tc>
        <w:tc>
          <w:tcPr>
            <w:tcW w:w="2339" w:type="pct"/>
            <w:vAlign w:val="center"/>
          </w:tcPr>
          <w:p w14:paraId="1DDD10F1">
            <w:pPr>
              <w:pStyle w:val="37"/>
              <w:adjustRightInd w:val="0"/>
              <w:jc w:val="both"/>
              <w:rPr>
                <w:color w:val="auto"/>
                <w:highlight w:val="none"/>
              </w:rPr>
            </w:pPr>
            <w:r>
              <w:rPr>
                <w:color w:val="auto"/>
                <w:highlight w:val="none"/>
              </w:rPr>
              <w:t>创新引领、市场驱动。坚持将新发展理念贯穿于</w:t>
            </w:r>
            <w:r>
              <w:rPr>
                <w:rFonts w:hint="eastAsia"/>
                <w:color w:val="auto"/>
                <w:highlight w:val="none"/>
              </w:rPr>
              <w:t>“</w:t>
            </w:r>
            <w:r>
              <w:rPr>
                <w:color w:val="auto"/>
                <w:highlight w:val="none"/>
              </w:rPr>
              <w:t>无废城市</w:t>
            </w:r>
            <w:r>
              <w:rPr>
                <w:rFonts w:hint="eastAsia"/>
                <w:color w:val="auto"/>
                <w:highlight w:val="none"/>
              </w:rPr>
              <w:t>”</w:t>
            </w:r>
            <w:r>
              <w:rPr>
                <w:color w:val="auto"/>
                <w:highlight w:val="none"/>
              </w:rPr>
              <w:t>建设全过程，深化体制机制改革，深挖沙湾区经济和人文优势，区域品牌培育、特色产业带头、传统产业协同推进，健全固体废物污染环境防治长效机制，创新思路方法举措，强化科技动力支撑，激发市场主体活力，持续提升固体废物综合治理能力。</w:t>
            </w:r>
          </w:p>
        </w:tc>
        <w:tc>
          <w:tcPr>
            <w:tcW w:w="1701" w:type="pct"/>
            <w:vAlign w:val="center"/>
          </w:tcPr>
          <w:p w14:paraId="44DF9E1B">
            <w:pPr>
              <w:pStyle w:val="37"/>
              <w:adjustRightInd w:val="0"/>
              <w:rPr>
                <w:color w:val="auto"/>
                <w:highlight w:val="none"/>
              </w:rPr>
            </w:pPr>
            <w:r>
              <w:rPr>
                <w:color w:val="auto"/>
                <w:highlight w:val="none"/>
              </w:rPr>
              <w:t>本项目固体废物均得到有效处置。</w:t>
            </w:r>
          </w:p>
        </w:tc>
        <w:tc>
          <w:tcPr>
            <w:tcW w:w="468" w:type="pct"/>
            <w:vAlign w:val="center"/>
          </w:tcPr>
          <w:p w14:paraId="51C14042">
            <w:pPr>
              <w:pStyle w:val="37"/>
              <w:adjustRightInd w:val="0"/>
              <w:rPr>
                <w:color w:val="auto"/>
                <w:highlight w:val="none"/>
              </w:rPr>
            </w:pPr>
            <w:r>
              <w:rPr>
                <w:color w:val="auto"/>
                <w:highlight w:val="none"/>
              </w:rPr>
              <w:t>符合</w:t>
            </w:r>
          </w:p>
        </w:tc>
      </w:tr>
      <w:tr w14:paraId="27A8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707DA0D4">
            <w:pPr>
              <w:pStyle w:val="37"/>
              <w:adjustRightInd w:val="0"/>
              <w:rPr>
                <w:color w:val="auto"/>
                <w:highlight w:val="none"/>
              </w:rPr>
            </w:pPr>
          </w:p>
        </w:tc>
        <w:tc>
          <w:tcPr>
            <w:tcW w:w="2339" w:type="pct"/>
            <w:vAlign w:val="center"/>
          </w:tcPr>
          <w:p w14:paraId="1E8FC719">
            <w:pPr>
              <w:pStyle w:val="37"/>
              <w:adjustRightInd w:val="0"/>
              <w:jc w:val="both"/>
              <w:rPr>
                <w:color w:val="auto"/>
                <w:highlight w:val="none"/>
              </w:rPr>
            </w:pPr>
            <w:r>
              <w:rPr>
                <w:color w:val="auto"/>
                <w:highlight w:val="none"/>
              </w:rPr>
              <w:t>主要任务：严格生态环境准入，加快产业绿色转型。健全工业固体废物循环利用环境准入制度，强化固体废物领域的生态环境准入管理，严格控制新建（扩建）产废强度大、资源化利用率低的项目。....严控</w:t>
            </w:r>
            <w:r>
              <w:rPr>
                <w:rFonts w:hint="eastAsia"/>
                <w:color w:val="auto"/>
                <w:highlight w:val="none"/>
              </w:rPr>
              <w:t>“</w:t>
            </w:r>
            <w:r>
              <w:rPr>
                <w:color w:val="auto"/>
                <w:highlight w:val="none"/>
              </w:rPr>
              <w:t>两高一资</w:t>
            </w:r>
            <w:r>
              <w:rPr>
                <w:rFonts w:hint="eastAsia"/>
                <w:color w:val="auto"/>
                <w:highlight w:val="none"/>
              </w:rPr>
              <w:t>”</w:t>
            </w:r>
            <w:r>
              <w:rPr>
                <w:color w:val="auto"/>
                <w:highlight w:val="none"/>
              </w:rPr>
              <w:t>项目，加快发展绿色环保产业。围绕双碳目标战略部署，严格控制</w:t>
            </w:r>
            <w:r>
              <w:rPr>
                <w:rFonts w:hint="eastAsia"/>
                <w:color w:val="auto"/>
                <w:highlight w:val="none"/>
              </w:rPr>
              <w:t>“</w:t>
            </w:r>
            <w:r>
              <w:rPr>
                <w:color w:val="auto"/>
                <w:highlight w:val="none"/>
              </w:rPr>
              <w:t>高能耗、高污染和资源型</w:t>
            </w:r>
            <w:r>
              <w:rPr>
                <w:rFonts w:hint="eastAsia"/>
                <w:color w:val="auto"/>
                <w:highlight w:val="none"/>
              </w:rPr>
              <w:t>”</w:t>
            </w:r>
            <w:r>
              <w:rPr>
                <w:color w:val="auto"/>
                <w:highlight w:val="none"/>
              </w:rPr>
              <w:t>项目，逐步布局钒钛新材料、节能环保装备制造等绿色环保产业，重点发展高效节能、污染防治、废弃物综合利用等环保技术。</w:t>
            </w:r>
          </w:p>
        </w:tc>
        <w:tc>
          <w:tcPr>
            <w:tcW w:w="1701" w:type="pct"/>
            <w:vAlign w:val="center"/>
          </w:tcPr>
          <w:p w14:paraId="0CD5DB15">
            <w:pPr>
              <w:pStyle w:val="37"/>
              <w:adjustRightInd w:val="0"/>
              <w:rPr>
                <w:color w:val="auto"/>
                <w:highlight w:val="none"/>
              </w:rPr>
            </w:pPr>
            <w:r>
              <w:rPr>
                <w:color w:val="auto"/>
                <w:highlight w:val="none"/>
              </w:rPr>
              <w:t>本项目</w:t>
            </w:r>
            <w:r>
              <w:rPr>
                <w:rFonts w:hint="eastAsia"/>
                <w:color w:val="auto"/>
                <w:highlight w:val="none"/>
              </w:rPr>
              <w:t>产生的一般固废</w:t>
            </w:r>
            <w:r>
              <w:rPr>
                <w:color w:val="auto"/>
                <w:highlight w:val="none"/>
              </w:rPr>
              <w:t>尾矿、黑砂</w:t>
            </w:r>
            <w:r>
              <w:rPr>
                <w:rFonts w:hint="eastAsia"/>
                <w:color w:val="auto"/>
                <w:highlight w:val="none"/>
              </w:rPr>
              <w:t>外售陶瓷生产厂家综合利用</w:t>
            </w:r>
            <w:r>
              <w:rPr>
                <w:color w:val="auto"/>
                <w:highlight w:val="none"/>
              </w:rPr>
              <w:t>，做到固体废物循环利用。本项目不属于</w:t>
            </w:r>
            <w:r>
              <w:rPr>
                <w:rFonts w:hint="eastAsia"/>
                <w:color w:val="auto"/>
                <w:highlight w:val="none"/>
              </w:rPr>
              <w:t>“</w:t>
            </w:r>
            <w:r>
              <w:rPr>
                <w:color w:val="auto"/>
                <w:highlight w:val="none"/>
              </w:rPr>
              <w:t>两高一资</w:t>
            </w:r>
            <w:r>
              <w:rPr>
                <w:rFonts w:hint="eastAsia"/>
                <w:color w:val="auto"/>
                <w:highlight w:val="none"/>
              </w:rPr>
              <w:t>”</w:t>
            </w:r>
            <w:r>
              <w:rPr>
                <w:color w:val="auto"/>
                <w:highlight w:val="none"/>
              </w:rPr>
              <w:t>项目。</w:t>
            </w:r>
          </w:p>
        </w:tc>
        <w:tc>
          <w:tcPr>
            <w:tcW w:w="468" w:type="pct"/>
            <w:vAlign w:val="center"/>
          </w:tcPr>
          <w:p w14:paraId="034275AC">
            <w:pPr>
              <w:pStyle w:val="37"/>
              <w:adjustRightInd w:val="0"/>
              <w:rPr>
                <w:color w:val="auto"/>
                <w:highlight w:val="none"/>
              </w:rPr>
            </w:pPr>
            <w:r>
              <w:rPr>
                <w:color w:val="auto"/>
                <w:highlight w:val="none"/>
              </w:rPr>
              <w:t>符合</w:t>
            </w:r>
          </w:p>
        </w:tc>
      </w:tr>
    </w:tbl>
    <w:p w14:paraId="16C2174A">
      <w:pPr>
        <w:adjustRightInd w:val="0"/>
        <w:ind w:firstLine="480"/>
        <w:rPr>
          <w:rFonts w:cs="Times New Roman"/>
          <w:color w:val="auto"/>
          <w:highlight w:val="none"/>
        </w:rPr>
      </w:pPr>
      <w:r>
        <w:rPr>
          <w:rFonts w:cs="Times New Roman"/>
          <w:color w:val="auto"/>
          <w:highlight w:val="none"/>
        </w:rPr>
        <w:t>（5）与重金属污染防治相关规划及方案的符合性分析</w:t>
      </w:r>
    </w:p>
    <w:p w14:paraId="2F0427D5">
      <w:pPr>
        <w:adjustRightInd w:val="0"/>
        <w:ind w:firstLine="480"/>
        <w:rPr>
          <w:rFonts w:cs="Times New Roman"/>
          <w:color w:val="auto"/>
          <w:highlight w:val="none"/>
        </w:rPr>
      </w:pPr>
      <w:r>
        <w:rPr>
          <w:rFonts w:cs="Times New Roman"/>
          <w:color w:val="auto"/>
          <w:highlight w:val="none"/>
        </w:rPr>
        <w:t>本项目与现行污染防治政策及规划相关要求的符合性如下。</w:t>
      </w:r>
    </w:p>
    <w:p w14:paraId="4D78E7D3">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21</w:t>
      </w:r>
      <w:r>
        <w:rPr>
          <w:rFonts w:cs="Times New Roman"/>
          <w:color w:val="auto"/>
          <w:highlight w:val="none"/>
        </w:rPr>
        <w:fldChar w:fldCharType="end"/>
      </w:r>
      <w:r>
        <w:rPr>
          <w:rFonts w:cs="Times New Roman"/>
          <w:color w:val="auto"/>
          <w:highlight w:val="none"/>
        </w:rPr>
        <w:t>本项目与重金属污染防治相关政策符合性</w:t>
      </w:r>
    </w:p>
    <w:tbl>
      <w:tblPr>
        <w:tblStyle w:val="32"/>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3984"/>
        <w:gridCol w:w="2898"/>
        <w:gridCol w:w="797"/>
      </w:tblGrid>
      <w:tr w14:paraId="380E3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9" w:type="pct"/>
            <w:vAlign w:val="center"/>
          </w:tcPr>
          <w:p w14:paraId="32627480">
            <w:pPr>
              <w:pStyle w:val="37"/>
              <w:adjustRightInd w:val="0"/>
              <w:rPr>
                <w:b/>
                <w:bCs/>
                <w:color w:val="auto"/>
                <w:highlight w:val="none"/>
              </w:rPr>
            </w:pPr>
            <w:r>
              <w:rPr>
                <w:b/>
                <w:bCs/>
                <w:color w:val="auto"/>
                <w:highlight w:val="none"/>
              </w:rPr>
              <w:t>名称</w:t>
            </w:r>
          </w:p>
        </w:tc>
        <w:tc>
          <w:tcPr>
            <w:tcW w:w="2339" w:type="pct"/>
            <w:vAlign w:val="center"/>
          </w:tcPr>
          <w:p w14:paraId="061C2D18">
            <w:pPr>
              <w:pStyle w:val="37"/>
              <w:adjustRightInd w:val="0"/>
              <w:rPr>
                <w:b/>
                <w:bCs/>
                <w:color w:val="auto"/>
                <w:highlight w:val="none"/>
              </w:rPr>
            </w:pPr>
            <w:r>
              <w:rPr>
                <w:b/>
                <w:bCs/>
                <w:color w:val="auto"/>
                <w:highlight w:val="none"/>
              </w:rPr>
              <w:t>具体要求</w:t>
            </w:r>
          </w:p>
        </w:tc>
        <w:tc>
          <w:tcPr>
            <w:tcW w:w="1701" w:type="pct"/>
            <w:vAlign w:val="center"/>
          </w:tcPr>
          <w:p w14:paraId="01FA95FD">
            <w:pPr>
              <w:pStyle w:val="37"/>
              <w:adjustRightInd w:val="0"/>
              <w:rPr>
                <w:b/>
                <w:bCs/>
                <w:color w:val="auto"/>
                <w:highlight w:val="none"/>
              </w:rPr>
            </w:pPr>
            <w:r>
              <w:rPr>
                <w:b/>
                <w:bCs/>
                <w:color w:val="auto"/>
                <w:highlight w:val="none"/>
              </w:rPr>
              <w:t>本项目情况</w:t>
            </w:r>
          </w:p>
        </w:tc>
        <w:tc>
          <w:tcPr>
            <w:tcW w:w="468" w:type="pct"/>
            <w:vAlign w:val="center"/>
          </w:tcPr>
          <w:p w14:paraId="0558BB18">
            <w:pPr>
              <w:pStyle w:val="37"/>
              <w:adjustRightInd w:val="0"/>
              <w:rPr>
                <w:b/>
                <w:bCs/>
                <w:color w:val="auto"/>
                <w:highlight w:val="none"/>
              </w:rPr>
            </w:pPr>
            <w:r>
              <w:rPr>
                <w:b/>
                <w:bCs/>
                <w:color w:val="auto"/>
                <w:highlight w:val="none"/>
              </w:rPr>
              <w:t>符合性</w:t>
            </w:r>
          </w:p>
        </w:tc>
      </w:tr>
      <w:tr w14:paraId="4F45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Align w:val="center"/>
          </w:tcPr>
          <w:p w14:paraId="13D40369">
            <w:pPr>
              <w:pStyle w:val="37"/>
              <w:adjustRightInd w:val="0"/>
              <w:rPr>
                <w:color w:val="auto"/>
                <w:highlight w:val="none"/>
              </w:rPr>
            </w:pPr>
            <w:r>
              <w:rPr>
                <w:color w:val="auto"/>
                <w:highlight w:val="none"/>
              </w:rPr>
              <w:t>《四川省</w:t>
            </w:r>
            <w:r>
              <w:rPr>
                <w:rFonts w:hint="eastAsia"/>
                <w:color w:val="auto"/>
                <w:highlight w:val="none"/>
              </w:rPr>
              <w:t>“</w:t>
            </w:r>
            <w:r>
              <w:rPr>
                <w:color w:val="auto"/>
                <w:highlight w:val="none"/>
              </w:rPr>
              <w:t>十四五</w:t>
            </w:r>
            <w:r>
              <w:rPr>
                <w:rFonts w:hint="eastAsia"/>
                <w:color w:val="auto"/>
                <w:highlight w:val="none"/>
              </w:rPr>
              <w:t>”</w:t>
            </w:r>
            <w:r>
              <w:rPr>
                <w:color w:val="auto"/>
                <w:highlight w:val="none"/>
              </w:rPr>
              <w:t>重金属污染防控工作方案》（川污防攻坚办〔2022〕61号）</w:t>
            </w:r>
          </w:p>
        </w:tc>
        <w:tc>
          <w:tcPr>
            <w:tcW w:w="2339" w:type="pct"/>
            <w:vAlign w:val="center"/>
          </w:tcPr>
          <w:p w14:paraId="47939EE6">
            <w:pPr>
              <w:pStyle w:val="37"/>
              <w:adjustRightInd w:val="0"/>
              <w:jc w:val="both"/>
              <w:rPr>
                <w:color w:val="auto"/>
                <w:highlight w:val="none"/>
              </w:rPr>
            </w:pPr>
            <w:r>
              <w:rPr>
                <w:color w:val="auto"/>
                <w:highlight w:val="none"/>
              </w:rPr>
              <w:t>二、防控重点。</w:t>
            </w:r>
          </w:p>
          <w:p w14:paraId="0543A989">
            <w:pPr>
              <w:pStyle w:val="37"/>
              <w:adjustRightInd w:val="0"/>
              <w:jc w:val="both"/>
              <w:rPr>
                <w:color w:val="auto"/>
                <w:highlight w:val="none"/>
              </w:rPr>
            </w:pPr>
            <w:r>
              <w:rPr>
                <w:color w:val="auto"/>
                <w:highlight w:val="none"/>
              </w:rPr>
              <w:t>重点重金属污染物：铅、汞、铬、砷、铊和锑，并对铅、汞、镉、铬和砷五种重金属污染物排放量实施总量控制。</w:t>
            </w:r>
          </w:p>
          <w:p w14:paraId="0FCBA74B">
            <w:pPr>
              <w:pStyle w:val="37"/>
              <w:adjustRightInd w:val="0"/>
              <w:jc w:val="both"/>
              <w:rPr>
                <w:color w:val="auto"/>
                <w:highlight w:val="none"/>
              </w:rPr>
            </w:pPr>
            <w:r>
              <w:rPr>
                <w:color w:val="auto"/>
                <w:highlight w:val="none"/>
              </w:rPr>
              <w:t>重点行业：重有色金属矿采选业（铜、铅锌、镍钴、锡、锑和汞矿采选）、重有色金属冶炼业（铜、铅锌、镍钴、锡、锑和汞冶炼）、铅蓄电池制造业、电镀行业（包含专业电镀和有电镀工序的企业）、化学原料及化学制品制造业（电石法（聚）氯乙烯制造、铬盐制造、以工业固体废物为原料的锌无机化合物工业）、皮革鞣制加工业等6个行业。</w:t>
            </w:r>
          </w:p>
          <w:p w14:paraId="12DD9668">
            <w:pPr>
              <w:pStyle w:val="37"/>
              <w:adjustRightInd w:val="0"/>
              <w:jc w:val="both"/>
              <w:rPr>
                <w:color w:val="auto"/>
                <w:highlight w:val="none"/>
              </w:rPr>
            </w:pPr>
            <w:r>
              <w:rPr>
                <w:color w:val="auto"/>
                <w:highlight w:val="none"/>
              </w:rPr>
              <w:t>重点区域：雅安市汉源县、石棉县和凉山州甘洛县。</w:t>
            </w:r>
          </w:p>
        </w:tc>
        <w:tc>
          <w:tcPr>
            <w:tcW w:w="1701" w:type="pct"/>
            <w:vAlign w:val="center"/>
          </w:tcPr>
          <w:p w14:paraId="59DFC30F">
            <w:pPr>
              <w:pStyle w:val="37"/>
              <w:adjustRightInd w:val="0"/>
              <w:rPr>
                <w:color w:val="auto"/>
                <w:highlight w:val="none"/>
              </w:rPr>
            </w:pPr>
            <w:r>
              <w:rPr>
                <w:color w:val="auto"/>
                <w:highlight w:val="none"/>
              </w:rPr>
              <w:t>本项目位于乐山市沙湾区，不属于重点区域。</w:t>
            </w:r>
          </w:p>
          <w:p w14:paraId="784B07E3">
            <w:pPr>
              <w:pStyle w:val="37"/>
              <w:adjustRightInd w:val="0"/>
              <w:rPr>
                <w:color w:val="auto"/>
                <w:highlight w:val="none"/>
              </w:rPr>
            </w:pPr>
            <w:r>
              <w:rPr>
                <w:color w:val="auto"/>
                <w:highlight w:val="none"/>
              </w:rPr>
              <w:t>根据本项目原矿检测报告，本项目原矿中国家管控的重金属铅、汞、镉、铬、砷、铊、锑和园区管控的重金属铬、镍均为未检出。</w:t>
            </w:r>
          </w:p>
          <w:p w14:paraId="717A8FD0">
            <w:pPr>
              <w:pStyle w:val="37"/>
              <w:adjustRightInd w:val="0"/>
              <w:rPr>
                <w:color w:val="auto"/>
                <w:highlight w:val="none"/>
              </w:rPr>
            </w:pPr>
            <w:r>
              <w:rPr>
                <w:color w:val="auto"/>
                <w:highlight w:val="none"/>
              </w:rPr>
              <w:t>建设单位应严格落实本报告提出的分区防渗、强化大气污染治理等污染防治措施，从源头和生产过程上控制项目对区域地下水和土壤环境的污染源。</w:t>
            </w:r>
          </w:p>
        </w:tc>
        <w:tc>
          <w:tcPr>
            <w:tcW w:w="468" w:type="pct"/>
            <w:vAlign w:val="center"/>
          </w:tcPr>
          <w:p w14:paraId="05EC249D">
            <w:pPr>
              <w:pStyle w:val="37"/>
              <w:adjustRightInd w:val="0"/>
              <w:rPr>
                <w:color w:val="auto"/>
                <w:highlight w:val="none"/>
              </w:rPr>
            </w:pPr>
            <w:r>
              <w:rPr>
                <w:color w:val="auto"/>
                <w:highlight w:val="none"/>
              </w:rPr>
              <w:t>符合</w:t>
            </w:r>
          </w:p>
        </w:tc>
      </w:tr>
      <w:tr w14:paraId="07014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Align w:val="center"/>
          </w:tcPr>
          <w:p w14:paraId="30A28C1C">
            <w:pPr>
              <w:pStyle w:val="37"/>
              <w:adjustRightInd w:val="0"/>
              <w:rPr>
                <w:color w:val="auto"/>
                <w:highlight w:val="none"/>
              </w:rPr>
            </w:pPr>
            <w:r>
              <w:rPr>
                <w:color w:val="auto"/>
                <w:highlight w:val="none"/>
              </w:rPr>
              <w:t>《四川省重点行业重金属污染物排放指标管理办法（试</w:t>
            </w:r>
          </w:p>
          <w:p w14:paraId="66E5CF22">
            <w:pPr>
              <w:pStyle w:val="37"/>
              <w:adjustRightInd w:val="0"/>
              <w:rPr>
                <w:color w:val="auto"/>
                <w:highlight w:val="none"/>
              </w:rPr>
            </w:pPr>
            <w:r>
              <w:rPr>
                <w:color w:val="auto"/>
                <w:highlight w:val="none"/>
              </w:rPr>
              <w:t>行）</w:t>
            </w:r>
          </w:p>
        </w:tc>
        <w:tc>
          <w:tcPr>
            <w:tcW w:w="2339" w:type="pct"/>
            <w:vAlign w:val="center"/>
          </w:tcPr>
          <w:p w14:paraId="194837B3">
            <w:pPr>
              <w:pStyle w:val="37"/>
              <w:adjustRightInd w:val="0"/>
              <w:jc w:val="both"/>
              <w:rPr>
                <w:color w:val="auto"/>
                <w:highlight w:val="none"/>
              </w:rPr>
            </w:pPr>
            <w:r>
              <w:rPr>
                <w:color w:val="auto"/>
                <w:highlight w:val="none"/>
              </w:rPr>
              <w:t>第三条重点行业包括重有色金属矿（含伴生矿）采选业（铜、铅锌、镍钻、锡、</w:t>
            </w:r>
            <w:r>
              <w:rPr>
                <w:rFonts w:hint="eastAsia"/>
                <w:color w:val="auto"/>
                <w:highlight w:val="none"/>
              </w:rPr>
              <w:t>锑</w:t>
            </w:r>
            <w:r>
              <w:rPr>
                <w:color w:val="auto"/>
                <w:highlight w:val="none"/>
              </w:rPr>
              <w:t>和汞矿采选等）、重有色金属</w:t>
            </w:r>
            <w:r>
              <w:rPr>
                <w:rFonts w:hint="eastAsia"/>
                <w:color w:val="auto"/>
                <w:highlight w:val="none"/>
              </w:rPr>
              <w:t>冶炼业</w:t>
            </w:r>
            <w:r>
              <w:rPr>
                <w:color w:val="auto"/>
                <w:highlight w:val="none"/>
              </w:rPr>
              <w:t>（铜、铝锌、镍锆、锡、锈、汞</w:t>
            </w:r>
            <w:r>
              <w:rPr>
                <w:rFonts w:hint="eastAsia"/>
                <w:color w:val="auto"/>
                <w:highlight w:val="none"/>
              </w:rPr>
              <w:t>冶炼</w:t>
            </w:r>
            <w:r>
              <w:rPr>
                <w:color w:val="auto"/>
                <w:highlight w:val="none"/>
              </w:rPr>
              <w:t>和前述金属再生冶炼等）、铅蓄电池制造业、皮革及其制品业（皮革</w:t>
            </w:r>
            <w:r>
              <w:rPr>
                <w:rFonts w:hint="eastAsia"/>
                <w:color w:val="auto"/>
                <w:highlight w:val="none"/>
              </w:rPr>
              <w:t>制鞋</w:t>
            </w:r>
            <w:r>
              <w:rPr>
                <w:color w:val="auto"/>
                <w:highlight w:val="none"/>
              </w:rPr>
              <w:t>加工等）、化学原料及化学制品制造业（电石法聚氯乙烯制造、</w:t>
            </w:r>
            <w:r>
              <w:rPr>
                <w:rFonts w:hint="eastAsia"/>
                <w:color w:val="auto"/>
                <w:highlight w:val="none"/>
              </w:rPr>
              <w:t>铬盐</w:t>
            </w:r>
            <w:r>
              <w:rPr>
                <w:color w:val="auto"/>
                <w:highlight w:val="none"/>
              </w:rPr>
              <w:t>制造、以工业固废为原料的锌无机化合物工业等）、电镀行业。</w:t>
            </w:r>
          </w:p>
          <w:p w14:paraId="028D9A89">
            <w:pPr>
              <w:pStyle w:val="37"/>
              <w:adjustRightInd w:val="0"/>
              <w:jc w:val="both"/>
              <w:rPr>
                <w:color w:val="auto"/>
                <w:highlight w:val="none"/>
              </w:rPr>
            </w:pPr>
            <w:r>
              <w:rPr>
                <w:color w:val="auto"/>
                <w:highlight w:val="none"/>
              </w:rPr>
              <w:t>第四条新、改（扩）建重点行业建设项目应遵循重金属污染物排放</w:t>
            </w:r>
            <w:r>
              <w:rPr>
                <w:rFonts w:hint="eastAsia"/>
                <w:color w:val="auto"/>
                <w:highlight w:val="none"/>
              </w:rPr>
              <w:t>“</w:t>
            </w:r>
            <w:r>
              <w:rPr>
                <w:color w:val="auto"/>
                <w:highlight w:val="none"/>
              </w:rPr>
              <w:t>减量置换</w:t>
            </w:r>
            <w:r>
              <w:rPr>
                <w:rFonts w:hint="eastAsia"/>
                <w:color w:val="auto"/>
                <w:highlight w:val="none"/>
              </w:rPr>
              <w:t>”</w:t>
            </w:r>
            <w:r>
              <w:rPr>
                <w:color w:val="auto"/>
                <w:highlight w:val="none"/>
              </w:rPr>
              <w:t>或</w:t>
            </w:r>
            <w:r>
              <w:rPr>
                <w:rFonts w:hint="eastAsia"/>
                <w:color w:val="auto"/>
                <w:highlight w:val="none"/>
              </w:rPr>
              <w:t>“</w:t>
            </w:r>
            <w:r>
              <w:rPr>
                <w:color w:val="auto"/>
                <w:highlight w:val="none"/>
              </w:rPr>
              <w:t>等量替换</w:t>
            </w:r>
            <w:r>
              <w:rPr>
                <w:rFonts w:hint="eastAsia"/>
                <w:color w:val="auto"/>
                <w:highlight w:val="none"/>
              </w:rPr>
              <w:t>”</w:t>
            </w:r>
            <w:r>
              <w:rPr>
                <w:color w:val="auto"/>
                <w:highlight w:val="none"/>
              </w:rPr>
              <w:t>的原则：建设单位提交环境影响评价文件时，应明确新增重金属污染物排</w:t>
            </w:r>
          </w:p>
        </w:tc>
        <w:tc>
          <w:tcPr>
            <w:tcW w:w="1701" w:type="pct"/>
            <w:vAlign w:val="center"/>
          </w:tcPr>
          <w:p w14:paraId="0D6E1858">
            <w:pPr>
              <w:pStyle w:val="37"/>
              <w:adjustRightInd w:val="0"/>
              <w:rPr>
                <w:color w:val="auto"/>
                <w:highlight w:val="none"/>
              </w:rPr>
            </w:pPr>
            <w:r>
              <w:rPr>
                <w:color w:val="auto"/>
                <w:highlight w:val="none"/>
              </w:rPr>
              <w:t>本项目不属于重有色金属矿（含伴生矿）采选业、重有色金属</w:t>
            </w:r>
            <w:r>
              <w:rPr>
                <w:rFonts w:hint="eastAsia"/>
                <w:color w:val="auto"/>
                <w:highlight w:val="none"/>
              </w:rPr>
              <w:t>冶炼业</w:t>
            </w:r>
            <w:r>
              <w:rPr>
                <w:color w:val="auto"/>
                <w:highlight w:val="none"/>
              </w:rPr>
              <w:t>、铅蓄电池制造业、皮革及其制品业、化学原料及化学制品制造业、电镀行业。根据本项目原矿检测报告，本项目原矿中国家管控的重金属铅、汞、镉、铬、砷、铊、锑。</w:t>
            </w:r>
          </w:p>
        </w:tc>
        <w:tc>
          <w:tcPr>
            <w:tcW w:w="468" w:type="pct"/>
            <w:vAlign w:val="center"/>
          </w:tcPr>
          <w:p w14:paraId="53A89FA4">
            <w:pPr>
              <w:pStyle w:val="37"/>
              <w:adjustRightInd w:val="0"/>
              <w:rPr>
                <w:color w:val="auto"/>
                <w:highlight w:val="none"/>
              </w:rPr>
            </w:pPr>
            <w:r>
              <w:rPr>
                <w:color w:val="auto"/>
                <w:highlight w:val="none"/>
              </w:rPr>
              <w:t>符合</w:t>
            </w:r>
          </w:p>
        </w:tc>
      </w:tr>
      <w:tr w14:paraId="0948C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restart"/>
            <w:vAlign w:val="center"/>
          </w:tcPr>
          <w:p w14:paraId="56E1658E">
            <w:pPr>
              <w:pStyle w:val="37"/>
              <w:adjustRightInd w:val="0"/>
              <w:rPr>
                <w:color w:val="auto"/>
                <w:highlight w:val="none"/>
              </w:rPr>
            </w:pPr>
            <w:r>
              <w:rPr>
                <w:color w:val="auto"/>
                <w:highlight w:val="none"/>
              </w:rPr>
              <w:t>《关于进一步加强重金属污染防控的意见》（环固体〔2022〕17号）</w:t>
            </w:r>
          </w:p>
        </w:tc>
        <w:tc>
          <w:tcPr>
            <w:tcW w:w="2339" w:type="pct"/>
            <w:vAlign w:val="center"/>
          </w:tcPr>
          <w:p w14:paraId="2001DC9E">
            <w:pPr>
              <w:pStyle w:val="37"/>
              <w:adjustRightInd w:val="0"/>
              <w:jc w:val="both"/>
              <w:rPr>
                <w:color w:val="auto"/>
                <w:highlight w:val="none"/>
              </w:rPr>
            </w:pPr>
            <w:r>
              <w:rPr>
                <w:color w:val="auto"/>
                <w:highlight w:val="none"/>
              </w:rPr>
              <w:t>重点重金属污染物。重点防控的重金属污染物是铅、汞、镉、镉、砷、铊和锑，并对铅、汞、镉、镉和砷五种重点重金属污染物排放量实施总量控制。</w:t>
            </w:r>
          </w:p>
          <w:p w14:paraId="02795FAF">
            <w:pPr>
              <w:pStyle w:val="37"/>
              <w:adjustRightInd w:val="0"/>
              <w:jc w:val="both"/>
              <w:rPr>
                <w:color w:val="auto"/>
                <w:highlight w:val="none"/>
              </w:rPr>
            </w:pPr>
            <w:r>
              <w:rPr>
                <w:color w:val="auto"/>
                <w:highlight w:val="none"/>
              </w:rPr>
              <w:t>重点行业。包括重有色金属矿采选业（铜、铅锌、</w:t>
            </w:r>
            <w:r>
              <w:rPr>
                <w:rFonts w:hint="eastAsia"/>
                <w:color w:val="auto"/>
                <w:highlight w:val="none"/>
              </w:rPr>
              <w:t>镍钴</w:t>
            </w:r>
            <w:r>
              <w:rPr>
                <w:color w:val="auto"/>
                <w:highlight w:val="none"/>
              </w:rPr>
              <w:t>、锡、锑和汞矿采选），重有色金属</w:t>
            </w:r>
            <w:r>
              <w:rPr>
                <w:rFonts w:hint="eastAsia"/>
                <w:color w:val="auto"/>
                <w:highlight w:val="none"/>
              </w:rPr>
              <w:t>冶炼业</w:t>
            </w:r>
            <w:r>
              <w:rPr>
                <w:color w:val="auto"/>
                <w:highlight w:val="none"/>
              </w:rPr>
              <w:t>（铜、铅锌、</w:t>
            </w:r>
            <w:r>
              <w:rPr>
                <w:rFonts w:hint="eastAsia"/>
                <w:color w:val="auto"/>
                <w:highlight w:val="none"/>
              </w:rPr>
              <w:t>镍钴</w:t>
            </w:r>
            <w:r>
              <w:rPr>
                <w:color w:val="auto"/>
                <w:highlight w:val="none"/>
              </w:rPr>
              <w:t>、锡、锑和汞冶炼），铅蓄电池制造业，电镀行业，化学原料及化学制品制造业（电石法（聚）氯乙烯制造、铬盐制造、以工业固体废物为原料的锌无机化合物工业），皮革鞣制加工业等6个行业。</w:t>
            </w:r>
          </w:p>
          <w:p w14:paraId="05587E97">
            <w:pPr>
              <w:pStyle w:val="37"/>
              <w:adjustRightInd w:val="0"/>
              <w:jc w:val="both"/>
              <w:rPr>
                <w:color w:val="auto"/>
                <w:highlight w:val="none"/>
              </w:rPr>
            </w:pPr>
            <w:r>
              <w:rPr>
                <w:color w:val="auto"/>
                <w:highlight w:val="none"/>
              </w:rPr>
              <w:t>重点区域。依据重金属污染物排放状况、环境质量改善和环境风险防控需求，划定重金属污染防控重点区域。</w:t>
            </w:r>
          </w:p>
          <w:p w14:paraId="2EFD1B4F">
            <w:pPr>
              <w:pStyle w:val="37"/>
              <w:adjustRightInd w:val="0"/>
              <w:jc w:val="both"/>
              <w:rPr>
                <w:color w:val="auto"/>
                <w:highlight w:val="none"/>
              </w:rPr>
            </w:pPr>
            <w:r>
              <w:rPr>
                <w:color w:val="auto"/>
                <w:highlight w:val="none"/>
              </w:rPr>
              <w:t>鼓励地方根据本地生态环境质量改善目标和重金属污染状况，确定上述要求以外的重点重金属污染物、重点行业和重点区域。</w:t>
            </w:r>
          </w:p>
        </w:tc>
        <w:tc>
          <w:tcPr>
            <w:tcW w:w="1701" w:type="pct"/>
            <w:vAlign w:val="center"/>
          </w:tcPr>
          <w:p w14:paraId="3F0D75DD">
            <w:pPr>
              <w:pStyle w:val="37"/>
              <w:adjustRightInd w:val="0"/>
              <w:rPr>
                <w:color w:val="auto"/>
                <w:highlight w:val="none"/>
              </w:rPr>
            </w:pPr>
            <w:r>
              <w:rPr>
                <w:color w:val="auto"/>
                <w:highlight w:val="none"/>
              </w:rPr>
              <w:t>根据本项目原矿检测报告，本项目原矿中国家管控的重金属铅、汞、镉、铬、砷、铊、锑。本项目不属于重有色金属矿采选业、重有色金属</w:t>
            </w:r>
            <w:r>
              <w:rPr>
                <w:rFonts w:hint="eastAsia"/>
                <w:color w:val="auto"/>
                <w:highlight w:val="none"/>
              </w:rPr>
              <w:t>冶炼业</w:t>
            </w:r>
            <w:r>
              <w:rPr>
                <w:color w:val="auto"/>
                <w:highlight w:val="none"/>
              </w:rPr>
              <w:t>、铅蓄电池制造业、电镀行业，化学原料及化学制品制造业、皮革鞣制加工业。</w:t>
            </w:r>
          </w:p>
        </w:tc>
        <w:tc>
          <w:tcPr>
            <w:tcW w:w="468" w:type="pct"/>
            <w:vAlign w:val="center"/>
          </w:tcPr>
          <w:p w14:paraId="026F7784">
            <w:pPr>
              <w:pStyle w:val="37"/>
              <w:adjustRightInd w:val="0"/>
              <w:rPr>
                <w:color w:val="auto"/>
                <w:highlight w:val="none"/>
              </w:rPr>
            </w:pPr>
            <w:r>
              <w:rPr>
                <w:color w:val="auto"/>
                <w:highlight w:val="none"/>
              </w:rPr>
              <w:t>符合</w:t>
            </w:r>
          </w:p>
        </w:tc>
      </w:tr>
      <w:tr w14:paraId="690E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47BBF26B">
            <w:pPr>
              <w:pStyle w:val="37"/>
              <w:adjustRightInd w:val="0"/>
              <w:rPr>
                <w:color w:val="auto"/>
                <w:highlight w:val="none"/>
              </w:rPr>
            </w:pPr>
          </w:p>
        </w:tc>
        <w:tc>
          <w:tcPr>
            <w:tcW w:w="2339" w:type="pct"/>
            <w:vAlign w:val="center"/>
          </w:tcPr>
          <w:p w14:paraId="104FBEEB">
            <w:pPr>
              <w:pStyle w:val="37"/>
              <w:adjustRightInd w:val="0"/>
              <w:jc w:val="both"/>
              <w:rPr>
                <w:color w:val="auto"/>
                <w:highlight w:val="none"/>
              </w:rPr>
            </w:pPr>
            <w:r>
              <w:rPr>
                <w:color w:val="auto"/>
                <w:highlight w:val="none"/>
              </w:rPr>
              <w:t>加强重金属污染源头防控，减少使用高镉、高砷或高铊的矿石原料。</w:t>
            </w:r>
          </w:p>
        </w:tc>
        <w:tc>
          <w:tcPr>
            <w:tcW w:w="1701" w:type="pct"/>
            <w:vAlign w:val="center"/>
          </w:tcPr>
          <w:p w14:paraId="5E5BEF92">
            <w:pPr>
              <w:pStyle w:val="37"/>
              <w:adjustRightInd w:val="0"/>
              <w:rPr>
                <w:color w:val="auto"/>
                <w:highlight w:val="none"/>
              </w:rPr>
            </w:pPr>
            <w:r>
              <w:rPr>
                <w:color w:val="auto"/>
                <w:highlight w:val="none"/>
              </w:rPr>
              <w:t>根据锂辉石原矿检测报告，锂辉石原矿不含</w:t>
            </w:r>
            <w:r>
              <w:rPr>
                <w:rFonts w:hint="eastAsia"/>
                <w:color w:val="auto"/>
                <w:highlight w:val="none"/>
              </w:rPr>
              <w:t>铅、汞、镉、铬、砷、铊、锑</w:t>
            </w:r>
            <w:r>
              <w:rPr>
                <w:color w:val="auto"/>
                <w:highlight w:val="none"/>
              </w:rPr>
              <w:t>。</w:t>
            </w:r>
          </w:p>
        </w:tc>
        <w:tc>
          <w:tcPr>
            <w:tcW w:w="468" w:type="pct"/>
            <w:vAlign w:val="center"/>
          </w:tcPr>
          <w:p w14:paraId="0802A8B5">
            <w:pPr>
              <w:pStyle w:val="37"/>
              <w:adjustRightInd w:val="0"/>
              <w:rPr>
                <w:color w:val="auto"/>
                <w:highlight w:val="none"/>
              </w:rPr>
            </w:pPr>
            <w:r>
              <w:rPr>
                <w:color w:val="auto"/>
                <w:highlight w:val="none"/>
              </w:rPr>
              <w:t>符合</w:t>
            </w:r>
          </w:p>
        </w:tc>
      </w:tr>
      <w:tr w14:paraId="04D03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78EC2463">
            <w:pPr>
              <w:pStyle w:val="37"/>
              <w:adjustRightInd w:val="0"/>
              <w:rPr>
                <w:color w:val="auto"/>
                <w:highlight w:val="none"/>
              </w:rPr>
            </w:pPr>
          </w:p>
        </w:tc>
        <w:tc>
          <w:tcPr>
            <w:tcW w:w="2339" w:type="pct"/>
            <w:vAlign w:val="center"/>
          </w:tcPr>
          <w:p w14:paraId="163CF197">
            <w:pPr>
              <w:pStyle w:val="37"/>
              <w:adjustRightInd w:val="0"/>
              <w:jc w:val="both"/>
              <w:rPr>
                <w:color w:val="auto"/>
                <w:highlight w:val="none"/>
              </w:rPr>
            </w:pPr>
            <w:r>
              <w:rPr>
                <w:color w:val="auto"/>
                <w:highlight w:val="none"/>
              </w:rPr>
              <w:t>重有色金属矿采选企业要按照规定完善废石堆场、排土场周边雨污分流设施，建设酸性废水收集与处理设施，处理达标后排放。采用</w:t>
            </w:r>
            <w:r>
              <w:rPr>
                <w:rFonts w:hint="eastAsia"/>
                <w:color w:val="auto"/>
                <w:highlight w:val="none"/>
              </w:rPr>
              <w:t>洒水</w:t>
            </w:r>
            <w:r>
              <w:rPr>
                <w:color w:val="auto"/>
                <w:highlight w:val="none"/>
              </w:rPr>
              <w:t>、旋风等简易除尘治理工艺的重有色金属矿采选企业，应加强废气收集，实施过滤除尘等颗粒物治理升级改造工程。</w:t>
            </w:r>
          </w:p>
        </w:tc>
        <w:tc>
          <w:tcPr>
            <w:tcW w:w="1701" w:type="pct"/>
            <w:vAlign w:val="center"/>
          </w:tcPr>
          <w:p w14:paraId="3B0CD8A4">
            <w:pPr>
              <w:pStyle w:val="37"/>
              <w:adjustRightInd w:val="0"/>
              <w:rPr>
                <w:color w:val="auto"/>
                <w:highlight w:val="none"/>
              </w:rPr>
            </w:pPr>
            <w:r>
              <w:rPr>
                <w:color w:val="auto"/>
                <w:highlight w:val="none"/>
              </w:rPr>
              <w:t>本项目不属于重有色金属矿采选业</w:t>
            </w:r>
          </w:p>
        </w:tc>
        <w:tc>
          <w:tcPr>
            <w:tcW w:w="468" w:type="pct"/>
            <w:vAlign w:val="center"/>
          </w:tcPr>
          <w:p w14:paraId="76DFDA8D">
            <w:pPr>
              <w:pStyle w:val="37"/>
              <w:adjustRightInd w:val="0"/>
              <w:rPr>
                <w:color w:val="auto"/>
                <w:highlight w:val="none"/>
              </w:rPr>
            </w:pPr>
            <w:r>
              <w:rPr>
                <w:color w:val="auto"/>
                <w:highlight w:val="none"/>
              </w:rPr>
              <w:t>符合</w:t>
            </w:r>
          </w:p>
        </w:tc>
      </w:tr>
      <w:tr w14:paraId="768E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9" w:type="pct"/>
            <w:vMerge w:val="continue"/>
            <w:vAlign w:val="center"/>
          </w:tcPr>
          <w:p w14:paraId="43F2B2D0">
            <w:pPr>
              <w:pStyle w:val="37"/>
              <w:adjustRightInd w:val="0"/>
              <w:rPr>
                <w:color w:val="auto"/>
                <w:highlight w:val="none"/>
              </w:rPr>
            </w:pPr>
          </w:p>
        </w:tc>
        <w:tc>
          <w:tcPr>
            <w:tcW w:w="2339" w:type="pct"/>
            <w:vAlign w:val="center"/>
          </w:tcPr>
          <w:p w14:paraId="50C2C129">
            <w:pPr>
              <w:pStyle w:val="37"/>
              <w:adjustRightInd w:val="0"/>
              <w:jc w:val="both"/>
              <w:rPr>
                <w:color w:val="auto"/>
                <w:highlight w:val="none"/>
              </w:rPr>
            </w:pPr>
            <w:r>
              <w:rPr>
                <w:color w:val="auto"/>
                <w:highlight w:val="none"/>
              </w:rPr>
              <w:t>加强重点行业企业废渣场环境管理，完善防渗漏、防流失、防扬散等措施。</w:t>
            </w:r>
          </w:p>
        </w:tc>
        <w:tc>
          <w:tcPr>
            <w:tcW w:w="1701" w:type="pct"/>
            <w:vAlign w:val="center"/>
          </w:tcPr>
          <w:p w14:paraId="5A791570">
            <w:pPr>
              <w:pStyle w:val="37"/>
              <w:adjustRightInd w:val="0"/>
              <w:rPr>
                <w:color w:val="auto"/>
                <w:highlight w:val="none"/>
              </w:rPr>
            </w:pPr>
            <w:r>
              <w:rPr>
                <w:color w:val="auto"/>
                <w:highlight w:val="none"/>
              </w:rPr>
              <w:t>本项目无废渣场</w:t>
            </w:r>
          </w:p>
        </w:tc>
        <w:tc>
          <w:tcPr>
            <w:tcW w:w="468" w:type="pct"/>
            <w:vAlign w:val="center"/>
          </w:tcPr>
          <w:p w14:paraId="723857D4">
            <w:pPr>
              <w:pStyle w:val="37"/>
              <w:adjustRightInd w:val="0"/>
              <w:rPr>
                <w:color w:val="auto"/>
                <w:highlight w:val="none"/>
              </w:rPr>
            </w:pPr>
            <w:r>
              <w:rPr>
                <w:color w:val="auto"/>
                <w:highlight w:val="none"/>
              </w:rPr>
              <w:t>符合</w:t>
            </w:r>
          </w:p>
        </w:tc>
      </w:tr>
    </w:tbl>
    <w:p w14:paraId="4F1F5550">
      <w:pPr>
        <w:pStyle w:val="5"/>
        <w:adjustRightInd w:val="0"/>
        <w:rPr>
          <w:rFonts w:cs="Times New Roman"/>
          <w:color w:val="auto"/>
          <w:highlight w:val="none"/>
        </w:rPr>
      </w:pPr>
      <w:r>
        <w:rPr>
          <w:rFonts w:cs="Times New Roman"/>
          <w:color w:val="auto"/>
          <w:highlight w:val="none"/>
        </w:rPr>
        <w:t>与绩效等级B级相关要求符合性分析</w:t>
      </w:r>
    </w:p>
    <w:p w14:paraId="0018CC23">
      <w:pPr>
        <w:adjustRightInd w:val="0"/>
        <w:ind w:firstLine="480"/>
        <w:rPr>
          <w:rFonts w:cs="Times New Roman"/>
          <w:color w:val="auto"/>
          <w:highlight w:val="none"/>
        </w:rPr>
      </w:pPr>
      <w:r>
        <w:rPr>
          <w:rFonts w:hint="eastAsia" w:cs="Times New Roman"/>
          <w:color w:val="auto"/>
          <w:highlight w:val="none"/>
        </w:rPr>
        <w:t>本项目将按照《四川省重污染天气金属表面处理及热处理加工等10个行业应急减排措施制定技术指南》（2024年修订版）和《四川省生态环境厅办公室关于重污染天气重点行业绩效分级有关事项的通知》（川环办函〔2024〕337号）中的要求进行绩效等级B级相关要求符合性分析。</w:t>
      </w:r>
      <w:r>
        <w:rPr>
          <w:rFonts w:cs="Times New Roman"/>
          <w:color w:val="auto"/>
          <w:highlight w:val="none"/>
        </w:rPr>
        <w:t>根据《四川省重污染天气金属表面处理及热处理加工等10个行业应急减排措施制定技术指南》</w:t>
      </w:r>
      <w:r>
        <w:rPr>
          <w:rFonts w:hint="eastAsia" w:cs="Times New Roman"/>
          <w:color w:val="auto"/>
          <w:highlight w:val="none"/>
        </w:rPr>
        <w:t>（2024年修订版）</w:t>
      </w:r>
      <w:r>
        <w:rPr>
          <w:rFonts w:cs="Times New Roman"/>
          <w:color w:val="auto"/>
          <w:highlight w:val="none"/>
        </w:rPr>
        <w:t>中</w:t>
      </w:r>
      <w:r>
        <w:rPr>
          <w:rFonts w:hint="eastAsia" w:cs="Times New Roman"/>
          <w:color w:val="auto"/>
          <w:highlight w:val="none"/>
        </w:rPr>
        <w:t>“</w:t>
      </w:r>
      <w:r>
        <w:rPr>
          <w:rFonts w:cs="Times New Roman"/>
          <w:color w:val="auto"/>
          <w:highlight w:val="none"/>
        </w:rPr>
        <w:t>二、矿石采选与石材加工</w:t>
      </w:r>
      <w:r>
        <w:rPr>
          <w:rFonts w:hint="eastAsia" w:cs="Times New Roman"/>
          <w:color w:val="auto"/>
          <w:highlight w:val="none"/>
        </w:rPr>
        <w:t>”</w:t>
      </w:r>
      <w:r>
        <w:rPr>
          <w:rFonts w:cs="Times New Roman"/>
          <w:color w:val="auto"/>
          <w:highlight w:val="none"/>
        </w:rPr>
        <w:t>适用范围为：适用于《国民经济行业分类》（GB/T 4754-2017）中的B08黑色金属矿采选业、</w:t>
      </w:r>
      <w:r>
        <w:rPr>
          <w:rFonts w:cs="Times New Roman"/>
          <w:b/>
          <w:bCs/>
          <w:color w:val="auto"/>
          <w:highlight w:val="none"/>
        </w:rPr>
        <w:t>B09有色金属矿采选业</w:t>
      </w:r>
      <w:r>
        <w:rPr>
          <w:rFonts w:cs="Times New Roman"/>
          <w:color w:val="auto"/>
          <w:highlight w:val="none"/>
        </w:rPr>
        <w:t>、B10非金属矿采选业、C3032建筑用石加工业。</w:t>
      </w:r>
    </w:p>
    <w:p w14:paraId="525C07AC">
      <w:pPr>
        <w:adjustRightInd w:val="0"/>
        <w:ind w:firstLine="480"/>
        <w:rPr>
          <w:rFonts w:cs="Times New Roman"/>
          <w:color w:val="auto"/>
          <w:highlight w:val="none"/>
        </w:rPr>
      </w:pPr>
      <w:r>
        <w:rPr>
          <w:rFonts w:cs="Times New Roman"/>
          <w:color w:val="auto"/>
          <w:highlight w:val="none"/>
        </w:rPr>
        <w:t>本项目与矿石采选与石材加工行业绩效分级指标中相关要求的符合性分析如下。</w:t>
      </w:r>
    </w:p>
    <w:p w14:paraId="2F9F2ABA">
      <w:pPr>
        <w:adjustRightInd w:val="0"/>
        <w:ind w:firstLine="480"/>
        <w:rPr>
          <w:rFonts w:cs="Times New Roman"/>
          <w:color w:val="auto"/>
          <w:highlight w:val="none"/>
        </w:rPr>
        <w:sectPr>
          <w:headerReference r:id="rId11" w:type="default"/>
          <w:footerReference r:id="rId12" w:type="default"/>
          <w:pgSz w:w="11906" w:h="16838"/>
          <w:pgMar w:top="1440" w:right="1800" w:bottom="1440" w:left="1800" w:header="851" w:footer="992" w:gutter="0"/>
          <w:pgNumType w:start="1"/>
          <w:cols w:space="425" w:num="1"/>
          <w:docGrid w:type="lines" w:linePitch="326" w:charSpace="0"/>
        </w:sectPr>
      </w:pPr>
    </w:p>
    <w:p w14:paraId="0836EF80">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22</w:t>
      </w:r>
      <w:r>
        <w:rPr>
          <w:rFonts w:cs="Times New Roman"/>
          <w:color w:val="auto"/>
          <w:highlight w:val="none"/>
        </w:rPr>
        <w:fldChar w:fldCharType="end"/>
      </w:r>
      <w:r>
        <w:rPr>
          <w:rFonts w:cs="Times New Roman"/>
          <w:color w:val="auto"/>
          <w:highlight w:val="none"/>
        </w:rPr>
        <w:t>本项目与矿石采选行业绩效分级指标中相关要求的符合性分析</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8"/>
        <w:gridCol w:w="2823"/>
        <w:gridCol w:w="2831"/>
        <w:gridCol w:w="4427"/>
        <w:gridCol w:w="2636"/>
      </w:tblGrid>
      <w:tr w14:paraId="0092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1" w:type="pct"/>
            <w:vAlign w:val="center"/>
          </w:tcPr>
          <w:p w14:paraId="3E8EB161">
            <w:pPr>
              <w:overflowPunct w:val="0"/>
              <w:adjustRightInd w:val="0"/>
              <w:spacing w:before="65" w:beforeLines="20" w:after="65" w:afterLines="20" w:line="240" w:lineRule="auto"/>
              <w:ind w:firstLine="0" w:firstLineChars="0"/>
              <w:jc w:val="center"/>
              <w:rPr>
                <w:rFonts w:cs="Times New Roman"/>
                <w:b/>
                <w:bCs/>
                <w:color w:val="auto"/>
                <w:kern w:val="21"/>
                <w:sz w:val="21"/>
                <w:highlight w:val="none"/>
                <w:lang w:bidi="ar"/>
              </w:rPr>
            </w:pPr>
            <w:r>
              <w:rPr>
                <w:rFonts w:cs="Times New Roman"/>
                <w:b/>
                <w:bCs/>
                <w:color w:val="auto"/>
                <w:kern w:val="21"/>
                <w:sz w:val="21"/>
                <w:highlight w:val="none"/>
                <w:lang w:bidi="ar"/>
              </w:rPr>
              <w:t>差异化指标</w:t>
            </w:r>
          </w:p>
        </w:tc>
        <w:tc>
          <w:tcPr>
            <w:tcW w:w="996" w:type="pct"/>
            <w:vAlign w:val="center"/>
          </w:tcPr>
          <w:p w14:paraId="0337B2B4">
            <w:pPr>
              <w:overflowPunct w:val="0"/>
              <w:adjustRightInd w:val="0"/>
              <w:spacing w:before="65" w:beforeLines="20" w:after="65" w:afterLines="20" w:line="240" w:lineRule="auto"/>
              <w:ind w:firstLine="0" w:firstLineChars="0"/>
              <w:jc w:val="center"/>
              <w:rPr>
                <w:rFonts w:cs="Times New Roman"/>
                <w:b/>
                <w:bCs/>
                <w:color w:val="auto"/>
                <w:kern w:val="21"/>
                <w:sz w:val="21"/>
                <w:highlight w:val="none"/>
                <w:lang w:bidi="ar"/>
              </w:rPr>
            </w:pPr>
            <w:r>
              <w:rPr>
                <w:rFonts w:cs="Times New Roman"/>
                <w:b/>
                <w:bCs/>
                <w:color w:val="auto"/>
                <w:kern w:val="21"/>
                <w:sz w:val="21"/>
                <w:highlight w:val="none"/>
                <w:lang w:bidi="ar"/>
              </w:rPr>
              <w:t>A级企业</w:t>
            </w:r>
          </w:p>
        </w:tc>
        <w:tc>
          <w:tcPr>
            <w:tcW w:w="999" w:type="pct"/>
            <w:vAlign w:val="center"/>
          </w:tcPr>
          <w:p w14:paraId="0ACF5C6A">
            <w:pPr>
              <w:overflowPunct w:val="0"/>
              <w:adjustRightInd w:val="0"/>
              <w:spacing w:before="65" w:beforeLines="20" w:after="65" w:afterLines="20" w:line="240" w:lineRule="auto"/>
              <w:ind w:firstLine="0" w:firstLineChars="0"/>
              <w:jc w:val="center"/>
              <w:rPr>
                <w:rFonts w:cs="Times New Roman"/>
                <w:b/>
                <w:bCs/>
                <w:color w:val="auto"/>
                <w:kern w:val="21"/>
                <w:sz w:val="21"/>
                <w:highlight w:val="none"/>
                <w:lang w:bidi="ar"/>
              </w:rPr>
            </w:pPr>
            <w:r>
              <w:rPr>
                <w:rFonts w:cs="Times New Roman"/>
                <w:b/>
                <w:bCs/>
                <w:color w:val="auto"/>
                <w:kern w:val="21"/>
                <w:sz w:val="21"/>
                <w:highlight w:val="none"/>
                <w:lang w:bidi="ar"/>
              </w:rPr>
              <w:t>B级企业</w:t>
            </w:r>
          </w:p>
        </w:tc>
        <w:tc>
          <w:tcPr>
            <w:tcW w:w="1562" w:type="pct"/>
            <w:vAlign w:val="center"/>
          </w:tcPr>
          <w:p w14:paraId="50190AC0">
            <w:pPr>
              <w:overflowPunct w:val="0"/>
              <w:adjustRightInd w:val="0"/>
              <w:spacing w:before="65" w:beforeLines="20" w:after="65" w:afterLines="20" w:line="240" w:lineRule="auto"/>
              <w:ind w:firstLine="0" w:firstLineChars="0"/>
              <w:jc w:val="center"/>
              <w:rPr>
                <w:rFonts w:cs="Times New Roman"/>
                <w:b/>
                <w:bCs/>
                <w:color w:val="auto"/>
                <w:kern w:val="21"/>
                <w:sz w:val="21"/>
                <w:highlight w:val="none"/>
                <w:lang w:bidi="ar"/>
              </w:rPr>
            </w:pPr>
            <w:r>
              <w:rPr>
                <w:rFonts w:cs="Times New Roman"/>
                <w:b/>
                <w:bCs/>
                <w:color w:val="auto"/>
                <w:kern w:val="21"/>
                <w:sz w:val="21"/>
                <w:highlight w:val="none"/>
                <w:lang w:bidi="ar"/>
              </w:rPr>
              <w:t>本项目建设情况</w:t>
            </w:r>
          </w:p>
        </w:tc>
        <w:tc>
          <w:tcPr>
            <w:tcW w:w="930" w:type="pct"/>
            <w:vAlign w:val="center"/>
          </w:tcPr>
          <w:p w14:paraId="6BBE5A14">
            <w:pPr>
              <w:overflowPunct w:val="0"/>
              <w:adjustRightInd w:val="0"/>
              <w:spacing w:before="65" w:beforeLines="20" w:after="65" w:afterLines="20" w:line="240" w:lineRule="auto"/>
              <w:ind w:firstLine="0" w:firstLineChars="0"/>
              <w:jc w:val="center"/>
              <w:rPr>
                <w:rFonts w:cs="Times New Roman"/>
                <w:b/>
                <w:bCs/>
                <w:color w:val="auto"/>
                <w:kern w:val="21"/>
                <w:sz w:val="21"/>
                <w:highlight w:val="none"/>
                <w:lang w:bidi="ar"/>
              </w:rPr>
            </w:pPr>
            <w:r>
              <w:rPr>
                <w:rFonts w:cs="Times New Roman"/>
                <w:b/>
                <w:bCs/>
                <w:color w:val="auto"/>
                <w:kern w:val="21"/>
                <w:sz w:val="21"/>
                <w:highlight w:val="none"/>
                <w:lang w:bidi="ar"/>
              </w:rPr>
              <w:t>是否满足B级企业</w:t>
            </w:r>
          </w:p>
        </w:tc>
      </w:tr>
      <w:tr w14:paraId="40FB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Align w:val="center"/>
          </w:tcPr>
          <w:p w14:paraId="1572E89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能源类型</w:t>
            </w:r>
          </w:p>
        </w:tc>
        <w:tc>
          <w:tcPr>
            <w:tcW w:w="1995" w:type="pct"/>
            <w:gridSpan w:val="2"/>
            <w:vAlign w:val="center"/>
          </w:tcPr>
          <w:p w14:paraId="7450DBFD">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采用电、天然气等能源。</w:t>
            </w:r>
          </w:p>
        </w:tc>
        <w:tc>
          <w:tcPr>
            <w:tcW w:w="1562" w:type="pct"/>
            <w:vAlign w:val="center"/>
          </w:tcPr>
          <w:p w14:paraId="5D147208">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本项目生产采用电能。</w:t>
            </w:r>
          </w:p>
        </w:tc>
        <w:tc>
          <w:tcPr>
            <w:tcW w:w="930" w:type="pct"/>
            <w:vAlign w:val="center"/>
          </w:tcPr>
          <w:p w14:paraId="74677B8A">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1BA6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Align w:val="center"/>
          </w:tcPr>
          <w:p w14:paraId="02D744FF">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装备水平</w:t>
            </w:r>
          </w:p>
        </w:tc>
        <w:tc>
          <w:tcPr>
            <w:tcW w:w="996" w:type="pct"/>
            <w:vAlign w:val="center"/>
          </w:tcPr>
          <w:p w14:paraId="177E920D">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1、采用凿岩穿孔等先进钻孔方式并配备除尘设施。</w:t>
            </w:r>
          </w:p>
          <w:p w14:paraId="6DB5C507">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2、深孔液压爆破等先进静态爆破工艺。</w:t>
            </w:r>
          </w:p>
          <w:p w14:paraId="7154993F">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3、自动化采装及自动化封闭式输送设备。</w:t>
            </w:r>
          </w:p>
        </w:tc>
        <w:tc>
          <w:tcPr>
            <w:tcW w:w="999" w:type="pct"/>
            <w:vAlign w:val="center"/>
          </w:tcPr>
          <w:p w14:paraId="558801E4">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1、同A级第1条要求。</w:t>
            </w:r>
          </w:p>
          <w:p w14:paraId="5DBD7958">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2、深孔微差、低尘爆破等先进低尘爆破工艺。</w:t>
            </w:r>
          </w:p>
          <w:p w14:paraId="48E505ED">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3、采用带苫盖且封闭良好的车辆运输。</w:t>
            </w:r>
          </w:p>
        </w:tc>
        <w:tc>
          <w:tcPr>
            <w:tcW w:w="1562" w:type="pct"/>
            <w:vAlign w:val="center"/>
          </w:tcPr>
          <w:p w14:paraId="15213097">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本项目不涉及矿山开采，项目</w:t>
            </w:r>
            <w:r>
              <w:rPr>
                <w:rFonts w:cs="Times New Roman"/>
                <w:color w:val="auto"/>
                <w:kern w:val="21"/>
                <w:sz w:val="21"/>
                <w:highlight w:val="none"/>
              </w:rPr>
              <w:t>运输车辆均采用带苫盖且封闭良好的车辆。</w:t>
            </w:r>
          </w:p>
        </w:tc>
        <w:tc>
          <w:tcPr>
            <w:tcW w:w="930" w:type="pct"/>
            <w:vAlign w:val="center"/>
          </w:tcPr>
          <w:p w14:paraId="3551BC04">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30EF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Align w:val="center"/>
          </w:tcPr>
          <w:p w14:paraId="64DD8ABF">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污染治理技术</w:t>
            </w:r>
          </w:p>
        </w:tc>
        <w:tc>
          <w:tcPr>
            <w:tcW w:w="996" w:type="pct"/>
            <w:vAlign w:val="center"/>
          </w:tcPr>
          <w:p w14:paraId="2220B2C1">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 xml:space="preserve">除尘采用覆膜滤袋、滤筒、湿电等高效除尘技术。 </w:t>
            </w:r>
          </w:p>
        </w:tc>
        <w:tc>
          <w:tcPr>
            <w:tcW w:w="999" w:type="pct"/>
            <w:vAlign w:val="center"/>
          </w:tcPr>
          <w:p w14:paraId="5B766922">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除尘采用袋式除尘、电袋复合除尘等技术。</w:t>
            </w:r>
          </w:p>
        </w:tc>
        <w:tc>
          <w:tcPr>
            <w:tcW w:w="1562" w:type="pct"/>
            <w:vAlign w:val="center"/>
          </w:tcPr>
          <w:p w14:paraId="68AC2114">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w:t>
            </w:r>
            <w:r>
              <w:rPr>
                <w:rFonts w:hint="eastAsia" w:cs="Times New Roman"/>
                <w:color w:val="auto"/>
                <w:kern w:val="21"/>
                <w:sz w:val="21"/>
                <w:highlight w:val="none"/>
              </w:rPr>
              <w:t>给料</w:t>
            </w:r>
            <w:r>
              <w:rPr>
                <w:rFonts w:cs="Times New Roman"/>
                <w:color w:val="auto"/>
                <w:kern w:val="21"/>
                <w:sz w:val="21"/>
                <w:highlight w:val="none"/>
              </w:rPr>
              <w:t>、破碎粉尘经收集后统一经1套袋式除尘装置（TA001）处理后经一根15m排气筒（DA001）处理后达标外排</w:t>
            </w:r>
            <w:r>
              <w:rPr>
                <w:rFonts w:hint="eastAsia" w:cs="Times New Roman"/>
                <w:color w:val="auto"/>
                <w:kern w:val="21"/>
                <w:sz w:val="21"/>
                <w:highlight w:val="none"/>
              </w:rPr>
              <w:t>，</w:t>
            </w:r>
            <w:r>
              <w:rPr>
                <w:rFonts w:cs="Times New Roman"/>
                <w:color w:val="auto"/>
                <w:kern w:val="21"/>
                <w:sz w:val="21"/>
                <w:highlight w:val="none"/>
              </w:rPr>
              <w:t>筛分废气经收集后统一经1套袋式除尘装置（TA002）处理后经一根15m排气筒（DA001，共用）处理后达标外排。</w:t>
            </w:r>
          </w:p>
        </w:tc>
        <w:tc>
          <w:tcPr>
            <w:tcW w:w="930" w:type="pct"/>
            <w:vAlign w:val="center"/>
          </w:tcPr>
          <w:p w14:paraId="2E7DF36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1F11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restart"/>
            <w:vAlign w:val="center"/>
          </w:tcPr>
          <w:p w14:paraId="70645252">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无组织管控</w:t>
            </w:r>
          </w:p>
        </w:tc>
        <w:tc>
          <w:tcPr>
            <w:tcW w:w="1995" w:type="pct"/>
            <w:gridSpan w:val="2"/>
            <w:vAlign w:val="center"/>
          </w:tcPr>
          <w:p w14:paraId="53B70169">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1、露天采矿采取自上而下水平分层开采，并配备洒水或喷雾等抑尘措施。</w:t>
            </w:r>
          </w:p>
        </w:tc>
        <w:tc>
          <w:tcPr>
            <w:tcW w:w="1562" w:type="pct"/>
            <w:vAlign w:val="center"/>
          </w:tcPr>
          <w:p w14:paraId="2EBDE918">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本项目不涉及矿山开采。</w:t>
            </w:r>
          </w:p>
        </w:tc>
        <w:tc>
          <w:tcPr>
            <w:tcW w:w="930" w:type="pct"/>
            <w:vAlign w:val="center"/>
          </w:tcPr>
          <w:p w14:paraId="46A4104A">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736BB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continue"/>
            <w:vAlign w:val="center"/>
          </w:tcPr>
          <w:p w14:paraId="08127FC3">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48BC05B9">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2、矿山矿石装载配备有效抑尘措施；矿石卸载应在封闭厂房内作业，并配备有效抑尘措施；破碎、筛分等产尘工序应在封闭厂房内作业，产尘点设置集尘罩及除尘设施；生产车间无可见粉尘外逸。</w:t>
            </w:r>
          </w:p>
        </w:tc>
        <w:tc>
          <w:tcPr>
            <w:tcW w:w="1562" w:type="pct"/>
            <w:vAlign w:val="center"/>
          </w:tcPr>
          <w:p w14:paraId="703478A6">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本项目矿石装卸在封闭原矿仓库内进行；破碎、筛分等产尘工序均在封闭碎矿车间内作业，本项目给料、破碎粉尘经收集后统一经1套袋式除尘装置（TA001）处理后经一根15m排气筒（DA001）处理后达标外排</w:t>
            </w:r>
            <w:r>
              <w:rPr>
                <w:rFonts w:hint="eastAsia" w:cs="Times New Roman"/>
                <w:color w:val="auto"/>
                <w:kern w:val="21"/>
                <w:sz w:val="21"/>
                <w:highlight w:val="none"/>
              </w:rPr>
              <w:t>，</w:t>
            </w:r>
            <w:r>
              <w:rPr>
                <w:rFonts w:cs="Times New Roman"/>
                <w:color w:val="auto"/>
                <w:kern w:val="21"/>
                <w:sz w:val="21"/>
                <w:highlight w:val="none"/>
              </w:rPr>
              <w:t>筛分废气经收集后统一经1套袋式除尘装置（TA002）处理后经一根15m排气筒（DA001，共用）处理后达标外排。本次评价要求建设单位严格落实本报告提出的喷雾降尘等无组织粉尘控制措施，确保生产车间无可见粉尘外逸。</w:t>
            </w:r>
          </w:p>
        </w:tc>
        <w:tc>
          <w:tcPr>
            <w:tcW w:w="930" w:type="pct"/>
            <w:vAlign w:val="center"/>
          </w:tcPr>
          <w:p w14:paraId="28056E78">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1559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063D9778">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03E894DD">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3、粉状物料全部采取储罐、筒仓或覆膜吨袋等密闭储存；粒状、块状物料全部封闭或密闭储存，封闭料场内配置喷雾抑尘装置，料场货物进出大门设置自动感应门，在确保安全的情况下，所有门窗保持常闭状态。</w:t>
            </w:r>
          </w:p>
        </w:tc>
        <w:tc>
          <w:tcPr>
            <w:tcW w:w="1562" w:type="pct"/>
            <w:vMerge w:val="restart"/>
            <w:vAlign w:val="center"/>
          </w:tcPr>
          <w:p w14:paraId="0CA39397">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项目不涉及粉状物料，本项目原料、成品均封闭储存在封闭仓库内，设置喷雾抑尘设施，物料输送采用封闭式皮带，料场货物进出大门设置自动感应门。本项目物料装载、转移、下料口等产尘点均设置收集除尘措施。</w:t>
            </w:r>
          </w:p>
        </w:tc>
        <w:tc>
          <w:tcPr>
            <w:tcW w:w="930" w:type="pct"/>
            <w:vAlign w:val="center"/>
          </w:tcPr>
          <w:p w14:paraId="7A61CF4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7A4C0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continue"/>
            <w:vAlign w:val="center"/>
          </w:tcPr>
          <w:p w14:paraId="16736A88">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64CAA232">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4、各工序粒状、块状物料输送环节采取密封式输送机（加封闭廊道）、地下密闭廊道或其他清洁运输方式；粉状物料采取管状带式输送机、气力输送；物料装载、转移、下料口等产尘点应采取收集除尘措施，配套的除尘设施不与其他工序混用。</w:t>
            </w:r>
          </w:p>
        </w:tc>
        <w:tc>
          <w:tcPr>
            <w:tcW w:w="1562" w:type="pct"/>
            <w:vMerge w:val="continue"/>
            <w:vAlign w:val="center"/>
          </w:tcPr>
          <w:p w14:paraId="4CBD3A3F">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p>
        </w:tc>
        <w:tc>
          <w:tcPr>
            <w:tcW w:w="930" w:type="pct"/>
            <w:vAlign w:val="center"/>
          </w:tcPr>
          <w:p w14:paraId="127053D0">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78B8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528D73EC">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17A51342">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5、厂区出口、各料场出口处配备高压清洗装置对所有车辆车轮、底盘进行冲洗，洗车平台四周应设置洗车废水收集治理设施。</w:t>
            </w:r>
          </w:p>
        </w:tc>
        <w:tc>
          <w:tcPr>
            <w:tcW w:w="1562" w:type="pct"/>
            <w:vMerge w:val="restart"/>
            <w:vAlign w:val="center"/>
          </w:tcPr>
          <w:p w14:paraId="32E07B62">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本项目厂区出入口设置车辆冲洗装置，洗车废水经沉淀池处理后回用洗车。厂区道路水泥硬化，加强路面清扫及洒水降尘，厂区出口处设置车辆冲洗装置，运输车辆加盖篷布。</w:t>
            </w:r>
          </w:p>
        </w:tc>
        <w:tc>
          <w:tcPr>
            <w:tcW w:w="930" w:type="pct"/>
            <w:vAlign w:val="center"/>
          </w:tcPr>
          <w:p w14:paraId="68EA1F1D">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1929F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continue"/>
            <w:vAlign w:val="center"/>
          </w:tcPr>
          <w:p w14:paraId="59BD7B8D">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5539B959">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6、采矿企业尾矿库、废石场、排土场应采取防尘网等抑尘措施，矿区工业广场、废石场、矿区专用道路，路面应硬化，并采取定期清扫、洒水等抑尘措施；企业厂区内道路、堆场等路面应硬化，保持清洁，路面保持湿润且无明显可见扬尘，道路两侧区域实施绿化或覆盖。</w:t>
            </w:r>
          </w:p>
        </w:tc>
        <w:tc>
          <w:tcPr>
            <w:tcW w:w="1562" w:type="pct"/>
            <w:vMerge w:val="continue"/>
            <w:vAlign w:val="center"/>
          </w:tcPr>
          <w:p w14:paraId="22885F1B">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p>
        </w:tc>
        <w:tc>
          <w:tcPr>
            <w:tcW w:w="930" w:type="pct"/>
            <w:vAlign w:val="center"/>
          </w:tcPr>
          <w:p w14:paraId="64B54521">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04F3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7A003508">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74FF76BA">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7、除尘器应设置密闭灰仓，除尘灰应采用气力输送、密闭罐车、吨袋等密闭方式卸灰和运输，不得直接卸落到地面。</w:t>
            </w:r>
          </w:p>
        </w:tc>
        <w:tc>
          <w:tcPr>
            <w:tcW w:w="1562" w:type="pct"/>
            <w:vAlign w:val="center"/>
          </w:tcPr>
          <w:p w14:paraId="077AC379">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本项目除尘器均设置</w:t>
            </w:r>
            <w:r>
              <w:rPr>
                <w:rFonts w:cs="Times New Roman"/>
                <w:color w:val="auto"/>
                <w:kern w:val="21"/>
                <w:sz w:val="21"/>
                <w:highlight w:val="none"/>
              </w:rPr>
              <w:t>密闭灰仓，除尘灰采用吨袋密闭卸灰和运输。</w:t>
            </w:r>
          </w:p>
        </w:tc>
        <w:tc>
          <w:tcPr>
            <w:tcW w:w="930" w:type="pct"/>
            <w:vAlign w:val="center"/>
          </w:tcPr>
          <w:p w14:paraId="0BA99CDA">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344D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7AF5D9C4">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44B02798">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8、采矿企业矿山开采面、作业平台干净整洁，无明显扬尘，开采面在停产期间需用防尘网全覆盖；选矿企业地面全部硬化或绿化，无物料散落，破碎、筛分二次封闭空间及物料运输廊道无可见粉尘外逸。</w:t>
            </w:r>
          </w:p>
        </w:tc>
        <w:tc>
          <w:tcPr>
            <w:tcW w:w="1562" w:type="pct"/>
            <w:vAlign w:val="center"/>
          </w:tcPr>
          <w:p w14:paraId="34EBC192">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本次评价要求建设单位严格落实本报告提出的扬尘防治措施，</w:t>
            </w:r>
            <w:r>
              <w:rPr>
                <w:rFonts w:cs="Times New Roman"/>
                <w:color w:val="auto"/>
                <w:kern w:val="21"/>
                <w:sz w:val="21"/>
                <w:highlight w:val="none"/>
              </w:rPr>
              <w:t>地面全部硬化，无物料散落，破碎、筛分二次封闭空间及物料运输廊道无可见粉尘外逸。</w:t>
            </w:r>
          </w:p>
        </w:tc>
        <w:tc>
          <w:tcPr>
            <w:tcW w:w="930" w:type="pct"/>
            <w:vAlign w:val="center"/>
          </w:tcPr>
          <w:p w14:paraId="536DBF3A">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572D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Align w:val="center"/>
          </w:tcPr>
          <w:p w14:paraId="2CD51382">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排放限值</w:t>
            </w:r>
          </w:p>
        </w:tc>
        <w:tc>
          <w:tcPr>
            <w:tcW w:w="1995" w:type="pct"/>
            <w:gridSpan w:val="2"/>
            <w:vAlign w:val="center"/>
          </w:tcPr>
          <w:p w14:paraId="055A284A">
            <w:pPr>
              <w:widowControl/>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所有工序有组织PM排放浓度不超过10mg/m</w:t>
            </w:r>
            <w:r>
              <w:rPr>
                <w:rFonts w:cs="Times New Roman"/>
                <w:color w:val="auto"/>
                <w:kern w:val="21"/>
                <w:sz w:val="21"/>
                <w:highlight w:val="none"/>
                <w:vertAlign w:val="superscript"/>
              </w:rPr>
              <w:t>3</w:t>
            </w:r>
            <w:r>
              <w:rPr>
                <w:rFonts w:cs="Times New Roman"/>
                <w:color w:val="auto"/>
                <w:kern w:val="21"/>
                <w:sz w:val="21"/>
                <w:highlight w:val="none"/>
              </w:rPr>
              <w:t>，厂界无组织PM排放浓度不超过0.5mg/m</w:t>
            </w:r>
            <w:r>
              <w:rPr>
                <w:rFonts w:cs="Times New Roman"/>
                <w:color w:val="auto"/>
                <w:kern w:val="21"/>
                <w:sz w:val="21"/>
                <w:highlight w:val="none"/>
                <w:vertAlign w:val="superscript"/>
              </w:rPr>
              <w:t>3</w:t>
            </w:r>
          </w:p>
        </w:tc>
        <w:tc>
          <w:tcPr>
            <w:tcW w:w="1562" w:type="pct"/>
            <w:vAlign w:val="center"/>
          </w:tcPr>
          <w:p w14:paraId="6EC84BFD">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本项目有组织颗粒物排放浓度执行1</w:t>
            </w:r>
            <w:r>
              <w:rPr>
                <w:rFonts w:cs="Times New Roman"/>
                <w:color w:val="auto"/>
                <w:kern w:val="21"/>
                <w:sz w:val="21"/>
                <w:highlight w:val="none"/>
              </w:rPr>
              <w:t>0mg/m</w:t>
            </w:r>
            <w:r>
              <w:rPr>
                <w:rFonts w:cs="Times New Roman"/>
                <w:color w:val="auto"/>
                <w:kern w:val="21"/>
                <w:sz w:val="21"/>
                <w:highlight w:val="none"/>
                <w:vertAlign w:val="superscript"/>
              </w:rPr>
              <w:t>3</w:t>
            </w:r>
            <w:r>
              <w:rPr>
                <w:rFonts w:cs="Times New Roman"/>
                <w:color w:val="auto"/>
                <w:kern w:val="21"/>
                <w:sz w:val="21"/>
                <w:highlight w:val="none"/>
              </w:rPr>
              <w:t>，厂界无组织</w:t>
            </w:r>
            <w:r>
              <w:rPr>
                <w:rFonts w:cs="Times New Roman"/>
                <w:color w:val="auto"/>
                <w:kern w:val="21"/>
                <w:sz w:val="21"/>
                <w:highlight w:val="none"/>
                <w:lang w:bidi="ar"/>
              </w:rPr>
              <w:t>颗粒物</w:t>
            </w:r>
            <w:r>
              <w:rPr>
                <w:rFonts w:cs="Times New Roman"/>
                <w:color w:val="auto"/>
                <w:kern w:val="21"/>
                <w:sz w:val="21"/>
                <w:highlight w:val="none"/>
              </w:rPr>
              <w:t>排放浓度</w:t>
            </w:r>
            <w:r>
              <w:rPr>
                <w:rFonts w:cs="Times New Roman"/>
                <w:color w:val="auto"/>
                <w:kern w:val="21"/>
                <w:sz w:val="21"/>
                <w:highlight w:val="none"/>
                <w:lang w:bidi="ar"/>
              </w:rPr>
              <w:t>执行</w:t>
            </w:r>
            <w:r>
              <w:rPr>
                <w:rFonts w:cs="Times New Roman"/>
                <w:color w:val="auto"/>
                <w:kern w:val="21"/>
                <w:sz w:val="21"/>
                <w:highlight w:val="none"/>
              </w:rPr>
              <w:t>0.5mg/m</w:t>
            </w:r>
            <w:r>
              <w:rPr>
                <w:rFonts w:cs="Times New Roman"/>
                <w:color w:val="auto"/>
                <w:kern w:val="21"/>
                <w:sz w:val="21"/>
                <w:highlight w:val="none"/>
                <w:vertAlign w:val="superscript"/>
              </w:rPr>
              <w:t>3</w:t>
            </w:r>
            <w:r>
              <w:rPr>
                <w:rFonts w:cs="Times New Roman"/>
                <w:color w:val="auto"/>
                <w:kern w:val="21"/>
                <w:sz w:val="21"/>
                <w:highlight w:val="none"/>
              </w:rPr>
              <w:t>。</w:t>
            </w:r>
          </w:p>
        </w:tc>
        <w:tc>
          <w:tcPr>
            <w:tcW w:w="930" w:type="pct"/>
            <w:vAlign w:val="center"/>
          </w:tcPr>
          <w:p w14:paraId="15181017">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0800E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restart"/>
            <w:vAlign w:val="center"/>
          </w:tcPr>
          <w:p w14:paraId="19EEF609">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监测监控水平</w:t>
            </w:r>
          </w:p>
        </w:tc>
        <w:tc>
          <w:tcPr>
            <w:tcW w:w="1995" w:type="pct"/>
            <w:gridSpan w:val="2"/>
            <w:vAlign w:val="center"/>
          </w:tcPr>
          <w:p w14:paraId="7F617754">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1、重点排污单位及排污许可重点管理单位主要排口应当安装污染物排放自动监测设备（CEMS），并与生态环境主管部门的监控设备联网，数据保存一年以上（投产或安装时间不满一年以上的企业，以现有数据为准）。</w:t>
            </w:r>
          </w:p>
        </w:tc>
        <w:tc>
          <w:tcPr>
            <w:tcW w:w="1562" w:type="pct"/>
            <w:vAlign w:val="center"/>
          </w:tcPr>
          <w:p w14:paraId="592BDD55">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本项目不属于重点排污单位及排污许可重点管理单位。</w:t>
            </w:r>
          </w:p>
        </w:tc>
        <w:tc>
          <w:tcPr>
            <w:tcW w:w="930" w:type="pct"/>
            <w:vAlign w:val="center"/>
          </w:tcPr>
          <w:p w14:paraId="02D6DDA0">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1ECF1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26497769">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1995" w:type="pct"/>
            <w:gridSpan w:val="2"/>
            <w:vAlign w:val="center"/>
          </w:tcPr>
          <w:p w14:paraId="6B76AB82">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2、按照排污许可证、行业自行监测指南或排污单位自行监测技术指南等相关要求开展自行监测。</w:t>
            </w:r>
          </w:p>
        </w:tc>
        <w:tc>
          <w:tcPr>
            <w:tcW w:w="1562" w:type="pct"/>
            <w:vAlign w:val="center"/>
          </w:tcPr>
          <w:p w14:paraId="429E89E8">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本次评价要求建设单位严格按照</w:t>
            </w:r>
            <w:r>
              <w:rPr>
                <w:rFonts w:cs="Times New Roman"/>
                <w:color w:val="auto"/>
                <w:kern w:val="21"/>
                <w:sz w:val="21"/>
                <w:highlight w:val="none"/>
              </w:rPr>
              <w:t>排污许可证、行业自行监测指南或排污单位自行监测技术指南等相关要求开展自行监测。</w:t>
            </w:r>
          </w:p>
        </w:tc>
        <w:tc>
          <w:tcPr>
            <w:tcW w:w="930" w:type="pct"/>
            <w:vAlign w:val="center"/>
          </w:tcPr>
          <w:p w14:paraId="571D6C43">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6939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continue"/>
            <w:vAlign w:val="center"/>
          </w:tcPr>
          <w:p w14:paraId="0AC4B9E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1995" w:type="pct"/>
            <w:gridSpan w:val="2"/>
            <w:vAlign w:val="center"/>
          </w:tcPr>
          <w:p w14:paraId="381B9BF2">
            <w:pPr>
              <w:widowControl/>
              <w:adjustRightInd w:val="0"/>
              <w:spacing w:before="65" w:beforeLines="20" w:after="65" w:afterLines="20" w:line="240" w:lineRule="auto"/>
              <w:ind w:firstLine="0" w:firstLineChars="0"/>
              <w:jc w:val="left"/>
              <w:rPr>
                <w:rFonts w:cs="Times New Roman"/>
                <w:color w:val="auto"/>
                <w:kern w:val="21"/>
                <w:sz w:val="21"/>
                <w:highlight w:val="none"/>
              </w:rPr>
            </w:pPr>
            <w:r>
              <w:rPr>
                <w:rFonts w:cs="Times New Roman"/>
                <w:color w:val="auto"/>
                <w:kern w:val="21"/>
                <w:sz w:val="21"/>
                <w:highlight w:val="none"/>
              </w:rPr>
              <w:t>3、厂区货运进出口、易产尘点安装高清视频监控系统，视频监控数据保存 3 个月以上。</w:t>
            </w:r>
          </w:p>
        </w:tc>
        <w:tc>
          <w:tcPr>
            <w:tcW w:w="1562" w:type="pct"/>
            <w:vAlign w:val="center"/>
          </w:tcPr>
          <w:p w14:paraId="163A5707">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本次评价要求建设单位在厂区货运进出口、无组织排放重点管控点位和在线监测站房安装高清视频监控系统，视频监控数据保存3个月以上。</w:t>
            </w:r>
          </w:p>
        </w:tc>
        <w:tc>
          <w:tcPr>
            <w:tcW w:w="930" w:type="pct"/>
            <w:vAlign w:val="center"/>
          </w:tcPr>
          <w:p w14:paraId="57295F4A">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7608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5CE8489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1995" w:type="pct"/>
            <w:gridSpan w:val="2"/>
            <w:vAlign w:val="center"/>
          </w:tcPr>
          <w:p w14:paraId="5634C641">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4、企业主要环保设施及生产设施安装分布式控制系统（DCS）或可保存和查看历史数据的可编程控制系统（PLC），记录企业环保设施运行及相关生产过程主要参数，数据保存一年以上。</w:t>
            </w:r>
          </w:p>
        </w:tc>
        <w:tc>
          <w:tcPr>
            <w:tcW w:w="1562" w:type="pct"/>
            <w:vAlign w:val="center"/>
          </w:tcPr>
          <w:p w14:paraId="41A694D0">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本次评价要求建设单位在主要环保设施及生产</w:t>
            </w:r>
            <w:r>
              <w:rPr>
                <w:rFonts w:hint="eastAsia" w:cs="Times New Roman"/>
                <w:color w:val="auto"/>
                <w:kern w:val="21"/>
                <w:sz w:val="21"/>
                <w:highlight w:val="none"/>
              </w:rPr>
              <w:t>设施</w:t>
            </w:r>
            <w:r>
              <w:rPr>
                <w:rFonts w:cs="Times New Roman"/>
                <w:color w:val="auto"/>
                <w:kern w:val="21"/>
                <w:sz w:val="21"/>
                <w:highlight w:val="none"/>
              </w:rPr>
              <w:t>安装可保存和查看历史数据的可编程控制系统（PLC），记录企业环保设施运行及相关生产过程主要参数，数据保存一年以上。</w:t>
            </w:r>
          </w:p>
        </w:tc>
        <w:tc>
          <w:tcPr>
            <w:tcW w:w="930" w:type="pct"/>
            <w:vAlign w:val="center"/>
          </w:tcPr>
          <w:p w14:paraId="2EA7CA4D">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0CA1B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4968B06F">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5045651F">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5、厂界需安装颗粒物（PM</w:t>
            </w:r>
            <w:r>
              <w:rPr>
                <w:rFonts w:cs="Times New Roman"/>
                <w:color w:val="auto"/>
                <w:kern w:val="21"/>
                <w:sz w:val="21"/>
                <w:highlight w:val="none"/>
                <w:vertAlign w:val="subscript"/>
              </w:rPr>
              <w:t>2.5</w:t>
            </w:r>
            <w:r>
              <w:rPr>
                <w:rFonts w:cs="Times New Roman"/>
                <w:color w:val="auto"/>
                <w:kern w:val="21"/>
                <w:sz w:val="21"/>
                <w:highlight w:val="none"/>
              </w:rPr>
              <w:t>和PM</w:t>
            </w:r>
            <w:r>
              <w:rPr>
                <w:rFonts w:cs="Times New Roman"/>
                <w:color w:val="auto"/>
                <w:kern w:val="21"/>
                <w:sz w:val="21"/>
                <w:highlight w:val="none"/>
                <w:vertAlign w:val="subscript"/>
              </w:rPr>
              <w:t>10</w:t>
            </w:r>
            <w:r>
              <w:rPr>
                <w:rFonts w:cs="Times New Roman"/>
                <w:color w:val="auto"/>
                <w:kern w:val="21"/>
                <w:sz w:val="21"/>
                <w:highlight w:val="none"/>
              </w:rPr>
              <w:t>）无组织自动监控设施。</w:t>
            </w:r>
          </w:p>
        </w:tc>
        <w:tc>
          <w:tcPr>
            <w:tcW w:w="1562" w:type="pct"/>
            <w:vAlign w:val="center"/>
          </w:tcPr>
          <w:p w14:paraId="11452517">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本次评价要求建设单位在厂界安装颗粒物（PM</w:t>
            </w:r>
            <w:r>
              <w:rPr>
                <w:rFonts w:cs="Times New Roman"/>
                <w:color w:val="auto"/>
                <w:kern w:val="21"/>
                <w:sz w:val="21"/>
                <w:highlight w:val="none"/>
                <w:vertAlign w:val="subscript"/>
              </w:rPr>
              <w:t>2.5</w:t>
            </w:r>
            <w:r>
              <w:rPr>
                <w:rFonts w:cs="Times New Roman"/>
                <w:color w:val="auto"/>
                <w:kern w:val="21"/>
                <w:sz w:val="21"/>
                <w:highlight w:val="none"/>
              </w:rPr>
              <w:t>和PM</w:t>
            </w:r>
            <w:r>
              <w:rPr>
                <w:rFonts w:cs="Times New Roman"/>
                <w:color w:val="auto"/>
                <w:kern w:val="21"/>
                <w:sz w:val="21"/>
                <w:highlight w:val="none"/>
                <w:vertAlign w:val="subscript"/>
              </w:rPr>
              <w:t>10</w:t>
            </w:r>
            <w:r>
              <w:rPr>
                <w:rFonts w:cs="Times New Roman"/>
                <w:color w:val="auto"/>
                <w:kern w:val="21"/>
                <w:sz w:val="21"/>
                <w:highlight w:val="none"/>
              </w:rPr>
              <w:t>）无组织自动监控设施。</w:t>
            </w:r>
          </w:p>
        </w:tc>
        <w:tc>
          <w:tcPr>
            <w:tcW w:w="930" w:type="pct"/>
            <w:vAlign w:val="center"/>
          </w:tcPr>
          <w:p w14:paraId="24AC9A2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3B74D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restart"/>
            <w:vAlign w:val="center"/>
          </w:tcPr>
          <w:p w14:paraId="32B76E4D">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rPr>
              <w:t>环境管理水平</w:t>
            </w:r>
          </w:p>
        </w:tc>
        <w:tc>
          <w:tcPr>
            <w:tcW w:w="1995" w:type="pct"/>
            <w:gridSpan w:val="2"/>
            <w:vAlign w:val="center"/>
          </w:tcPr>
          <w:p w14:paraId="420F5EAF">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环保档案：1、环评批复文件和竣工环保验收文件或者环境现状评估备案证明；2、排污许可证或固定污染源排污登记回执；3、环境管理制度（有组织、无组织排放长效管理机制，主要包括岗位责任制度、达标公示制度和定期巡查维护制度等）；4、废气治理设施运行管理规程；5、一年内废气监测报告。</w:t>
            </w:r>
          </w:p>
        </w:tc>
        <w:tc>
          <w:tcPr>
            <w:tcW w:w="1562" w:type="pct"/>
            <w:vAlign w:val="center"/>
          </w:tcPr>
          <w:p w14:paraId="62B029D4">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本项目将设置安环部，妥善保管环评批复文件、竣工环保验收文件、排污许可证、环境管理制度、废气治理设施运行管理规程、一年内废气监测报告等文件。</w:t>
            </w:r>
          </w:p>
        </w:tc>
        <w:tc>
          <w:tcPr>
            <w:tcW w:w="930" w:type="pct"/>
            <w:vAlign w:val="center"/>
          </w:tcPr>
          <w:p w14:paraId="1B418415">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06601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Merge w:val="continue"/>
            <w:vAlign w:val="center"/>
          </w:tcPr>
          <w:p w14:paraId="0CD60080">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08DDD77D">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台账记录：1、生产设施运行管理信息（生产时间、运行负荷、产品产量等）；2、废气污染治理设施运行管理信息；3、监测记录信息（主要污染排放口废气排放记录等）；4、主要原辅材料消耗记录；5、燃料消耗记录；6、固废、危废处理记录；7、运输车辆、厂内车辆、非道路移动机械电子台账（进出场时间、车辆或非道路移动机械信息、运送货物名称及运量等）。</w:t>
            </w:r>
          </w:p>
        </w:tc>
        <w:tc>
          <w:tcPr>
            <w:tcW w:w="1562" w:type="pct"/>
            <w:vAlign w:val="center"/>
          </w:tcPr>
          <w:p w14:paraId="41A09799">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项目将设置安环部，做好以下台账记录：生产设施运行管理信息（生产时间、运行负荷、产品产量等）；废气污染治理设施运行管理信息；监测记录信息（主要污染排放口废气排放记录等）；主要原辅材料消耗记录；固废、危废处理记录；运输车辆、厂内车辆、非道路移动机械电子台账（进出场时间、车辆或非道路移动机械信息、运送货物名称及运量等）。</w:t>
            </w:r>
          </w:p>
        </w:tc>
        <w:tc>
          <w:tcPr>
            <w:tcW w:w="930" w:type="pct"/>
            <w:vAlign w:val="center"/>
          </w:tcPr>
          <w:p w14:paraId="48E4A378">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3B60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1" w:type="pct"/>
            <w:vMerge w:val="continue"/>
            <w:vAlign w:val="center"/>
          </w:tcPr>
          <w:p w14:paraId="2FAF9A24">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p>
        </w:tc>
        <w:tc>
          <w:tcPr>
            <w:tcW w:w="1995" w:type="pct"/>
            <w:gridSpan w:val="2"/>
            <w:vAlign w:val="center"/>
          </w:tcPr>
          <w:p w14:paraId="7EB92A8B">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人员配置：配备专职环保人员，并具备相应的环境管理能力（学历、培训、从业经验等）</w:t>
            </w:r>
          </w:p>
        </w:tc>
        <w:tc>
          <w:tcPr>
            <w:tcW w:w="1562" w:type="pct"/>
            <w:vAlign w:val="center"/>
          </w:tcPr>
          <w:p w14:paraId="20A2240A">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lang w:bidi="ar"/>
              </w:rPr>
              <w:t>本项目设置</w:t>
            </w:r>
            <w:r>
              <w:rPr>
                <w:rFonts w:cs="Times New Roman"/>
                <w:color w:val="auto"/>
                <w:kern w:val="21"/>
                <w:sz w:val="21"/>
                <w:highlight w:val="none"/>
              </w:rPr>
              <w:t>具备相应的环境管理能力（学历、培训、从业经验等）的专职环保人员。</w:t>
            </w:r>
          </w:p>
        </w:tc>
        <w:tc>
          <w:tcPr>
            <w:tcW w:w="930" w:type="pct"/>
            <w:vAlign w:val="center"/>
          </w:tcPr>
          <w:p w14:paraId="074D4BC2">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是</w:t>
            </w:r>
          </w:p>
        </w:tc>
      </w:tr>
      <w:tr w14:paraId="22BBF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Align w:val="center"/>
          </w:tcPr>
          <w:p w14:paraId="6DF2B314">
            <w:pPr>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rPr>
              <w:t>运输方式</w:t>
            </w:r>
          </w:p>
        </w:tc>
        <w:tc>
          <w:tcPr>
            <w:tcW w:w="996" w:type="pct"/>
            <w:vAlign w:val="center"/>
          </w:tcPr>
          <w:p w14:paraId="12CCEBB9">
            <w:pPr>
              <w:widowControl/>
              <w:numPr>
                <w:ilvl w:val="0"/>
                <w:numId w:val="7"/>
              </w:num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矿石采选运输车辆全部采用国</w:t>
            </w:r>
            <w:r>
              <w:rPr>
                <w:rFonts w:hint="eastAsia" w:cs="Times New Roman"/>
                <w:color w:val="auto"/>
                <w:kern w:val="21"/>
                <w:sz w:val="21"/>
                <w:highlight w:val="none"/>
              </w:rPr>
              <w:t>六</w:t>
            </w:r>
            <w:r>
              <w:rPr>
                <w:rFonts w:cs="Times New Roman"/>
                <w:color w:val="auto"/>
                <w:kern w:val="21"/>
                <w:sz w:val="21"/>
                <w:highlight w:val="none"/>
              </w:rPr>
              <w:t>及以上排放标准重型载货车辆（含燃气）或新能源车辆等清洁运输方式。</w:t>
            </w:r>
          </w:p>
          <w:p w14:paraId="5A7BC995">
            <w:pPr>
              <w:widowControl/>
              <w:numPr>
                <w:ilvl w:val="0"/>
                <w:numId w:val="7"/>
              </w:num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厂内运输车辆全部达到国</w:t>
            </w:r>
            <w:r>
              <w:rPr>
                <w:rFonts w:hint="eastAsia" w:cs="Times New Roman"/>
                <w:color w:val="auto"/>
                <w:kern w:val="21"/>
                <w:sz w:val="21"/>
                <w:highlight w:val="none"/>
              </w:rPr>
              <w:t>六</w:t>
            </w:r>
            <w:r>
              <w:rPr>
                <w:rFonts w:cs="Times New Roman"/>
                <w:color w:val="auto"/>
                <w:kern w:val="21"/>
                <w:sz w:val="21"/>
                <w:highlight w:val="none"/>
              </w:rPr>
              <w:t>及以上排放标准（含燃气）或使用新能源车辆。</w:t>
            </w:r>
          </w:p>
          <w:p w14:paraId="59F14DDE">
            <w:pPr>
              <w:widowControl/>
              <w:numPr>
                <w:ilvl w:val="0"/>
                <w:numId w:val="7"/>
              </w:num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厂内非道路移动机械全部达到国</w:t>
            </w:r>
            <w:r>
              <w:rPr>
                <w:rFonts w:hint="eastAsia" w:cs="Times New Roman"/>
                <w:color w:val="auto"/>
                <w:kern w:val="21"/>
                <w:sz w:val="21"/>
                <w:highlight w:val="none"/>
              </w:rPr>
              <w:t>四</w:t>
            </w:r>
            <w:r>
              <w:rPr>
                <w:rFonts w:cs="Times New Roman"/>
                <w:color w:val="auto"/>
                <w:kern w:val="21"/>
                <w:sz w:val="21"/>
                <w:highlight w:val="none"/>
              </w:rPr>
              <w:t>及以上排放标准或使用新能源机械。</w:t>
            </w:r>
          </w:p>
        </w:tc>
        <w:tc>
          <w:tcPr>
            <w:tcW w:w="999" w:type="pct"/>
            <w:vAlign w:val="center"/>
          </w:tcPr>
          <w:p w14:paraId="19451757">
            <w:pPr>
              <w:widowControl/>
              <w:numPr>
                <w:ilvl w:val="0"/>
                <w:numId w:val="8"/>
              </w:num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矿石采选运输车辆</w:t>
            </w:r>
            <w:r>
              <w:rPr>
                <w:rFonts w:hint="eastAsia" w:cs="Times New Roman"/>
                <w:color w:val="auto"/>
                <w:kern w:val="21"/>
                <w:sz w:val="21"/>
                <w:highlight w:val="none"/>
              </w:rPr>
              <w:t>使</w:t>
            </w:r>
            <w:r>
              <w:rPr>
                <w:rFonts w:cs="Times New Roman"/>
                <w:color w:val="auto"/>
                <w:kern w:val="21"/>
                <w:sz w:val="21"/>
                <w:highlight w:val="none"/>
              </w:rPr>
              <w:t>用国</w:t>
            </w:r>
            <w:r>
              <w:rPr>
                <w:rFonts w:hint="eastAsia" w:cs="Times New Roman"/>
                <w:color w:val="auto"/>
                <w:kern w:val="21"/>
                <w:sz w:val="21"/>
                <w:highlight w:val="none"/>
              </w:rPr>
              <w:t>六</w:t>
            </w:r>
            <w:r>
              <w:rPr>
                <w:rFonts w:cs="Times New Roman"/>
                <w:color w:val="auto"/>
                <w:kern w:val="21"/>
                <w:sz w:val="21"/>
                <w:highlight w:val="none"/>
              </w:rPr>
              <w:t>及以上排放标准重型载货车辆（含燃气）或新能源车辆等清洁运输方式的比例不低于80%。</w:t>
            </w:r>
          </w:p>
          <w:p w14:paraId="0A9D2858">
            <w:pPr>
              <w:widowControl/>
              <w:numPr>
                <w:ilvl w:val="0"/>
                <w:numId w:val="8"/>
              </w:num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厂内运输车辆达到国</w:t>
            </w:r>
            <w:r>
              <w:rPr>
                <w:rFonts w:hint="eastAsia" w:cs="Times New Roman"/>
                <w:color w:val="auto"/>
                <w:kern w:val="21"/>
                <w:sz w:val="21"/>
                <w:highlight w:val="none"/>
              </w:rPr>
              <w:t>六</w:t>
            </w:r>
            <w:r>
              <w:rPr>
                <w:rFonts w:cs="Times New Roman"/>
                <w:color w:val="auto"/>
                <w:kern w:val="21"/>
                <w:sz w:val="21"/>
                <w:highlight w:val="none"/>
              </w:rPr>
              <w:t>及以上排放标准（含燃气）或使用新能源车辆比例不低于80%。</w:t>
            </w:r>
          </w:p>
          <w:p w14:paraId="4A21733D">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3、厂内非道路移动机械达到国</w:t>
            </w:r>
            <w:r>
              <w:rPr>
                <w:rFonts w:hint="eastAsia" w:cs="Times New Roman"/>
                <w:color w:val="auto"/>
                <w:kern w:val="21"/>
                <w:sz w:val="21"/>
                <w:highlight w:val="none"/>
              </w:rPr>
              <w:t>四</w:t>
            </w:r>
            <w:r>
              <w:rPr>
                <w:rFonts w:cs="Times New Roman"/>
                <w:color w:val="auto"/>
                <w:kern w:val="21"/>
                <w:sz w:val="21"/>
                <w:highlight w:val="none"/>
              </w:rPr>
              <w:t>及以上排放标准或使用新能源机械比例不低于80%。</w:t>
            </w:r>
          </w:p>
        </w:tc>
        <w:tc>
          <w:tcPr>
            <w:tcW w:w="1562" w:type="pct"/>
            <w:vAlign w:val="center"/>
          </w:tcPr>
          <w:p w14:paraId="004EB8A4">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本次评价要求建设单位在项目运营后，厂外运输车辆采用国六</w:t>
            </w:r>
            <w:r>
              <w:rPr>
                <w:rFonts w:cs="Times New Roman"/>
                <w:color w:val="auto"/>
                <w:kern w:val="21"/>
                <w:sz w:val="21"/>
                <w:highlight w:val="none"/>
                <w:lang w:eastAsia="zh-Hans"/>
              </w:rPr>
              <w:t>排放标准</w:t>
            </w:r>
            <w:r>
              <w:rPr>
                <w:rFonts w:cs="Times New Roman"/>
                <w:color w:val="auto"/>
                <w:kern w:val="21"/>
                <w:sz w:val="21"/>
                <w:highlight w:val="none"/>
              </w:rPr>
              <w:t>重型载货车辆（含燃气）或新能源车辆；厂内运输车辆全部采用国六</w:t>
            </w:r>
            <w:r>
              <w:rPr>
                <w:rFonts w:cs="Times New Roman"/>
                <w:color w:val="auto"/>
                <w:kern w:val="21"/>
                <w:sz w:val="21"/>
                <w:highlight w:val="none"/>
                <w:lang w:eastAsia="zh-Hans"/>
              </w:rPr>
              <w:t>排放标准</w:t>
            </w:r>
            <w:r>
              <w:rPr>
                <w:rFonts w:cs="Times New Roman"/>
                <w:color w:val="auto"/>
                <w:kern w:val="21"/>
                <w:sz w:val="21"/>
                <w:highlight w:val="none"/>
              </w:rPr>
              <w:t>（含燃气）或新能源车辆；厂内非道路移动机械全部采用国四及以上排放标准或新能源机械。</w:t>
            </w:r>
          </w:p>
        </w:tc>
        <w:tc>
          <w:tcPr>
            <w:tcW w:w="930" w:type="pct"/>
            <w:vAlign w:val="center"/>
          </w:tcPr>
          <w:p w14:paraId="670E180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r w14:paraId="46BB4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1" w:type="pct"/>
            <w:vAlign w:val="center"/>
          </w:tcPr>
          <w:p w14:paraId="206F718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运输监管</w:t>
            </w:r>
          </w:p>
        </w:tc>
        <w:tc>
          <w:tcPr>
            <w:tcW w:w="1995" w:type="pct"/>
            <w:gridSpan w:val="2"/>
            <w:vAlign w:val="center"/>
          </w:tcPr>
          <w:p w14:paraId="6E633AFB">
            <w:pPr>
              <w:widowControl/>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建立门禁系统和电子台账，创建要求参照《重点行业移动源监管与核查技术指南》（HJ1321）</w:t>
            </w:r>
          </w:p>
        </w:tc>
        <w:tc>
          <w:tcPr>
            <w:tcW w:w="1562" w:type="pct"/>
            <w:vAlign w:val="center"/>
          </w:tcPr>
          <w:p w14:paraId="6FDAA172">
            <w:pPr>
              <w:overflowPunct w:val="0"/>
              <w:adjustRightInd w:val="0"/>
              <w:spacing w:before="65" w:beforeLines="20" w:after="65" w:afterLines="20" w:line="240" w:lineRule="auto"/>
              <w:ind w:firstLine="0" w:firstLineChars="0"/>
              <w:rPr>
                <w:rFonts w:cs="Times New Roman"/>
                <w:color w:val="auto"/>
                <w:kern w:val="21"/>
                <w:sz w:val="21"/>
                <w:highlight w:val="none"/>
                <w:lang w:bidi="ar"/>
              </w:rPr>
            </w:pPr>
            <w:r>
              <w:rPr>
                <w:rFonts w:cs="Times New Roman"/>
                <w:color w:val="auto"/>
                <w:kern w:val="21"/>
                <w:sz w:val="21"/>
                <w:highlight w:val="none"/>
              </w:rPr>
              <w:t>本次评价要求建设单位参照《重污染天气重点行业移动源应急管理技术指南》建立门禁系统和电子台账。</w:t>
            </w:r>
          </w:p>
        </w:tc>
        <w:tc>
          <w:tcPr>
            <w:tcW w:w="930" w:type="pct"/>
            <w:vAlign w:val="center"/>
          </w:tcPr>
          <w:p w14:paraId="317092C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是</w:t>
            </w:r>
          </w:p>
        </w:tc>
      </w:tr>
    </w:tbl>
    <w:p w14:paraId="19E80495">
      <w:pPr>
        <w:adjustRightInd w:val="0"/>
        <w:ind w:firstLine="480"/>
        <w:rPr>
          <w:rFonts w:cs="Times New Roman"/>
          <w:color w:val="auto"/>
          <w:highlight w:val="none"/>
        </w:rPr>
      </w:pPr>
      <w:r>
        <w:rPr>
          <w:rFonts w:cs="Times New Roman"/>
          <w:color w:val="auto"/>
          <w:highlight w:val="none"/>
        </w:rPr>
        <w:t>企业按照</w:t>
      </w:r>
      <w:r>
        <w:rPr>
          <w:rFonts w:hint="eastAsia" w:cs="Times New Roman"/>
          <w:color w:val="auto"/>
          <w:highlight w:val="none"/>
        </w:rPr>
        <w:t>上述</w:t>
      </w:r>
      <w:r>
        <w:rPr>
          <w:rFonts w:cs="Times New Roman"/>
          <w:color w:val="auto"/>
          <w:highlight w:val="none"/>
        </w:rPr>
        <w:t>要求进行</w:t>
      </w:r>
      <w:r>
        <w:rPr>
          <w:rFonts w:hint="eastAsia" w:cs="Times New Roman"/>
          <w:color w:val="auto"/>
          <w:highlight w:val="none"/>
        </w:rPr>
        <w:t>建设</w:t>
      </w:r>
      <w:r>
        <w:rPr>
          <w:rFonts w:cs="Times New Roman"/>
          <w:color w:val="auto"/>
          <w:highlight w:val="none"/>
        </w:rPr>
        <w:t>和管理，可满足B级企业要求。</w:t>
      </w:r>
    </w:p>
    <w:p w14:paraId="750492FB">
      <w:pPr>
        <w:adjustRightInd w:val="0"/>
        <w:ind w:firstLine="480"/>
        <w:rPr>
          <w:rFonts w:cs="Times New Roman"/>
          <w:color w:val="auto"/>
          <w:highlight w:val="none"/>
        </w:rPr>
        <w:sectPr>
          <w:pgSz w:w="16838" w:h="11906" w:orient="landscape"/>
          <w:pgMar w:top="1800" w:right="1440" w:bottom="1800" w:left="1440" w:header="851" w:footer="992" w:gutter="0"/>
          <w:cols w:space="425" w:num="1"/>
          <w:docGrid w:type="lines" w:linePitch="326" w:charSpace="0"/>
        </w:sectPr>
      </w:pPr>
    </w:p>
    <w:p w14:paraId="4B8792A1">
      <w:pPr>
        <w:pStyle w:val="4"/>
        <w:adjustRightInd w:val="0"/>
        <w:rPr>
          <w:rFonts w:cs="Times New Roman"/>
          <w:color w:val="auto"/>
          <w:highlight w:val="none"/>
        </w:rPr>
      </w:pPr>
      <w:bookmarkStart w:id="19" w:name="_Toc8124"/>
      <w:r>
        <w:rPr>
          <w:rFonts w:cs="Times New Roman"/>
          <w:color w:val="auto"/>
          <w:highlight w:val="none"/>
        </w:rPr>
        <w:t>规划符合性分析</w:t>
      </w:r>
      <w:bookmarkEnd w:id="19"/>
    </w:p>
    <w:p w14:paraId="2B11169D">
      <w:pPr>
        <w:pStyle w:val="5"/>
        <w:adjustRightInd w:val="0"/>
        <w:rPr>
          <w:rFonts w:cs="Times New Roman"/>
          <w:color w:val="auto"/>
          <w:highlight w:val="none"/>
        </w:rPr>
      </w:pPr>
      <w:r>
        <w:rPr>
          <w:rFonts w:cs="Times New Roman"/>
          <w:color w:val="auto"/>
          <w:highlight w:val="none"/>
        </w:rPr>
        <w:t>与《乐山市沙湾区国土空间总体规划（2021-2035年）》的符合性分析</w:t>
      </w:r>
    </w:p>
    <w:p w14:paraId="499D3CA2">
      <w:pPr>
        <w:adjustRightInd w:val="0"/>
        <w:ind w:firstLine="480"/>
        <w:rPr>
          <w:rFonts w:cs="Times New Roman"/>
          <w:color w:val="auto"/>
          <w:highlight w:val="none"/>
        </w:rPr>
      </w:pPr>
      <w:r>
        <w:rPr>
          <w:rFonts w:cs="Times New Roman"/>
          <w:color w:val="auto"/>
          <w:highlight w:val="none"/>
        </w:rPr>
        <w:t>2024年5月，四川省人民政府以川府函</w:t>
      </w:r>
      <w:bookmarkStart w:id="20" w:name="_Hlk214627854"/>
      <w:r>
        <w:rPr>
          <w:rFonts w:cs="Times New Roman"/>
          <w:color w:val="auto"/>
          <w:highlight w:val="none"/>
        </w:rPr>
        <w:t>〔2024〕144号</w:t>
      </w:r>
      <w:bookmarkEnd w:id="20"/>
      <w:r>
        <w:rPr>
          <w:rFonts w:cs="Times New Roman"/>
          <w:color w:val="auto"/>
          <w:highlight w:val="none"/>
        </w:rPr>
        <w:t>对《乐山市沙湾区国土空间总体规划（2021-2035年）》进行了批复，规划将乐山市沙湾区建成西南新型建材产业基地、大峨眉旅游圈文化名城。乐山市沙湾区人民政府于12月23日对外发布了《乐山市沙湾区国土空间总体规划（2021-2035年）》，</w:t>
      </w:r>
      <w:bookmarkStart w:id="21" w:name="_Hlk214611810"/>
      <w:r>
        <w:rPr>
          <w:rFonts w:cs="Times New Roman"/>
          <w:color w:val="auto"/>
          <w:highlight w:val="none"/>
        </w:rPr>
        <w:t>本项目位于</w:t>
      </w:r>
      <w:r>
        <w:rPr>
          <w:rFonts w:hint="eastAsia" w:cs="Times New Roman"/>
          <w:color w:val="auto"/>
          <w:highlight w:val="none"/>
        </w:rPr>
        <w:t>乐山市沙湾区四川乐山沙湾经济开发区嘉农组团内</w:t>
      </w:r>
      <w:r>
        <w:rPr>
          <w:rFonts w:cs="Times New Roman"/>
          <w:color w:val="auto"/>
          <w:highlight w:val="none"/>
        </w:rPr>
        <w:t>，符合性分析</w:t>
      </w:r>
      <w:bookmarkEnd w:id="21"/>
      <w:r>
        <w:rPr>
          <w:rFonts w:cs="Times New Roman"/>
          <w:color w:val="auto"/>
          <w:highlight w:val="none"/>
        </w:rPr>
        <w:t>见下表：</w:t>
      </w:r>
    </w:p>
    <w:p w14:paraId="302BE426">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23</w:t>
      </w:r>
      <w:r>
        <w:rPr>
          <w:rFonts w:cs="Times New Roman"/>
          <w:color w:val="auto"/>
          <w:highlight w:val="none"/>
        </w:rPr>
        <w:fldChar w:fldCharType="end"/>
      </w:r>
      <w:r>
        <w:rPr>
          <w:rFonts w:cs="Times New Roman"/>
          <w:color w:val="auto"/>
          <w:highlight w:val="none"/>
        </w:rPr>
        <w:t>本项目与《乐山市沙湾区国土空间总体规划（2021-2035年）》符合性分析</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40"/>
        <w:gridCol w:w="426"/>
        <w:gridCol w:w="3723"/>
        <w:gridCol w:w="2615"/>
        <w:gridCol w:w="1018"/>
      </w:tblGrid>
      <w:tr w14:paraId="4B9C4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435"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EDC62B8">
            <w:pPr>
              <w:pStyle w:val="37"/>
              <w:adjustRightInd w:val="0"/>
              <w:rPr>
                <w:b/>
                <w:bCs/>
                <w:color w:val="auto"/>
                <w:highlight w:val="none"/>
              </w:rPr>
            </w:pPr>
            <w:r>
              <w:rPr>
                <w:b/>
                <w:bCs/>
                <w:color w:val="auto"/>
                <w:highlight w:val="none"/>
              </w:rPr>
              <w:t>分类</w:t>
            </w:r>
          </w:p>
        </w:tc>
        <w:tc>
          <w:tcPr>
            <w:tcW w:w="243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7C3E951">
            <w:pPr>
              <w:pStyle w:val="37"/>
              <w:adjustRightInd w:val="0"/>
              <w:rPr>
                <w:b/>
                <w:bCs/>
                <w:color w:val="auto"/>
                <w:highlight w:val="none"/>
              </w:rPr>
            </w:pPr>
            <w:r>
              <w:rPr>
                <w:b/>
                <w:bCs/>
                <w:color w:val="auto"/>
                <w:highlight w:val="none"/>
              </w:rPr>
              <w:t>规划内容</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A6BF2">
            <w:pPr>
              <w:pStyle w:val="37"/>
              <w:adjustRightInd w:val="0"/>
              <w:rPr>
                <w:b/>
                <w:bCs/>
                <w:color w:val="auto"/>
                <w:highlight w:val="none"/>
              </w:rPr>
            </w:pPr>
            <w:r>
              <w:rPr>
                <w:b/>
                <w:bCs/>
                <w:color w:val="auto"/>
                <w:highlight w:val="none"/>
              </w:rPr>
              <w:t>本项目情况</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6BDA23">
            <w:pPr>
              <w:pStyle w:val="37"/>
              <w:adjustRightInd w:val="0"/>
              <w:rPr>
                <w:b/>
                <w:bCs/>
                <w:color w:val="auto"/>
                <w:highlight w:val="none"/>
              </w:rPr>
            </w:pPr>
            <w:r>
              <w:rPr>
                <w:b/>
                <w:bCs/>
                <w:color w:val="auto"/>
                <w:highlight w:val="none"/>
              </w:rPr>
              <w:t>符合性</w:t>
            </w:r>
          </w:p>
        </w:tc>
      </w:tr>
      <w:tr w14:paraId="5E700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247AED">
            <w:pPr>
              <w:pStyle w:val="37"/>
              <w:adjustRightInd w:val="0"/>
              <w:rPr>
                <w:color w:val="auto"/>
                <w:highlight w:val="none"/>
              </w:rPr>
            </w:pPr>
            <w:r>
              <w:rPr>
                <w:color w:val="auto"/>
                <w:highlight w:val="none"/>
              </w:rPr>
              <w:t>规划年限</w:t>
            </w:r>
          </w:p>
        </w:tc>
        <w:tc>
          <w:tcPr>
            <w:tcW w:w="243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38CADFE">
            <w:pPr>
              <w:pStyle w:val="37"/>
              <w:adjustRightInd w:val="0"/>
              <w:jc w:val="both"/>
              <w:rPr>
                <w:color w:val="auto"/>
                <w:highlight w:val="none"/>
              </w:rPr>
            </w:pPr>
            <w:r>
              <w:rPr>
                <w:color w:val="auto"/>
                <w:highlight w:val="none"/>
              </w:rPr>
              <w:t>规划基期为2020年，规划期限为2021-2035年，近期到2025年，远景展望到2050年。</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FB9F38">
            <w:pPr>
              <w:pStyle w:val="37"/>
              <w:adjustRightInd w:val="0"/>
              <w:rPr>
                <w:color w:val="auto"/>
                <w:highlight w:val="none"/>
              </w:rPr>
            </w:pPr>
            <w:r>
              <w:rPr>
                <w:color w:val="auto"/>
                <w:highlight w:val="none"/>
              </w:rPr>
              <w:t>/</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81F27">
            <w:pPr>
              <w:pStyle w:val="37"/>
              <w:adjustRightInd w:val="0"/>
              <w:rPr>
                <w:color w:val="auto"/>
                <w:highlight w:val="none"/>
              </w:rPr>
            </w:pPr>
            <w:r>
              <w:rPr>
                <w:color w:val="auto"/>
                <w:highlight w:val="none"/>
              </w:rPr>
              <w:t>/</w:t>
            </w:r>
          </w:p>
        </w:tc>
      </w:tr>
      <w:tr w14:paraId="3D85B8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A3A20C">
            <w:pPr>
              <w:pStyle w:val="37"/>
              <w:adjustRightInd w:val="0"/>
              <w:rPr>
                <w:color w:val="auto"/>
                <w:highlight w:val="none"/>
              </w:rPr>
            </w:pPr>
            <w:r>
              <w:rPr>
                <w:color w:val="auto"/>
                <w:highlight w:val="none"/>
              </w:rPr>
              <w:t>总体定位</w:t>
            </w:r>
          </w:p>
        </w:tc>
        <w:tc>
          <w:tcPr>
            <w:tcW w:w="243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8C4AA0">
            <w:pPr>
              <w:pStyle w:val="37"/>
              <w:adjustRightInd w:val="0"/>
              <w:jc w:val="both"/>
              <w:rPr>
                <w:color w:val="auto"/>
                <w:highlight w:val="none"/>
              </w:rPr>
            </w:pPr>
            <w:r>
              <w:rPr>
                <w:rFonts w:hint="eastAsia"/>
                <w:color w:val="auto"/>
                <w:highlight w:val="none"/>
              </w:rPr>
              <w:t>“</w:t>
            </w:r>
            <w:r>
              <w:rPr>
                <w:color w:val="auto"/>
                <w:highlight w:val="none"/>
              </w:rPr>
              <w:t>一区一地一城</w:t>
            </w:r>
            <w:r>
              <w:rPr>
                <w:rFonts w:hint="eastAsia"/>
                <w:color w:val="auto"/>
                <w:highlight w:val="none"/>
              </w:rPr>
              <w:t>”</w:t>
            </w:r>
          </w:p>
          <w:p w14:paraId="1B17B2AB">
            <w:pPr>
              <w:pStyle w:val="37"/>
              <w:adjustRightInd w:val="0"/>
              <w:jc w:val="both"/>
              <w:rPr>
                <w:color w:val="auto"/>
                <w:highlight w:val="none"/>
              </w:rPr>
            </w:pPr>
            <w:r>
              <w:rPr>
                <w:color w:val="auto"/>
                <w:highlight w:val="none"/>
              </w:rPr>
              <w:t>一区：盆周山区粮药经济示范区。落实成都平原经济区打造更高水平的</w:t>
            </w:r>
            <w:r>
              <w:rPr>
                <w:rFonts w:hint="eastAsia"/>
                <w:color w:val="auto"/>
                <w:highlight w:val="none"/>
              </w:rPr>
              <w:t>“</w:t>
            </w:r>
            <w:r>
              <w:rPr>
                <w:color w:val="auto"/>
                <w:highlight w:val="none"/>
              </w:rPr>
              <w:t>天府粮仓</w:t>
            </w:r>
            <w:r>
              <w:rPr>
                <w:rFonts w:hint="eastAsia"/>
                <w:color w:val="auto"/>
                <w:highlight w:val="none"/>
              </w:rPr>
              <w:t>”</w:t>
            </w:r>
            <w:r>
              <w:rPr>
                <w:color w:val="auto"/>
                <w:highlight w:val="none"/>
              </w:rPr>
              <w:t>、建设全省粮食主产区的要求。立足丘陵地貌，聚焦现代农业，坚持</w:t>
            </w:r>
            <w:r>
              <w:rPr>
                <w:rFonts w:hint="eastAsia"/>
                <w:color w:val="auto"/>
                <w:highlight w:val="none"/>
              </w:rPr>
              <w:t>“</w:t>
            </w:r>
            <w:r>
              <w:rPr>
                <w:color w:val="auto"/>
                <w:highlight w:val="none"/>
              </w:rPr>
              <w:t>粮下地、药上山</w:t>
            </w:r>
            <w:r>
              <w:rPr>
                <w:rFonts w:hint="eastAsia"/>
                <w:color w:val="auto"/>
                <w:highlight w:val="none"/>
              </w:rPr>
              <w:t>”</w:t>
            </w:r>
            <w:r>
              <w:rPr>
                <w:color w:val="auto"/>
                <w:highlight w:val="none"/>
              </w:rPr>
              <w:t>，打造更高水平的盆周山区粮药经济示范区。</w:t>
            </w:r>
          </w:p>
          <w:p w14:paraId="772E1C17">
            <w:pPr>
              <w:pStyle w:val="37"/>
              <w:adjustRightInd w:val="0"/>
              <w:jc w:val="both"/>
              <w:rPr>
                <w:color w:val="auto"/>
                <w:highlight w:val="none"/>
                <w:u w:val="single"/>
              </w:rPr>
            </w:pPr>
            <w:r>
              <w:rPr>
                <w:b/>
                <w:bCs/>
                <w:color w:val="auto"/>
                <w:highlight w:val="none"/>
                <w:u w:val="single"/>
              </w:rPr>
              <w:t>一地：西南新型建材产业基地。主动融入先进制造业集聚区建设，打造西南新型建材产业基地，铸就沙湾工业强区之根基。</w:t>
            </w:r>
          </w:p>
          <w:p w14:paraId="3EF8939E">
            <w:pPr>
              <w:pStyle w:val="37"/>
              <w:adjustRightInd w:val="0"/>
              <w:jc w:val="both"/>
              <w:rPr>
                <w:color w:val="auto"/>
                <w:highlight w:val="none"/>
              </w:rPr>
            </w:pPr>
            <w:r>
              <w:rPr>
                <w:color w:val="auto"/>
                <w:highlight w:val="none"/>
              </w:rPr>
              <w:t>一城：大峨眉旅游圈文化名城。落实《四川省建设世界重要旅游目的地规划（2023—2035 年）》，主动融入大峨眉旅游圈，提升大渡河风景道旅游服务水平，注入具有沙湾特色的沫若、铜河文化，突出文旅融合发展，建设大峨眉旅游圈文化名城。</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43F893">
            <w:pPr>
              <w:pStyle w:val="37"/>
              <w:adjustRightInd w:val="0"/>
              <w:rPr>
                <w:color w:val="auto"/>
                <w:highlight w:val="none"/>
              </w:rPr>
            </w:pPr>
            <w:r>
              <w:rPr>
                <w:color w:val="auto"/>
                <w:highlight w:val="none"/>
              </w:rPr>
              <w:t>本项目建设属于锂材料产业链一环，浮选得到的锂精矿提供给下游锂材料加工企业，生产过程中产生的尾矿交</w:t>
            </w:r>
            <w:r>
              <w:rPr>
                <w:rFonts w:hint="eastAsia"/>
                <w:color w:val="auto"/>
                <w:highlight w:val="none"/>
              </w:rPr>
              <w:t>由</w:t>
            </w:r>
            <w:r>
              <w:rPr>
                <w:color w:val="auto"/>
                <w:highlight w:val="none"/>
              </w:rPr>
              <w:t>下游新型建材企业综合利用，形成了产业链上中下游协同发展格局。符合</w:t>
            </w:r>
            <w:r>
              <w:rPr>
                <w:rFonts w:hint="eastAsia"/>
                <w:color w:val="auto"/>
                <w:highlight w:val="none"/>
              </w:rPr>
              <w:t>“</w:t>
            </w:r>
            <w:r>
              <w:rPr>
                <w:color w:val="auto"/>
                <w:highlight w:val="none"/>
              </w:rPr>
              <w:t>一地</w:t>
            </w:r>
            <w:r>
              <w:rPr>
                <w:rFonts w:hint="eastAsia"/>
                <w:color w:val="auto"/>
                <w:highlight w:val="none"/>
              </w:rPr>
              <w:t>”</w:t>
            </w:r>
            <w:r>
              <w:rPr>
                <w:color w:val="auto"/>
                <w:highlight w:val="none"/>
              </w:rPr>
              <w:t>的产业政策</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419FD">
            <w:pPr>
              <w:pStyle w:val="37"/>
              <w:adjustRightInd w:val="0"/>
              <w:rPr>
                <w:color w:val="auto"/>
                <w:highlight w:val="none"/>
              </w:rPr>
            </w:pPr>
            <w:r>
              <w:rPr>
                <w:color w:val="auto"/>
                <w:highlight w:val="none"/>
              </w:rPr>
              <w:t>符合</w:t>
            </w:r>
          </w:p>
        </w:tc>
      </w:tr>
      <w:tr w14:paraId="24FAC2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0AC6C6">
            <w:pPr>
              <w:pStyle w:val="37"/>
              <w:adjustRightInd w:val="0"/>
              <w:rPr>
                <w:color w:val="auto"/>
                <w:highlight w:val="none"/>
              </w:rPr>
            </w:pPr>
            <w:r>
              <w:rPr>
                <w:color w:val="auto"/>
                <w:highlight w:val="none"/>
              </w:rPr>
              <w:t>规划范围</w:t>
            </w:r>
          </w:p>
        </w:tc>
        <w:tc>
          <w:tcPr>
            <w:tcW w:w="243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E78726C">
            <w:pPr>
              <w:pStyle w:val="37"/>
              <w:adjustRightInd w:val="0"/>
              <w:jc w:val="both"/>
              <w:rPr>
                <w:color w:val="auto"/>
                <w:highlight w:val="none"/>
              </w:rPr>
            </w:pPr>
            <w:r>
              <w:rPr>
                <w:color w:val="auto"/>
                <w:highlight w:val="none"/>
              </w:rPr>
              <w:t>规划范围包括全域和中心城区两个层级，全域层级为沙湾区行政辖区范围，总面积605.26平方千米；</w:t>
            </w:r>
            <w:r>
              <w:rPr>
                <w:b/>
                <w:bCs/>
                <w:color w:val="auto"/>
                <w:highlight w:val="none"/>
                <w:u w:val="single"/>
              </w:rPr>
              <w:t>中心城区层级为上位规划所划定的沙湾中心城区开发边界所围合的区域，包括现状建成区与规划扩展区，总面积14.95平方千米。</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A6091">
            <w:pPr>
              <w:pStyle w:val="37"/>
              <w:adjustRightInd w:val="0"/>
              <w:rPr>
                <w:color w:val="auto"/>
                <w:highlight w:val="none"/>
              </w:rPr>
            </w:pPr>
            <w:r>
              <w:rPr>
                <w:rFonts w:hint="eastAsia"/>
                <w:color w:val="auto"/>
                <w:highlight w:val="none"/>
              </w:rPr>
              <w:t>本项目位于乐山市沙湾区四川乐山沙湾经济开发区嘉农组团内</w:t>
            </w:r>
            <w:r>
              <w:rPr>
                <w:color w:val="auto"/>
                <w:highlight w:val="none"/>
              </w:rPr>
              <w:t>。</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E77185">
            <w:pPr>
              <w:pStyle w:val="37"/>
              <w:adjustRightInd w:val="0"/>
              <w:rPr>
                <w:color w:val="auto"/>
                <w:highlight w:val="none"/>
              </w:rPr>
            </w:pPr>
            <w:r>
              <w:rPr>
                <w:color w:val="auto"/>
                <w:highlight w:val="none"/>
              </w:rPr>
              <w:t>符合</w:t>
            </w:r>
          </w:p>
        </w:tc>
      </w:tr>
      <w:tr w14:paraId="55991A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430FF0E3">
            <w:pPr>
              <w:pStyle w:val="37"/>
              <w:adjustRightInd w:val="0"/>
              <w:rPr>
                <w:color w:val="auto"/>
                <w:highlight w:val="none"/>
              </w:rPr>
            </w:pPr>
            <w:r>
              <w:rPr>
                <w:b/>
                <w:bCs/>
                <w:color w:val="auto"/>
                <w:highlight w:val="none"/>
              </w:rPr>
              <w:t>中心城区规划</w:t>
            </w:r>
          </w:p>
        </w:tc>
      </w:tr>
      <w:tr w14:paraId="54420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89E3B3">
            <w:pPr>
              <w:pStyle w:val="37"/>
              <w:adjustRightInd w:val="0"/>
              <w:rPr>
                <w:color w:val="auto"/>
                <w:highlight w:val="none"/>
              </w:rPr>
            </w:pPr>
            <w:r>
              <w:rPr>
                <w:color w:val="auto"/>
                <w:highlight w:val="none"/>
              </w:rPr>
              <w:t>用地布局</w:t>
            </w:r>
          </w:p>
        </w:tc>
        <w:tc>
          <w:tcPr>
            <w:tcW w:w="243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DF14EF3">
            <w:pPr>
              <w:pStyle w:val="37"/>
              <w:adjustRightInd w:val="0"/>
              <w:jc w:val="both"/>
              <w:rPr>
                <w:color w:val="auto"/>
                <w:highlight w:val="none"/>
              </w:rPr>
            </w:pPr>
            <w:r>
              <w:rPr>
                <w:color w:val="auto"/>
                <w:highlight w:val="none"/>
              </w:rPr>
              <w:t>工业用地</w:t>
            </w:r>
          </w:p>
          <w:p w14:paraId="0D6EA31C">
            <w:pPr>
              <w:pStyle w:val="37"/>
              <w:adjustRightInd w:val="0"/>
              <w:jc w:val="both"/>
              <w:rPr>
                <w:color w:val="auto"/>
                <w:highlight w:val="none"/>
              </w:rPr>
            </w:pPr>
            <w:r>
              <w:rPr>
                <w:color w:val="auto"/>
                <w:highlight w:val="none"/>
              </w:rPr>
              <w:t>规划工业用地面积638.08公顷，占城镇建设用地的42.93%。规划形成两大工业集中发展区，分别为嘉农组团和沙湾老城组团。</w:t>
            </w:r>
          </w:p>
          <w:p w14:paraId="6874330D">
            <w:pPr>
              <w:pStyle w:val="37"/>
              <w:adjustRightInd w:val="0"/>
              <w:jc w:val="both"/>
              <w:rPr>
                <w:b/>
                <w:bCs/>
                <w:color w:val="auto"/>
                <w:highlight w:val="none"/>
                <w:u w:val="single"/>
              </w:rPr>
            </w:pPr>
            <w:r>
              <w:rPr>
                <w:b/>
                <w:bCs/>
                <w:color w:val="auto"/>
                <w:highlight w:val="none"/>
                <w:u w:val="single"/>
              </w:rPr>
              <w:t>嘉农组团：规划工业用地面积385.83公顷，重点发展高性能不锈钢制品加工、新型建材产业和生产性服务业。</w:t>
            </w:r>
          </w:p>
          <w:p w14:paraId="4CD7574F">
            <w:pPr>
              <w:pStyle w:val="37"/>
              <w:adjustRightInd w:val="0"/>
              <w:jc w:val="both"/>
              <w:rPr>
                <w:color w:val="auto"/>
                <w:highlight w:val="none"/>
              </w:rPr>
            </w:pPr>
            <w:r>
              <w:rPr>
                <w:color w:val="auto"/>
                <w:highlight w:val="none"/>
              </w:rPr>
              <w:t>沙湾老城组团：规划工业用地面积252.25公顷，重点发展钒钛钢铁循环经济产业，推广高强度建筑钢筋，推动高档次钒钛钢铁产品的开发。</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D4684">
            <w:pPr>
              <w:pStyle w:val="37"/>
              <w:adjustRightInd w:val="0"/>
              <w:rPr>
                <w:color w:val="auto"/>
                <w:highlight w:val="none"/>
              </w:rPr>
            </w:pPr>
            <w:r>
              <w:rPr>
                <w:color w:val="auto"/>
                <w:highlight w:val="none"/>
              </w:rPr>
              <w:t>本项目位于四川乐山沙湾经济开发区嘉农组团，本项目浮选得到的锂精矿提供给下游锂材料加工企业，生产过程中产生的尾矿交</w:t>
            </w:r>
            <w:r>
              <w:rPr>
                <w:rFonts w:hint="eastAsia"/>
                <w:color w:val="auto"/>
                <w:highlight w:val="none"/>
              </w:rPr>
              <w:t>由</w:t>
            </w:r>
            <w:r>
              <w:rPr>
                <w:color w:val="auto"/>
                <w:highlight w:val="none"/>
              </w:rPr>
              <w:t>下游新型建材企业综合利用，本项目属于嘉农组团重点发展的新型建材产业。</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C72778">
            <w:pPr>
              <w:pStyle w:val="37"/>
              <w:adjustRightInd w:val="0"/>
              <w:rPr>
                <w:color w:val="auto"/>
                <w:highlight w:val="none"/>
              </w:rPr>
            </w:pPr>
            <w:r>
              <w:rPr>
                <w:color w:val="auto"/>
                <w:highlight w:val="none"/>
              </w:rPr>
              <w:t>符合</w:t>
            </w:r>
          </w:p>
        </w:tc>
      </w:tr>
      <w:tr w14:paraId="5C1251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42B6796">
            <w:pPr>
              <w:pStyle w:val="37"/>
              <w:adjustRightInd w:val="0"/>
              <w:rPr>
                <w:color w:val="auto"/>
                <w:highlight w:val="none"/>
              </w:rPr>
            </w:pPr>
            <w:r>
              <w:rPr>
                <w:color w:val="auto"/>
                <w:highlight w:val="none"/>
              </w:rPr>
              <w:t>市政设施</w:t>
            </w:r>
          </w:p>
        </w:tc>
        <w:tc>
          <w:tcPr>
            <w:tcW w:w="2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318C88">
            <w:pPr>
              <w:pStyle w:val="37"/>
              <w:adjustRightInd w:val="0"/>
              <w:jc w:val="both"/>
              <w:rPr>
                <w:color w:val="auto"/>
                <w:highlight w:val="none"/>
              </w:rPr>
            </w:pPr>
            <w:r>
              <w:rPr>
                <w:color w:val="auto"/>
                <w:highlight w:val="none"/>
              </w:rPr>
              <w:t>电力设施</w:t>
            </w:r>
          </w:p>
        </w:tc>
        <w:tc>
          <w:tcPr>
            <w:tcW w:w="21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9093C">
            <w:pPr>
              <w:pStyle w:val="37"/>
              <w:adjustRightInd w:val="0"/>
              <w:jc w:val="both"/>
              <w:rPr>
                <w:color w:val="auto"/>
                <w:highlight w:val="none"/>
              </w:rPr>
            </w:pPr>
            <w:r>
              <w:rPr>
                <w:color w:val="auto"/>
                <w:highlight w:val="none"/>
              </w:rPr>
              <w:t>规划布局2座220kV变电站，即沫水变电站和沙湾南牵引站；5座110kV变电站，即沙湾变电站、嘉农变电站、兴园变电站、顺河用户变电站、嘉华用户变电站。</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1415BF">
            <w:pPr>
              <w:pStyle w:val="37"/>
              <w:adjustRightInd w:val="0"/>
              <w:rPr>
                <w:color w:val="auto"/>
                <w:highlight w:val="none"/>
              </w:rPr>
            </w:pPr>
            <w:r>
              <w:rPr>
                <w:color w:val="auto"/>
                <w:highlight w:val="none"/>
              </w:rPr>
              <w:t>本项目用电由嘉农变电站提供。</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2F6C8">
            <w:pPr>
              <w:pStyle w:val="37"/>
              <w:adjustRightInd w:val="0"/>
              <w:rPr>
                <w:color w:val="auto"/>
                <w:highlight w:val="none"/>
              </w:rPr>
            </w:pPr>
            <w:r>
              <w:rPr>
                <w:color w:val="auto"/>
                <w:highlight w:val="none"/>
              </w:rPr>
              <w:t>符合</w:t>
            </w:r>
          </w:p>
        </w:tc>
      </w:tr>
      <w:tr w14:paraId="0D8EB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DD5034">
            <w:pPr>
              <w:pStyle w:val="37"/>
              <w:adjustRightInd w:val="0"/>
              <w:rPr>
                <w:color w:val="auto"/>
                <w:highlight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5ABEB2">
            <w:pPr>
              <w:pStyle w:val="37"/>
              <w:adjustRightInd w:val="0"/>
              <w:jc w:val="both"/>
              <w:rPr>
                <w:color w:val="auto"/>
                <w:highlight w:val="none"/>
              </w:rPr>
            </w:pPr>
            <w:r>
              <w:rPr>
                <w:color w:val="auto"/>
                <w:highlight w:val="none"/>
              </w:rPr>
              <w:t>燃气设施</w:t>
            </w:r>
          </w:p>
        </w:tc>
        <w:tc>
          <w:tcPr>
            <w:tcW w:w="21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28A67">
            <w:pPr>
              <w:pStyle w:val="37"/>
              <w:adjustRightInd w:val="0"/>
              <w:jc w:val="both"/>
              <w:rPr>
                <w:color w:val="auto"/>
                <w:highlight w:val="none"/>
              </w:rPr>
            </w:pPr>
            <w:r>
              <w:rPr>
                <w:color w:val="auto"/>
                <w:highlight w:val="none"/>
              </w:rPr>
              <w:t>沙湾区中心城区气源由金山门站（扩建）供气。规划配气站2 座，分别为沙湾配气站、嘉农配气站，气化率达到100%。</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48628">
            <w:pPr>
              <w:pStyle w:val="37"/>
              <w:adjustRightInd w:val="0"/>
              <w:rPr>
                <w:color w:val="auto"/>
                <w:highlight w:val="none"/>
              </w:rPr>
            </w:pPr>
            <w:r>
              <w:rPr>
                <w:color w:val="auto"/>
                <w:highlight w:val="none"/>
              </w:rPr>
              <w:t>本项目生产不使用天然气</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EB865F">
            <w:pPr>
              <w:pStyle w:val="37"/>
              <w:adjustRightInd w:val="0"/>
              <w:rPr>
                <w:color w:val="auto"/>
                <w:highlight w:val="none"/>
              </w:rPr>
            </w:pPr>
            <w:r>
              <w:rPr>
                <w:color w:val="auto"/>
                <w:highlight w:val="none"/>
              </w:rPr>
              <w:t>符合</w:t>
            </w:r>
          </w:p>
        </w:tc>
      </w:tr>
      <w:tr w14:paraId="513984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D63077">
            <w:pPr>
              <w:pStyle w:val="37"/>
              <w:adjustRightInd w:val="0"/>
              <w:rPr>
                <w:color w:val="auto"/>
                <w:highlight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E1375">
            <w:pPr>
              <w:pStyle w:val="37"/>
              <w:adjustRightInd w:val="0"/>
              <w:jc w:val="both"/>
              <w:rPr>
                <w:color w:val="auto"/>
                <w:highlight w:val="none"/>
              </w:rPr>
            </w:pPr>
            <w:r>
              <w:rPr>
                <w:color w:val="auto"/>
                <w:highlight w:val="none"/>
              </w:rPr>
              <w:t>环卫设施</w:t>
            </w:r>
          </w:p>
        </w:tc>
        <w:tc>
          <w:tcPr>
            <w:tcW w:w="21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0D3B42">
            <w:pPr>
              <w:pStyle w:val="37"/>
              <w:adjustRightInd w:val="0"/>
              <w:jc w:val="both"/>
              <w:rPr>
                <w:color w:val="auto"/>
                <w:highlight w:val="none"/>
              </w:rPr>
            </w:pPr>
            <w:r>
              <w:rPr>
                <w:color w:val="auto"/>
                <w:highlight w:val="none"/>
              </w:rPr>
              <w:t>沙湾城区共设置2座垃圾压缩转运站，用地面积0.47公顷。垃圾房服务半径不大于200米，生活垃圾收集点的服务半径一般不应超过70米。城区生活垃圾送至垃圾压缩中转站，集中运至乐山市生活垃圾焚烧发电厂处理。</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71EF3">
            <w:pPr>
              <w:pStyle w:val="37"/>
              <w:adjustRightInd w:val="0"/>
              <w:rPr>
                <w:color w:val="auto"/>
                <w:highlight w:val="none"/>
              </w:rPr>
            </w:pPr>
            <w:r>
              <w:rPr>
                <w:color w:val="auto"/>
                <w:highlight w:val="none"/>
              </w:rPr>
              <w:t>本项目产生的生活垃圾，由环卫部门统一清运。</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5B5786">
            <w:pPr>
              <w:pStyle w:val="37"/>
              <w:adjustRightInd w:val="0"/>
              <w:rPr>
                <w:color w:val="auto"/>
                <w:highlight w:val="none"/>
              </w:rPr>
            </w:pPr>
            <w:r>
              <w:rPr>
                <w:color w:val="auto"/>
                <w:highlight w:val="none"/>
              </w:rPr>
              <w:t>符合</w:t>
            </w:r>
          </w:p>
        </w:tc>
      </w:tr>
      <w:tr w14:paraId="2099FB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944E0B">
            <w:pPr>
              <w:pStyle w:val="37"/>
              <w:adjustRightInd w:val="0"/>
              <w:rPr>
                <w:color w:val="auto"/>
                <w:highlight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82C2F5">
            <w:pPr>
              <w:pStyle w:val="37"/>
              <w:adjustRightInd w:val="0"/>
              <w:jc w:val="both"/>
              <w:rPr>
                <w:color w:val="auto"/>
                <w:highlight w:val="none"/>
              </w:rPr>
            </w:pPr>
            <w:r>
              <w:rPr>
                <w:color w:val="auto"/>
                <w:highlight w:val="none"/>
              </w:rPr>
              <w:t>给水设施</w:t>
            </w:r>
          </w:p>
        </w:tc>
        <w:tc>
          <w:tcPr>
            <w:tcW w:w="21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DE502">
            <w:pPr>
              <w:pStyle w:val="37"/>
              <w:adjustRightInd w:val="0"/>
              <w:jc w:val="both"/>
              <w:rPr>
                <w:color w:val="auto"/>
                <w:highlight w:val="none"/>
              </w:rPr>
            </w:pPr>
            <w:r>
              <w:rPr>
                <w:color w:val="auto"/>
                <w:highlight w:val="none"/>
              </w:rPr>
              <w:t>沙湾城区现状用水主要来源于安谷水厂（乐山市第四水厂），规划新建葫芦水厂，供水规模为6万立方米/天（供水区域包括沙湾中心城区、所有镇区及周边部分有条件的乡村），建成后与安谷水厂并网，并为沙湾城区供水；保留现状沙湾水厂作为备用水厂。城区自来水普及率达到100%。</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73374">
            <w:pPr>
              <w:pStyle w:val="37"/>
              <w:adjustRightInd w:val="0"/>
              <w:rPr>
                <w:color w:val="auto"/>
                <w:highlight w:val="none"/>
              </w:rPr>
            </w:pPr>
            <w:r>
              <w:rPr>
                <w:color w:val="auto"/>
                <w:highlight w:val="none"/>
              </w:rPr>
              <w:t>本项目用水由乐山市第四水厂供应。</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DA5AF">
            <w:pPr>
              <w:pStyle w:val="37"/>
              <w:adjustRightInd w:val="0"/>
              <w:rPr>
                <w:color w:val="auto"/>
                <w:highlight w:val="none"/>
              </w:rPr>
            </w:pPr>
            <w:r>
              <w:rPr>
                <w:color w:val="auto"/>
                <w:highlight w:val="none"/>
              </w:rPr>
              <w:t>符合</w:t>
            </w:r>
          </w:p>
        </w:tc>
      </w:tr>
      <w:tr w14:paraId="49A296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3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4F37B3">
            <w:pPr>
              <w:pStyle w:val="37"/>
              <w:adjustRightInd w:val="0"/>
              <w:rPr>
                <w:color w:val="auto"/>
                <w:highlight w:val="none"/>
              </w:rPr>
            </w:pPr>
          </w:p>
        </w:tc>
        <w:tc>
          <w:tcPr>
            <w:tcW w:w="24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8A338">
            <w:pPr>
              <w:pStyle w:val="37"/>
              <w:adjustRightInd w:val="0"/>
              <w:jc w:val="both"/>
              <w:rPr>
                <w:color w:val="auto"/>
                <w:highlight w:val="none"/>
              </w:rPr>
            </w:pPr>
            <w:r>
              <w:rPr>
                <w:color w:val="auto"/>
                <w:highlight w:val="none"/>
              </w:rPr>
              <w:t>排水设施</w:t>
            </w:r>
          </w:p>
        </w:tc>
        <w:tc>
          <w:tcPr>
            <w:tcW w:w="218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A8956">
            <w:pPr>
              <w:pStyle w:val="37"/>
              <w:adjustRightInd w:val="0"/>
              <w:jc w:val="both"/>
              <w:rPr>
                <w:color w:val="auto"/>
                <w:highlight w:val="none"/>
              </w:rPr>
            </w:pPr>
            <w:r>
              <w:rPr>
                <w:color w:val="auto"/>
                <w:highlight w:val="none"/>
              </w:rPr>
              <w:t>雨水工程。规划沿城区的市政主要道路设置雨水主干管（渠）。实现雨、污分流，汇集的雨水经初沉后排入自然水体，最终排入规划区中部的大渡河。</w:t>
            </w:r>
          </w:p>
          <w:p w14:paraId="4CB39AF5">
            <w:pPr>
              <w:pStyle w:val="37"/>
              <w:adjustRightInd w:val="0"/>
              <w:jc w:val="both"/>
              <w:rPr>
                <w:color w:val="auto"/>
                <w:highlight w:val="none"/>
              </w:rPr>
            </w:pPr>
            <w:r>
              <w:rPr>
                <w:color w:val="auto"/>
                <w:highlight w:val="none"/>
              </w:rPr>
              <w:t>污水工程。规划至2035年共布局3座污水处理厂，总处理规模达3.7万立方米/天，总用地面积5.98公顷。污水处理率达到100%，污泥无害化处置率达到100%。</w:t>
            </w:r>
          </w:p>
          <w:p w14:paraId="214C865E">
            <w:pPr>
              <w:pStyle w:val="37"/>
              <w:adjustRightInd w:val="0"/>
              <w:jc w:val="both"/>
              <w:rPr>
                <w:color w:val="auto"/>
                <w:highlight w:val="none"/>
              </w:rPr>
            </w:pPr>
            <w:r>
              <w:rPr>
                <w:color w:val="auto"/>
                <w:highlight w:val="none"/>
              </w:rPr>
              <w:t>再生水工程。结合城市污水处理厂布局3座再生水厂，规模约为1.1万立方米/天。</w:t>
            </w:r>
          </w:p>
        </w:tc>
        <w:tc>
          <w:tcPr>
            <w:tcW w:w="15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B8411">
            <w:pPr>
              <w:pStyle w:val="37"/>
              <w:adjustRightInd w:val="0"/>
              <w:rPr>
                <w:color w:val="auto"/>
                <w:highlight w:val="none"/>
              </w:rPr>
            </w:pPr>
            <w:r>
              <w:rPr>
                <w:color w:val="auto"/>
                <w:highlight w:val="none"/>
              </w:rPr>
              <w:t>本项目实施雨污分流。</w:t>
            </w:r>
          </w:p>
          <w:p w14:paraId="0D963155">
            <w:pPr>
              <w:pStyle w:val="37"/>
              <w:adjustRightInd w:val="0"/>
              <w:rPr>
                <w:color w:val="auto"/>
                <w:highlight w:val="none"/>
              </w:rPr>
            </w:pP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）处理后经园区污水管网排入乐山沙湾经济开发区污水处理厂进一步处理达标后外排大渡河；</w:t>
            </w:r>
          </w:p>
          <w:p w14:paraId="55EF4359">
            <w:pPr>
              <w:pStyle w:val="37"/>
              <w:adjustRightInd w:val="0"/>
              <w:rPr>
                <w:color w:val="auto"/>
                <w:highlight w:val="none"/>
              </w:rPr>
            </w:pPr>
            <w:r>
              <w:rPr>
                <w:color w:val="auto"/>
                <w:highlight w:val="none"/>
              </w:rPr>
              <w:t>生产废水（选矿废水、车辆冲洗废水）循环使用，不外排。</w:t>
            </w:r>
          </w:p>
          <w:p w14:paraId="56F79362">
            <w:pPr>
              <w:pStyle w:val="37"/>
              <w:adjustRightInd w:val="0"/>
              <w:rPr>
                <w:color w:val="auto"/>
                <w:highlight w:val="none"/>
              </w:rPr>
            </w:pPr>
            <w:r>
              <w:rPr>
                <w:color w:val="auto"/>
                <w:highlight w:val="none"/>
              </w:rPr>
              <w:t>初期雨水经</w:t>
            </w:r>
            <w:r>
              <w:rPr>
                <w:rFonts w:hint="eastAsia"/>
                <w:color w:val="auto"/>
                <w:highlight w:val="none"/>
              </w:rPr>
              <w:t>依托的乐山市沙湾区豪沐科技有限公司</w:t>
            </w:r>
            <w:r>
              <w:rPr>
                <w:color w:val="auto"/>
                <w:highlight w:val="none"/>
              </w:rPr>
              <w:t>初期雨水池（600m</w:t>
            </w:r>
            <w:r>
              <w:rPr>
                <w:color w:val="auto"/>
                <w:highlight w:val="none"/>
                <w:vertAlign w:val="superscript"/>
              </w:rPr>
              <w:t>3</w:t>
            </w:r>
            <w:r>
              <w:rPr>
                <w:color w:val="auto"/>
                <w:highlight w:val="none"/>
              </w:rPr>
              <w:t>）沉淀处理后回用于生产补水或厂区洒水降尘，不外排。</w:t>
            </w:r>
          </w:p>
        </w:tc>
        <w:tc>
          <w:tcPr>
            <w:tcW w:w="5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DDFF93">
            <w:pPr>
              <w:pStyle w:val="37"/>
              <w:adjustRightInd w:val="0"/>
              <w:rPr>
                <w:color w:val="auto"/>
                <w:highlight w:val="none"/>
              </w:rPr>
            </w:pPr>
            <w:r>
              <w:rPr>
                <w:color w:val="auto"/>
                <w:highlight w:val="none"/>
              </w:rPr>
              <w:t>符合</w:t>
            </w:r>
          </w:p>
        </w:tc>
      </w:tr>
    </w:tbl>
    <w:p w14:paraId="7D785082">
      <w:pPr>
        <w:adjustRightInd w:val="0"/>
        <w:ind w:firstLine="480"/>
        <w:rPr>
          <w:rFonts w:cs="Times New Roman"/>
          <w:color w:val="auto"/>
          <w:highlight w:val="none"/>
        </w:rPr>
      </w:pPr>
      <w:r>
        <w:rPr>
          <w:rFonts w:cs="Times New Roman"/>
          <w:color w:val="auto"/>
          <w:highlight w:val="none"/>
        </w:rPr>
        <w:t>综上所述，本项目建设符合《乐山市沙湾区国土空间总体规划（202</w:t>
      </w:r>
      <w:r>
        <w:rPr>
          <w:rFonts w:hint="eastAsia" w:cs="Times New Roman"/>
          <w:color w:val="auto"/>
          <w:highlight w:val="none"/>
        </w:rPr>
        <w:t>1</w:t>
      </w:r>
      <w:r>
        <w:rPr>
          <w:rFonts w:cs="Times New Roman"/>
          <w:color w:val="auto"/>
          <w:highlight w:val="none"/>
        </w:rPr>
        <w:t>-2035年）》相关要求。</w:t>
      </w:r>
    </w:p>
    <w:p w14:paraId="0BB57EC5">
      <w:pPr>
        <w:pStyle w:val="5"/>
        <w:rPr>
          <w:color w:val="auto"/>
          <w:highlight w:val="none"/>
        </w:rPr>
      </w:pPr>
      <w:r>
        <w:rPr>
          <w:rFonts w:hint="eastAsia"/>
          <w:color w:val="auto"/>
          <w:highlight w:val="none"/>
        </w:rPr>
        <w:t>与《乐山市沙湾区嘉农片区（沙湾经开区嘉农板块）详细规划》的符合性分析</w:t>
      </w:r>
    </w:p>
    <w:p w14:paraId="4CCD02A3">
      <w:pPr>
        <w:ind w:firstLine="480"/>
        <w:rPr>
          <w:color w:val="auto"/>
          <w:highlight w:val="none"/>
        </w:rPr>
      </w:pPr>
      <w:r>
        <w:rPr>
          <w:rFonts w:hint="eastAsia"/>
          <w:color w:val="auto"/>
          <w:highlight w:val="none"/>
        </w:rPr>
        <w:t>根据《乐山市沙湾区嘉农片区（沙湾经开区嘉农板块）详细规划》，</w:t>
      </w:r>
      <w:r>
        <w:rPr>
          <w:color w:val="auto"/>
          <w:highlight w:val="none"/>
        </w:rPr>
        <w:t>规划区范围约5.4平方公里，其中现状建设用地401.98公顷、非建设用地136.63公顷。规划区现状建设主要以工业用地为主，占建设用地的57.67%。其他的相对集中的建设用地主要在北部的嘉农镇区及南部的分场村区域，包括居住及相应得到公共服务设施。其余非建设用地为耕地，耕地多以蔬菜种植为主。</w:t>
      </w:r>
    </w:p>
    <w:p w14:paraId="6FEB1475">
      <w:pPr>
        <w:ind w:firstLine="480"/>
        <w:rPr>
          <w:color w:val="auto"/>
          <w:highlight w:val="none"/>
        </w:rPr>
      </w:pPr>
      <w:r>
        <w:rPr>
          <w:rFonts w:hint="eastAsia"/>
          <w:color w:val="auto"/>
          <w:highlight w:val="none"/>
        </w:rPr>
        <w:t>本项目修建于乐山市沙湾区嘉农片区工业园区内，不属于禁止建设类项目，本项目建设符合《乐山市沙湾区国土空间总体规划（2021-2035年）》相关要求。</w:t>
      </w:r>
    </w:p>
    <w:p w14:paraId="287CC644">
      <w:pPr>
        <w:pStyle w:val="5"/>
        <w:adjustRightInd w:val="0"/>
        <w:rPr>
          <w:rFonts w:cs="Times New Roman"/>
          <w:color w:val="auto"/>
          <w:highlight w:val="none"/>
        </w:rPr>
      </w:pPr>
      <w:r>
        <w:rPr>
          <w:rFonts w:cs="Times New Roman"/>
          <w:color w:val="auto"/>
          <w:highlight w:val="none"/>
        </w:rPr>
        <w:t>与园区规划、规划环评及审查意见的符合性分析</w:t>
      </w:r>
    </w:p>
    <w:p w14:paraId="55CED89F">
      <w:pPr>
        <w:adjustRightInd w:val="0"/>
        <w:ind w:firstLine="480"/>
        <w:rPr>
          <w:rFonts w:cs="Times New Roman"/>
          <w:color w:val="auto"/>
          <w:highlight w:val="none"/>
        </w:rPr>
      </w:pPr>
      <w:r>
        <w:rPr>
          <w:rFonts w:cs="Times New Roman"/>
          <w:color w:val="auto"/>
          <w:highlight w:val="none"/>
        </w:rPr>
        <w:t>2008年4月，乐山市发展和改革委员会以乐发改函〔2008〕16号文正式批准成立</w:t>
      </w:r>
      <w:r>
        <w:rPr>
          <w:rFonts w:hint="eastAsia" w:cs="Times New Roman"/>
          <w:color w:val="auto"/>
          <w:highlight w:val="none"/>
        </w:rPr>
        <w:t>“</w:t>
      </w:r>
      <w:r>
        <w:rPr>
          <w:rFonts w:cs="Times New Roman"/>
          <w:color w:val="auto"/>
          <w:highlight w:val="none"/>
        </w:rPr>
        <w:t>乐山沙湾工业园区</w:t>
      </w:r>
      <w:r>
        <w:rPr>
          <w:rFonts w:hint="eastAsia" w:cs="Times New Roman"/>
          <w:color w:val="auto"/>
          <w:highlight w:val="none"/>
        </w:rPr>
        <w:t>”</w:t>
      </w:r>
      <w:r>
        <w:rPr>
          <w:rFonts w:cs="Times New Roman"/>
          <w:color w:val="auto"/>
          <w:highlight w:val="none"/>
        </w:rPr>
        <w:t>；2013年7月，园区更名为乐山（沙湾）不锈钢产业园区，由嘉农组团、沙湾老城组团和太平组团三大组团构成，规划面积27.09km</w:t>
      </w:r>
      <w:r>
        <w:rPr>
          <w:rFonts w:cs="Times New Roman"/>
          <w:color w:val="auto"/>
          <w:highlight w:val="none"/>
          <w:vertAlign w:val="superscript"/>
        </w:rPr>
        <w:t>2</w:t>
      </w:r>
      <w:r>
        <w:rPr>
          <w:rFonts w:cs="Times New Roman"/>
          <w:color w:val="auto"/>
          <w:highlight w:val="none"/>
        </w:rPr>
        <w:t>；2019年，四川省人民政府发布了《关于设立四川蒲江经济开发区等64家省级开发区的批复》（川府函〔2019〕20号），同意设立四川乐山沙湾经济开发区，核准面积611.17公顷，主导产业为不锈钢、钒钛钢、机械。</w:t>
      </w:r>
    </w:p>
    <w:p w14:paraId="7B593542">
      <w:pPr>
        <w:adjustRightInd w:val="0"/>
        <w:ind w:firstLine="480"/>
        <w:rPr>
          <w:rFonts w:cs="Times New Roman"/>
          <w:color w:val="auto"/>
          <w:highlight w:val="none"/>
        </w:rPr>
      </w:pPr>
      <w:r>
        <w:rPr>
          <w:rFonts w:cs="Times New Roman"/>
          <w:color w:val="auto"/>
          <w:highlight w:val="none"/>
        </w:rPr>
        <w:t>2024年，为抓住新一轮《开发区审核公告目录》修订工作的机遇，结合上位乐山市及沙湾区国土空间总体规划要求，四川乐山沙湾经济开发区管理委员会对园区规划进行修编，启动编制《四川乐山沙湾经济开发区发展规划（2024-2035年）》，</w:t>
      </w:r>
      <w:r>
        <w:rPr>
          <w:rFonts w:cs="Times New Roman"/>
          <w:b/>
          <w:bCs/>
          <w:color w:val="auto"/>
          <w:highlight w:val="none"/>
          <w:u w:val="single"/>
        </w:rPr>
        <w:t>由于该规划及规划环评现处于编制过程中，现行规划过早，因此下文结合规划建设进展，分析本项目与原规划、原规划环评及审查意见的符合性</w:t>
      </w:r>
      <w:r>
        <w:rPr>
          <w:rFonts w:cs="Times New Roman"/>
          <w:color w:val="auto"/>
          <w:highlight w:val="none"/>
        </w:rPr>
        <w:t>。</w:t>
      </w:r>
    </w:p>
    <w:p w14:paraId="285D1B97">
      <w:pPr>
        <w:adjustRightInd w:val="0"/>
        <w:ind w:firstLine="480"/>
        <w:rPr>
          <w:rFonts w:cs="Times New Roman"/>
          <w:color w:val="auto"/>
          <w:highlight w:val="none"/>
        </w:rPr>
      </w:pPr>
      <w:r>
        <w:rPr>
          <w:rFonts w:cs="Times New Roman"/>
          <w:color w:val="auto"/>
          <w:highlight w:val="none"/>
        </w:rPr>
        <w:t>本项目与园区规划符合性分析详见下表。</w:t>
      </w:r>
    </w:p>
    <w:p w14:paraId="16F8380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24</w:t>
      </w:r>
      <w:r>
        <w:rPr>
          <w:rFonts w:cs="Times New Roman"/>
          <w:color w:val="auto"/>
          <w:highlight w:val="none"/>
        </w:rPr>
        <w:fldChar w:fldCharType="end"/>
      </w:r>
      <w:r>
        <w:rPr>
          <w:rFonts w:cs="Times New Roman"/>
          <w:color w:val="auto"/>
          <w:highlight w:val="none"/>
        </w:rPr>
        <w:t>本项目与园区规划符合性分析一览表</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7"/>
        <w:gridCol w:w="4608"/>
        <w:gridCol w:w="1974"/>
        <w:gridCol w:w="1103"/>
      </w:tblGrid>
      <w:tr w14:paraId="020D38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491"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B89A1DB">
            <w:pPr>
              <w:pStyle w:val="37"/>
              <w:adjustRightInd w:val="0"/>
              <w:rPr>
                <w:b/>
                <w:bCs/>
                <w:color w:val="auto"/>
                <w:highlight w:val="none"/>
              </w:rPr>
            </w:pPr>
            <w:r>
              <w:rPr>
                <w:b/>
                <w:bCs/>
                <w:color w:val="auto"/>
                <w:highlight w:val="none"/>
              </w:rPr>
              <w:t>分类</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3356F">
            <w:pPr>
              <w:pStyle w:val="37"/>
              <w:adjustRightInd w:val="0"/>
              <w:rPr>
                <w:b/>
                <w:bCs/>
                <w:color w:val="auto"/>
                <w:highlight w:val="none"/>
              </w:rPr>
            </w:pPr>
            <w:r>
              <w:rPr>
                <w:b/>
                <w:bCs/>
                <w:color w:val="auto"/>
                <w:highlight w:val="none"/>
              </w:rPr>
              <w:t>园区规划建设进展</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F5CC39">
            <w:pPr>
              <w:pStyle w:val="37"/>
              <w:adjustRightInd w:val="0"/>
              <w:rPr>
                <w:b/>
                <w:bCs/>
                <w:color w:val="auto"/>
                <w:highlight w:val="none"/>
              </w:rPr>
            </w:pPr>
            <w:r>
              <w:rPr>
                <w:b/>
                <w:bCs/>
                <w:color w:val="auto"/>
                <w:highlight w:val="none"/>
              </w:rPr>
              <w:t>本项目情况</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88BEF">
            <w:pPr>
              <w:pStyle w:val="37"/>
              <w:adjustRightInd w:val="0"/>
              <w:rPr>
                <w:b/>
                <w:bCs/>
                <w:color w:val="auto"/>
                <w:highlight w:val="none"/>
              </w:rPr>
            </w:pPr>
            <w:r>
              <w:rPr>
                <w:b/>
                <w:bCs/>
                <w:color w:val="auto"/>
                <w:highlight w:val="none"/>
              </w:rPr>
              <w:t>符合性</w:t>
            </w:r>
          </w:p>
        </w:tc>
      </w:tr>
      <w:tr w14:paraId="11386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4BB62D">
            <w:pPr>
              <w:pStyle w:val="37"/>
              <w:adjustRightInd w:val="0"/>
              <w:rPr>
                <w:color w:val="auto"/>
                <w:highlight w:val="none"/>
              </w:rPr>
            </w:pPr>
            <w:r>
              <w:rPr>
                <w:color w:val="auto"/>
                <w:highlight w:val="none"/>
              </w:rPr>
              <w:t>规划年限</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8BD29">
            <w:pPr>
              <w:pStyle w:val="37"/>
              <w:adjustRightInd w:val="0"/>
              <w:rPr>
                <w:color w:val="auto"/>
                <w:highlight w:val="none"/>
              </w:rPr>
            </w:pPr>
            <w:r>
              <w:rPr>
                <w:color w:val="auto"/>
                <w:highlight w:val="none"/>
              </w:rPr>
              <w:t>2009-2020年。</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D8C17">
            <w:pPr>
              <w:pStyle w:val="37"/>
              <w:adjustRightInd w:val="0"/>
              <w:rPr>
                <w:color w:val="auto"/>
                <w:highlight w:val="none"/>
              </w:rPr>
            </w:pPr>
            <w:r>
              <w:rPr>
                <w:color w:val="auto"/>
                <w:highlight w:val="none"/>
              </w:rPr>
              <w:t>/</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13F8B0">
            <w:pPr>
              <w:pStyle w:val="37"/>
              <w:adjustRightInd w:val="0"/>
              <w:rPr>
                <w:color w:val="auto"/>
                <w:highlight w:val="none"/>
              </w:rPr>
            </w:pPr>
            <w:r>
              <w:rPr>
                <w:color w:val="auto"/>
                <w:highlight w:val="none"/>
              </w:rPr>
              <w:t>/</w:t>
            </w:r>
          </w:p>
        </w:tc>
      </w:tr>
      <w:tr w14:paraId="4967A9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40C774">
            <w:pPr>
              <w:pStyle w:val="37"/>
              <w:adjustRightInd w:val="0"/>
              <w:rPr>
                <w:color w:val="auto"/>
                <w:highlight w:val="none"/>
              </w:rPr>
            </w:pPr>
            <w:r>
              <w:rPr>
                <w:color w:val="auto"/>
                <w:highlight w:val="none"/>
              </w:rPr>
              <w:t>规划范围</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307406">
            <w:pPr>
              <w:pStyle w:val="37"/>
              <w:adjustRightInd w:val="0"/>
              <w:rPr>
                <w:color w:val="auto"/>
                <w:highlight w:val="none"/>
              </w:rPr>
            </w:pPr>
            <w:r>
              <w:rPr>
                <w:color w:val="auto"/>
                <w:highlight w:val="none"/>
              </w:rPr>
              <w:t>总体规划范围由三个组团组成，各组团具体范围如下：</w:t>
            </w:r>
          </w:p>
          <w:p w14:paraId="09DFDD94">
            <w:pPr>
              <w:pStyle w:val="37"/>
              <w:adjustRightInd w:val="0"/>
              <w:rPr>
                <w:color w:val="auto"/>
                <w:highlight w:val="none"/>
              </w:rPr>
            </w:pPr>
            <w:r>
              <w:rPr>
                <w:color w:val="auto"/>
                <w:highlight w:val="none"/>
              </w:rPr>
              <w:t>①</w:t>
            </w:r>
            <w:r>
              <w:rPr>
                <w:b/>
                <w:bCs/>
                <w:color w:val="auto"/>
                <w:highlight w:val="none"/>
              </w:rPr>
              <w:t>嘉农组团</w:t>
            </w:r>
            <w:r>
              <w:rPr>
                <w:color w:val="auto"/>
                <w:highlight w:val="none"/>
              </w:rPr>
              <w:t>，规划面积11.62km</w:t>
            </w:r>
            <w:r>
              <w:rPr>
                <w:color w:val="auto"/>
                <w:highlight w:val="none"/>
                <w:vertAlign w:val="superscript"/>
              </w:rPr>
              <w:t>2</w:t>
            </w:r>
            <w:r>
              <w:rPr>
                <w:color w:val="auto"/>
                <w:highlight w:val="none"/>
              </w:rPr>
              <w:t>。东至太平镇肖店村外缘、月儿坝村外缘、马胡埂村外缘；南至嘉农镇新园村外缘、魏坝村外缘，太平镇杜家桥村外缘、马胡埂村外缘：西至嘉农镇燎原村外缘、双槐树村外缘、白岩村外缘、新兴村外缘；北至嘉农镇燎原村外缘、太平镇肖店村外缘。</w:t>
            </w:r>
          </w:p>
          <w:p w14:paraId="6C44309C">
            <w:pPr>
              <w:pStyle w:val="37"/>
              <w:adjustRightInd w:val="0"/>
              <w:rPr>
                <w:color w:val="auto"/>
                <w:highlight w:val="none"/>
              </w:rPr>
            </w:pPr>
            <w:r>
              <w:rPr>
                <w:color w:val="auto"/>
                <w:highlight w:val="none"/>
              </w:rPr>
              <w:t>②沙湾老城组团，规划面积4.85km</w:t>
            </w:r>
            <w:r>
              <w:rPr>
                <w:color w:val="auto"/>
                <w:highlight w:val="none"/>
                <w:vertAlign w:val="superscript"/>
              </w:rPr>
              <w:t>2</w:t>
            </w:r>
            <w:r>
              <w:rPr>
                <w:color w:val="auto"/>
                <w:highlight w:val="none"/>
              </w:rPr>
              <w:t>。东至太平镇稻麦村外缘，付塘村外缘、杨坝村外缘；南至沙湾镇三峨村外缘、王田村外缘，太平镇罗一村外缘；西至省道103线，北至紧邻沙湾城区。</w:t>
            </w:r>
          </w:p>
          <w:p w14:paraId="0F09B335">
            <w:pPr>
              <w:pStyle w:val="37"/>
              <w:adjustRightInd w:val="0"/>
              <w:rPr>
                <w:color w:val="auto"/>
                <w:highlight w:val="none"/>
              </w:rPr>
            </w:pPr>
            <w:r>
              <w:rPr>
                <w:color w:val="auto"/>
                <w:highlight w:val="none"/>
              </w:rPr>
              <w:t>③太平组团等，规划面积10.62km</w:t>
            </w:r>
            <w:r>
              <w:rPr>
                <w:color w:val="auto"/>
                <w:highlight w:val="none"/>
                <w:vertAlign w:val="superscript"/>
              </w:rPr>
              <w:t>2</w:t>
            </w:r>
            <w:r>
              <w:rPr>
                <w:color w:val="auto"/>
                <w:highlight w:val="none"/>
              </w:rPr>
              <w:t>。</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2CA657">
            <w:pPr>
              <w:pStyle w:val="37"/>
              <w:adjustRightInd w:val="0"/>
              <w:rPr>
                <w:color w:val="auto"/>
                <w:highlight w:val="none"/>
              </w:rPr>
            </w:pPr>
            <w:r>
              <w:rPr>
                <w:color w:val="auto"/>
                <w:highlight w:val="none"/>
              </w:rPr>
              <w:t>本项目位于嘉农镇，属于</w:t>
            </w:r>
            <w:r>
              <w:rPr>
                <w:rFonts w:hint="eastAsia"/>
                <w:color w:val="auto"/>
                <w:highlight w:val="none"/>
              </w:rPr>
              <w:t>四川乐山沙湾经济开发区</w:t>
            </w:r>
            <w:r>
              <w:rPr>
                <w:color w:val="auto"/>
                <w:highlight w:val="none"/>
              </w:rPr>
              <w:t>嘉农组团。</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F5FFEC">
            <w:pPr>
              <w:pStyle w:val="37"/>
              <w:adjustRightInd w:val="0"/>
              <w:rPr>
                <w:color w:val="auto"/>
                <w:highlight w:val="none"/>
              </w:rPr>
            </w:pPr>
            <w:r>
              <w:rPr>
                <w:color w:val="auto"/>
                <w:highlight w:val="none"/>
              </w:rPr>
              <w:t>符合</w:t>
            </w:r>
          </w:p>
        </w:tc>
      </w:tr>
      <w:tr w14:paraId="2581E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136A6">
            <w:pPr>
              <w:pStyle w:val="37"/>
              <w:adjustRightInd w:val="0"/>
              <w:rPr>
                <w:color w:val="auto"/>
                <w:highlight w:val="none"/>
              </w:rPr>
            </w:pPr>
            <w:r>
              <w:rPr>
                <w:color w:val="auto"/>
                <w:highlight w:val="none"/>
              </w:rPr>
              <w:t>产业定位</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FA4915">
            <w:pPr>
              <w:pStyle w:val="37"/>
              <w:adjustRightInd w:val="0"/>
              <w:rPr>
                <w:color w:val="auto"/>
                <w:highlight w:val="none"/>
              </w:rPr>
            </w:pPr>
            <w:r>
              <w:rPr>
                <w:color w:val="auto"/>
                <w:highlight w:val="none"/>
              </w:rPr>
              <w:t>嘉农组团：冶金产品下游产品加工、铁合金生产及加工、机械制造加工、建材。</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28F1C">
            <w:pPr>
              <w:pStyle w:val="37"/>
              <w:adjustRightInd w:val="0"/>
              <w:rPr>
                <w:color w:val="auto"/>
                <w:highlight w:val="none"/>
              </w:rPr>
            </w:pPr>
            <w:r>
              <w:rPr>
                <w:color w:val="auto"/>
                <w:highlight w:val="none"/>
              </w:rPr>
              <w:t>本项目位于</w:t>
            </w:r>
            <w:bookmarkStart w:id="22" w:name="OLE_LINK1"/>
            <w:r>
              <w:rPr>
                <w:color w:val="auto"/>
                <w:highlight w:val="none"/>
              </w:rPr>
              <w:t>四川乐山沙湾经济开发区嘉农组团</w:t>
            </w:r>
            <w:bookmarkEnd w:id="22"/>
            <w:r>
              <w:rPr>
                <w:color w:val="auto"/>
                <w:highlight w:val="none"/>
              </w:rPr>
              <w:t>，本项目浮选得到的锂精矿提供给下游锂材料加工企业，生产过程中产生的尾矿交</w:t>
            </w:r>
            <w:r>
              <w:rPr>
                <w:rFonts w:hint="eastAsia"/>
                <w:color w:val="auto"/>
                <w:highlight w:val="none"/>
              </w:rPr>
              <w:t>由</w:t>
            </w:r>
            <w:r>
              <w:rPr>
                <w:color w:val="auto"/>
                <w:highlight w:val="none"/>
              </w:rPr>
              <w:t>下游新型建材企业综合利用，本项目属于嘉农组团重点发展的新型建材产业。</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8EEE7">
            <w:pPr>
              <w:pStyle w:val="37"/>
              <w:adjustRightInd w:val="0"/>
              <w:rPr>
                <w:color w:val="auto"/>
                <w:highlight w:val="none"/>
              </w:rPr>
            </w:pPr>
            <w:r>
              <w:rPr>
                <w:color w:val="auto"/>
                <w:highlight w:val="none"/>
              </w:rPr>
              <w:t>符合</w:t>
            </w:r>
          </w:p>
        </w:tc>
      </w:tr>
      <w:tr w14:paraId="6A3A7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40EBE">
            <w:pPr>
              <w:pStyle w:val="37"/>
              <w:adjustRightInd w:val="0"/>
              <w:rPr>
                <w:color w:val="auto"/>
                <w:highlight w:val="none"/>
              </w:rPr>
            </w:pPr>
            <w:r>
              <w:rPr>
                <w:color w:val="auto"/>
                <w:highlight w:val="none"/>
              </w:rPr>
              <w:t>供水工程</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B63310">
            <w:pPr>
              <w:pStyle w:val="37"/>
              <w:adjustRightInd w:val="0"/>
              <w:rPr>
                <w:color w:val="auto"/>
                <w:highlight w:val="none"/>
              </w:rPr>
            </w:pPr>
            <w:r>
              <w:rPr>
                <w:color w:val="auto"/>
                <w:highlight w:val="none"/>
              </w:rPr>
              <w:t>嘉农组团由太平水厂和嘉农水厂供水，水源均取自安谷水电站水库，现已整合为安谷水厂（乐山市第四水厂），供水规模为10万m</w:t>
            </w:r>
            <w:r>
              <w:rPr>
                <w:color w:val="auto"/>
                <w:highlight w:val="none"/>
                <w:vertAlign w:val="superscript"/>
              </w:rPr>
              <w:t>3</w:t>
            </w:r>
            <w:r>
              <w:rPr>
                <w:color w:val="auto"/>
                <w:highlight w:val="none"/>
              </w:rPr>
              <w:t>/d。</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D1D4D0">
            <w:pPr>
              <w:pStyle w:val="37"/>
              <w:adjustRightInd w:val="0"/>
              <w:rPr>
                <w:color w:val="auto"/>
                <w:highlight w:val="none"/>
              </w:rPr>
            </w:pPr>
            <w:r>
              <w:rPr>
                <w:color w:val="auto"/>
                <w:highlight w:val="none"/>
              </w:rPr>
              <w:t>本项目用水由乐山市第四水厂供应。</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E24E6">
            <w:pPr>
              <w:pStyle w:val="37"/>
              <w:adjustRightInd w:val="0"/>
              <w:rPr>
                <w:color w:val="auto"/>
                <w:highlight w:val="none"/>
              </w:rPr>
            </w:pPr>
            <w:r>
              <w:rPr>
                <w:color w:val="auto"/>
                <w:highlight w:val="none"/>
              </w:rPr>
              <w:t>符合</w:t>
            </w:r>
          </w:p>
        </w:tc>
      </w:tr>
      <w:tr w14:paraId="659A06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5C79E">
            <w:pPr>
              <w:pStyle w:val="37"/>
              <w:adjustRightInd w:val="0"/>
              <w:rPr>
                <w:color w:val="auto"/>
                <w:highlight w:val="none"/>
              </w:rPr>
            </w:pPr>
            <w:r>
              <w:rPr>
                <w:color w:val="auto"/>
                <w:highlight w:val="none"/>
              </w:rPr>
              <w:t>排水工程</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27DD08">
            <w:pPr>
              <w:pStyle w:val="37"/>
              <w:adjustRightInd w:val="0"/>
              <w:rPr>
                <w:color w:val="auto"/>
                <w:highlight w:val="none"/>
              </w:rPr>
            </w:pPr>
            <w:r>
              <w:rPr>
                <w:color w:val="auto"/>
                <w:highlight w:val="none"/>
              </w:rPr>
              <w:t>嘉农组团生产废水和生活污水进入园区污水处理厂（乐山沙湾经济开发区污水处理厂），设计处理</w:t>
            </w:r>
            <w:bookmarkStart w:id="23" w:name="OLE_LINK27"/>
            <w:r>
              <w:rPr>
                <w:color w:val="auto"/>
                <w:highlight w:val="none"/>
              </w:rPr>
              <w:t>规模1.5万m</w:t>
            </w:r>
            <w:r>
              <w:rPr>
                <w:color w:val="auto"/>
                <w:highlight w:val="none"/>
                <w:vertAlign w:val="superscript"/>
              </w:rPr>
              <w:t>3</w:t>
            </w:r>
            <w:r>
              <w:rPr>
                <w:color w:val="auto"/>
                <w:highlight w:val="none"/>
              </w:rPr>
              <w:t>/d</w:t>
            </w:r>
            <w:bookmarkEnd w:id="23"/>
            <w:r>
              <w:rPr>
                <w:color w:val="auto"/>
                <w:highlight w:val="none"/>
              </w:rPr>
              <w:t>，采用</w:t>
            </w:r>
            <w:r>
              <w:rPr>
                <w:rFonts w:hint="eastAsia"/>
                <w:color w:val="auto"/>
                <w:highlight w:val="none"/>
              </w:rPr>
              <w:t>“</w:t>
            </w:r>
            <w:r>
              <w:rPr>
                <w:color w:val="auto"/>
                <w:highlight w:val="none"/>
              </w:rPr>
              <w:t>预处理+物化处理+CASS生化处理</w:t>
            </w:r>
            <w:r>
              <w:rPr>
                <w:rFonts w:hint="eastAsia"/>
                <w:color w:val="auto"/>
                <w:highlight w:val="none"/>
              </w:rPr>
              <w:t>”</w:t>
            </w:r>
            <w:r>
              <w:rPr>
                <w:color w:val="auto"/>
                <w:highlight w:val="none"/>
              </w:rPr>
              <w:t>工艺。</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572D35">
            <w:pPr>
              <w:pStyle w:val="37"/>
              <w:adjustRightInd w:val="0"/>
              <w:rPr>
                <w:color w:val="auto"/>
                <w:highlight w:val="none"/>
              </w:rPr>
            </w:pP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）处理后经园区污水管网排入乐山沙湾经济开发区污水处理厂进一步处理达标后外排大渡河；</w:t>
            </w:r>
          </w:p>
          <w:p w14:paraId="246E3807">
            <w:pPr>
              <w:pStyle w:val="37"/>
              <w:adjustRightInd w:val="0"/>
              <w:rPr>
                <w:color w:val="auto"/>
                <w:highlight w:val="none"/>
              </w:rPr>
            </w:pPr>
            <w:r>
              <w:rPr>
                <w:color w:val="auto"/>
                <w:highlight w:val="none"/>
              </w:rPr>
              <w:t>生产废水（选矿废水、车辆冲洗废水）循环使用，不外排。</w:t>
            </w:r>
          </w:p>
          <w:p w14:paraId="33681BFE">
            <w:pPr>
              <w:pStyle w:val="37"/>
              <w:adjustRightInd w:val="0"/>
              <w:rPr>
                <w:color w:val="auto"/>
                <w:highlight w:val="none"/>
              </w:rPr>
            </w:pPr>
            <w:r>
              <w:rPr>
                <w:color w:val="auto"/>
                <w:highlight w:val="none"/>
              </w:rPr>
              <w:t>初期雨水经</w:t>
            </w:r>
            <w:r>
              <w:rPr>
                <w:rFonts w:hint="eastAsia"/>
                <w:color w:val="auto"/>
                <w:highlight w:val="none"/>
              </w:rPr>
              <w:t>依托的乐山市沙湾区豪沐科技有限公司</w:t>
            </w:r>
            <w:r>
              <w:rPr>
                <w:color w:val="auto"/>
                <w:highlight w:val="none"/>
              </w:rPr>
              <w:t>初期雨水池（600m</w:t>
            </w:r>
            <w:r>
              <w:rPr>
                <w:color w:val="auto"/>
                <w:highlight w:val="none"/>
                <w:vertAlign w:val="superscript"/>
              </w:rPr>
              <w:t>3</w:t>
            </w:r>
            <w:r>
              <w:rPr>
                <w:color w:val="auto"/>
                <w:highlight w:val="none"/>
              </w:rPr>
              <w:t>）沉淀处理后回用于生产补水或厂区洒水降尘，不外排。</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06A2A2">
            <w:pPr>
              <w:pStyle w:val="37"/>
              <w:adjustRightInd w:val="0"/>
              <w:rPr>
                <w:color w:val="auto"/>
                <w:highlight w:val="none"/>
              </w:rPr>
            </w:pPr>
            <w:r>
              <w:rPr>
                <w:color w:val="auto"/>
                <w:highlight w:val="none"/>
              </w:rPr>
              <w:t>符合</w:t>
            </w:r>
          </w:p>
        </w:tc>
      </w:tr>
      <w:tr w14:paraId="0AA27D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E53671">
            <w:pPr>
              <w:pStyle w:val="37"/>
              <w:adjustRightInd w:val="0"/>
              <w:rPr>
                <w:color w:val="auto"/>
                <w:highlight w:val="none"/>
              </w:rPr>
            </w:pPr>
            <w:r>
              <w:rPr>
                <w:color w:val="auto"/>
                <w:highlight w:val="none"/>
              </w:rPr>
              <w:t>供电工程</w:t>
            </w:r>
          </w:p>
        </w:tc>
        <w:tc>
          <w:tcPr>
            <w:tcW w:w="27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68456">
            <w:pPr>
              <w:pStyle w:val="37"/>
              <w:adjustRightInd w:val="0"/>
              <w:rPr>
                <w:color w:val="auto"/>
                <w:highlight w:val="none"/>
              </w:rPr>
            </w:pPr>
            <w:r>
              <w:rPr>
                <w:color w:val="auto"/>
                <w:highlight w:val="none"/>
              </w:rPr>
              <w:t>嘉农组团电源为嘉农110kV变电站。</w:t>
            </w:r>
          </w:p>
        </w:tc>
        <w:tc>
          <w:tcPr>
            <w:tcW w:w="11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FB7AC">
            <w:pPr>
              <w:pStyle w:val="37"/>
              <w:adjustRightInd w:val="0"/>
              <w:rPr>
                <w:color w:val="auto"/>
                <w:highlight w:val="none"/>
              </w:rPr>
            </w:pPr>
            <w:r>
              <w:rPr>
                <w:color w:val="auto"/>
                <w:highlight w:val="none"/>
              </w:rPr>
              <w:t>本项目用电由嘉农变电站提供。</w:t>
            </w:r>
          </w:p>
        </w:tc>
        <w:tc>
          <w:tcPr>
            <w:tcW w:w="64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6638EC">
            <w:pPr>
              <w:pStyle w:val="37"/>
              <w:adjustRightInd w:val="0"/>
              <w:rPr>
                <w:color w:val="auto"/>
                <w:highlight w:val="none"/>
              </w:rPr>
            </w:pPr>
            <w:r>
              <w:rPr>
                <w:color w:val="auto"/>
                <w:highlight w:val="none"/>
              </w:rPr>
              <w:t>符合</w:t>
            </w:r>
          </w:p>
        </w:tc>
      </w:tr>
    </w:tbl>
    <w:p w14:paraId="16C46A99">
      <w:pPr>
        <w:pStyle w:val="42"/>
        <w:adjustRightInd w:val="0"/>
        <w:ind w:firstLine="480"/>
        <w:rPr>
          <w:color w:val="auto"/>
          <w:highlight w:val="none"/>
        </w:rPr>
      </w:pPr>
      <w:r>
        <w:rPr>
          <w:color w:val="auto"/>
          <w:highlight w:val="none"/>
        </w:rPr>
        <w:t>2010年11月8日，园区规划环评通过了原乐山市环境保护局组织的技术审查并取得审查意见（乐市环环〔2010〕136号），2019年，开展了园区规划跟踪评价，于同年5月24日，乐山市生态环境局出具了《关于印发&lt;乐山（沙湾）不锈钢产业园区环境影响跟踪评价报告书审查意见&gt;的函》（乐市环函〔2019〕226号）。本项目与园区规划环评及审查意见符合性详见下表：</w:t>
      </w:r>
    </w:p>
    <w:p w14:paraId="083A3019">
      <w:pPr>
        <w:pStyle w:val="12"/>
        <w:adjustRightInd w:val="0"/>
        <w:ind w:firstLine="48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25</w:t>
      </w:r>
      <w:r>
        <w:rPr>
          <w:rFonts w:cs="Times New Roman"/>
          <w:color w:val="auto"/>
          <w:highlight w:val="none"/>
        </w:rPr>
        <w:fldChar w:fldCharType="end"/>
      </w:r>
      <w:r>
        <w:rPr>
          <w:rFonts w:cs="Times New Roman"/>
          <w:color w:val="auto"/>
          <w:highlight w:val="none"/>
        </w:rPr>
        <w:t>本项目与园区环境影响跟踪评价及审查意见符合性一览表</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839"/>
        <w:gridCol w:w="3979"/>
        <w:gridCol w:w="2603"/>
        <w:gridCol w:w="1101"/>
      </w:tblGrid>
      <w:tr w14:paraId="05A0E7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trPr>
        <w:tc>
          <w:tcPr>
            <w:tcW w:w="492"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B53F19E">
            <w:pPr>
              <w:pStyle w:val="37"/>
              <w:adjustRightInd w:val="0"/>
              <w:rPr>
                <w:b/>
                <w:bCs/>
                <w:color w:val="auto"/>
                <w:highlight w:val="none"/>
              </w:rPr>
            </w:pPr>
            <w:r>
              <w:rPr>
                <w:b/>
                <w:bCs/>
                <w:color w:val="auto"/>
                <w:highlight w:val="none"/>
              </w:rPr>
              <w:t>分类</w:t>
            </w: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91FA1">
            <w:pPr>
              <w:pStyle w:val="37"/>
              <w:adjustRightInd w:val="0"/>
              <w:rPr>
                <w:b/>
                <w:bCs/>
                <w:color w:val="auto"/>
                <w:highlight w:val="none"/>
              </w:rPr>
            </w:pPr>
            <w:r>
              <w:rPr>
                <w:b/>
                <w:bCs/>
                <w:color w:val="auto"/>
                <w:highlight w:val="none"/>
              </w:rPr>
              <w:t>清单内容</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EF262D">
            <w:pPr>
              <w:pStyle w:val="37"/>
              <w:adjustRightInd w:val="0"/>
              <w:rPr>
                <w:b/>
                <w:bCs/>
                <w:color w:val="auto"/>
                <w:highlight w:val="none"/>
              </w:rPr>
            </w:pPr>
            <w:r>
              <w:rPr>
                <w:b/>
                <w:bCs/>
                <w:color w:val="auto"/>
                <w:highlight w:val="none"/>
              </w:rPr>
              <w:t>本项目情况</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985927">
            <w:pPr>
              <w:pStyle w:val="37"/>
              <w:adjustRightInd w:val="0"/>
              <w:rPr>
                <w:b/>
                <w:bCs/>
                <w:color w:val="auto"/>
                <w:highlight w:val="none"/>
              </w:rPr>
            </w:pPr>
            <w:r>
              <w:rPr>
                <w:b/>
                <w:bCs/>
                <w:color w:val="auto"/>
                <w:highlight w:val="none"/>
              </w:rPr>
              <w:t>符合性</w:t>
            </w:r>
          </w:p>
        </w:tc>
      </w:tr>
      <w:tr w14:paraId="1A9168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E23F97">
            <w:pPr>
              <w:pStyle w:val="37"/>
              <w:adjustRightInd w:val="0"/>
              <w:rPr>
                <w:color w:val="auto"/>
                <w:highlight w:val="none"/>
              </w:rPr>
            </w:pPr>
            <w:r>
              <w:rPr>
                <w:color w:val="auto"/>
                <w:highlight w:val="none"/>
              </w:rPr>
              <w:t>环境制约因素</w:t>
            </w: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AE3741">
            <w:pPr>
              <w:pStyle w:val="37"/>
              <w:adjustRightInd w:val="0"/>
              <w:rPr>
                <w:color w:val="auto"/>
                <w:highlight w:val="none"/>
              </w:rPr>
            </w:pPr>
            <w:r>
              <w:rPr>
                <w:color w:val="auto"/>
                <w:highlight w:val="none"/>
              </w:rPr>
              <w:t>1.园区原规划面积过大，规划面积及工业用地面积高于《乐山市沙湾区分区规划（2012-2030年）》确定的工业用地面积，且规划范围内包括安谷水源（安谷电站建成后划定）、大渡河国家湿地公园（2016年批准）及耕地（包括部分基本农田）、林地、园地等禁止开发区和限制开发区，太平组团已调整为乡镇建设用地，园区现行规划与沙湾区分区规划及敏感区域保护要求不符，需进行规划调整。</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AA9AE">
            <w:pPr>
              <w:pStyle w:val="37"/>
              <w:adjustRightInd w:val="0"/>
              <w:rPr>
                <w:color w:val="auto"/>
                <w:highlight w:val="none"/>
              </w:rPr>
            </w:pPr>
            <w:r>
              <w:rPr>
                <w:color w:val="auto"/>
                <w:highlight w:val="none"/>
              </w:rPr>
              <w:t>本项目位于嘉农镇，属于</w:t>
            </w:r>
            <w:r>
              <w:rPr>
                <w:rFonts w:hint="eastAsia"/>
                <w:color w:val="auto"/>
                <w:highlight w:val="none"/>
              </w:rPr>
              <w:t>四川乐山沙湾经济开发区</w:t>
            </w:r>
            <w:r>
              <w:rPr>
                <w:color w:val="auto"/>
                <w:highlight w:val="none"/>
              </w:rPr>
              <w:t>嘉农组团，用地属于工业用地</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9C55B9">
            <w:pPr>
              <w:pStyle w:val="37"/>
              <w:adjustRightInd w:val="0"/>
              <w:rPr>
                <w:color w:val="auto"/>
                <w:highlight w:val="none"/>
              </w:rPr>
            </w:pPr>
            <w:r>
              <w:rPr>
                <w:color w:val="auto"/>
                <w:highlight w:val="none"/>
              </w:rPr>
              <w:t>符合</w:t>
            </w:r>
          </w:p>
        </w:tc>
      </w:tr>
      <w:tr w14:paraId="737B6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51D6B9">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757C9">
            <w:pPr>
              <w:pStyle w:val="37"/>
              <w:adjustRightInd w:val="0"/>
              <w:rPr>
                <w:color w:val="auto"/>
                <w:highlight w:val="none"/>
              </w:rPr>
            </w:pPr>
            <w:r>
              <w:rPr>
                <w:color w:val="auto"/>
                <w:highlight w:val="none"/>
              </w:rPr>
              <w:t>2.原规划工业用地布局不合理，部分工业用地工业布局较为分散，挤占城市沿江滨水环境岸线，影响城市景观和旅游发展，嘉农片区位于沙湾主城区上风向，德胜组团紧邻沙湾主城区，给区域环境保护带来较大压力。</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DFBF65">
            <w:pPr>
              <w:pStyle w:val="37"/>
              <w:adjustRightInd w:val="0"/>
              <w:rPr>
                <w:color w:val="auto"/>
                <w:highlight w:val="none"/>
              </w:rPr>
            </w:pPr>
            <w:r>
              <w:rPr>
                <w:color w:val="auto"/>
                <w:highlight w:val="none"/>
              </w:rPr>
              <w:t>本项目给料、破碎粉尘经收集后统一经1套袋式除尘装置（TA001）处理后经一根15m排气筒（DA001）处理后达标外排</w:t>
            </w:r>
            <w:r>
              <w:rPr>
                <w:rFonts w:hint="eastAsia"/>
                <w:color w:val="auto"/>
                <w:highlight w:val="none"/>
              </w:rPr>
              <w:t>，</w:t>
            </w:r>
            <w:r>
              <w:rPr>
                <w:color w:val="auto"/>
                <w:highlight w:val="none"/>
              </w:rPr>
              <w:t>筛分废气经收集后统一经1套袋式除尘装置（TA002）处理后经一根15m排气筒（DA001，共用）处理后达标外排。</w:t>
            </w:r>
            <w:r>
              <w:rPr>
                <w:rFonts w:hint="eastAsia"/>
                <w:color w:val="auto"/>
                <w:highlight w:val="none"/>
              </w:rPr>
              <w:t>原矿仓库、粉矿仓库、精矿仓库、尾矿仓库设置为封闭厂房，在原矿仓库上方设置喷雾降尘装置进行喷雾除尘，粉矿仓库、精矿仓库、尾矿仓库采取雾炮机进行喷雾除尘</w:t>
            </w:r>
            <w:r>
              <w:rPr>
                <w:color w:val="auto"/>
                <w:highlight w:val="none"/>
              </w:rPr>
              <w:t>；本项目</w:t>
            </w:r>
            <w:r>
              <w:rPr>
                <w:rFonts w:hint="eastAsia"/>
                <w:color w:val="auto"/>
                <w:highlight w:val="none"/>
                <w:lang w:val="en-US" w:eastAsia="zh-CN"/>
              </w:rPr>
              <w:t>依托</w:t>
            </w:r>
            <w:r>
              <w:rPr>
                <w:color w:val="auto"/>
                <w:highlight w:val="none"/>
              </w:rPr>
              <w:t>1个洗车区（面积约</w:t>
            </w:r>
            <w:r>
              <w:rPr>
                <w:rFonts w:hint="eastAsia"/>
                <w:color w:val="auto"/>
                <w:highlight w:val="none"/>
              </w:rPr>
              <w:t>1</w:t>
            </w:r>
            <w:r>
              <w:rPr>
                <w:color w:val="auto"/>
                <w:highlight w:val="none"/>
              </w:rPr>
              <w:t>0m</w:t>
            </w:r>
            <w:r>
              <w:rPr>
                <w:color w:val="auto"/>
                <w:highlight w:val="none"/>
                <w:vertAlign w:val="superscript"/>
              </w:rPr>
              <w:t>2</w:t>
            </w:r>
            <w:r>
              <w:rPr>
                <w:color w:val="auto"/>
                <w:highlight w:val="none"/>
              </w:rPr>
              <w:t>）、运输车辆车轮清洗，降低车速，定期洒水降尘，加盖</w:t>
            </w:r>
            <w:r>
              <w:rPr>
                <w:rFonts w:hint="eastAsia"/>
                <w:color w:val="auto"/>
                <w:highlight w:val="none"/>
              </w:rPr>
              <w:t>篷布</w:t>
            </w:r>
            <w:r>
              <w:rPr>
                <w:color w:val="auto"/>
                <w:highlight w:val="none"/>
              </w:rPr>
              <w:t>，密闭运输；全厂运输皮带均采取封闭措施</w:t>
            </w:r>
            <w:r>
              <w:rPr>
                <w:rFonts w:hint="eastAsia"/>
                <w:color w:val="auto"/>
                <w:highlight w:val="none"/>
              </w:rPr>
              <w:t>；厂区围墙、主要运输道路两侧加装喷雾装置</w:t>
            </w:r>
            <w:r>
              <w:rPr>
                <w:color w:val="auto"/>
                <w:highlight w:val="none"/>
              </w:rPr>
              <w:t>。</w:t>
            </w:r>
            <w:r>
              <w:rPr>
                <w:rFonts w:hint="eastAsia"/>
                <w:color w:val="auto"/>
                <w:highlight w:val="none"/>
              </w:rPr>
              <w:t>食堂油烟通过设置一套效率不低于75%的油烟收集净化系统收集治理后通过专用烟道引至楼顶达标排放。</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BE4574">
            <w:pPr>
              <w:pStyle w:val="37"/>
              <w:adjustRightInd w:val="0"/>
              <w:rPr>
                <w:color w:val="auto"/>
                <w:highlight w:val="none"/>
              </w:rPr>
            </w:pPr>
            <w:r>
              <w:rPr>
                <w:color w:val="auto"/>
                <w:highlight w:val="none"/>
              </w:rPr>
              <w:t>符合</w:t>
            </w:r>
          </w:p>
        </w:tc>
      </w:tr>
      <w:tr w14:paraId="51C7F7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9504B4">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252C4">
            <w:pPr>
              <w:pStyle w:val="37"/>
              <w:adjustRightInd w:val="0"/>
              <w:rPr>
                <w:color w:val="auto"/>
                <w:highlight w:val="none"/>
              </w:rPr>
            </w:pPr>
            <w:r>
              <w:rPr>
                <w:color w:val="auto"/>
                <w:highlight w:val="none"/>
              </w:rPr>
              <w:t>3.园区内钢铁、水泥企业污染物排放总量较大，对区域空气质量影响较大，结构性污染矛盾较为严峻，受沙湾区特殊地形条件所限，环境约束加剧，环境空气质量现状值超标。</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E2030">
            <w:pPr>
              <w:pStyle w:val="37"/>
              <w:adjustRightInd w:val="0"/>
              <w:rPr>
                <w:color w:val="auto"/>
                <w:highlight w:val="none"/>
              </w:rPr>
            </w:pPr>
            <w:r>
              <w:rPr>
                <w:color w:val="auto"/>
                <w:highlight w:val="none"/>
              </w:rPr>
              <w:t>本项目不属于钢铁、水泥企业</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75BC5C">
            <w:pPr>
              <w:pStyle w:val="37"/>
              <w:adjustRightInd w:val="0"/>
              <w:rPr>
                <w:color w:val="auto"/>
                <w:highlight w:val="none"/>
              </w:rPr>
            </w:pPr>
            <w:r>
              <w:rPr>
                <w:color w:val="auto"/>
                <w:highlight w:val="none"/>
              </w:rPr>
              <w:t>符合</w:t>
            </w:r>
          </w:p>
        </w:tc>
      </w:tr>
      <w:tr w14:paraId="61854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5DA18F">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BE41C">
            <w:pPr>
              <w:pStyle w:val="37"/>
              <w:adjustRightInd w:val="0"/>
              <w:rPr>
                <w:color w:val="auto"/>
                <w:highlight w:val="none"/>
              </w:rPr>
            </w:pPr>
            <w:r>
              <w:rPr>
                <w:color w:val="auto"/>
                <w:highlight w:val="none"/>
              </w:rPr>
              <w:t>4.大渡河优良水体保护及水环境安全要求，限制园区发展高耗水、高排水的行业；此外，大渡河属岷江流域一级支流，属长江经济带上游地区重要支流，园区产业发展受到长江经济带生态环境保护相关政策限制。</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3AD512">
            <w:pPr>
              <w:pStyle w:val="37"/>
              <w:adjustRightInd w:val="0"/>
              <w:rPr>
                <w:color w:val="auto"/>
                <w:highlight w:val="none"/>
              </w:rPr>
            </w:pPr>
            <w:r>
              <w:rPr>
                <w:color w:val="auto"/>
                <w:highlight w:val="none"/>
              </w:rPr>
              <w:t>本项目不属于高耗水、高排水的行业，本项目符合长江经济带生态环境保护相关政策</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0CF7A4">
            <w:pPr>
              <w:pStyle w:val="37"/>
              <w:adjustRightInd w:val="0"/>
              <w:rPr>
                <w:color w:val="auto"/>
                <w:highlight w:val="none"/>
              </w:rPr>
            </w:pPr>
            <w:r>
              <w:rPr>
                <w:color w:val="auto"/>
                <w:highlight w:val="none"/>
              </w:rPr>
              <w:t>符合</w:t>
            </w:r>
          </w:p>
        </w:tc>
      </w:tr>
      <w:tr w14:paraId="5C74D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49360E">
            <w:pPr>
              <w:pStyle w:val="37"/>
              <w:adjustRightInd w:val="0"/>
              <w:rPr>
                <w:color w:val="auto"/>
                <w:highlight w:val="none"/>
              </w:rPr>
            </w:pPr>
            <w:r>
              <w:rPr>
                <w:color w:val="auto"/>
                <w:highlight w:val="none"/>
              </w:rPr>
              <w:t>优化调整建议</w:t>
            </w: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B9247">
            <w:pPr>
              <w:pStyle w:val="37"/>
              <w:adjustRightInd w:val="0"/>
              <w:jc w:val="both"/>
              <w:rPr>
                <w:color w:val="auto"/>
                <w:highlight w:val="none"/>
              </w:rPr>
            </w:pPr>
            <w:r>
              <w:rPr>
                <w:color w:val="auto"/>
                <w:highlight w:val="none"/>
              </w:rPr>
              <w:t>1.以成立四川乐山沙湾经济开发区为契机，对原规划进行修编并依法开展规划环境影响评价。对原规划面积及规划布局进行优化调整，取消太平组团，调整优化嘉农组团及钒钛钢铁组团的规划布局</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76372">
            <w:pPr>
              <w:pStyle w:val="37"/>
              <w:adjustRightInd w:val="0"/>
              <w:rPr>
                <w:color w:val="auto"/>
                <w:highlight w:val="none"/>
              </w:rPr>
            </w:pPr>
            <w:r>
              <w:rPr>
                <w:color w:val="auto"/>
                <w:highlight w:val="none"/>
              </w:rPr>
              <w:t>本项目不涉及</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EC1FE">
            <w:pPr>
              <w:pStyle w:val="37"/>
              <w:adjustRightInd w:val="0"/>
              <w:rPr>
                <w:color w:val="auto"/>
                <w:highlight w:val="none"/>
              </w:rPr>
            </w:pPr>
            <w:r>
              <w:rPr>
                <w:color w:val="auto"/>
                <w:highlight w:val="none"/>
              </w:rPr>
              <w:t>符合</w:t>
            </w:r>
          </w:p>
        </w:tc>
      </w:tr>
      <w:tr w14:paraId="6B260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241FD5">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5E0BC">
            <w:pPr>
              <w:pStyle w:val="37"/>
              <w:adjustRightInd w:val="0"/>
              <w:jc w:val="both"/>
              <w:rPr>
                <w:color w:val="auto"/>
                <w:highlight w:val="none"/>
              </w:rPr>
            </w:pPr>
            <w:r>
              <w:rPr>
                <w:color w:val="auto"/>
                <w:highlight w:val="none"/>
              </w:rPr>
              <w:t>2.调整和优化园区产业结构及产业布局，降低冶金建材等产业发展比重，提升新兴产业，绿色制造等下游产业比重。嘉农组团：重点发展不锈钢冶炼、压延加工，不锈钢制品研发、生产及交易、机械装备制造、新型建材、新材料、物流及商贸业，全面形成完整的不锈钢生产、研发、销售产业链。钒钛钢铁组团：重点发展钒钛钢铁冶炼、深加工及高炉渣制水泥循环经济产业，推广高强度建筑钢筋，配套钒深加工、钢渣回收处理等精加工，推动高档次钒钛钢铁产品及高端装备制造业、机械加工的发展。</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B422B">
            <w:pPr>
              <w:pStyle w:val="37"/>
              <w:adjustRightInd w:val="0"/>
              <w:rPr>
                <w:color w:val="auto"/>
                <w:highlight w:val="none"/>
              </w:rPr>
            </w:pPr>
            <w:r>
              <w:rPr>
                <w:color w:val="auto"/>
                <w:highlight w:val="none"/>
              </w:rPr>
              <w:t>本项目位于</w:t>
            </w:r>
            <w:r>
              <w:rPr>
                <w:rFonts w:hint="eastAsia"/>
                <w:color w:val="auto"/>
                <w:highlight w:val="none"/>
              </w:rPr>
              <w:t>四川乐山沙湾经济开发区</w:t>
            </w:r>
            <w:r>
              <w:rPr>
                <w:color w:val="auto"/>
                <w:highlight w:val="none"/>
              </w:rPr>
              <w:t>嘉农组团。属于与园区主导产业相容的、不形成交叉影响的产业，为园区允许类。</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565C76">
            <w:pPr>
              <w:pStyle w:val="37"/>
              <w:adjustRightInd w:val="0"/>
              <w:rPr>
                <w:color w:val="auto"/>
                <w:highlight w:val="none"/>
              </w:rPr>
            </w:pPr>
            <w:r>
              <w:rPr>
                <w:color w:val="auto"/>
                <w:highlight w:val="none"/>
              </w:rPr>
              <w:t>符合</w:t>
            </w:r>
          </w:p>
        </w:tc>
      </w:tr>
      <w:tr w14:paraId="01CD4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543108">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9D51A">
            <w:pPr>
              <w:pStyle w:val="37"/>
              <w:adjustRightInd w:val="0"/>
              <w:jc w:val="both"/>
              <w:rPr>
                <w:color w:val="auto"/>
                <w:highlight w:val="none"/>
              </w:rPr>
            </w:pPr>
            <w:r>
              <w:rPr>
                <w:color w:val="auto"/>
                <w:highlight w:val="none"/>
              </w:rPr>
              <w:t>3.严格控制高污染燃料总量。不再新增燃煤锅炉及燃煤设施，不新增加区域煤炭消费总量；按省市蓝天保卫战要求，加快实施钢铁、水泥等行业大气污染排放深度治理改造。严控新建、扩建涉大气污染物排放的污染项目，对新增大气污染物排放的项目采取2倍替代削减，确保区域环境空气质量持续改善。合理调整优化运输结构，推动钢铁、水泥等行业大宗物料以铁路运输为主，降低公路运输量。</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A10E13">
            <w:pPr>
              <w:pStyle w:val="37"/>
              <w:adjustRightInd w:val="0"/>
              <w:rPr>
                <w:color w:val="auto"/>
                <w:highlight w:val="none"/>
              </w:rPr>
            </w:pPr>
            <w:r>
              <w:rPr>
                <w:color w:val="auto"/>
                <w:highlight w:val="none"/>
              </w:rPr>
              <w:t>本项目不涉及高污染燃料。</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5E19F">
            <w:pPr>
              <w:pStyle w:val="37"/>
              <w:adjustRightInd w:val="0"/>
              <w:rPr>
                <w:color w:val="auto"/>
                <w:highlight w:val="none"/>
              </w:rPr>
            </w:pPr>
            <w:r>
              <w:rPr>
                <w:color w:val="auto"/>
                <w:highlight w:val="none"/>
              </w:rPr>
              <w:t>符合</w:t>
            </w:r>
          </w:p>
        </w:tc>
      </w:tr>
      <w:tr w14:paraId="645F08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B46C3C1">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D09AA2">
            <w:pPr>
              <w:pStyle w:val="37"/>
              <w:adjustRightInd w:val="0"/>
              <w:jc w:val="both"/>
              <w:rPr>
                <w:color w:val="auto"/>
                <w:highlight w:val="none"/>
              </w:rPr>
            </w:pPr>
            <w:r>
              <w:rPr>
                <w:color w:val="auto"/>
                <w:highlight w:val="none"/>
              </w:rPr>
              <w:t>4.完善工业园区排水管网建设，提高污水收集率，尽快对园区污水处理厂进行提标改造，确保2020年达到《四川省岷江、沱江流域水污染排放标准》（DB51/2311-2016）。</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C90952">
            <w:pPr>
              <w:pStyle w:val="37"/>
              <w:adjustRightInd w:val="0"/>
              <w:rPr>
                <w:color w:val="auto"/>
                <w:highlight w:val="none"/>
              </w:rPr>
            </w:pP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）处理后经园区污水管网排入乐山沙湾经济开发区污水处理厂进一步处理达标后外排大渡河；</w:t>
            </w:r>
          </w:p>
          <w:p w14:paraId="48779223">
            <w:pPr>
              <w:pStyle w:val="37"/>
              <w:adjustRightInd w:val="0"/>
              <w:rPr>
                <w:color w:val="auto"/>
                <w:highlight w:val="none"/>
              </w:rPr>
            </w:pPr>
            <w:r>
              <w:rPr>
                <w:color w:val="auto"/>
                <w:highlight w:val="none"/>
              </w:rPr>
              <w:t>生产废水（选矿废水、车辆冲洗废水）循环使用，不外排。</w:t>
            </w:r>
          </w:p>
          <w:p w14:paraId="2E2E3297">
            <w:pPr>
              <w:pStyle w:val="37"/>
              <w:adjustRightInd w:val="0"/>
              <w:rPr>
                <w:color w:val="auto"/>
                <w:highlight w:val="none"/>
              </w:rPr>
            </w:pPr>
            <w:r>
              <w:rPr>
                <w:color w:val="auto"/>
                <w:highlight w:val="none"/>
              </w:rPr>
              <w:t>初期雨水经</w:t>
            </w:r>
            <w:r>
              <w:rPr>
                <w:rFonts w:hint="eastAsia"/>
                <w:color w:val="auto"/>
                <w:highlight w:val="none"/>
              </w:rPr>
              <w:t>依托的乐山市沙湾区豪沐科技有限公司</w:t>
            </w:r>
            <w:r>
              <w:rPr>
                <w:color w:val="auto"/>
                <w:highlight w:val="none"/>
              </w:rPr>
              <w:t>初期雨水池（600m</w:t>
            </w:r>
            <w:r>
              <w:rPr>
                <w:color w:val="auto"/>
                <w:highlight w:val="none"/>
                <w:vertAlign w:val="superscript"/>
              </w:rPr>
              <w:t>3</w:t>
            </w:r>
            <w:r>
              <w:rPr>
                <w:color w:val="auto"/>
                <w:highlight w:val="none"/>
              </w:rPr>
              <w:t>）沉淀处理后回用于生产补水或厂区洒水降尘，不外排。</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579795">
            <w:pPr>
              <w:pStyle w:val="37"/>
              <w:adjustRightInd w:val="0"/>
              <w:rPr>
                <w:color w:val="auto"/>
                <w:highlight w:val="none"/>
              </w:rPr>
            </w:pPr>
            <w:r>
              <w:rPr>
                <w:color w:val="auto"/>
                <w:highlight w:val="none"/>
              </w:rPr>
              <w:t>符合</w:t>
            </w:r>
          </w:p>
        </w:tc>
      </w:tr>
      <w:tr w14:paraId="247D62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CE7E3C4">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19AF97">
            <w:pPr>
              <w:pStyle w:val="37"/>
              <w:adjustRightInd w:val="0"/>
              <w:jc w:val="both"/>
              <w:rPr>
                <w:color w:val="auto"/>
                <w:highlight w:val="none"/>
              </w:rPr>
            </w:pPr>
            <w:r>
              <w:rPr>
                <w:color w:val="auto"/>
                <w:highlight w:val="none"/>
              </w:rPr>
              <w:t>5.加快园区配套的渣场、固废综合利用项目建设，确保钢铁冶炼炉渣、高炉炉渣、酸洗黄泥等得到妥善处置。在酸洗黄泥暂存间，强化防范预警措施，确保环境风险可控。</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722872">
            <w:pPr>
              <w:pStyle w:val="37"/>
              <w:adjustRightInd w:val="0"/>
              <w:rPr>
                <w:color w:val="auto"/>
                <w:highlight w:val="none"/>
              </w:rPr>
            </w:pPr>
            <w:r>
              <w:rPr>
                <w:color w:val="auto"/>
                <w:highlight w:val="none"/>
              </w:rPr>
              <w:t>项目固废均实现综合利用，收集暂存位于厂区内，并采取相应的污染防治措施，环境风险可控</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6692B">
            <w:pPr>
              <w:pStyle w:val="37"/>
              <w:adjustRightInd w:val="0"/>
              <w:rPr>
                <w:color w:val="auto"/>
                <w:highlight w:val="none"/>
              </w:rPr>
            </w:pPr>
            <w:r>
              <w:rPr>
                <w:color w:val="auto"/>
                <w:highlight w:val="none"/>
              </w:rPr>
              <w:t>符合</w:t>
            </w:r>
          </w:p>
        </w:tc>
      </w:tr>
      <w:tr w14:paraId="586160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93C6876">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8071C1">
            <w:pPr>
              <w:pStyle w:val="37"/>
              <w:adjustRightInd w:val="0"/>
              <w:jc w:val="both"/>
              <w:rPr>
                <w:color w:val="auto"/>
                <w:highlight w:val="none"/>
              </w:rPr>
            </w:pPr>
            <w:r>
              <w:rPr>
                <w:color w:val="auto"/>
                <w:highlight w:val="none"/>
              </w:rPr>
              <w:t>6.推进园区涉重金属企业废水治理设施深度改造升级，严格控制重点重金属污染物排放总量，定期开展园区及周边环境土壤质量监测，按期完成园区水气土协同预警体系建设。</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8A864">
            <w:pPr>
              <w:pStyle w:val="37"/>
              <w:adjustRightInd w:val="0"/>
              <w:rPr>
                <w:color w:val="auto"/>
                <w:highlight w:val="none"/>
              </w:rPr>
            </w:pPr>
            <w:r>
              <w:rPr>
                <w:color w:val="auto"/>
                <w:highlight w:val="none"/>
              </w:rPr>
              <w:t>项目不排放重金属污染物，不涉及重点重金属污染物排放总量；企业制定了园区及周边环境土壤质量监测计划</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80F5C4">
            <w:pPr>
              <w:pStyle w:val="37"/>
              <w:adjustRightInd w:val="0"/>
              <w:rPr>
                <w:color w:val="auto"/>
                <w:highlight w:val="none"/>
              </w:rPr>
            </w:pPr>
            <w:r>
              <w:rPr>
                <w:color w:val="auto"/>
                <w:highlight w:val="none"/>
              </w:rPr>
              <w:t>符合</w:t>
            </w:r>
          </w:p>
        </w:tc>
      </w:tr>
      <w:tr w14:paraId="386ED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C20745">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9DBA2E">
            <w:pPr>
              <w:pStyle w:val="37"/>
              <w:adjustRightInd w:val="0"/>
              <w:jc w:val="both"/>
              <w:rPr>
                <w:color w:val="auto"/>
                <w:highlight w:val="none"/>
              </w:rPr>
            </w:pPr>
            <w:r>
              <w:rPr>
                <w:color w:val="auto"/>
                <w:highlight w:val="none"/>
              </w:rPr>
              <w:t>7.建立健全园区环保管理机构，构建政府、园区、企业三级防范体系，配备足够的事故应急设施、设备，园区和入园企业均应制定突发环境事件应急预案，报环境主管部门和有关部门备案，定期开展环境风险应急演练。</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C67ED">
            <w:pPr>
              <w:pStyle w:val="37"/>
              <w:adjustRightInd w:val="0"/>
              <w:rPr>
                <w:color w:val="auto"/>
                <w:highlight w:val="none"/>
              </w:rPr>
            </w:pPr>
            <w:r>
              <w:rPr>
                <w:color w:val="auto"/>
                <w:highlight w:val="none"/>
              </w:rPr>
              <w:t>根据《四川省突发环境事件应急预案备案行业名录（2022年版）》，本项目属于其他常用有色金属矿采应编制突发环境事件应急预案，本次环评要求企业项目建设完成后，须编制突发环境事件应急预案，并</w:t>
            </w:r>
            <w:r>
              <w:rPr>
                <w:rFonts w:hint="eastAsia"/>
                <w:color w:val="auto"/>
                <w:highlight w:val="none"/>
              </w:rPr>
              <w:t>报监</w:t>
            </w:r>
            <w:r>
              <w:rPr>
                <w:color w:val="auto"/>
                <w:highlight w:val="none"/>
              </w:rPr>
              <w:t>管部门和有关部门备案，定期开展突发环境事件应急演练</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2BDAA0">
            <w:pPr>
              <w:pStyle w:val="37"/>
              <w:adjustRightInd w:val="0"/>
              <w:rPr>
                <w:color w:val="auto"/>
                <w:highlight w:val="none"/>
              </w:rPr>
            </w:pPr>
            <w:r>
              <w:rPr>
                <w:color w:val="auto"/>
                <w:highlight w:val="none"/>
              </w:rPr>
              <w:t>符合</w:t>
            </w:r>
          </w:p>
        </w:tc>
      </w:tr>
      <w:tr w14:paraId="56940F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8AFF62">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740209">
            <w:pPr>
              <w:pStyle w:val="37"/>
              <w:adjustRightInd w:val="0"/>
              <w:jc w:val="both"/>
              <w:rPr>
                <w:color w:val="auto"/>
                <w:highlight w:val="none"/>
              </w:rPr>
            </w:pPr>
            <w:r>
              <w:rPr>
                <w:color w:val="auto"/>
                <w:highlight w:val="none"/>
              </w:rPr>
              <w:t>8.制定园区环境质量跟踪监测计划，严格落实规划区大气、水、土壤、噪声等环境跟踪监测。</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EC5EC">
            <w:pPr>
              <w:pStyle w:val="37"/>
              <w:adjustRightInd w:val="0"/>
              <w:rPr>
                <w:color w:val="auto"/>
                <w:highlight w:val="none"/>
              </w:rPr>
            </w:pPr>
            <w:r>
              <w:rPr>
                <w:color w:val="auto"/>
                <w:highlight w:val="none"/>
              </w:rPr>
              <w:t>本次环评制定了环境质量跟踪监测计划，企业将严格落实环境跟踪监测</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7BC07A">
            <w:pPr>
              <w:pStyle w:val="37"/>
              <w:adjustRightInd w:val="0"/>
              <w:rPr>
                <w:color w:val="auto"/>
                <w:highlight w:val="none"/>
              </w:rPr>
            </w:pPr>
            <w:r>
              <w:rPr>
                <w:color w:val="auto"/>
                <w:highlight w:val="none"/>
              </w:rPr>
              <w:t>符合</w:t>
            </w:r>
          </w:p>
        </w:tc>
      </w:tr>
      <w:tr w14:paraId="33C0A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11E341">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47E851">
            <w:pPr>
              <w:pStyle w:val="37"/>
              <w:adjustRightInd w:val="0"/>
              <w:jc w:val="both"/>
              <w:rPr>
                <w:color w:val="auto"/>
                <w:highlight w:val="none"/>
              </w:rPr>
            </w:pPr>
            <w:r>
              <w:rPr>
                <w:color w:val="auto"/>
                <w:highlight w:val="none"/>
              </w:rPr>
              <w:t>9.以循环经济产业园区和生态型工业园区的理念，加强园区内产业链衔接和资源再生利用、循环利用，采用国家鼓励的循环经济技术、工艺和设备，推进园区废水、固废集中处理处置、循环利用，建成循环经济产业园。</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A82BA3">
            <w:pPr>
              <w:pStyle w:val="37"/>
              <w:adjustRightInd w:val="0"/>
              <w:rPr>
                <w:color w:val="auto"/>
                <w:highlight w:val="none"/>
              </w:rPr>
            </w:pPr>
            <w:r>
              <w:rPr>
                <w:color w:val="auto"/>
                <w:highlight w:val="none"/>
              </w:rPr>
              <w:t>本项目不涉及</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EFF9C">
            <w:pPr>
              <w:pStyle w:val="37"/>
              <w:adjustRightInd w:val="0"/>
              <w:rPr>
                <w:color w:val="auto"/>
                <w:highlight w:val="none"/>
              </w:rPr>
            </w:pPr>
            <w:r>
              <w:rPr>
                <w:color w:val="auto"/>
                <w:highlight w:val="none"/>
              </w:rPr>
              <w:t>符合</w:t>
            </w:r>
          </w:p>
        </w:tc>
      </w:tr>
      <w:tr w14:paraId="7B109D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AC9096">
            <w:pPr>
              <w:pStyle w:val="37"/>
              <w:adjustRightInd w:val="0"/>
              <w:rPr>
                <w:color w:val="auto"/>
                <w:highlight w:val="none"/>
              </w:rPr>
            </w:pPr>
            <w:r>
              <w:rPr>
                <w:color w:val="auto"/>
                <w:highlight w:val="none"/>
              </w:rPr>
              <w:t>总量控制</w:t>
            </w: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37F04">
            <w:pPr>
              <w:pStyle w:val="37"/>
              <w:adjustRightInd w:val="0"/>
              <w:jc w:val="both"/>
              <w:rPr>
                <w:color w:val="auto"/>
                <w:highlight w:val="none"/>
              </w:rPr>
            </w:pPr>
            <w:r>
              <w:rPr>
                <w:color w:val="auto"/>
                <w:highlight w:val="none"/>
              </w:rPr>
              <w:t>大气污染物排放总量：烟粉尘 3067t/a 、</w:t>
            </w:r>
          </w:p>
          <w:p w14:paraId="569CA2F5">
            <w:pPr>
              <w:pStyle w:val="37"/>
              <w:adjustRightInd w:val="0"/>
              <w:jc w:val="both"/>
              <w:rPr>
                <w:color w:val="auto"/>
                <w:highlight w:val="none"/>
              </w:rPr>
            </w:pPr>
            <w:r>
              <w:rPr>
                <w:color w:val="auto"/>
                <w:highlight w:val="none"/>
              </w:rPr>
              <w:t>二氧化硫 4624t/a 、氮氧化物 3647t/a 、挥发性有机物 826t/a 。</w:t>
            </w:r>
          </w:p>
          <w:p w14:paraId="52246E10">
            <w:pPr>
              <w:pStyle w:val="37"/>
              <w:adjustRightInd w:val="0"/>
              <w:jc w:val="both"/>
              <w:rPr>
                <w:color w:val="auto"/>
                <w:highlight w:val="none"/>
              </w:rPr>
            </w:pPr>
            <w:r>
              <w:rPr>
                <w:color w:val="auto"/>
                <w:highlight w:val="none"/>
              </w:rPr>
              <w:t>水污染物排放总量：化学需氧量 146 t/a ；氨氮 14 t/a 、总磷 1.8t/a 。</w:t>
            </w:r>
          </w:p>
          <w:p w14:paraId="5A9F4C94">
            <w:pPr>
              <w:pStyle w:val="37"/>
              <w:adjustRightInd w:val="0"/>
              <w:jc w:val="both"/>
              <w:rPr>
                <w:color w:val="auto"/>
                <w:highlight w:val="none"/>
              </w:rPr>
            </w:pPr>
            <w:r>
              <w:rPr>
                <w:color w:val="auto"/>
                <w:highlight w:val="none"/>
              </w:rPr>
              <w:t>重金属排放总量：总铬 54.89kg/a</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49B1C5">
            <w:pPr>
              <w:pStyle w:val="37"/>
              <w:adjustRightInd w:val="0"/>
              <w:rPr>
                <w:color w:val="auto"/>
                <w:highlight w:val="none"/>
              </w:rPr>
            </w:pPr>
            <w:r>
              <w:rPr>
                <w:rFonts w:hint="eastAsia"/>
                <w:color w:val="auto"/>
                <w:highlight w:val="none"/>
              </w:rPr>
              <w:t>本项目</w:t>
            </w:r>
            <w:r>
              <w:rPr>
                <w:color w:val="auto"/>
                <w:highlight w:val="none"/>
              </w:rPr>
              <w:t>颗粒物总量</w:t>
            </w:r>
            <w:r>
              <w:rPr>
                <w:rFonts w:hint="eastAsia"/>
                <w:color w:val="auto"/>
                <w:highlight w:val="none"/>
                <w:lang w:val="en-US" w:eastAsia="zh-CN"/>
              </w:rPr>
              <w:t>实行2倍替代</w:t>
            </w:r>
            <w:r>
              <w:rPr>
                <w:rFonts w:hint="eastAsia"/>
                <w:color w:val="auto"/>
                <w:highlight w:val="none"/>
              </w:rPr>
              <w:t>。</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358A8A">
            <w:pPr>
              <w:pStyle w:val="37"/>
              <w:adjustRightInd w:val="0"/>
              <w:rPr>
                <w:color w:val="auto"/>
                <w:highlight w:val="none"/>
              </w:rPr>
            </w:pPr>
            <w:r>
              <w:rPr>
                <w:color w:val="auto"/>
                <w:highlight w:val="none"/>
              </w:rPr>
              <w:t>符合</w:t>
            </w:r>
          </w:p>
        </w:tc>
      </w:tr>
      <w:tr w14:paraId="738A8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786BBF3">
            <w:pPr>
              <w:pStyle w:val="37"/>
              <w:adjustRightInd w:val="0"/>
              <w:rPr>
                <w:color w:val="auto"/>
                <w:highlight w:val="none"/>
              </w:rPr>
            </w:pPr>
            <w:r>
              <w:rPr>
                <w:color w:val="auto"/>
                <w:highlight w:val="none"/>
              </w:rPr>
              <w:t>生态环境准入清单</w:t>
            </w:r>
          </w:p>
        </w:tc>
        <w:tc>
          <w:tcPr>
            <w:tcW w:w="450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6E53E0F">
            <w:pPr>
              <w:pStyle w:val="37"/>
              <w:adjustRightInd w:val="0"/>
              <w:jc w:val="both"/>
              <w:rPr>
                <w:color w:val="auto"/>
                <w:highlight w:val="none"/>
              </w:rPr>
            </w:pPr>
            <w:r>
              <w:rPr>
                <w:b/>
                <w:bCs/>
                <w:color w:val="auto"/>
                <w:highlight w:val="none"/>
              </w:rPr>
              <w:t>禁止类</w:t>
            </w:r>
          </w:p>
        </w:tc>
      </w:tr>
      <w:tr w14:paraId="4D754C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113978">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D668DD">
            <w:pPr>
              <w:pStyle w:val="37"/>
              <w:adjustRightInd w:val="0"/>
              <w:jc w:val="both"/>
              <w:rPr>
                <w:color w:val="auto"/>
                <w:highlight w:val="none"/>
              </w:rPr>
            </w:pPr>
            <w:r>
              <w:rPr>
                <w:color w:val="auto"/>
                <w:highlight w:val="none"/>
              </w:rPr>
              <w:t>①不符合国家现行产业政策及乐山市环境准入要求的项目，清洁生产水平低于二级水平的项目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81CFF0">
            <w:pPr>
              <w:pStyle w:val="37"/>
              <w:adjustRightInd w:val="0"/>
              <w:rPr>
                <w:color w:val="auto"/>
                <w:highlight w:val="none"/>
              </w:rPr>
            </w:pPr>
            <w:r>
              <w:rPr>
                <w:color w:val="auto"/>
                <w:highlight w:val="none"/>
              </w:rPr>
              <w:t>本项目为锂辉石加工生产项目，根据《国民经济行业分类》（GB/T4754-2017），本项目为B0939其他稀有金属采选。根据国家发展和改革委员会2023年第7号令《产业结构调整指导目录（2024年本）》，本项目不在</w:t>
            </w:r>
            <w:r>
              <w:rPr>
                <w:rFonts w:hint="eastAsia"/>
                <w:color w:val="auto"/>
                <w:highlight w:val="none"/>
              </w:rPr>
              <w:t>“</w:t>
            </w:r>
            <w:r>
              <w:rPr>
                <w:color w:val="auto"/>
                <w:highlight w:val="none"/>
              </w:rPr>
              <w:t>鼓励类</w:t>
            </w:r>
            <w:r>
              <w:rPr>
                <w:rFonts w:hint="eastAsia"/>
                <w:color w:val="auto"/>
                <w:highlight w:val="none"/>
              </w:rPr>
              <w:t>”</w:t>
            </w:r>
            <w:r>
              <w:rPr>
                <w:color w:val="auto"/>
                <w:highlight w:val="none"/>
              </w:rPr>
              <w:t>、</w:t>
            </w:r>
            <w:r>
              <w:rPr>
                <w:rFonts w:hint="eastAsia"/>
                <w:color w:val="auto"/>
                <w:highlight w:val="none"/>
              </w:rPr>
              <w:t>“</w:t>
            </w:r>
            <w:r>
              <w:rPr>
                <w:color w:val="auto"/>
                <w:highlight w:val="none"/>
              </w:rPr>
              <w:t>限制类</w:t>
            </w:r>
            <w:r>
              <w:rPr>
                <w:rFonts w:hint="eastAsia"/>
                <w:color w:val="auto"/>
                <w:highlight w:val="none"/>
              </w:rPr>
              <w:t>”</w:t>
            </w:r>
            <w:r>
              <w:rPr>
                <w:color w:val="auto"/>
                <w:highlight w:val="none"/>
              </w:rPr>
              <w:t>、</w:t>
            </w:r>
            <w:r>
              <w:rPr>
                <w:rFonts w:hint="eastAsia"/>
                <w:color w:val="auto"/>
                <w:highlight w:val="none"/>
              </w:rPr>
              <w:t>“</w:t>
            </w:r>
            <w:r>
              <w:rPr>
                <w:color w:val="auto"/>
                <w:highlight w:val="none"/>
              </w:rPr>
              <w:t>淘汰类</w:t>
            </w:r>
            <w:r>
              <w:rPr>
                <w:rFonts w:hint="eastAsia"/>
                <w:color w:val="auto"/>
                <w:highlight w:val="none"/>
              </w:rPr>
              <w:t>”</w:t>
            </w:r>
            <w:r>
              <w:rPr>
                <w:color w:val="auto"/>
                <w:highlight w:val="none"/>
              </w:rPr>
              <w:t>之列，视为</w:t>
            </w:r>
            <w:r>
              <w:rPr>
                <w:rFonts w:hint="eastAsia"/>
                <w:color w:val="auto"/>
                <w:highlight w:val="none"/>
              </w:rPr>
              <w:t>“</w:t>
            </w:r>
            <w:r>
              <w:rPr>
                <w:color w:val="auto"/>
                <w:highlight w:val="none"/>
              </w:rPr>
              <w:t>允许类</w:t>
            </w:r>
            <w:r>
              <w:rPr>
                <w:rFonts w:hint="eastAsia"/>
                <w:color w:val="auto"/>
                <w:highlight w:val="none"/>
              </w:rPr>
              <w:t>”</w:t>
            </w:r>
            <w:r>
              <w:rPr>
                <w:color w:val="auto"/>
                <w:highlight w:val="none"/>
              </w:rPr>
              <w:t>。本项目采用国内先进水平的生产工艺、设备及污染治理技术，符合清洁生产门槛。</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12E202">
            <w:pPr>
              <w:pStyle w:val="37"/>
              <w:adjustRightInd w:val="0"/>
              <w:rPr>
                <w:color w:val="auto"/>
                <w:highlight w:val="none"/>
              </w:rPr>
            </w:pPr>
            <w:r>
              <w:rPr>
                <w:color w:val="auto"/>
                <w:highlight w:val="none"/>
              </w:rPr>
              <w:t>符合</w:t>
            </w:r>
          </w:p>
        </w:tc>
      </w:tr>
      <w:tr w14:paraId="0BCA5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151703">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208BAE">
            <w:pPr>
              <w:pStyle w:val="37"/>
              <w:adjustRightInd w:val="0"/>
              <w:jc w:val="both"/>
              <w:rPr>
                <w:color w:val="auto"/>
                <w:highlight w:val="none"/>
              </w:rPr>
            </w:pPr>
            <w:r>
              <w:rPr>
                <w:color w:val="auto"/>
                <w:highlight w:val="none"/>
              </w:rPr>
              <w:t>②与园区产业定位及《中共四川省委关于全面推动高质量发展的决定》不相符的石油化工、煤化工、纸浆造纸、生物医药、发酵制药、印染、制革、基础化工、涉磷、火电等项目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9B77E4">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项目，本项目不属于与园区产业定位及《中共四川省委关于全面推动高质量发展的决定》不相符的项目。</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32BF6">
            <w:pPr>
              <w:pStyle w:val="37"/>
              <w:adjustRightInd w:val="0"/>
              <w:rPr>
                <w:color w:val="auto"/>
                <w:highlight w:val="none"/>
              </w:rPr>
            </w:pPr>
            <w:r>
              <w:rPr>
                <w:color w:val="auto"/>
                <w:highlight w:val="none"/>
              </w:rPr>
              <w:t>符合</w:t>
            </w:r>
          </w:p>
        </w:tc>
      </w:tr>
      <w:tr w14:paraId="1D7B31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70FFE4">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15AC9D">
            <w:pPr>
              <w:pStyle w:val="37"/>
              <w:adjustRightInd w:val="0"/>
              <w:jc w:val="both"/>
              <w:rPr>
                <w:color w:val="auto"/>
                <w:highlight w:val="none"/>
              </w:rPr>
            </w:pPr>
            <w:r>
              <w:rPr>
                <w:color w:val="auto"/>
                <w:highlight w:val="none"/>
              </w:rPr>
              <w:t>③国家明令禁止的</w:t>
            </w:r>
            <w:r>
              <w:rPr>
                <w:rFonts w:hint="eastAsia"/>
                <w:color w:val="auto"/>
                <w:highlight w:val="none"/>
              </w:rPr>
              <w:t>“</w:t>
            </w:r>
            <w:r>
              <w:rPr>
                <w:color w:val="auto"/>
                <w:highlight w:val="none"/>
              </w:rPr>
              <w:t>十五小</w:t>
            </w:r>
            <w:r>
              <w:rPr>
                <w:rFonts w:hint="eastAsia"/>
                <w:color w:val="auto"/>
                <w:highlight w:val="none"/>
              </w:rPr>
              <w:t>”“</w:t>
            </w:r>
            <w:r>
              <w:rPr>
                <w:color w:val="auto"/>
                <w:highlight w:val="none"/>
              </w:rPr>
              <w:t>新五小</w:t>
            </w:r>
            <w:r>
              <w:rPr>
                <w:rFonts w:hint="eastAsia"/>
                <w:color w:val="auto"/>
                <w:highlight w:val="none"/>
              </w:rPr>
              <w:t>”</w:t>
            </w:r>
            <w:r>
              <w:rPr>
                <w:color w:val="auto"/>
                <w:highlight w:val="none"/>
              </w:rPr>
              <w:t>企业及工艺设备落后、产品滞销、污染严重，且污染物不能进行有效治理的项目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8BD455">
            <w:pPr>
              <w:pStyle w:val="37"/>
              <w:adjustRightInd w:val="0"/>
              <w:rPr>
                <w:color w:val="auto"/>
                <w:highlight w:val="none"/>
              </w:rPr>
            </w:pPr>
            <w:r>
              <w:rPr>
                <w:color w:val="auto"/>
                <w:highlight w:val="none"/>
              </w:rPr>
              <w:t>本项目不属于国家明令禁止的</w:t>
            </w:r>
            <w:r>
              <w:rPr>
                <w:rFonts w:hint="eastAsia"/>
                <w:color w:val="auto"/>
                <w:highlight w:val="none"/>
              </w:rPr>
              <w:t>“</w:t>
            </w:r>
            <w:r>
              <w:rPr>
                <w:color w:val="auto"/>
                <w:highlight w:val="none"/>
              </w:rPr>
              <w:t>十五小</w:t>
            </w:r>
            <w:r>
              <w:rPr>
                <w:rFonts w:hint="eastAsia"/>
                <w:color w:val="auto"/>
                <w:highlight w:val="none"/>
              </w:rPr>
              <w:t>”“</w:t>
            </w:r>
            <w:r>
              <w:rPr>
                <w:color w:val="auto"/>
                <w:highlight w:val="none"/>
              </w:rPr>
              <w:t>新五小</w:t>
            </w:r>
            <w:r>
              <w:rPr>
                <w:rFonts w:hint="eastAsia"/>
                <w:color w:val="auto"/>
                <w:highlight w:val="none"/>
              </w:rPr>
              <w:t>”</w:t>
            </w:r>
            <w:r>
              <w:rPr>
                <w:color w:val="auto"/>
                <w:highlight w:val="none"/>
              </w:rPr>
              <w:t>企业，本项目采用国内先进水平的生产工艺、设备及污染治理技术、产品销量较好。</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5D9DCA">
            <w:pPr>
              <w:pStyle w:val="37"/>
              <w:adjustRightInd w:val="0"/>
              <w:rPr>
                <w:color w:val="auto"/>
                <w:highlight w:val="none"/>
              </w:rPr>
            </w:pPr>
            <w:r>
              <w:rPr>
                <w:color w:val="auto"/>
                <w:highlight w:val="none"/>
              </w:rPr>
              <w:t>符合</w:t>
            </w:r>
          </w:p>
        </w:tc>
      </w:tr>
      <w:tr w14:paraId="59976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A1BD4DD">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C1D982">
            <w:pPr>
              <w:pStyle w:val="37"/>
              <w:adjustRightInd w:val="0"/>
              <w:jc w:val="both"/>
              <w:rPr>
                <w:color w:val="auto"/>
                <w:highlight w:val="none"/>
              </w:rPr>
            </w:pPr>
            <w:r>
              <w:rPr>
                <w:color w:val="auto"/>
                <w:highlight w:val="none"/>
              </w:rPr>
              <w:t>④禁止新建焦化项目、硫酸生产项目、盐酸生产项目、电石法工艺路线PVC生产项目等大气污染严重项目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2250B">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项目，本项目不属于焦化项目、硫酸生产项目、盐酸生产项目、电石法工艺路线PVC生产项目等大气污染严重项目</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140883">
            <w:pPr>
              <w:pStyle w:val="37"/>
              <w:adjustRightInd w:val="0"/>
              <w:rPr>
                <w:color w:val="auto"/>
                <w:highlight w:val="none"/>
              </w:rPr>
            </w:pPr>
            <w:r>
              <w:rPr>
                <w:color w:val="auto"/>
                <w:highlight w:val="none"/>
              </w:rPr>
              <w:t>符合</w:t>
            </w:r>
          </w:p>
        </w:tc>
      </w:tr>
      <w:tr w14:paraId="24A4E0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0E23838">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9389BF">
            <w:pPr>
              <w:pStyle w:val="37"/>
              <w:adjustRightInd w:val="0"/>
              <w:jc w:val="both"/>
              <w:rPr>
                <w:color w:val="auto"/>
                <w:highlight w:val="none"/>
              </w:rPr>
            </w:pPr>
            <w:r>
              <w:rPr>
                <w:color w:val="auto"/>
                <w:highlight w:val="none"/>
              </w:rPr>
              <w:t>⑤印染、专业电镀、造纸、制革等废水难</w:t>
            </w:r>
            <w:r>
              <w:rPr>
                <w:rFonts w:hint="eastAsia"/>
                <w:color w:val="auto"/>
                <w:highlight w:val="none"/>
              </w:rPr>
              <w:t>以</w:t>
            </w:r>
            <w:r>
              <w:rPr>
                <w:color w:val="auto"/>
                <w:highlight w:val="none"/>
              </w:rPr>
              <w:t>处理且存在较大环境风险的企业</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183037">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项目，本项目不属于印染、专业电镀、造纸、制革等废水</w:t>
            </w:r>
            <w:r>
              <w:rPr>
                <w:rFonts w:hint="eastAsia"/>
                <w:color w:val="auto"/>
                <w:highlight w:val="none"/>
              </w:rPr>
              <w:t>难以</w:t>
            </w:r>
            <w:r>
              <w:rPr>
                <w:color w:val="auto"/>
                <w:highlight w:val="none"/>
              </w:rPr>
              <w:t>处理且存在较大环境风险的企业</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E80EE">
            <w:pPr>
              <w:pStyle w:val="37"/>
              <w:adjustRightInd w:val="0"/>
              <w:rPr>
                <w:color w:val="auto"/>
                <w:highlight w:val="none"/>
              </w:rPr>
            </w:pPr>
            <w:r>
              <w:rPr>
                <w:color w:val="auto"/>
                <w:highlight w:val="none"/>
              </w:rPr>
              <w:t>符合</w:t>
            </w:r>
          </w:p>
        </w:tc>
      </w:tr>
      <w:tr w14:paraId="2DADD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532CD0">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B200C">
            <w:pPr>
              <w:pStyle w:val="37"/>
              <w:adjustRightInd w:val="0"/>
              <w:jc w:val="both"/>
              <w:rPr>
                <w:color w:val="auto"/>
                <w:highlight w:val="none"/>
              </w:rPr>
            </w:pPr>
            <w:r>
              <w:rPr>
                <w:color w:val="auto"/>
                <w:highlight w:val="none"/>
              </w:rPr>
              <w:t>⑥电子元器件行业：禁止引入印刷电路板制造项目。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94933">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项目，本项目不属于电子元器件行业。</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9DF07">
            <w:pPr>
              <w:pStyle w:val="37"/>
              <w:adjustRightInd w:val="0"/>
              <w:rPr>
                <w:color w:val="auto"/>
                <w:highlight w:val="none"/>
              </w:rPr>
            </w:pPr>
            <w:r>
              <w:rPr>
                <w:color w:val="auto"/>
                <w:highlight w:val="none"/>
              </w:rPr>
              <w:t>符合</w:t>
            </w:r>
          </w:p>
        </w:tc>
      </w:tr>
      <w:tr w14:paraId="35B229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218FAB6">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56CA19">
            <w:pPr>
              <w:pStyle w:val="37"/>
              <w:adjustRightInd w:val="0"/>
              <w:jc w:val="both"/>
              <w:rPr>
                <w:color w:val="auto"/>
                <w:highlight w:val="none"/>
              </w:rPr>
            </w:pPr>
            <w:r>
              <w:rPr>
                <w:color w:val="auto"/>
                <w:highlight w:val="none"/>
              </w:rPr>
              <w:t>⑦化学原料及化学品制造：基本化学原料制造、农药制造</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93DA7C">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项目，本项目不属于化学原料及化学品制造。</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317068">
            <w:pPr>
              <w:pStyle w:val="37"/>
              <w:adjustRightInd w:val="0"/>
              <w:rPr>
                <w:color w:val="auto"/>
                <w:highlight w:val="none"/>
              </w:rPr>
            </w:pPr>
            <w:r>
              <w:rPr>
                <w:color w:val="auto"/>
                <w:highlight w:val="none"/>
              </w:rPr>
              <w:t>符合</w:t>
            </w:r>
          </w:p>
        </w:tc>
      </w:tr>
      <w:tr w14:paraId="35E18A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FAD6D9">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1104D8">
            <w:pPr>
              <w:pStyle w:val="37"/>
              <w:adjustRightInd w:val="0"/>
              <w:jc w:val="both"/>
              <w:rPr>
                <w:color w:val="auto"/>
                <w:highlight w:val="none"/>
              </w:rPr>
            </w:pPr>
            <w:r>
              <w:rPr>
                <w:color w:val="auto"/>
                <w:highlight w:val="none"/>
              </w:rPr>
              <w:t>⑧化学纤维制造、橡胶制品业中的轮胎制造，建材制造中的平板玻璃制造、石棉制造、石墨及其他非金属矿物制品制造</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3AD48">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项目，本项目不属于化学纤维制造、橡胶制品业、建材制造。</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4B82B0">
            <w:pPr>
              <w:pStyle w:val="37"/>
              <w:adjustRightInd w:val="0"/>
              <w:rPr>
                <w:color w:val="auto"/>
                <w:highlight w:val="none"/>
              </w:rPr>
            </w:pPr>
            <w:r>
              <w:rPr>
                <w:color w:val="auto"/>
                <w:highlight w:val="none"/>
              </w:rPr>
              <w:t>符合</w:t>
            </w:r>
          </w:p>
        </w:tc>
      </w:tr>
      <w:tr w14:paraId="396578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8A63C8">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2B3FD">
            <w:pPr>
              <w:pStyle w:val="37"/>
              <w:adjustRightInd w:val="0"/>
              <w:jc w:val="both"/>
              <w:rPr>
                <w:color w:val="auto"/>
                <w:highlight w:val="none"/>
              </w:rPr>
            </w:pPr>
            <w:r>
              <w:rPr>
                <w:color w:val="auto"/>
                <w:highlight w:val="none"/>
              </w:rPr>
              <w:t>⑨其它不符合国家产业政策，不符合园区产业定位的企业</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FE3ED">
            <w:pPr>
              <w:pStyle w:val="37"/>
              <w:adjustRightInd w:val="0"/>
              <w:rPr>
                <w:color w:val="auto"/>
                <w:highlight w:val="none"/>
              </w:rPr>
            </w:pPr>
            <w:r>
              <w:rPr>
                <w:color w:val="auto"/>
                <w:highlight w:val="none"/>
              </w:rPr>
              <w:t>本项目为锂辉石</w:t>
            </w:r>
            <w:r>
              <w:rPr>
                <w:rFonts w:hint="eastAsia"/>
                <w:color w:val="auto"/>
                <w:highlight w:val="none"/>
              </w:rPr>
              <w:t>选矿</w:t>
            </w:r>
            <w:r>
              <w:rPr>
                <w:color w:val="auto"/>
                <w:highlight w:val="none"/>
              </w:rPr>
              <w:t>项目，本项目不属于其它不符合国家产业政策，不符合园区产业定位的企业</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B7CDF8">
            <w:pPr>
              <w:pStyle w:val="37"/>
              <w:adjustRightInd w:val="0"/>
              <w:rPr>
                <w:color w:val="auto"/>
                <w:highlight w:val="none"/>
              </w:rPr>
            </w:pPr>
            <w:r>
              <w:rPr>
                <w:color w:val="auto"/>
                <w:highlight w:val="none"/>
              </w:rPr>
              <w:t>符合</w:t>
            </w:r>
          </w:p>
        </w:tc>
      </w:tr>
      <w:tr w14:paraId="5BF5C5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DB757C">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36C16D">
            <w:pPr>
              <w:pStyle w:val="37"/>
              <w:adjustRightInd w:val="0"/>
              <w:jc w:val="both"/>
              <w:rPr>
                <w:color w:val="auto"/>
                <w:highlight w:val="none"/>
              </w:rPr>
            </w:pPr>
            <w:r>
              <w:rPr>
                <w:color w:val="auto"/>
                <w:highlight w:val="none"/>
              </w:rPr>
              <w:t>⑩其他水污染物排放量大、废水处理难度大、排放有毒有害及铅、汞、六价铬等重金属废水的项目</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A77952">
            <w:pPr>
              <w:pStyle w:val="37"/>
              <w:adjustRightInd w:val="0"/>
              <w:rPr>
                <w:color w:val="auto"/>
                <w:highlight w:val="none"/>
              </w:rPr>
            </w:pPr>
            <w:r>
              <w:rPr>
                <w:color w:val="auto"/>
                <w:highlight w:val="none"/>
              </w:rPr>
              <w:t>本项目生产废水不外排。</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E6090A">
            <w:pPr>
              <w:pStyle w:val="37"/>
              <w:adjustRightInd w:val="0"/>
              <w:rPr>
                <w:color w:val="auto"/>
                <w:highlight w:val="none"/>
              </w:rPr>
            </w:pPr>
            <w:r>
              <w:rPr>
                <w:color w:val="auto"/>
                <w:highlight w:val="none"/>
              </w:rPr>
              <w:t>符合</w:t>
            </w:r>
          </w:p>
        </w:tc>
      </w:tr>
      <w:tr w14:paraId="720834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E95B706">
            <w:pPr>
              <w:pStyle w:val="37"/>
              <w:adjustRightInd w:val="0"/>
              <w:rPr>
                <w:color w:val="auto"/>
                <w:highlight w:val="none"/>
              </w:rPr>
            </w:pPr>
          </w:p>
        </w:tc>
        <w:tc>
          <w:tcPr>
            <w:tcW w:w="4507"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509B5492">
            <w:pPr>
              <w:pStyle w:val="37"/>
              <w:adjustRightInd w:val="0"/>
              <w:jc w:val="both"/>
              <w:rPr>
                <w:color w:val="auto"/>
                <w:highlight w:val="none"/>
              </w:rPr>
            </w:pPr>
            <w:r>
              <w:rPr>
                <w:b/>
                <w:bCs/>
                <w:color w:val="auto"/>
                <w:highlight w:val="none"/>
              </w:rPr>
              <w:t>限制类</w:t>
            </w:r>
          </w:p>
        </w:tc>
      </w:tr>
      <w:tr w14:paraId="49CB3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CEA184">
            <w:pPr>
              <w:pStyle w:val="37"/>
              <w:adjustRightInd w:val="0"/>
              <w:rPr>
                <w:color w:val="auto"/>
                <w:highlight w:val="none"/>
              </w:rPr>
            </w:pP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171FFD">
            <w:pPr>
              <w:pStyle w:val="37"/>
              <w:adjustRightInd w:val="0"/>
              <w:jc w:val="both"/>
              <w:rPr>
                <w:color w:val="auto"/>
                <w:highlight w:val="none"/>
              </w:rPr>
            </w:pPr>
            <w:r>
              <w:rPr>
                <w:color w:val="auto"/>
                <w:highlight w:val="none"/>
              </w:rPr>
              <w:t>建议园区今后产业发展应严格限制Ⅲ类工业及未落实减排计划的新增大量烟（粉）尘排放项目入园。根据《国务院关于化解产能严重过剩矛盾的指导意见》（国发〔2013〕41号）、《四川省人民政府关于化解产能过剩矛盾促进产业结构调整的实施意见》（川府发〔2014〕10号）相关要求，园区应严格限制违规新增钢铁、水泥产能。</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3215A">
            <w:pPr>
              <w:pStyle w:val="37"/>
              <w:adjustRightInd w:val="0"/>
              <w:rPr>
                <w:color w:val="auto"/>
                <w:highlight w:val="none"/>
              </w:rPr>
            </w:pPr>
            <w:r>
              <w:rPr>
                <w:color w:val="auto"/>
                <w:highlight w:val="none"/>
              </w:rPr>
              <w:t>本项目不属于Ⅲ类工业，本项目严格落实减排计划。</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337AA">
            <w:pPr>
              <w:pStyle w:val="37"/>
              <w:adjustRightInd w:val="0"/>
              <w:rPr>
                <w:color w:val="auto"/>
                <w:highlight w:val="none"/>
              </w:rPr>
            </w:pPr>
            <w:r>
              <w:rPr>
                <w:color w:val="auto"/>
                <w:highlight w:val="none"/>
              </w:rPr>
              <w:t>符合</w:t>
            </w:r>
          </w:p>
        </w:tc>
      </w:tr>
      <w:tr w14:paraId="591B47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4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12691E">
            <w:pPr>
              <w:pStyle w:val="37"/>
              <w:adjustRightInd w:val="0"/>
              <w:rPr>
                <w:color w:val="auto"/>
                <w:highlight w:val="none"/>
              </w:rPr>
            </w:pPr>
            <w:r>
              <w:rPr>
                <w:color w:val="auto"/>
                <w:highlight w:val="none"/>
              </w:rPr>
              <w:t>清洁生产门槛</w:t>
            </w:r>
          </w:p>
        </w:tc>
        <w:tc>
          <w:tcPr>
            <w:tcW w:w="2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759D9">
            <w:pPr>
              <w:pStyle w:val="37"/>
              <w:adjustRightInd w:val="0"/>
              <w:jc w:val="both"/>
              <w:rPr>
                <w:color w:val="auto"/>
                <w:highlight w:val="none"/>
              </w:rPr>
            </w:pPr>
            <w:r>
              <w:rPr>
                <w:color w:val="auto"/>
                <w:highlight w:val="none"/>
              </w:rPr>
              <w:t>入园企业必须采取先进水平的生产工艺、设备及污染治理技术，清洁生产水平应达到国际、国内先进水平。</w:t>
            </w:r>
          </w:p>
        </w:tc>
        <w:tc>
          <w:tcPr>
            <w:tcW w:w="15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1EAB47">
            <w:pPr>
              <w:pStyle w:val="37"/>
              <w:adjustRightInd w:val="0"/>
              <w:rPr>
                <w:color w:val="auto"/>
                <w:highlight w:val="none"/>
              </w:rPr>
            </w:pPr>
            <w:r>
              <w:rPr>
                <w:color w:val="auto"/>
                <w:highlight w:val="none"/>
              </w:rPr>
              <w:t>本项目选用浮选法及磁选法相结合的生产工艺，该技术能有效地解决原料中存在品位较低和铁含量较高的问题，废水可实现循环利用，产品质量稳定，环境污染可有效减轻，其生产工艺总体达到了国内先进水平，属清洁生产工艺。</w:t>
            </w:r>
          </w:p>
        </w:tc>
        <w:tc>
          <w:tcPr>
            <w:tcW w:w="64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DADA4">
            <w:pPr>
              <w:pStyle w:val="37"/>
              <w:adjustRightInd w:val="0"/>
              <w:rPr>
                <w:color w:val="auto"/>
                <w:highlight w:val="none"/>
              </w:rPr>
            </w:pPr>
            <w:r>
              <w:rPr>
                <w:color w:val="auto"/>
                <w:highlight w:val="none"/>
              </w:rPr>
              <w:t>符合</w:t>
            </w:r>
          </w:p>
        </w:tc>
      </w:tr>
    </w:tbl>
    <w:p w14:paraId="06860741">
      <w:pPr>
        <w:adjustRightInd w:val="0"/>
        <w:ind w:firstLine="480"/>
        <w:rPr>
          <w:rFonts w:cs="Times New Roman"/>
          <w:color w:val="auto"/>
          <w:highlight w:val="none"/>
        </w:rPr>
      </w:pPr>
      <w:r>
        <w:rPr>
          <w:rFonts w:cs="Times New Roman"/>
          <w:color w:val="auto"/>
          <w:highlight w:val="none"/>
        </w:rPr>
        <w:t>综上所述，本项目符合《关于印发&lt;乐山（沙湾）不锈钢产业园区环境影响跟踪评价报告书审查意见&gt;的函》（乐市环函〔2019〕226号）的要求。</w:t>
      </w:r>
    </w:p>
    <w:p w14:paraId="5ED0F8CA">
      <w:pPr>
        <w:pStyle w:val="5"/>
        <w:adjustRightInd w:val="0"/>
        <w:rPr>
          <w:rFonts w:cs="Times New Roman"/>
          <w:color w:val="auto"/>
          <w:highlight w:val="none"/>
        </w:rPr>
      </w:pPr>
      <w:r>
        <w:rPr>
          <w:rFonts w:cs="Times New Roman"/>
          <w:color w:val="auto"/>
          <w:highlight w:val="none"/>
        </w:rPr>
        <w:t>与</w:t>
      </w:r>
      <w:r>
        <w:rPr>
          <w:rFonts w:hint="eastAsia" w:cs="Times New Roman"/>
          <w:color w:val="auto"/>
          <w:highlight w:val="none"/>
        </w:rPr>
        <w:t>“</w:t>
      </w:r>
      <w:r>
        <w:rPr>
          <w:rFonts w:cs="Times New Roman"/>
          <w:color w:val="auto"/>
          <w:highlight w:val="none"/>
        </w:rPr>
        <w:t>生态环境分区管控</w:t>
      </w:r>
      <w:r>
        <w:rPr>
          <w:rFonts w:hint="eastAsia" w:cs="Times New Roman"/>
          <w:color w:val="auto"/>
          <w:highlight w:val="none"/>
        </w:rPr>
        <w:t>”</w:t>
      </w:r>
      <w:r>
        <w:rPr>
          <w:rFonts w:cs="Times New Roman"/>
          <w:color w:val="auto"/>
          <w:highlight w:val="none"/>
        </w:rPr>
        <w:t>符合性分析</w:t>
      </w:r>
    </w:p>
    <w:p w14:paraId="11E555B9">
      <w:pPr>
        <w:adjustRightInd w:val="0"/>
        <w:ind w:firstLine="480"/>
        <w:rPr>
          <w:rFonts w:cs="Times New Roman"/>
          <w:color w:val="auto"/>
          <w:highlight w:val="none"/>
        </w:rPr>
      </w:pPr>
      <w:r>
        <w:rPr>
          <w:rFonts w:cs="Times New Roman"/>
          <w:color w:val="auto"/>
          <w:highlight w:val="none"/>
        </w:rPr>
        <w:t>根据四川省生态环境厅办公室发布的《产业园区规划环评</w:t>
      </w:r>
      <w:r>
        <w:rPr>
          <w:rFonts w:hint="eastAsia" w:cs="Times New Roman"/>
          <w:color w:val="auto"/>
          <w:highlight w:val="none"/>
        </w:rPr>
        <w:t>“</w:t>
      </w:r>
      <w:r>
        <w:rPr>
          <w:rFonts w:cs="Times New Roman"/>
          <w:color w:val="auto"/>
          <w:highlight w:val="none"/>
        </w:rPr>
        <w:t>三线一单</w:t>
      </w:r>
      <w:r>
        <w:rPr>
          <w:rFonts w:hint="eastAsia" w:cs="Times New Roman"/>
          <w:color w:val="auto"/>
          <w:highlight w:val="none"/>
        </w:rPr>
        <w:t>”</w:t>
      </w:r>
      <w:r>
        <w:rPr>
          <w:rFonts w:cs="Times New Roman"/>
          <w:color w:val="auto"/>
          <w:highlight w:val="none"/>
        </w:rPr>
        <w:t>符合性分析技术要点（试行）》和《项目环评</w:t>
      </w:r>
      <w:r>
        <w:rPr>
          <w:rFonts w:hint="eastAsia" w:cs="Times New Roman"/>
          <w:color w:val="auto"/>
          <w:highlight w:val="none"/>
        </w:rPr>
        <w:t>“</w:t>
      </w:r>
      <w:r>
        <w:rPr>
          <w:rFonts w:cs="Times New Roman"/>
          <w:color w:val="auto"/>
          <w:highlight w:val="none"/>
        </w:rPr>
        <w:t>三线一单</w:t>
      </w:r>
      <w:r>
        <w:rPr>
          <w:rFonts w:hint="eastAsia" w:cs="Times New Roman"/>
          <w:color w:val="auto"/>
          <w:highlight w:val="none"/>
        </w:rPr>
        <w:t>”</w:t>
      </w:r>
      <w:r>
        <w:rPr>
          <w:rFonts w:cs="Times New Roman"/>
          <w:color w:val="auto"/>
          <w:highlight w:val="none"/>
        </w:rPr>
        <w:t>符合性分析技术要点（试行）》的通知（川环办函〔2021〕469号）和成都市生态环境局关于印发〈成都市生态环境准入清单（2024年版）〉的通知》（成府发〔2024〕3号），以及在四川省政务网的</w:t>
      </w:r>
      <w:r>
        <w:rPr>
          <w:rFonts w:hint="eastAsia" w:cs="Times New Roman"/>
          <w:color w:val="auto"/>
          <w:highlight w:val="none"/>
        </w:rPr>
        <w:t>“</w:t>
      </w:r>
      <w:r>
        <w:rPr>
          <w:rFonts w:cs="Times New Roman"/>
          <w:color w:val="auto"/>
          <w:highlight w:val="none"/>
        </w:rPr>
        <w:t>辅助研判</w:t>
      </w:r>
      <w:r>
        <w:rPr>
          <w:rFonts w:hint="eastAsia" w:cs="Times New Roman"/>
          <w:color w:val="auto"/>
          <w:highlight w:val="none"/>
        </w:rPr>
        <w:t>”</w:t>
      </w:r>
      <w:r>
        <w:rPr>
          <w:rFonts w:cs="Times New Roman"/>
          <w:color w:val="auto"/>
          <w:highlight w:val="none"/>
        </w:rPr>
        <w:t>模块，输入本项目经纬度坐标等信息后，查询得到项目所在的环境管控单元和管控要求，开展本项目与</w:t>
      </w:r>
      <w:r>
        <w:rPr>
          <w:rFonts w:hint="eastAsia" w:cs="Times New Roman"/>
          <w:color w:val="auto"/>
          <w:highlight w:val="none"/>
        </w:rPr>
        <w:t>“</w:t>
      </w:r>
      <w:r>
        <w:rPr>
          <w:rFonts w:cs="Times New Roman"/>
          <w:color w:val="auto"/>
          <w:highlight w:val="none"/>
        </w:rPr>
        <w:t>生态环境分区管控</w:t>
      </w:r>
      <w:r>
        <w:rPr>
          <w:rFonts w:hint="eastAsia" w:cs="Times New Roman"/>
          <w:color w:val="auto"/>
          <w:highlight w:val="none"/>
        </w:rPr>
        <w:t>”</w:t>
      </w:r>
      <w:r>
        <w:rPr>
          <w:rFonts w:cs="Times New Roman"/>
          <w:color w:val="auto"/>
          <w:highlight w:val="none"/>
        </w:rPr>
        <w:t>符合性分析如下。</w:t>
      </w:r>
    </w:p>
    <w:p w14:paraId="261642BF">
      <w:pPr>
        <w:adjustRightInd w:val="0"/>
        <w:ind w:firstLine="480"/>
        <w:rPr>
          <w:rFonts w:cs="Times New Roman"/>
          <w:color w:val="auto"/>
          <w:highlight w:val="none"/>
        </w:rPr>
      </w:pPr>
      <w:r>
        <w:rPr>
          <w:rFonts w:cs="Times New Roman"/>
          <w:color w:val="auto"/>
          <w:highlight w:val="none"/>
        </w:rPr>
        <w:t>根据《四川省生态环境厅办公室关于印发〈产业园区规划环评</w:t>
      </w:r>
      <w:r>
        <w:rPr>
          <w:rFonts w:hint="eastAsia" w:cs="Times New Roman"/>
          <w:color w:val="auto"/>
          <w:highlight w:val="none"/>
        </w:rPr>
        <w:t>“</w:t>
      </w:r>
      <w:r>
        <w:rPr>
          <w:rFonts w:cs="Times New Roman"/>
          <w:color w:val="auto"/>
          <w:highlight w:val="none"/>
        </w:rPr>
        <w:t>三线一单</w:t>
      </w:r>
      <w:r>
        <w:rPr>
          <w:rFonts w:hint="eastAsia" w:cs="Times New Roman"/>
          <w:color w:val="auto"/>
          <w:highlight w:val="none"/>
        </w:rPr>
        <w:t>”</w:t>
      </w:r>
      <w:r>
        <w:rPr>
          <w:rFonts w:cs="Times New Roman"/>
          <w:color w:val="auto"/>
          <w:highlight w:val="none"/>
        </w:rPr>
        <w:t>符合性分析技术要点（试行）〉和〈项目环评</w:t>
      </w:r>
      <w:r>
        <w:rPr>
          <w:rFonts w:hint="eastAsia" w:cs="Times New Roman"/>
          <w:color w:val="auto"/>
          <w:highlight w:val="none"/>
        </w:rPr>
        <w:t>“</w:t>
      </w:r>
      <w:r>
        <w:rPr>
          <w:rFonts w:cs="Times New Roman"/>
          <w:color w:val="auto"/>
          <w:highlight w:val="none"/>
        </w:rPr>
        <w:t>三线一单</w:t>
      </w:r>
      <w:r>
        <w:rPr>
          <w:rFonts w:hint="eastAsia" w:cs="Times New Roman"/>
          <w:color w:val="auto"/>
          <w:highlight w:val="none"/>
        </w:rPr>
        <w:t>”</w:t>
      </w:r>
      <w:r>
        <w:rPr>
          <w:rFonts w:cs="Times New Roman"/>
          <w:color w:val="auto"/>
          <w:highlight w:val="none"/>
        </w:rPr>
        <w:t>〉符合性分析技术要点（试行）的通知》（川环办函〔2021〕469号）要求，查询四川省生态环境厅生态环境分区管控数据分析系统，本项目所在地在四川省</w:t>
      </w:r>
      <w:r>
        <w:rPr>
          <w:rFonts w:hint="eastAsia" w:cs="Times New Roman"/>
          <w:color w:val="auto"/>
          <w:highlight w:val="none"/>
        </w:rPr>
        <w:t>“</w:t>
      </w:r>
      <w:r>
        <w:rPr>
          <w:rFonts w:cs="Times New Roman"/>
          <w:color w:val="auto"/>
          <w:highlight w:val="none"/>
        </w:rPr>
        <w:t>生态环境分区管控</w:t>
      </w:r>
      <w:r>
        <w:rPr>
          <w:rFonts w:hint="eastAsia" w:cs="Times New Roman"/>
          <w:color w:val="auto"/>
          <w:highlight w:val="none"/>
        </w:rPr>
        <w:t>”</w:t>
      </w:r>
      <w:r>
        <w:rPr>
          <w:rFonts w:cs="Times New Roman"/>
          <w:color w:val="auto"/>
          <w:highlight w:val="none"/>
        </w:rPr>
        <w:t>数据分析系统中的位置如下图所示：</w:t>
      </w:r>
    </w:p>
    <w:p w14:paraId="3F0B5721">
      <w:pPr>
        <w:pStyle w:val="58"/>
        <w:adjustRightInd w:val="0"/>
        <w:rPr>
          <w:rFonts w:ascii="Times New Roman" w:hAnsi="Times New Roman"/>
          <w:color w:val="auto"/>
          <w:highlight w:val="none"/>
        </w:rPr>
      </w:pPr>
      <w:r>
        <w:rPr>
          <w:color w:val="auto"/>
          <w:sz w:val="20"/>
          <w:highlight w:val="none"/>
        </w:rPr>
        <mc:AlternateContent>
          <mc:Choice Requires="wps">
            <w:drawing>
              <wp:anchor distT="0" distB="0" distL="114300" distR="114300" simplePos="0" relativeHeight="251663360" behindDoc="0" locked="0" layoutInCell="1" allowOverlap="1">
                <wp:simplePos x="0" y="0"/>
                <wp:positionH relativeFrom="column">
                  <wp:posOffset>2399030</wp:posOffset>
                </wp:positionH>
                <wp:positionV relativeFrom="paragraph">
                  <wp:posOffset>1588135</wp:posOffset>
                </wp:positionV>
                <wp:extent cx="339090" cy="245745"/>
                <wp:effectExtent l="9525" t="8255" r="13335" b="12700"/>
                <wp:wrapNone/>
                <wp:docPr id="19" name="任意多边形 19"/>
                <wp:cNvGraphicFramePr/>
                <a:graphic xmlns:a="http://schemas.openxmlformats.org/drawingml/2006/main">
                  <a:graphicData uri="http://schemas.microsoft.com/office/word/2010/wordprocessingShape">
                    <wps:wsp>
                      <wps:cNvSpPr/>
                      <wps:spPr>
                        <a:xfrm>
                          <a:off x="3190875" y="5116830"/>
                          <a:ext cx="339090" cy="245745"/>
                        </a:xfrm>
                        <a:custGeom>
                          <a:avLst/>
                          <a:gdLst>
                            <a:gd name="connisteX0" fmla="*/ 0 w 615315"/>
                            <a:gd name="connsiteY0" fmla="*/ 320675 h 480695"/>
                            <a:gd name="connisteX1" fmla="*/ 243840 w 615315"/>
                            <a:gd name="connsiteY1" fmla="*/ 0 h 480695"/>
                            <a:gd name="connisteX2" fmla="*/ 615315 w 615315"/>
                            <a:gd name="connsiteY2" fmla="*/ 277495 h 480695"/>
                            <a:gd name="connisteX3" fmla="*/ 446405 w 615315"/>
                            <a:gd name="connsiteY3" fmla="*/ 463550 h 480695"/>
                            <a:gd name="connisteX4" fmla="*/ 345440 w 615315"/>
                            <a:gd name="connsiteY4" fmla="*/ 362585 h 480695"/>
                            <a:gd name="connisteX5" fmla="*/ 269240 w 615315"/>
                            <a:gd name="connsiteY5" fmla="*/ 446405 h 480695"/>
                            <a:gd name="connisteX6" fmla="*/ 243840 w 615315"/>
                            <a:gd name="connsiteY6" fmla="*/ 480695 h 480695"/>
                            <a:gd name="connisteX7" fmla="*/ 0 w 615315"/>
                            <a:gd name="connsiteY7" fmla="*/ 320675 h 4806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615315" h="480695">
                              <a:moveTo>
                                <a:pt x="0" y="320675"/>
                              </a:moveTo>
                              <a:lnTo>
                                <a:pt x="243840" y="0"/>
                              </a:lnTo>
                              <a:lnTo>
                                <a:pt x="615315" y="277495"/>
                              </a:lnTo>
                              <a:lnTo>
                                <a:pt x="446405" y="463550"/>
                              </a:lnTo>
                              <a:lnTo>
                                <a:pt x="345440" y="362585"/>
                              </a:lnTo>
                              <a:lnTo>
                                <a:pt x="269240" y="446405"/>
                              </a:lnTo>
                              <a:lnTo>
                                <a:pt x="243840" y="480695"/>
                              </a:lnTo>
                              <a:lnTo>
                                <a:pt x="0" y="320675"/>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88.9pt;margin-top:125.05pt;height:19.35pt;width:26.7pt;z-index:251663360;mso-width-relative:page;mso-height-relative:page;" filled="f" stroked="t" coordsize="615315,480695" o:gfxdata="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" path="m0,320675l243840,0,615315,277495,446405,463550,345440,362585,269240,446405,243840,480695,0,320675xe">
                <v:path o:connectlocs="0,163938;134376,0;339090,141863;246006,236979;190366,185363;148373,228214;134376,245745;0,163938" o:connectangles="0,0,0,0,0,0,0,0"/>
                <v:fill on="f" focussize="0,0"/>
                <v:stroke weight="1pt" color="#FF0000 [2404]" miterlimit="8" joinstyle="miter"/>
                <v:imagedata o:title=""/>
                <o:lock v:ext="edit" aspectratio="f"/>
              </v:shape>
            </w:pict>
          </mc:Fallback>
        </mc:AlternateContent>
      </w:r>
      <w:r>
        <w:rPr>
          <w:color w:val="auto"/>
          <w:sz w:val="20"/>
          <w:highlight w:val="none"/>
        </w:rPr>
        <mc:AlternateContent>
          <mc:Choice Requires="wps">
            <w:drawing>
              <wp:anchor distT="0" distB="0" distL="114300" distR="114300" simplePos="0" relativeHeight="251660288" behindDoc="0" locked="0" layoutInCell="1" allowOverlap="1">
                <wp:simplePos x="0" y="0"/>
                <wp:positionH relativeFrom="column">
                  <wp:posOffset>2028190</wp:posOffset>
                </wp:positionH>
                <wp:positionV relativeFrom="paragraph">
                  <wp:posOffset>1050925</wp:posOffset>
                </wp:positionV>
                <wp:extent cx="1127760" cy="376555"/>
                <wp:effectExtent l="0" t="0" r="0" b="0"/>
                <wp:wrapNone/>
                <wp:docPr id="20" name="文本框 20"/>
                <wp:cNvGraphicFramePr/>
                <a:graphic xmlns:a="http://schemas.openxmlformats.org/drawingml/2006/main">
                  <a:graphicData uri="http://schemas.microsoft.com/office/word/2010/wordprocessingShape">
                    <wps:wsp>
                      <wps:cNvSpPr txBox="1"/>
                      <wps:spPr>
                        <a:xfrm>
                          <a:off x="4572635" y="4838700"/>
                          <a:ext cx="1127760" cy="376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4D6C1">
                            <w:pPr>
                              <w:spacing w:line="240" w:lineRule="auto"/>
                              <w:ind w:firstLine="0" w:firstLineChars="0"/>
                              <w:jc w:val="center"/>
                              <w:rPr>
                                <w:rFonts w:ascii="仿宋" w:hAnsi="仿宋" w:eastAsia="仿宋" w:cs="仿宋"/>
                                <w:b/>
                                <w:bCs/>
                                <w:color w:val="FF0000"/>
                                <w:szCs w:val="22"/>
                              </w:rPr>
                            </w:pPr>
                            <w:r>
                              <w:rPr>
                                <w:rFonts w:hint="eastAsia" w:ascii="仿宋" w:hAnsi="仿宋" w:eastAsia="仿宋" w:cs="仿宋"/>
                                <w:b/>
                                <w:bCs/>
                                <w:color w:val="FF0000"/>
                                <w:szCs w:val="22"/>
                              </w:rPr>
                              <w:t>本项目所在地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9.7pt;margin-top:82.75pt;height:29.65pt;width:88.8pt;z-index:251660288;mso-width-relative:page;mso-height-relative:page;" filled="f" stroked="f" coordsize="21600,21600" o:gfxdata="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l7FxdwAAAALAQAADwAA&#10;AAAAAAABACAAAAAiAAAAZHJzL2Rvd25yZXYueG1sUEsBAhQAFAAAAAgAh07iQIjAxJNLAgAAggQA&#10;AA4AAAAAAAAAAQAgAAAAKwEAAGRycy9lMm9Eb2MueG1sUEsFBgAAAAAGAAYAWQEAAOgFAAAAAA==&#10;">
                <v:fill on="f" focussize="0,0"/>
                <v:stroke on="f" weight="0.5pt"/>
                <v:imagedata o:title=""/>
                <o:lock v:ext="edit" aspectratio="f"/>
                <v:textbox>
                  <w:txbxContent>
                    <w:p w14:paraId="6124D6C1">
                      <w:pPr>
                        <w:spacing w:line="240" w:lineRule="auto"/>
                        <w:ind w:firstLine="0" w:firstLineChars="0"/>
                        <w:jc w:val="center"/>
                        <w:rPr>
                          <w:rFonts w:ascii="仿宋" w:hAnsi="仿宋" w:eastAsia="仿宋" w:cs="仿宋"/>
                          <w:b/>
                          <w:bCs/>
                          <w:color w:val="FF0000"/>
                          <w:szCs w:val="22"/>
                        </w:rPr>
                      </w:pPr>
                      <w:r>
                        <w:rPr>
                          <w:rFonts w:hint="eastAsia" w:ascii="仿宋" w:hAnsi="仿宋" w:eastAsia="仿宋" w:cs="仿宋"/>
                          <w:b/>
                          <w:bCs/>
                          <w:color w:val="FF0000"/>
                          <w:szCs w:val="22"/>
                        </w:rPr>
                        <w:t>本项目所在地</w:t>
                      </w:r>
                    </w:p>
                  </w:txbxContent>
                </v:textbox>
              </v:shape>
            </w:pict>
          </mc:Fallback>
        </mc:AlternateContent>
      </w:r>
      <w:r>
        <w:rPr>
          <w:color w:val="auto"/>
          <w:highlight w:val="none"/>
        </w:rPr>
        <w:drawing>
          <wp:inline distT="0" distB="0" distL="0" distR="0">
            <wp:extent cx="5080000" cy="2921000"/>
            <wp:effectExtent l="0" t="0" r="6350" b="12700"/>
            <wp:docPr id="2" name="Drawing 0" descr="position-map-1776396532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0" descr="position-map-1776396532186.png"/>
                    <pic:cNvPicPr>
                      <a:picLocks noChangeAspect="1"/>
                    </pic:cNvPicPr>
                  </pic:nvPicPr>
                  <pic:blipFill>
                    <a:blip r:embed="rId16"/>
                    <a:stretch>
                      <a:fillRect/>
                    </a:stretch>
                  </pic:blipFill>
                  <pic:spPr>
                    <a:xfrm>
                      <a:off x="0" y="0"/>
                      <a:ext cx="5080000" cy="2921000"/>
                    </a:xfrm>
                    <a:prstGeom prst="rect">
                      <a:avLst/>
                    </a:prstGeom>
                  </pic:spPr>
                </pic:pic>
              </a:graphicData>
            </a:graphic>
          </wp:inline>
        </w:drawing>
      </w:r>
    </w:p>
    <w:p w14:paraId="311A5A3E">
      <w:pPr>
        <w:pStyle w:val="12"/>
        <w:adjustRightInd w:val="0"/>
        <w:rPr>
          <w:rFonts w:cs="Times New Roman"/>
          <w:color w:val="auto"/>
          <w:highlight w:val="none"/>
        </w:rPr>
      </w:pPr>
      <w:r>
        <w:rPr>
          <w:rFonts w:cs="Times New Roman"/>
          <w:color w:val="auto"/>
          <w:highlight w:val="none"/>
        </w:rPr>
        <w:t xml:space="preserve">图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本项目在四川省生态环境分区管控数据分析系统中的位置</w:t>
      </w:r>
    </w:p>
    <w:p w14:paraId="5B04BA6A">
      <w:pPr>
        <w:adjustRightInd w:val="0"/>
        <w:ind w:firstLine="480"/>
        <w:rPr>
          <w:rFonts w:cs="Times New Roman"/>
          <w:color w:val="auto"/>
          <w:highlight w:val="none"/>
        </w:rPr>
      </w:pPr>
      <w:r>
        <w:rPr>
          <w:rFonts w:cs="Times New Roman"/>
          <w:color w:val="auto"/>
          <w:highlight w:val="none"/>
        </w:rPr>
        <w:t>根据本项目</w:t>
      </w:r>
      <w:r>
        <w:rPr>
          <w:rFonts w:hint="eastAsia" w:cs="Times New Roman"/>
          <w:color w:val="auto"/>
          <w:highlight w:val="none"/>
        </w:rPr>
        <w:t>“</w:t>
      </w:r>
      <w:r>
        <w:rPr>
          <w:rFonts w:cs="Times New Roman"/>
          <w:color w:val="auto"/>
          <w:highlight w:val="none"/>
        </w:rPr>
        <w:t>生态环境分区管控</w:t>
      </w:r>
      <w:r>
        <w:rPr>
          <w:rFonts w:hint="eastAsia" w:cs="Times New Roman"/>
          <w:color w:val="auto"/>
          <w:highlight w:val="none"/>
        </w:rPr>
        <w:t>”</w:t>
      </w:r>
      <w:r>
        <w:rPr>
          <w:rFonts w:cs="Times New Roman"/>
          <w:color w:val="auto"/>
          <w:highlight w:val="none"/>
        </w:rPr>
        <w:t>符合性分析结果，本项目涉及1个环境重点管控单元，如下图所示：</w:t>
      </w:r>
    </w:p>
    <w:p w14:paraId="5F704FB2">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26</w:t>
      </w:r>
      <w:r>
        <w:rPr>
          <w:rFonts w:cs="Times New Roman"/>
          <w:color w:val="auto"/>
          <w:highlight w:val="none"/>
        </w:rPr>
        <w:fldChar w:fldCharType="end"/>
      </w:r>
      <w:r>
        <w:rPr>
          <w:rFonts w:cs="Times New Roman"/>
          <w:color w:val="auto"/>
          <w:highlight w:val="none"/>
        </w:rPr>
        <w:t xml:space="preserve"> 项目涉及管控单元信息表</w:t>
      </w:r>
    </w:p>
    <w:tbl>
      <w:tblPr>
        <w:tblStyle w:val="3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62"/>
        <w:gridCol w:w="2006"/>
        <w:gridCol w:w="1841"/>
        <w:gridCol w:w="1337"/>
        <w:gridCol w:w="2676"/>
      </w:tblGrid>
      <w:tr w14:paraId="08779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662"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2AE3BAC">
            <w:pPr>
              <w:pStyle w:val="37"/>
              <w:adjustRightInd w:val="0"/>
              <w:rPr>
                <w:b/>
                <w:bCs/>
                <w:color w:val="auto"/>
                <w:highlight w:val="none"/>
              </w:rPr>
            </w:pPr>
            <w:r>
              <w:rPr>
                <w:b/>
                <w:bCs/>
                <w:color w:val="auto"/>
                <w:highlight w:val="none"/>
              </w:rPr>
              <w:t>序号</w:t>
            </w:r>
          </w:p>
        </w:tc>
        <w:tc>
          <w:tcPr>
            <w:tcW w:w="2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3437C9">
            <w:pPr>
              <w:pStyle w:val="37"/>
              <w:adjustRightInd w:val="0"/>
              <w:rPr>
                <w:b/>
                <w:bCs/>
                <w:color w:val="auto"/>
                <w:highlight w:val="none"/>
              </w:rPr>
            </w:pPr>
            <w:r>
              <w:rPr>
                <w:b/>
                <w:bCs/>
                <w:color w:val="auto"/>
                <w:highlight w:val="none"/>
              </w:rPr>
              <w:t>涉及环境管控单元名称</w:t>
            </w:r>
          </w:p>
        </w:tc>
        <w:tc>
          <w:tcPr>
            <w:tcW w:w="1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4CEF10">
            <w:pPr>
              <w:pStyle w:val="37"/>
              <w:adjustRightInd w:val="0"/>
              <w:rPr>
                <w:b/>
                <w:bCs/>
                <w:color w:val="auto"/>
                <w:highlight w:val="none"/>
              </w:rPr>
            </w:pPr>
            <w:r>
              <w:rPr>
                <w:b/>
                <w:bCs/>
                <w:color w:val="auto"/>
                <w:highlight w:val="none"/>
              </w:rPr>
              <w:t>涉及环境管控单元编码</w:t>
            </w:r>
          </w:p>
        </w:tc>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7C18E0">
            <w:pPr>
              <w:pStyle w:val="37"/>
              <w:adjustRightInd w:val="0"/>
              <w:rPr>
                <w:b/>
                <w:bCs/>
                <w:color w:val="auto"/>
                <w:highlight w:val="none"/>
              </w:rPr>
            </w:pPr>
            <w:r>
              <w:rPr>
                <w:b/>
                <w:bCs/>
                <w:color w:val="auto"/>
                <w:highlight w:val="none"/>
              </w:rPr>
              <w:t>行政区划</w:t>
            </w:r>
          </w:p>
        </w:tc>
        <w:tc>
          <w:tcPr>
            <w:tcW w:w="2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D2F7C2">
            <w:pPr>
              <w:pStyle w:val="37"/>
              <w:adjustRightInd w:val="0"/>
              <w:rPr>
                <w:b/>
                <w:bCs/>
                <w:color w:val="auto"/>
                <w:highlight w:val="none"/>
              </w:rPr>
            </w:pPr>
            <w:r>
              <w:rPr>
                <w:b/>
                <w:bCs/>
                <w:color w:val="auto"/>
                <w:highlight w:val="none"/>
              </w:rPr>
              <w:t>环境管控单元类型</w:t>
            </w:r>
          </w:p>
        </w:tc>
      </w:tr>
      <w:tr w14:paraId="691388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1BF0F9">
            <w:pPr>
              <w:pStyle w:val="37"/>
              <w:adjustRightInd w:val="0"/>
              <w:rPr>
                <w:color w:val="auto"/>
                <w:highlight w:val="none"/>
              </w:rPr>
            </w:pPr>
            <w:r>
              <w:rPr>
                <w:color w:val="auto"/>
                <w:highlight w:val="none"/>
              </w:rPr>
              <w:t>1</w:t>
            </w:r>
          </w:p>
        </w:tc>
        <w:tc>
          <w:tcPr>
            <w:tcW w:w="200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F86A38">
            <w:pPr>
              <w:pStyle w:val="37"/>
              <w:adjustRightInd w:val="0"/>
              <w:rPr>
                <w:color w:val="auto"/>
                <w:highlight w:val="none"/>
              </w:rPr>
            </w:pPr>
            <w:r>
              <w:rPr>
                <w:color w:val="auto"/>
                <w:highlight w:val="none"/>
              </w:rPr>
              <w:t>四川乐山沙湾经济开发区</w:t>
            </w:r>
          </w:p>
        </w:tc>
        <w:tc>
          <w:tcPr>
            <w:tcW w:w="184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0FBBD7">
            <w:pPr>
              <w:pStyle w:val="37"/>
              <w:adjustRightInd w:val="0"/>
              <w:rPr>
                <w:color w:val="auto"/>
                <w:highlight w:val="none"/>
              </w:rPr>
            </w:pPr>
            <w:r>
              <w:rPr>
                <w:color w:val="auto"/>
                <w:highlight w:val="none"/>
              </w:rPr>
              <w:t>ZH51111120002</w:t>
            </w:r>
          </w:p>
        </w:tc>
        <w:tc>
          <w:tcPr>
            <w:tcW w:w="13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A5E440">
            <w:pPr>
              <w:pStyle w:val="37"/>
              <w:adjustRightInd w:val="0"/>
              <w:rPr>
                <w:color w:val="auto"/>
                <w:highlight w:val="none"/>
              </w:rPr>
            </w:pPr>
            <w:r>
              <w:rPr>
                <w:color w:val="auto"/>
                <w:highlight w:val="none"/>
              </w:rPr>
              <w:t>乐山市沙湾区</w:t>
            </w:r>
          </w:p>
        </w:tc>
        <w:tc>
          <w:tcPr>
            <w:tcW w:w="267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32271E">
            <w:pPr>
              <w:pStyle w:val="37"/>
              <w:adjustRightInd w:val="0"/>
              <w:rPr>
                <w:color w:val="auto"/>
                <w:highlight w:val="none"/>
              </w:rPr>
            </w:pPr>
            <w:r>
              <w:rPr>
                <w:color w:val="auto"/>
                <w:highlight w:val="none"/>
              </w:rPr>
              <w:t>工业重点管控单元</w:t>
            </w:r>
          </w:p>
        </w:tc>
      </w:tr>
    </w:tbl>
    <w:p w14:paraId="2D7252AB">
      <w:pPr>
        <w:adjustRightInd w:val="0"/>
        <w:ind w:firstLine="480"/>
        <w:rPr>
          <w:rFonts w:cs="Times New Roman"/>
          <w:color w:val="auto"/>
          <w:highlight w:val="none"/>
        </w:rPr>
      </w:pPr>
      <w:r>
        <w:rPr>
          <w:rFonts w:cs="Times New Roman"/>
          <w:color w:val="auto"/>
          <w:highlight w:val="none"/>
        </w:rPr>
        <w:t>涉及的环境要素管控分区有6个，分别是：</w:t>
      </w:r>
    </w:p>
    <w:p w14:paraId="15DA3BF2">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27</w:t>
      </w:r>
      <w:r>
        <w:rPr>
          <w:rFonts w:cs="Times New Roman"/>
          <w:color w:val="auto"/>
          <w:highlight w:val="none"/>
        </w:rPr>
        <w:fldChar w:fldCharType="end"/>
      </w:r>
      <w:r>
        <w:rPr>
          <w:rFonts w:cs="Times New Roman"/>
          <w:color w:val="auto"/>
          <w:highlight w:val="none"/>
        </w:rPr>
        <w:t>涉及的环境要素管控分区</w:t>
      </w:r>
    </w:p>
    <w:tbl>
      <w:tblPr>
        <w:tblStyle w:val="32"/>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62"/>
        <w:gridCol w:w="2012"/>
        <w:gridCol w:w="1841"/>
        <w:gridCol w:w="1335"/>
        <w:gridCol w:w="1336"/>
        <w:gridCol w:w="1336"/>
      </w:tblGrid>
      <w:tr w14:paraId="6B11E6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3A73E0">
            <w:pPr>
              <w:pStyle w:val="37"/>
              <w:adjustRightInd w:val="0"/>
              <w:rPr>
                <w:b/>
                <w:bCs/>
                <w:color w:val="auto"/>
                <w:highlight w:val="none"/>
              </w:rPr>
            </w:pPr>
            <w:r>
              <w:rPr>
                <w:b/>
                <w:bCs/>
                <w:color w:val="auto"/>
                <w:highlight w:val="none"/>
              </w:rPr>
              <w:t>序号</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7C44BA">
            <w:pPr>
              <w:pStyle w:val="37"/>
              <w:adjustRightInd w:val="0"/>
              <w:rPr>
                <w:b/>
                <w:bCs/>
                <w:color w:val="auto"/>
                <w:highlight w:val="none"/>
              </w:rPr>
            </w:pPr>
            <w:r>
              <w:rPr>
                <w:b/>
                <w:bCs/>
                <w:color w:val="auto"/>
                <w:highlight w:val="none"/>
              </w:rPr>
              <w:t>涉及环境要素管控分区名称</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6539DB">
            <w:pPr>
              <w:pStyle w:val="37"/>
              <w:adjustRightInd w:val="0"/>
              <w:rPr>
                <w:b/>
                <w:bCs/>
                <w:color w:val="auto"/>
                <w:highlight w:val="none"/>
              </w:rPr>
            </w:pPr>
            <w:r>
              <w:rPr>
                <w:b/>
                <w:bCs/>
                <w:color w:val="auto"/>
                <w:highlight w:val="none"/>
              </w:rPr>
              <w:t>涉及环境要素管控分区编码</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697FCC">
            <w:pPr>
              <w:pStyle w:val="37"/>
              <w:adjustRightInd w:val="0"/>
              <w:rPr>
                <w:b/>
                <w:bCs/>
                <w:color w:val="auto"/>
                <w:highlight w:val="none"/>
              </w:rPr>
            </w:pPr>
            <w:r>
              <w:rPr>
                <w:b/>
                <w:bCs/>
                <w:color w:val="auto"/>
                <w:highlight w:val="none"/>
              </w:rPr>
              <w:t>行政区划</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864B1">
            <w:pPr>
              <w:pStyle w:val="37"/>
              <w:adjustRightInd w:val="0"/>
              <w:rPr>
                <w:b/>
                <w:bCs/>
                <w:color w:val="auto"/>
                <w:highlight w:val="none"/>
              </w:rPr>
            </w:pPr>
            <w:r>
              <w:rPr>
                <w:b/>
                <w:bCs/>
                <w:color w:val="auto"/>
                <w:highlight w:val="none"/>
              </w:rPr>
              <w:t>环境要素类型</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1B9AE4">
            <w:pPr>
              <w:pStyle w:val="37"/>
              <w:adjustRightInd w:val="0"/>
              <w:rPr>
                <w:b/>
                <w:bCs/>
                <w:color w:val="auto"/>
                <w:highlight w:val="none"/>
              </w:rPr>
            </w:pPr>
            <w:r>
              <w:rPr>
                <w:b/>
                <w:bCs/>
                <w:color w:val="auto"/>
                <w:highlight w:val="none"/>
              </w:rPr>
              <w:t>环境要素细类</w:t>
            </w:r>
          </w:p>
        </w:tc>
      </w:tr>
      <w:tr w14:paraId="68F557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E2BFD">
            <w:pPr>
              <w:pStyle w:val="37"/>
              <w:adjustRightInd w:val="0"/>
              <w:rPr>
                <w:color w:val="auto"/>
                <w:highlight w:val="none"/>
              </w:rPr>
            </w:pPr>
            <w:r>
              <w:rPr>
                <w:color w:val="auto"/>
                <w:highlight w:val="none"/>
              </w:rPr>
              <w:t>1</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AA4BF9">
            <w:pPr>
              <w:pStyle w:val="69"/>
              <w:spacing w:before="65" w:after="65"/>
              <w:rPr>
                <w:rFonts w:cs="Times New Roman"/>
                <w:color w:val="auto"/>
                <w:highlight w:val="none"/>
              </w:rPr>
            </w:pPr>
            <w:r>
              <w:rPr>
                <w:rFonts w:cs="Times New Roman"/>
                <w:color w:val="auto"/>
                <w:highlight w:val="none"/>
              </w:rPr>
              <w:t>大渡河-沙湾区-大渡河安谷电站大坝-控制单元</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3158BC">
            <w:pPr>
              <w:pStyle w:val="69"/>
              <w:spacing w:before="65" w:after="65"/>
              <w:rPr>
                <w:rFonts w:cs="Times New Roman"/>
                <w:color w:val="auto"/>
                <w:highlight w:val="none"/>
              </w:rPr>
            </w:pPr>
            <w:r>
              <w:rPr>
                <w:rFonts w:cs="Times New Roman"/>
                <w:color w:val="auto"/>
                <w:highlight w:val="none"/>
              </w:rPr>
              <w:t>YS5111112210001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2616DD">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47EBC9">
            <w:pPr>
              <w:pStyle w:val="69"/>
              <w:spacing w:before="65" w:after="65"/>
              <w:rPr>
                <w:rFonts w:cs="Times New Roman"/>
                <w:color w:val="auto"/>
                <w:highlight w:val="none"/>
              </w:rPr>
            </w:pPr>
            <w:r>
              <w:rPr>
                <w:rFonts w:cs="Times New Roman"/>
                <w:color w:val="auto"/>
                <w:highlight w:val="none"/>
              </w:rPr>
              <w:t>水</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2D4D25">
            <w:pPr>
              <w:pStyle w:val="69"/>
              <w:spacing w:before="65" w:after="65"/>
              <w:rPr>
                <w:rFonts w:cs="Times New Roman"/>
                <w:color w:val="auto"/>
                <w:highlight w:val="none"/>
              </w:rPr>
            </w:pPr>
            <w:r>
              <w:rPr>
                <w:rFonts w:cs="Times New Roman"/>
                <w:color w:val="auto"/>
                <w:highlight w:val="none"/>
              </w:rPr>
              <w:t>水环境工业污染重点管控区</w:t>
            </w:r>
          </w:p>
        </w:tc>
      </w:tr>
      <w:tr w14:paraId="228EB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1ACE3F">
            <w:pPr>
              <w:pStyle w:val="37"/>
              <w:adjustRightInd w:val="0"/>
              <w:rPr>
                <w:color w:val="auto"/>
                <w:highlight w:val="none"/>
              </w:rPr>
            </w:pPr>
            <w:r>
              <w:rPr>
                <w:color w:val="auto"/>
                <w:highlight w:val="none"/>
              </w:rPr>
              <w:t>2</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705E7">
            <w:pPr>
              <w:pStyle w:val="69"/>
              <w:spacing w:before="65" w:after="65"/>
              <w:rPr>
                <w:rFonts w:cs="Times New Roman"/>
                <w:color w:val="auto"/>
                <w:highlight w:val="none"/>
              </w:rPr>
            </w:pPr>
            <w:r>
              <w:rPr>
                <w:rFonts w:cs="Times New Roman"/>
                <w:color w:val="auto"/>
                <w:highlight w:val="none"/>
              </w:rPr>
              <w:t>四川乐山沙湾经济开发区</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5A3F8A">
            <w:pPr>
              <w:pStyle w:val="69"/>
              <w:spacing w:before="65" w:after="65"/>
              <w:rPr>
                <w:rFonts w:cs="Times New Roman"/>
                <w:color w:val="auto"/>
                <w:highlight w:val="none"/>
              </w:rPr>
            </w:pPr>
            <w:r>
              <w:rPr>
                <w:rFonts w:cs="Times New Roman"/>
                <w:color w:val="auto"/>
                <w:highlight w:val="none"/>
              </w:rPr>
              <w:t>YS5111112310001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47C0E">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5806B7">
            <w:pPr>
              <w:pStyle w:val="69"/>
              <w:spacing w:before="65" w:after="65"/>
              <w:rPr>
                <w:rFonts w:cs="Times New Roman"/>
                <w:color w:val="auto"/>
                <w:highlight w:val="none"/>
              </w:rPr>
            </w:pPr>
            <w:r>
              <w:rPr>
                <w:rFonts w:cs="Times New Roman"/>
                <w:color w:val="auto"/>
                <w:highlight w:val="none"/>
              </w:rPr>
              <w:t>大气</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68E51">
            <w:pPr>
              <w:pStyle w:val="69"/>
              <w:spacing w:before="65" w:after="65"/>
              <w:rPr>
                <w:rFonts w:cs="Times New Roman"/>
                <w:color w:val="auto"/>
                <w:highlight w:val="none"/>
              </w:rPr>
            </w:pPr>
            <w:r>
              <w:rPr>
                <w:rFonts w:cs="Times New Roman"/>
                <w:color w:val="auto"/>
                <w:highlight w:val="none"/>
              </w:rPr>
              <w:t>大气环境高排放重点管控区</w:t>
            </w:r>
          </w:p>
        </w:tc>
      </w:tr>
      <w:tr w14:paraId="55E0BD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6BB322">
            <w:pPr>
              <w:pStyle w:val="37"/>
              <w:adjustRightInd w:val="0"/>
              <w:rPr>
                <w:color w:val="auto"/>
                <w:highlight w:val="none"/>
              </w:rPr>
            </w:pPr>
            <w:r>
              <w:rPr>
                <w:color w:val="auto"/>
                <w:highlight w:val="none"/>
              </w:rPr>
              <w:t>3</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C3FB36">
            <w:pPr>
              <w:pStyle w:val="69"/>
              <w:spacing w:before="65" w:after="65"/>
              <w:rPr>
                <w:rFonts w:cs="Times New Roman"/>
                <w:color w:val="auto"/>
                <w:highlight w:val="none"/>
              </w:rPr>
            </w:pPr>
            <w:r>
              <w:rPr>
                <w:rFonts w:cs="Times New Roman"/>
                <w:color w:val="auto"/>
                <w:highlight w:val="none"/>
              </w:rPr>
              <w:t>沙湾区城镇开发边界</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893AFB">
            <w:pPr>
              <w:pStyle w:val="69"/>
              <w:spacing w:before="65" w:after="65"/>
              <w:rPr>
                <w:rFonts w:cs="Times New Roman"/>
                <w:color w:val="auto"/>
                <w:highlight w:val="none"/>
              </w:rPr>
            </w:pPr>
            <w:r>
              <w:rPr>
                <w:rFonts w:cs="Times New Roman"/>
                <w:color w:val="auto"/>
                <w:highlight w:val="none"/>
              </w:rPr>
              <w:t>YS5111112530001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A88C66">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ED708">
            <w:pPr>
              <w:pStyle w:val="69"/>
              <w:spacing w:before="65" w:after="65"/>
              <w:rPr>
                <w:rFonts w:cs="Times New Roman"/>
                <w:color w:val="auto"/>
                <w:highlight w:val="none"/>
              </w:rPr>
            </w:pPr>
            <w:r>
              <w:rPr>
                <w:rFonts w:cs="Times New Roman"/>
                <w:color w:val="auto"/>
                <w:highlight w:val="none"/>
              </w:rPr>
              <w:t>自然资源</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2C2DAA">
            <w:pPr>
              <w:pStyle w:val="69"/>
              <w:spacing w:before="65" w:after="65"/>
              <w:rPr>
                <w:rFonts w:cs="Times New Roman"/>
                <w:color w:val="auto"/>
                <w:highlight w:val="none"/>
              </w:rPr>
            </w:pPr>
            <w:r>
              <w:rPr>
                <w:rFonts w:cs="Times New Roman"/>
                <w:color w:val="auto"/>
                <w:highlight w:val="none"/>
              </w:rPr>
              <w:t>土地资源重点管控区</w:t>
            </w:r>
          </w:p>
        </w:tc>
      </w:tr>
      <w:tr w14:paraId="6E157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CB3E6A">
            <w:pPr>
              <w:pStyle w:val="37"/>
              <w:adjustRightInd w:val="0"/>
              <w:rPr>
                <w:color w:val="auto"/>
                <w:highlight w:val="none"/>
              </w:rPr>
            </w:pPr>
            <w:r>
              <w:rPr>
                <w:color w:val="auto"/>
                <w:highlight w:val="none"/>
              </w:rPr>
              <w:t>4</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6439E">
            <w:pPr>
              <w:pStyle w:val="69"/>
              <w:spacing w:before="65" w:after="65"/>
              <w:rPr>
                <w:rFonts w:cs="Times New Roman"/>
                <w:color w:val="auto"/>
                <w:highlight w:val="none"/>
              </w:rPr>
            </w:pPr>
            <w:r>
              <w:rPr>
                <w:rFonts w:cs="Times New Roman"/>
                <w:color w:val="auto"/>
                <w:highlight w:val="none"/>
              </w:rPr>
              <w:t>沙湾区自然资源重点管控区</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FCFFCE">
            <w:pPr>
              <w:pStyle w:val="69"/>
              <w:spacing w:before="65" w:after="65"/>
              <w:rPr>
                <w:rFonts w:cs="Times New Roman"/>
                <w:color w:val="auto"/>
                <w:highlight w:val="none"/>
              </w:rPr>
            </w:pPr>
            <w:r>
              <w:rPr>
                <w:rFonts w:cs="Times New Roman"/>
                <w:color w:val="auto"/>
                <w:highlight w:val="none"/>
              </w:rPr>
              <w:t>YS5111112550001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E61F9">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3142A9">
            <w:pPr>
              <w:pStyle w:val="69"/>
              <w:spacing w:before="65" w:after="65"/>
              <w:rPr>
                <w:rFonts w:cs="Times New Roman"/>
                <w:color w:val="auto"/>
                <w:highlight w:val="none"/>
              </w:rPr>
            </w:pPr>
            <w:r>
              <w:rPr>
                <w:rFonts w:cs="Times New Roman"/>
                <w:color w:val="auto"/>
                <w:highlight w:val="none"/>
              </w:rPr>
              <w:t>自然资源</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D6FF85">
            <w:pPr>
              <w:pStyle w:val="69"/>
              <w:spacing w:before="65" w:after="65"/>
              <w:rPr>
                <w:rFonts w:cs="Times New Roman"/>
                <w:color w:val="auto"/>
                <w:highlight w:val="none"/>
              </w:rPr>
            </w:pPr>
            <w:r>
              <w:rPr>
                <w:rFonts w:cs="Times New Roman"/>
                <w:color w:val="auto"/>
                <w:highlight w:val="none"/>
              </w:rPr>
              <w:t>自然资源重点管控区</w:t>
            </w:r>
          </w:p>
        </w:tc>
      </w:tr>
      <w:tr w14:paraId="7BFC33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66CEE">
            <w:pPr>
              <w:pStyle w:val="37"/>
              <w:adjustRightInd w:val="0"/>
              <w:rPr>
                <w:color w:val="auto"/>
                <w:highlight w:val="none"/>
              </w:rPr>
            </w:pPr>
            <w:r>
              <w:rPr>
                <w:color w:val="auto"/>
                <w:highlight w:val="none"/>
              </w:rPr>
              <w:t>5</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7DD461">
            <w:pPr>
              <w:pStyle w:val="69"/>
              <w:spacing w:before="65" w:after="65"/>
              <w:rPr>
                <w:rFonts w:cs="Times New Roman"/>
                <w:color w:val="auto"/>
                <w:highlight w:val="none"/>
              </w:rPr>
            </w:pPr>
            <w:r>
              <w:rPr>
                <w:rFonts w:cs="Times New Roman"/>
                <w:color w:val="auto"/>
                <w:highlight w:val="none"/>
              </w:rPr>
              <w:t>减污降碳重点管控区——四川乐山沙湾经济开发区</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4978FC">
            <w:pPr>
              <w:pStyle w:val="69"/>
              <w:spacing w:before="65" w:after="65"/>
              <w:rPr>
                <w:rFonts w:cs="Times New Roman"/>
                <w:color w:val="auto"/>
                <w:highlight w:val="none"/>
              </w:rPr>
            </w:pPr>
            <w:r>
              <w:rPr>
                <w:rFonts w:cs="Times New Roman"/>
                <w:color w:val="auto"/>
                <w:highlight w:val="none"/>
              </w:rPr>
              <w:t>YS5111112590001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B33D2E">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EDB2F">
            <w:pPr>
              <w:pStyle w:val="69"/>
              <w:spacing w:before="65" w:after="65"/>
              <w:rPr>
                <w:rFonts w:cs="Times New Roman"/>
                <w:color w:val="auto"/>
                <w:highlight w:val="none"/>
              </w:rPr>
            </w:pPr>
            <w:r>
              <w:rPr>
                <w:rFonts w:cs="Times New Roman"/>
                <w:color w:val="auto"/>
                <w:highlight w:val="none"/>
              </w:rPr>
              <w:t>减污降碳</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6B933C">
            <w:pPr>
              <w:pStyle w:val="69"/>
              <w:spacing w:before="65" w:after="65"/>
              <w:rPr>
                <w:rFonts w:cs="Times New Roman"/>
                <w:color w:val="auto"/>
                <w:highlight w:val="none"/>
              </w:rPr>
            </w:pPr>
            <w:r>
              <w:rPr>
                <w:rFonts w:cs="Times New Roman"/>
                <w:color w:val="auto"/>
                <w:highlight w:val="none"/>
              </w:rPr>
              <w:t>其他自然资源重点管控区</w:t>
            </w:r>
          </w:p>
        </w:tc>
      </w:tr>
      <w:tr w14:paraId="01235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5817C5">
            <w:pPr>
              <w:pStyle w:val="37"/>
              <w:adjustRightInd w:val="0"/>
              <w:rPr>
                <w:color w:val="auto"/>
                <w:highlight w:val="none"/>
              </w:rPr>
            </w:pPr>
            <w:r>
              <w:rPr>
                <w:color w:val="auto"/>
                <w:highlight w:val="none"/>
              </w:rPr>
              <w:t>6</w:t>
            </w:r>
          </w:p>
        </w:tc>
        <w:tc>
          <w:tcPr>
            <w:tcW w:w="20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4ADD1">
            <w:pPr>
              <w:pStyle w:val="69"/>
              <w:spacing w:before="65" w:after="65"/>
              <w:rPr>
                <w:rFonts w:cs="Times New Roman"/>
                <w:color w:val="auto"/>
                <w:highlight w:val="none"/>
              </w:rPr>
            </w:pPr>
            <w:r>
              <w:rPr>
                <w:rFonts w:cs="Times New Roman"/>
                <w:color w:val="auto"/>
                <w:highlight w:val="none"/>
              </w:rPr>
              <w:t>沙湾区其他区域</w:t>
            </w:r>
          </w:p>
        </w:tc>
        <w:tc>
          <w:tcPr>
            <w:tcW w:w="184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DD0F2E">
            <w:pPr>
              <w:pStyle w:val="69"/>
              <w:spacing w:before="65" w:after="65"/>
              <w:rPr>
                <w:rFonts w:cs="Times New Roman"/>
                <w:color w:val="auto"/>
                <w:highlight w:val="none"/>
              </w:rPr>
            </w:pPr>
            <w:r>
              <w:rPr>
                <w:rFonts w:cs="Times New Roman"/>
                <w:color w:val="auto"/>
                <w:highlight w:val="none"/>
              </w:rPr>
              <w:t>YS5111113110001</w:t>
            </w:r>
          </w:p>
        </w:tc>
        <w:tc>
          <w:tcPr>
            <w:tcW w:w="13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9C330C">
            <w:pPr>
              <w:pStyle w:val="69"/>
              <w:spacing w:before="65" w:after="65"/>
              <w:rPr>
                <w:rFonts w:cs="Times New Roman"/>
                <w:color w:val="auto"/>
                <w:highlight w:val="none"/>
              </w:rPr>
            </w:pPr>
            <w:r>
              <w:rPr>
                <w:rFonts w:cs="Times New Roman"/>
                <w:color w:val="auto"/>
                <w:highlight w:val="none"/>
              </w:rPr>
              <w:t>乐山市沙湾区</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5F3D50">
            <w:pPr>
              <w:pStyle w:val="69"/>
              <w:spacing w:before="65" w:after="65"/>
              <w:rPr>
                <w:rFonts w:cs="Times New Roman"/>
                <w:color w:val="auto"/>
                <w:highlight w:val="none"/>
              </w:rPr>
            </w:pPr>
            <w:r>
              <w:rPr>
                <w:rFonts w:cs="Times New Roman"/>
                <w:color w:val="auto"/>
                <w:highlight w:val="none"/>
              </w:rPr>
              <w:t>生态</w:t>
            </w:r>
          </w:p>
        </w:tc>
        <w:tc>
          <w:tcPr>
            <w:tcW w:w="13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FD38B">
            <w:pPr>
              <w:pStyle w:val="69"/>
              <w:spacing w:before="65" w:after="65"/>
              <w:rPr>
                <w:rFonts w:cs="Times New Roman"/>
                <w:color w:val="auto"/>
                <w:highlight w:val="none"/>
              </w:rPr>
            </w:pPr>
            <w:r>
              <w:rPr>
                <w:rFonts w:cs="Times New Roman"/>
                <w:color w:val="auto"/>
                <w:highlight w:val="none"/>
              </w:rPr>
              <w:t>一般管控区</w:t>
            </w:r>
          </w:p>
        </w:tc>
      </w:tr>
    </w:tbl>
    <w:p w14:paraId="450624F9">
      <w:pPr>
        <w:adjustRightInd w:val="0"/>
        <w:ind w:firstLine="480"/>
        <w:rPr>
          <w:rFonts w:cs="Times New Roman"/>
          <w:color w:val="auto"/>
          <w:highlight w:val="none"/>
        </w:rPr>
        <w:sectPr>
          <w:headerReference r:id="rId13" w:type="default"/>
          <w:footerReference r:id="rId14" w:type="default"/>
          <w:pgSz w:w="11906" w:h="16838"/>
          <w:pgMar w:top="1440" w:right="1800" w:bottom="1440" w:left="1800" w:header="851" w:footer="992" w:gutter="0"/>
          <w:cols w:space="425" w:num="1"/>
          <w:docGrid w:type="lines" w:linePitch="326" w:charSpace="0"/>
        </w:sectPr>
      </w:pPr>
      <w:r>
        <w:rPr>
          <w:rFonts w:cs="Times New Roman"/>
          <w:color w:val="auto"/>
          <w:highlight w:val="none"/>
        </w:rPr>
        <w:t>本项目与</w:t>
      </w:r>
      <w:r>
        <w:rPr>
          <w:rFonts w:hint="eastAsia" w:cs="Times New Roman"/>
          <w:color w:val="auto"/>
          <w:highlight w:val="none"/>
        </w:rPr>
        <w:t>“</w:t>
      </w:r>
      <w:r>
        <w:rPr>
          <w:rFonts w:cs="Times New Roman"/>
          <w:color w:val="auto"/>
          <w:highlight w:val="none"/>
        </w:rPr>
        <w:t>生态环境分区管控</w:t>
      </w:r>
      <w:r>
        <w:rPr>
          <w:rFonts w:hint="eastAsia" w:cs="Times New Roman"/>
          <w:color w:val="auto"/>
          <w:highlight w:val="none"/>
        </w:rPr>
        <w:t>”</w:t>
      </w:r>
      <w:r>
        <w:rPr>
          <w:rFonts w:cs="Times New Roman"/>
          <w:color w:val="auto"/>
          <w:highlight w:val="none"/>
        </w:rPr>
        <w:t>相关要求的符合性分析如下：</w:t>
      </w:r>
    </w:p>
    <w:p w14:paraId="17C53B14">
      <w:pPr>
        <w:adjustRightInd w:val="0"/>
        <w:ind w:firstLine="482"/>
        <w:rPr>
          <w:rFonts w:cs="Times New Roman"/>
          <w:b/>
          <w:bCs/>
          <w:color w:val="auto"/>
          <w:highlight w:val="none"/>
        </w:rPr>
      </w:pPr>
      <w:r>
        <w:rPr>
          <w:rFonts w:cs="Times New Roman"/>
          <w:b/>
          <w:bCs/>
          <w:color w:val="auto"/>
          <w:highlight w:val="none"/>
        </w:rPr>
        <w:t>（一）所属经济区要求</w:t>
      </w:r>
    </w:p>
    <w:p w14:paraId="04782C4F">
      <w:pPr>
        <w:adjustRightInd w:val="0"/>
        <w:ind w:firstLine="480"/>
        <w:rPr>
          <w:rFonts w:cs="Times New Roman"/>
          <w:color w:val="auto"/>
          <w:highlight w:val="none"/>
        </w:rPr>
      </w:pPr>
      <w:r>
        <w:rPr>
          <w:rFonts w:cs="Times New Roman"/>
          <w:color w:val="auto"/>
          <w:highlight w:val="none"/>
        </w:rPr>
        <w:t>本项目与所属经济区要求的符合性分析如下：</w:t>
      </w:r>
    </w:p>
    <w:p w14:paraId="11489577">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28</w:t>
      </w:r>
      <w:r>
        <w:rPr>
          <w:rFonts w:cs="Times New Roman"/>
          <w:color w:val="auto"/>
          <w:highlight w:val="none"/>
        </w:rPr>
        <w:fldChar w:fldCharType="end"/>
      </w:r>
      <w:r>
        <w:rPr>
          <w:rFonts w:cs="Times New Roman"/>
          <w:color w:val="auto"/>
          <w:highlight w:val="none"/>
        </w:rPr>
        <w:t xml:space="preserve"> 本项目与所属经济区要求的符合性分析</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4"/>
        <w:gridCol w:w="1660"/>
        <w:gridCol w:w="4919"/>
        <w:gridCol w:w="5027"/>
        <w:gridCol w:w="1125"/>
      </w:tblGrid>
      <w:tr w14:paraId="6ED6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Align w:val="center"/>
          </w:tcPr>
          <w:p w14:paraId="289AA3A4">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经济区名称</w:t>
            </w:r>
          </w:p>
        </w:tc>
        <w:tc>
          <w:tcPr>
            <w:tcW w:w="586" w:type="pct"/>
            <w:vAlign w:val="center"/>
          </w:tcPr>
          <w:p w14:paraId="4F8480E7">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标题</w:t>
            </w:r>
          </w:p>
        </w:tc>
        <w:tc>
          <w:tcPr>
            <w:tcW w:w="1736" w:type="pct"/>
            <w:vAlign w:val="center"/>
          </w:tcPr>
          <w:p w14:paraId="2951EBD8">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内容</w:t>
            </w:r>
          </w:p>
        </w:tc>
        <w:tc>
          <w:tcPr>
            <w:tcW w:w="1774" w:type="pct"/>
            <w:vAlign w:val="center"/>
          </w:tcPr>
          <w:p w14:paraId="46D193B6">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本项目情况</w:t>
            </w:r>
          </w:p>
        </w:tc>
        <w:tc>
          <w:tcPr>
            <w:tcW w:w="397" w:type="pct"/>
            <w:vAlign w:val="center"/>
          </w:tcPr>
          <w:p w14:paraId="711C8993">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符合性</w:t>
            </w:r>
          </w:p>
        </w:tc>
      </w:tr>
      <w:tr w14:paraId="3A51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restart"/>
            <w:vAlign w:val="center"/>
          </w:tcPr>
          <w:p w14:paraId="4248DE7C">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成都平原经济区</w:t>
            </w:r>
          </w:p>
        </w:tc>
        <w:tc>
          <w:tcPr>
            <w:tcW w:w="586" w:type="pct"/>
            <w:vAlign w:val="center"/>
          </w:tcPr>
          <w:p w14:paraId="008C1D6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区域特点</w:t>
            </w:r>
          </w:p>
        </w:tc>
        <w:tc>
          <w:tcPr>
            <w:tcW w:w="1736" w:type="pct"/>
            <w:vAlign w:val="center"/>
          </w:tcPr>
          <w:p w14:paraId="1A51CB65">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成都、德阳、绵阳、眉山、乐山、资阳、遂宁、雅安8市大部分区域属于国家层面重点开发区，是重点管控单元的集中分布区域。该区域发展定位为全省第一经济增长极。到2025年，区域生产总值目标为3万亿元，人口城镇化率要达到68%，发展与环境承载压力最为突出。</w:t>
            </w:r>
          </w:p>
        </w:tc>
        <w:tc>
          <w:tcPr>
            <w:tcW w:w="1774" w:type="pct"/>
            <w:vAlign w:val="center"/>
          </w:tcPr>
          <w:p w14:paraId="4EF4B1A4">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本项目位于乐山</w:t>
            </w:r>
          </w:p>
        </w:tc>
        <w:tc>
          <w:tcPr>
            <w:tcW w:w="397" w:type="pct"/>
            <w:vAlign w:val="center"/>
          </w:tcPr>
          <w:p w14:paraId="1C4FBEA7">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39856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vAlign w:val="center"/>
          </w:tcPr>
          <w:p w14:paraId="706CD8C5">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86" w:type="pct"/>
            <w:vAlign w:val="center"/>
          </w:tcPr>
          <w:p w14:paraId="1AC4F634">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发展定位与目标</w:t>
            </w:r>
          </w:p>
        </w:tc>
        <w:tc>
          <w:tcPr>
            <w:tcW w:w="1736" w:type="pct"/>
            <w:vAlign w:val="center"/>
          </w:tcPr>
          <w:p w14:paraId="1125ED74">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创新改革试验的先导区、现代高端产业的集聚区、西部内陆开放的前沿区、区域协同发展的样板区以及全面建成小康社会的先行区。重点发展电子信息、装备制造、先进材料、食品饮料产业和数字经济，建设全国重要的先进制造业基地，打造世界级新一代信息技术、高端装备制造产业集群和国内领先的集成电路、新型显示、航空航天、轨道交通、汽车、生物医药、新型材料等产业集群。</w:t>
            </w:r>
          </w:p>
        </w:tc>
        <w:tc>
          <w:tcPr>
            <w:tcW w:w="1774" w:type="pct"/>
            <w:vAlign w:val="center"/>
          </w:tcPr>
          <w:p w14:paraId="77133655">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本项目浮选得到的锂精矿提供给下游锂材料加工企业，生产过程中产生的尾矿交</w:t>
            </w:r>
            <w:r>
              <w:rPr>
                <w:rFonts w:hint="eastAsia" w:cs="Times New Roman"/>
                <w:color w:val="auto"/>
                <w:sz w:val="21"/>
                <w:szCs w:val="22"/>
                <w:highlight w:val="none"/>
              </w:rPr>
              <w:t>由</w:t>
            </w:r>
            <w:r>
              <w:rPr>
                <w:rFonts w:cs="Times New Roman"/>
                <w:color w:val="auto"/>
                <w:sz w:val="21"/>
                <w:szCs w:val="22"/>
                <w:highlight w:val="none"/>
              </w:rPr>
              <w:t>下游新型建材企业综合利用，本项目的建设对于建设全国重要的先进制造业基地</w:t>
            </w:r>
            <w:r>
              <w:rPr>
                <w:rFonts w:hint="eastAsia" w:cs="Times New Roman"/>
                <w:color w:val="auto"/>
                <w:sz w:val="21"/>
                <w:szCs w:val="22"/>
                <w:highlight w:val="none"/>
              </w:rPr>
              <w:t>有</w:t>
            </w:r>
            <w:r>
              <w:rPr>
                <w:rFonts w:cs="Times New Roman"/>
                <w:color w:val="auto"/>
                <w:sz w:val="21"/>
                <w:szCs w:val="22"/>
                <w:highlight w:val="none"/>
              </w:rPr>
              <w:t>促进作用。</w:t>
            </w:r>
          </w:p>
        </w:tc>
        <w:tc>
          <w:tcPr>
            <w:tcW w:w="397" w:type="pct"/>
            <w:vAlign w:val="center"/>
          </w:tcPr>
          <w:p w14:paraId="371847C0">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0192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vAlign w:val="center"/>
          </w:tcPr>
          <w:p w14:paraId="4DE9B971">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86" w:type="pct"/>
            <w:vAlign w:val="center"/>
          </w:tcPr>
          <w:p w14:paraId="1A7C0097">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区域突出生态环境问题</w:t>
            </w:r>
          </w:p>
        </w:tc>
        <w:tc>
          <w:tcPr>
            <w:tcW w:w="1736" w:type="pct"/>
            <w:vAlign w:val="center"/>
          </w:tcPr>
          <w:p w14:paraId="222F60D9">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1、水资源时空分布不均，用水排水矛盾突出，岷江流域单位面积水污染排放量高，氮磷污染并重，结构性污染短期内难以彻底解决，水质改善压力大。</w:t>
            </w:r>
          </w:p>
          <w:p w14:paraId="0EA31CF5">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2、区域城市开发活动集中，发展与环境资源承载矛盾突出，属深盆地形，扩散条件差，冬季灰霾污染严重，夏季臭氧污染问题凸显，环境空气质量改善压力大。</w:t>
            </w:r>
          </w:p>
          <w:p w14:paraId="229A985B">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3、长江主要支流岷江流域沿江、临城产业聚集，流域性、区域性环境风险形势严峻，重金属、持久性有机物、危险废物和危险化学品等累积性环境风险隐患较大。</w:t>
            </w:r>
          </w:p>
        </w:tc>
        <w:tc>
          <w:tcPr>
            <w:tcW w:w="1774" w:type="pct"/>
            <w:vAlign w:val="center"/>
          </w:tcPr>
          <w:p w14:paraId="1FD39B20">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1、本项目</w:t>
            </w:r>
            <w:r>
              <w:rPr>
                <w:rFonts w:hint="eastAsia" w:cs="Times New Roman"/>
                <w:color w:val="auto"/>
                <w:sz w:val="21"/>
                <w:szCs w:val="22"/>
                <w:highlight w:val="none"/>
              </w:rPr>
              <w:t>生活污水（含食堂废水）：食堂废水经隔油池（1m</w:t>
            </w:r>
            <w:r>
              <w:rPr>
                <w:rFonts w:hint="eastAsia" w:cs="Times New Roman"/>
                <w:color w:val="auto"/>
                <w:sz w:val="21"/>
                <w:szCs w:val="22"/>
                <w:highlight w:val="none"/>
                <w:vertAlign w:val="superscript"/>
              </w:rPr>
              <w:t>3</w:t>
            </w:r>
            <w:r>
              <w:rPr>
                <w:rFonts w:hint="eastAsia" w:cs="Times New Roman"/>
                <w:color w:val="auto"/>
                <w:sz w:val="21"/>
                <w:szCs w:val="22"/>
                <w:highlight w:val="none"/>
              </w:rPr>
              <w:t>）处理后与生活污水一同</w:t>
            </w:r>
            <w:r>
              <w:rPr>
                <w:rFonts w:cs="Times New Roman"/>
                <w:color w:val="auto"/>
                <w:sz w:val="21"/>
                <w:szCs w:val="22"/>
                <w:highlight w:val="none"/>
              </w:rPr>
              <w:t>经</w:t>
            </w:r>
            <w:r>
              <w:rPr>
                <w:rFonts w:hint="eastAsia" w:cs="Times New Roman"/>
                <w:color w:val="auto"/>
                <w:sz w:val="21"/>
                <w:szCs w:val="22"/>
                <w:highlight w:val="none"/>
              </w:rPr>
              <w:t>依托的乐山市沙湾区豪沐科技有限公司</w:t>
            </w:r>
            <w:r>
              <w:rPr>
                <w:rFonts w:cs="Times New Roman"/>
                <w:color w:val="auto"/>
                <w:sz w:val="21"/>
                <w:szCs w:val="22"/>
                <w:highlight w:val="none"/>
              </w:rPr>
              <w:t>预处理池（</w:t>
            </w:r>
            <w:r>
              <w:rPr>
                <w:rFonts w:hint="eastAsia" w:cs="Times New Roman"/>
                <w:color w:val="auto"/>
                <w:sz w:val="21"/>
                <w:szCs w:val="22"/>
                <w:highlight w:val="none"/>
              </w:rPr>
              <w:t>2</w:t>
            </w:r>
            <w:r>
              <w:rPr>
                <w:rFonts w:cs="Times New Roman"/>
                <w:color w:val="auto"/>
                <w:sz w:val="21"/>
                <w:szCs w:val="22"/>
                <w:highlight w:val="none"/>
              </w:rPr>
              <w:t>0m</w:t>
            </w:r>
            <w:r>
              <w:rPr>
                <w:rFonts w:cs="Times New Roman"/>
                <w:color w:val="auto"/>
                <w:sz w:val="21"/>
                <w:szCs w:val="22"/>
                <w:highlight w:val="none"/>
                <w:vertAlign w:val="superscript"/>
              </w:rPr>
              <w:t>3</w:t>
            </w:r>
            <w:r>
              <w:rPr>
                <w:rFonts w:cs="Times New Roman"/>
                <w:color w:val="auto"/>
                <w:sz w:val="21"/>
                <w:szCs w:val="22"/>
                <w:highlight w:val="none"/>
              </w:rPr>
              <w:t>）处理后经园区污水管网排入乐山沙湾经济开发区污水处理厂进一步处理达标后外排大渡河；生产废水（选矿废水、车辆冲洗废水）循环使用，不外排；初期雨水经</w:t>
            </w:r>
            <w:r>
              <w:rPr>
                <w:rFonts w:hint="eastAsia" w:cs="Times New Roman"/>
                <w:color w:val="auto"/>
                <w:sz w:val="21"/>
                <w:szCs w:val="22"/>
                <w:highlight w:val="none"/>
              </w:rPr>
              <w:t>依托的乐山市沙湾区豪沐科技有限公司</w:t>
            </w:r>
            <w:r>
              <w:rPr>
                <w:rFonts w:cs="Times New Roman"/>
                <w:color w:val="auto"/>
                <w:sz w:val="21"/>
                <w:szCs w:val="22"/>
                <w:highlight w:val="none"/>
              </w:rPr>
              <w:t>初期雨水池（600m</w:t>
            </w:r>
            <w:r>
              <w:rPr>
                <w:rFonts w:cs="Times New Roman"/>
                <w:color w:val="auto"/>
                <w:sz w:val="21"/>
                <w:szCs w:val="22"/>
                <w:highlight w:val="none"/>
                <w:vertAlign w:val="superscript"/>
              </w:rPr>
              <w:t>3</w:t>
            </w:r>
            <w:r>
              <w:rPr>
                <w:rFonts w:cs="Times New Roman"/>
                <w:color w:val="auto"/>
                <w:sz w:val="21"/>
                <w:szCs w:val="22"/>
                <w:highlight w:val="none"/>
              </w:rPr>
              <w:t>）沉淀处理后回用于生产补水或厂区洒水降尘，不外排。</w:t>
            </w:r>
          </w:p>
          <w:p w14:paraId="13F2D9B8">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2、本项目给料、破碎粉尘经收集后统一经1套袋式除尘装置（TA001）处理后经一根15m排气筒（DA001）处理后达标外排</w:t>
            </w:r>
            <w:r>
              <w:rPr>
                <w:rFonts w:hint="eastAsia" w:cs="Times New Roman"/>
                <w:color w:val="auto"/>
                <w:sz w:val="21"/>
                <w:szCs w:val="22"/>
                <w:highlight w:val="none"/>
              </w:rPr>
              <w:t>，</w:t>
            </w:r>
            <w:r>
              <w:rPr>
                <w:rFonts w:cs="Times New Roman"/>
                <w:color w:val="auto"/>
                <w:sz w:val="21"/>
                <w:szCs w:val="22"/>
                <w:highlight w:val="none"/>
              </w:rPr>
              <w:t>筛分废气经收集后统一经1套袋式除尘装置（TA002）处理后经一根15m排气筒（DA001，共用）处理后达标外排。</w:t>
            </w:r>
            <w:r>
              <w:rPr>
                <w:rFonts w:hint="eastAsia" w:cs="Times New Roman"/>
                <w:color w:val="auto"/>
                <w:sz w:val="21"/>
                <w:szCs w:val="22"/>
                <w:highlight w:val="none"/>
              </w:rPr>
              <w:t>原矿仓库、粉矿仓库、精矿仓库、尾矿仓库设置为封闭厂房，在原矿仓库上方设置喷雾降尘装置进行喷雾除尘，粉矿仓库、精矿仓库、尾矿仓库采取雾炮机进行喷雾除尘</w:t>
            </w:r>
            <w:r>
              <w:rPr>
                <w:rFonts w:cs="Times New Roman"/>
                <w:color w:val="auto"/>
                <w:sz w:val="21"/>
                <w:szCs w:val="22"/>
                <w:highlight w:val="none"/>
              </w:rPr>
              <w:t>；本项目设置1个洗车区（面积约</w:t>
            </w:r>
            <w:r>
              <w:rPr>
                <w:rFonts w:hint="eastAsia" w:cs="Times New Roman"/>
                <w:color w:val="auto"/>
                <w:sz w:val="21"/>
                <w:szCs w:val="22"/>
                <w:highlight w:val="none"/>
              </w:rPr>
              <w:t>1</w:t>
            </w:r>
            <w:r>
              <w:rPr>
                <w:rFonts w:cs="Times New Roman"/>
                <w:color w:val="auto"/>
                <w:sz w:val="21"/>
                <w:szCs w:val="22"/>
                <w:highlight w:val="none"/>
              </w:rPr>
              <w:t>0m</w:t>
            </w:r>
            <w:r>
              <w:rPr>
                <w:rFonts w:cs="Times New Roman"/>
                <w:color w:val="auto"/>
                <w:sz w:val="21"/>
                <w:szCs w:val="22"/>
                <w:highlight w:val="none"/>
                <w:vertAlign w:val="superscript"/>
              </w:rPr>
              <w:t>2</w:t>
            </w:r>
            <w:r>
              <w:rPr>
                <w:rFonts w:cs="Times New Roman"/>
                <w:color w:val="auto"/>
                <w:sz w:val="21"/>
                <w:szCs w:val="22"/>
                <w:highlight w:val="none"/>
              </w:rPr>
              <w:t>）、运输车辆车轮清洗，降低车速，定期洒水降尘，加盖</w:t>
            </w:r>
            <w:r>
              <w:rPr>
                <w:rFonts w:hint="eastAsia" w:cs="Times New Roman"/>
                <w:color w:val="auto"/>
                <w:sz w:val="21"/>
                <w:szCs w:val="22"/>
                <w:highlight w:val="none"/>
              </w:rPr>
              <w:t>篷布</w:t>
            </w:r>
            <w:r>
              <w:rPr>
                <w:rFonts w:cs="Times New Roman"/>
                <w:color w:val="auto"/>
                <w:sz w:val="21"/>
                <w:szCs w:val="22"/>
                <w:highlight w:val="none"/>
              </w:rPr>
              <w:t>，密闭运输；全厂运输皮带均采取封闭措施</w:t>
            </w:r>
            <w:r>
              <w:rPr>
                <w:rFonts w:hint="eastAsia" w:cs="Times New Roman"/>
                <w:color w:val="auto"/>
                <w:sz w:val="21"/>
                <w:szCs w:val="22"/>
                <w:highlight w:val="none"/>
              </w:rPr>
              <w:t>；厂区围墙、主要运输道路两侧加装喷雾装置</w:t>
            </w:r>
            <w:r>
              <w:rPr>
                <w:rFonts w:cs="Times New Roman"/>
                <w:color w:val="auto"/>
                <w:sz w:val="21"/>
                <w:szCs w:val="22"/>
                <w:highlight w:val="none"/>
              </w:rPr>
              <w:t>。</w:t>
            </w:r>
            <w:r>
              <w:rPr>
                <w:rFonts w:hint="eastAsia" w:cs="Times New Roman"/>
                <w:color w:val="auto"/>
                <w:sz w:val="21"/>
                <w:szCs w:val="22"/>
                <w:highlight w:val="none"/>
              </w:rPr>
              <w:t>食堂油烟通过设置一套效率不低于75%的油烟收集净化系统收集治理后通过专用烟道引至楼顶达标排放。</w:t>
            </w:r>
          </w:p>
          <w:p w14:paraId="66971912">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3、根据本项目原矿检测报告，本项目原矿中国家管控的重金属铅、汞、镉、铬、砷、铊、锑均未检出；本项目危险废物暂存于</w:t>
            </w:r>
            <w:r>
              <w:rPr>
                <w:rFonts w:hint="eastAsia" w:cs="Times New Roman"/>
                <w:color w:val="auto"/>
                <w:sz w:val="21"/>
                <w:szCs w:val="22"/>
                <w:highlight w:val="none"/>
              </w:rPr>
              <w:t>危废暂存间</w:t>
            </w:r>
            <w:r>
              <w:rPr>
                <w:rFonts w:cs="Times New Roman"/>
                <w:color w:val="auto"/>
                <w:sz w:val="21"/>
                <w:szCs w:val="22"/>
                <w:highlight w:val="none"/>
              </w:rPr>
              <w:t>，危险化学品（氢氧化钠）暂存于药剂库，</w:t>
            </w:r>
            <w:r>
              <w:rPr>
                <w:rFonts w:hint="eastAsia" w:cs="Times New Roman"/>
                <w:color w:val="auto"/>
                <w:sz w:val="21"/>
                <w:szCs w:val="22"/>
                <w:highlight w:val="none"/>
              </w:rPr>
              <w:t>危废暂存间</w:t>
            </w:r>
            <w:r>
              <w:rPr>
                <w:rFonts w:cs="Times New Roman"/>
                <w:color w:val="auto"/>
                <w:sz w:val="21"/>
                <w:szCs w:val="22"/>
                <w:highlight w:val="none"/>
              </w:rPr>
              <w:t>和药剂库均采取重点防渗，能有效降低环境风险。</w:t>
            </w:r>
          </w:p>
        </w:tc>
        <w:tc>
          <w:tcPr>
            <w:tcW w:w="397" w:type="pct"/>
            <w:vAlign w:val="center"/>
          </w:tcPr>
          <w:p w14:paraId="4DA9AE57">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4D73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6" w:type="pct"/>
            <w:vMerge w:val="continue"/>
            <w:vAlign w:val="center"/>
          </w:tcPr>
          <w:p w14:paraId="5E1D6E1E">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86" w:type="pct"/>
            <w:vAlign w:val="center"/>
          </w:tcPr>
          <w:p w14:paraId="2A165D93">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总体管控要求</w:t>
            </w:r>
          </w:p>
        </w:tc>
        <w:tc>
          <w:tcPr>
            <w:tcW w:w="1736" w:type="pct"/>
            <w:vAlign w:val="center"/>
          </w:tcPr>
          <w:p w14:paraId="3710AC31">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1、针对突出生态环境问题，大力优化调整产业结构；</w:t>
            </w:r>
          </w:p>
          <w:p w14:paraId="15AA9AD6">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2、实施最严格的环境准入要求；</w:t>
            </w:r>
          </w:p>
          <w:p w14:paraId="4D02BEB6">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3、加快GDP贡献小、污染排放强度大的产业如建材、家具 等产业替代升级，结构优化；</w:t>
            </w:r>
          </w:p>
          <w:p w14:paraId="7D5B2414">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4、对重点发展的电子信息、装备制造、先进材料、食品饮料、生物医药等产业提出最严格的环境准入门槛；</w:t>
            </w:r>
          </w:p>
          <w:p w14:paraId="2C841CE9">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5、岷沱江流域执行岷沱江污染物排放标准；</w:t>
            </w:r>
          </w:p>
          <w:p w14:paraId="6355E40B">
            <w:pPr>
              <w:adjustRightInd w:val="0"/>
              <w:spacing w:before="65" w:beforeLines="20" w:after="65" w:afterLines="20" w:line="240" w:lineRule="auto"/>
              <w:ind w:firstLine="0" w:firstLineChars="0"/>
              <w:rPr>
                <w:rFonts w:cs="Times New Roman"/>
                <w:color w:val="auto"/>
                <w:sz w:val="21"/>
                <w:szCs w:val="22"/>
                <w:highlight w:val="none"/>
              </w:rPr>
            </w:pPr>
            <w:r>
              <w:rPr>
                <w:rFonts w:cs="Times New Roman"/>
                <w:color w:val="auto"/>
                <w:sz w:val="21"/>
                <w:szCs w:val="22"/>
                <w:highlight w:val="none"/>
              </w:rPr>
              <w:t>6、优化涉危涉化产业布局，严控环境风险，保障人居安全。</w:t>
            </w:r>
          </w:p>
        </w:tc>
        <w:tc>
          <w:tcPr>
            <w:tcW w:w="1774" w:type="pct"/>
            <w:vAlign w:val="center"/>
          </w:tcPr>
          <w:p w14:paraId="711A6C2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本项目符合环境准入要求，本项目不属于建材、家具、电子信息、装备制造、先进材料、食品饮料、生物医药行业。本项目危险废物暂存于</w:t>
            </w:r>
            <w:r>
              <w:rPr>
                <w:rFonts w:hint="eastAsia" w:cs="Times New Roman"/>
                <w:color w:val="auto"/>
                <w:sz w:val="21"/>
                <w:szCs w:val="22"/>
                <w:highlight w:val="none"/>
              </w:rPr>
              <w:t>危废暂存间</w:t>
            </w:r>
            <w:r>
              <w:rPr>
                <w:rFonts w:cs="Times New Roman"/>
                <w:color w:val="auto"/>
                <w:sz w:val="21"/>
                <w:szCs w:val="22"/>
                <w:highlight w:val="none"/>
              </w:rPr>
              <w:t>，危险化学品（氢氧化钠）暂存于药剂库，</w:t>
            </w:r>
            <w:r>
              <w:rPr>
                <w:rFonts w:hint="eastAsia" w:cs="Times New Roman"/>
                <w:color w:val="auto"/>
                <w:sz w:val="21"/>
                <w:szCs w:val="22"/>
                <w:highlight w:val="none"/>
              </w:rPr>
              <w:t>危废暂存间</w:t>
            </w:r>
            <w:r>
              <w:rPr>
                <w:rFonts w:cs="Times New Roman"/>
                <w:color w:val="auto"/>
                <w:sz w:val="21"/>
                <w:szCs w:val="22"/>
                <w:highlight w:val="none"/>
              </w:rPr>
              <w:t>和药剂库均采取重点防渗，能有效降低环境风险。</w:t>
            </w:r>
          </w:p>
        </w:tc>
        <w:tc>
          <w:tcPr>
            <w:tcW w:w="397" w:type="pct"/>
            <w:vAlign w:val="center"/>
          </w:tcPr>
          <w:p w14:paraId="1DB54063">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bl>
    <w:p w14:paraId="6E76C08C">
      <w:pPr>
        <w:adjustRightInd w:val="0"/>
        <w:ind w:firstLine="480"/>
        <w:rPr>
          <w:rFonts w:cs="Times New Roman"/>
          <w:color w:val="auto"/>
          <w:highlight w:val="none"/>
        </w:rPr>
      </w:pPr>
      <w:r>
        <w:rPr>
          <w:rFonts w:cs="Times New Roman"/>
          <w:color w:val="auto"/>
          <w:highlight w:val="none"/>
        </w:rPr>
        <w:t>（二）生态环境准入清单</w:t>
      </w:r>
    </w:p>
    <w:p w14:paraId="5CC5AF39">
      <w:pPr>
        <w:adjustRightInd w:val="0"/>
        <w:ind w:firstLine="480"/>
        <w:rPr>
          <w:rFonts w:cs="Times New Roman"/>
          <w:color w:val="auto"/>
          <w:highlight w:val="none"/>
        </w:rPr>
      </w:pPr>
      <w:r>
        <w:rPr>
          <w:rFonts w:cs="Times New Roman"/>
          <w:color w:val="auto"/>
          <w:highlight w:val="none"/>
        </w:rPr>
        <w:t>1、乐山市</w:t>
      </w:r>
    </w:p>
    <w:p w14:paraId="26DFFAFF">
      <w:pPr>
        <w:adjustRightInd w:val="0"/>
        <w:ind w:firstLine="480"/>
        <w:rPr>
          <w:rFonts w:cs="Times New Roman"/>
          <w:color w:val="auto"/>
          <w:highlight w:val="none"/>
        </w:rPr>
      </w:pPr>
      <w:r>
        <w:rPr>
          <w:rFonts w:cs="Times New Roman"/>
          <w:color w:val="auto"/>
          <w:highlight w:val="none"/>
        </w:rPr>
        <w:t>1.1 市（州）普适性管控要求</w:t>
      </w:r>
    </w:p>
    <w:p w14:paraId="79ACC19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29</w:t>
      </w:r>
      <w:r>
        <w:rPr>
          <w:rFonts w:cs="Times New Roman"/>
          <w:color w:val="auto"/>
          <w:highlight w:val="none"/>
        </w:rPr>
        <w:fldChar w:fldCharType="end"/>
      </w:r>
      <w:r>
        <w:rPr>
          <w:rFonts w:cs="Times New Roman"/>
          <w:color w:val="auto"/>
          <w:highlight w:val="none"/>
        </w:rPr>
        <w:t>市（州）普适性管控要求</w:t>
      </w:r>
    </w:p>
    <w:tbl>
      <w:tblPr>
        <w:tblStyle w:val="31"/>
        <w:tblW w:w="4994"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246"/>
        <w:gridCol w:w="1408"/>
        <w:gridCol w:w="1226"/>
        <w:gridCol w:w="1305"/>
        <w:gridCol w:w="4210"/>
        <w:gridCol w:w="4213"/>
        <w:gridCol w:w="1353"/>
      </w:tblGrid>
      <w:tr w14:paraId="0FE41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8" w:type="pct"/>
            <w:tcBorders>
              <w:top w:val="single" w:color="000000" w:sz="2" w:space="0"/>
              <w:left w:val="single" w:color="000000" w:sz="2" w:space="0"/>
              <w:bottom w:val="single" w:color="000000" w:sz="2" w:space="0"/>
              <w:right w:val="single" w:color="000000" w:sz="2" w:space="0"/>
            </w:tcBorders>
            <w:vAlign w:val="center"/>
          </w:tcPr>
          <w:p w14:paraId="738B4CC3">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市州</w:t>
            </w:r>
          </w:p>
        </w:tc>
        <w:tc>
          <w:tcPr>
            <w:tcW w:w="504" w:type="pct"/>
            <w:tcBorders>
              <w:top w:val="single" w:color="000000" w:sz="2" w:space="0"/>
              <w:left w:val="single" w:color="000000" w:sz="2" w:space="0"/>
              <w:bottom w:val="single" w:color="000000" w:sz="2" w:space="0"/>
              <w:right w:val="single" w:color="000000" w:sz="2" w:space="0"/>
            </w:tcBorders>
            <w:vAlign w:val="center"/>
          </w:tcPr>
          <w:p w14:paraId="420CDABD">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涉及县区</w:t>
            </w:r>
          </w:p>
        </w:tc>
        <w:tc>
          <w:tcPr>
            <w:tcW w:w="439" w:type="pct"/>
            <w:tcBorders>
              <w:top w:val="single" w:color="000000" w:sz="2" w:space="0"/>
              <w:left w:val="single" w:color="000000" w:sz="2" w:space="0"/>
              <w:bottom w:val="single" w:color="000000" w:sz="2" w:space="0"/>
              <w:right w:val="single" w:color="000000" w:sz="2" w:space="0"/>
            </w:tcBorders>
            <w:vAlign w:val="center"/>
          </w:tcPr>
          <w:p w14:paraId="02304EEB">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区域名称</w:t>
            </w:r>
          </w:p>
        </w:tc>
        <w:tc>
          <w:tcPr>
            <w:tcW w:w="467" w:type="pct"/>
            <w:tcBorders>
              <w:top w:val="single" w:color="000000" w:sz="2" w:space="0"/>
              <w:left w:val="single" w:color="000000" w:sz="2" w:space="0"/>
              <w:bottom w:val="single" w:color="000000" w:sz="2" w:space="0"/>
              <w:right w:val="single" w:color="000000" w:sz="2" w:space="0"/>
            </w:tcBorders>
            <w:vAlign w:val="center"/>
          </w:tcPr>
          <w:p w14:paraId="12504113">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管控类别</w:t>
            </w:r>
          </w:p>
        </w:tc>
        <w:tc>
          <w:tcPr>
            <w:tcW w:w="1507" w:type="pct"/>
            <w:tcBorders>
              <w:top w:val="single" w:color="000000" w:sz="2" w:space="0"/>
              <w:left w:val="single" w:color="000000" w:sz="2" w:space="0"/>
              <w:bottom w:val="single" w:color="000000" w:sz="2" w:space="0"/>
              <w:right w:val="single" w:color="000000" w:sz="2" w:space="0"/>
            </w:tcBorders>
            <w:vAlign w:val="center"/>
          </w:tcPr>
          <w:p w14:paraId="2BDD361F">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管控要求</w:t>
            </w:r>
          </w:p>
        </w:tc>
        <w:tc>
          <w:tcPr>
            <w:tcW w:w="1508" w:type="pct"/>
            <w:tcBorders>
              <w:top w:val="single" w:color="000000" w:sz="2" w:space="0"/>
              <w:left w:val="single" w:color="000000" w:sz="2" w:space="0"/>
              <w:bottom w:val="single" w:color="000000" w:sz="2" w:space="0"/>
              <w:right w:val="single" w:color="000000" w:sz="2" w:space="0"/>
            </w:tcBorders>
            <w:vAlign w:val="center"/>
          </w:tcPr>
          <w:p w14:paraId="607200ED">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本项目情况</w:t>
            </w:r>
          </w:p>
        </w:tc>
        <w:tc>
          <w:tcPr>
            <w:tcW w:w="484" w:type="pct"/>
            <w:tcBorders>
              <w:top w:val="single" w:color="000000" w:sz="2" w:space="0"/>
              <w:left w:val="single" w:color="000000" w:sz="2" w:space="0"/>
              <w:bottom w:val="single" w:color="000000" w:sz="2" w:space="0"/>
              <w:right w:val="single" w:color="000000" w:sz="2" w:space="0"/>
            </w:tcBorders>
            <w:vAlign w:val="center"/>
          </w:tcPr>
          <w:p w14:paraId="109A70BF">
            <w:pPr>
              <w:adjustRightInd w:val="0"/>
              <w:spacing w:before="65" w:beforeLines="20" w:after="65" w:afterLines="20" w:line="240" w:lineRule="auto"/>
              <w:ind w:firstLine="0" w:firstLineChars="0"/>
              <w:jc w:val="center"/>
              <w:rPr>
                <w:rFonts w:cs="Times New Roman"/>
                <w:b/>
                <w:bCs/>
                <w:color w:val="auto"/>
                <w:sz w:val="21"/>
                <w:szCs w:val="22"/>
                <w:highlight w:val="none"/>
              </w:rPr>
            </w:pPr>
            <w:r>
              <w:rPr>
                <w:rFonts w:cs="Times New Roman"/>
                <w:b/>
                <w:bCs/>
                <w:color w:val="auto"/>
                <w:sz w:val="21"/>
                <w:szCs w:val="22"/>
                <w:highlight w:val="none"/>
              </w:rPr>
              <w:t>符合性</w:t>
            </w:r>
          </w:p>
        </w:tc>
      </w:tr>
      <w:tr w14:paraId="058DD1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8" w:type="pct"/>
            <w:vMerge w:val="restart"/>
            <w:tcBorders>
              <w:top w:val="single" w:color="000000" w:sz="2" w:space="0"/>
              <w:left w:val="single" w:color="000000" w:sz="2" w:space="0"/>
              <w:bottom w:val="single" w:color="000000" w:sz="2" w:space="0"/>
              <w:right w:val="single" w:color="000000" w:sz="2" w:space="0"/>
            </w:tcBorders>
            <w:vAlign w:val="center"/>
          </w:tcPr>
          <w:p w14:paraId="3B7C50DE">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乐山市</w:t>
            </w:r>
          </w:p>
        </w:tc>
        <w:tc>
          <w:tcPr>
            <w:tcW w:w="504" w:type="pct"/>
            <w:vMerge w:val="restart"/>
            <w:tcBorders>
              <w:top w:val="single" w:color="000000" w:sz="2" w:space="0"/>
              <w:left w:val="single" w:color="000000" w:sz="2" w:space="0"/>
              <w:bottom w:val="single" w:color="000000" w:sz="2" w:space="0"/>
              <w:right w:val="single" w:color="000000" w:sz="2" w:space="0"/>
            </w:tcBorders>
            <w:vAlign w:val="center"/>
          </w:tcPr>
          <w:p w14:paraId="2B37342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峨边彝族自治县+峨眉山市+夹江县+犍为县+金口河区+井研县+市中区+马边彝族自治县+沐川县+沙湾区+五通桥区</w:t>
            </w:r>
          </w:p>
        </w:tc>
        <w:tc>
          <w:tcPr>
            <w:tcW w:w="439" w:type="pct"/>
            <w:vMerge w:val="restart"/>
            <w:tcBorders>
              <w:top w:val="single" w:color="000000" w:sz="2" w:space="0"/>
              <w:left w:val="single" w:color="000000" w:sz="2" w:space="0"/>
              <w:bottom w:val="single" w:color="000000" w:sz="2" w:space="0"/>
              <w:right w:val="single" w:color="000000" w:sz="2" w:space="0"/>
            </w:tcBorders>
            <w:vAlign w:val="center"/>
          </w:tcPr>
          <w:p w14:paraId="7FD9B940">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峨边彝族自治县+峨眉山市+夹江县+犍为县+金口河区+井研县+市中区+马边彝族自治县+沐川县+沙湾区+五通桥区</w:t>
            </w:r>
          </w:p>
        </w:tc>
        <w:tc>
          <w:tcPr>
            <w:tcW w:w="467" w:type="pct"/>
            <w:tcBorders>
              <w:top w:val="single" w:color="000000" w:sz="2" w:space="0"/>
              <w:left w:val="single" w:color="000000" w:sz="2" w:space="0"/>
              <w:bottom w:val="single" w:color="000000" w:sz="2" w:space="0"/>
              <w:right w:val="single" w:color="000000" w:sz="2" w:space="0"/>
            </w:tcBorders>
            <w:vAlign w:val="center"/>
          </w:tcPr>
          <w:p w14:paraId="5EA4C5B5">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空间布局约束</w:t>
            </w:r>
          </w:p>
        </w:tc>
        <w:tc>
          <w:tcPr>
            <w:tcW w:w="1507" w:type="pct"/>
            <w:tcBorders>
              <w:top w:val="single" w:color="000000" w:sz="2" w:space="0"/>
              <w:left w:val="single" w:color="000000" w:sz="2" w:space="0"/>
              <w:bottom w:val="single" w:color="000000" w:sz="2" w:space="0"/>
              <w:right w:val="single" w:color="000000" w:sz="2" w:space="0"/>
            </w:tcBorders>
            <w:vAlign w:val="center"/>
          </w:tcPr>
          <w:p w14:paraId="4D72FF0E">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【禁止开发建设活动的要求】</w:t>
            </w:r>
          </w:p>
          <w:p w14:paraId="120FC4FB">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（1）禁止在长江干支流、重要湖泊岸线一公里范围内新建、扩建化工园区和化工项目；</w:t>
            </w:r>
          </w:p>
          <w:p w14:paraId="42FC5E39">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（2）禁止在长江干流岸线三公里范围内和重要支流岸线一公里范围内新建、改建、扩建尾矿库（以提升安全、生态环境保护水平为目的的改建除外）；</w:t>
            </w:r>
          </w:p>
          <w:p w14:paraId="66AE32EB">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3）禁止在合规园区外新建、扩建钢铁、石化、化工、焦化、建材、有色、制浆造纸等高污染项目（高污染项目严格按照《环境保护综合名录》“高污染”产品目录执行；合规园区指已列入《中国开发区审核公告目录》或由省级人民政府批准设立、审核认定的开发区或其他园区，新设立或认定园区须明确园区面积、四至范围、主导产业并经省级政府同意）。</w:t>
            </w:r>
          </w:p>
          <w:p w14:paraId="4DA217D1">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（4）禁止新建、扩建不符合国家石化、现代煤化工等产业布局规划的项目；</w:t>
            </w:r>
          </w:p>
          <w:p w14:paraId="17D63EF9">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（5）重点区域严禁新增钢铁、焦化、电解铝、铸造、水泥、平板玻璃等行业项目及产能。</w:t>
            </w:r>
          </w:p>
          <w:p w14:paraId="6E631A63">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（6）未通过认定的化工园区，不得新建、改扩建化工项目（安全、环保、节能和智能化改造项目除外），按属地原则依法依规妥善做好未通过认定化工园区及园内企业的转型、关闭、处置及监管工作。</w:t>
            </w:r>
          </w:p>
          <w:p w14:paraId="0C823496">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【限制开发建设活动的要求】</w:t>
            </w:r>
          </w:p>
          <w:p w14:paraId="496B5922">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（1）继续化解过剩产能，严禁钢铁、水泥、电解铝、平板玻璃等行业新增产能，对确有必要新建的必须实施等量或减量置换；</w:t>
            </w:r>
          </w:p>
          <w:p w14:paraId="15E87013">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（2）长江干流及重要支流岸线一公里范围内严控新建制革、有色金属、三磷项目。</w:t>
            </w:r>
          </w:p>
          <w:p w14:paraId="046AC177">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【允许开发建设活动的要求】</w:t>
            </w:r>
          </w:p>
          <w:p w14:paraId="2E06FE6C">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（1）现有属于园区禁止引入产业门类的企业，原则上限制发展，污染物排放只降不增，允许以提升安全、生态环境保护水平为目的的改建，引导企业结合产业升级等适时搬迁；</w:t>
            </w:r>
          </w:p>
          <w:p w14:paraId="09FF7E2D">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（2）加强沿江化工园区和重点企业的环境风险防范和污染治理，对限期未完成治理的化工企业实施关闭，逐步实施五通桥盐磷化工产业园、马边磷化特色产业园等沿江沿河化工园区和重点企业的搬迁。</w:t>
            </w:r>
          </w:p>
          <w:p w14:paraId="1136EB96">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【其他空间布局约束要求】</w:t>
            </w:r>
          </w:p>
          <w:p w14:paraId="12CBB1F0">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（1）上一年度水环境质量未完成目标的，新建排放水污染的建设项目按照总量管控要求进行倍量削减替代；</w:t>
            </w:r>
          </w:p>
          <w:p w14:paraId="6BFC3E1F">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（2）对新建排放二氧化硫、氮氧化物、工业烟粉尘和挥发性有机物的项目实施现役源2倍削减替代；</w:t>
            </w:r>
          </w:p>
          <w:p w14:paraId="7BD98920">
            <w:pPr>
              <w:adjustRightInd w:val="0"/>
              <w:spacing w:before="65" w:beforeLines="20" w:after="65" w:afterLines="20" w:line="240" w:lineRule="auto"/>
              <w:ind w:firstLine="0" w:firstLineChars="0"/>
              <w:jc w:val="both"/>
              <w:rPr>
                <w:rFonts w:cs="Times New Roman"/>
                <w:color w:val="auto"/>
                <w:sz w:val="21"/>
                <w:szCs w:val="22"/>
                <w:highlight w:val="none"/>
              </w:rPr>
            </w:pPr>
            <w:r>
              <w:rPr>
                <w:rFonts w:hint="eastAsia" w:cs="Times New Roman"/>
                <w:color w:val="auto"/>
                <w:sz w:val="21"/>
                <w:szCs w:val="22"/>
                <w:highlight w:val="none"/>
              </w:rPr>
              <w:t>（3）水质超标的水功能区，应当实施更严格的污染物排放总量削减要求。</w:t>
            </w:r>
          </w:p>
        </w:tc>
        <w:tc>
          <w:tcPr>
            <w:tcW w:w="1508" w:type="pct"/>
            <w:tcBorders>
              <w:top w:val="single" w:color="000000" w:sz="2" w:space="0"/>
              <w:left w:val="single" w:color="000000" w:sz="2" w:space="0"/>
              <w:bottom w:val="single" w:color="000000" w:sz="2" w:space="0"/>
              <w:right w:val="single" w:color="000000" w:sz="2" w:space="0"/>
            </w:tcBorders>
            <w:vAlign w:val="center"/>
          </w:tcPr>
          <w:p w14:paraId="636E7B65">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禁止开发建设活动的要求：（1）本项目位于四川乐山沙湾经济开发区，园区不属于化工园区，本项目不属于化工项目；（2）本项目不涉及尾矿库</w:t>
            </w:r>
            <w:r>
              <w:rPr>
                <w:rStyle w:val="92"/>
                <w:rFonts w:hint="eastAsia"/>
                <w:color w:val="auto"/>
                <w:highlight w:val="none"/>
              </w:rPr>
              <w:t>，本项目尾矿不长期暂存，尾矿外售给四川省米兰诺陶瓷有限公司、四川香莱尔陶瓷有限公司作为原料使用</w:t>
            </w:r>
            <w:r>
              <w:rPr>
                <w:rFonts w:cs="Times New Roman"/>
                <w:color w:val="auto"/>
                <w:sz w:val="21"/>
                <w:szCs w:val="22"/>
                <w:highlight w:val="none"/>
              </w:rPr>
              <w:t>；（3）本项目位于工业园区内；（4）本项目不属于石化、现代煤化工行业；（5）本项目不属于钢铁、焦化、电解铝、铸造、水泥、平板玻璃等行业；（6）本项目位于四川乐山沙湾经济开发区，园区不属于化工园区。</w:t>
            </w:r>
          </w:p>
          <w:p w14:paraId="2080CBC0">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限制开发建设活动的要求：（1）本项目不属于钢铁、水泥、电解铝、平板玻璃等行业；（2）本项目不属于制革、有色金属、三磷项目。</w:t>
            </w:r>
          </w:p>
          <w:p w14:paraId="08155A79">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允许开发建设活动的要求：（1）本项目不属于四川乐山沙湾经济开发区禁止引入产业门类的企业；（2）本项目位于四川乐山沙湾经济开发区，园区不属于化工园区，本项目不属于化工项目。</w:t>
            </w:r>
          </w:p>
          <w:p w14:paraId="363C7FA4">
            <w:pPr>
              <w:adjustRightInd w:val="0"/>
              <w:spacing w:before="65" w:beforeLines="20" w:after="65" w:afterLines="20" w:line="240" w:lineRule="auto"/>
              <w:ind w:firstLine="0" w:firstLineChars="0"/>
              <w:jc w:val="center"/>
              <w:rPr>
                <w:rFonts w:cs="Times New Roman"/>
                <w:color w:val="auto"/>
                <w:sz w:val="21"/>
                <w:szCs w:val="22"/>
                <w:highlight w:val="none"/>
              </w:rPr>
            </w:pPr>
            <w:r>
              <w:rPr>
                <w:rFonts w:hint="eastAsia" w:cs="Times New Roman"/>
                <w:color w:val="auto"/>
                <w:sz w:val="21"/>
                <w:szCs w:val="22"/>
                <w:highlight w:val="none"/>
              </w:rPr>
              <w:t>其他空间布局约束要求</w:t>
            </w:r>
            <w:r>
              <w:rPr>
                <w:rFonts w:cs="Times New Roman"/>
                <w:color w:val="auto"/>
                <w:sz w:val="21"/>
                <w:szCs w:val="22"/>
                <w:highlight w:val="none"/>
              </w:rPr>
              <w:t>：（1）本项目</w:t>
            </w:r>
            <w:r>
              <w:rPr>
                <w:rFonts w:hint="eastAsia" w:cs="Times New Roman"/>
                <w:color w:val="auto"/>
                <w:sz w:val="21"/>
                <w:szCs w:val="22"/>
                <w:highlight w:val="none"/>
              </w:rPr>
              <w:t>生活污水（含食堂废水）：食堂废水经隔油池（1m</w:t>
            </w:r>
            <w:r>
              <w:rPr>
                <w:rFonts w:hint="eastAsia" w:cs="Times New Roman"/>
                <w:color w:val="auto"/>
                <w:sz w:val="21"/>
                <w:szCs w:val="22"/>
                <w:highlight w:val="none"/>
                <w:vertAlign w:val="superscript"/>
              </w:rPr>
              <w:t>3</w:t>
            </w:r>
            <w:r>
              <w:rPr>
                <w:rFonts w:hint="eastAsia" w:cs="Times New Roman"/>
                <w:color w:val="auto"/>
                <w:sz w:val="21"/>
                <w:szCs w:val="22"/>
                <w:highlight w:val="none"/>
              </w:rPr>
              <w:t>）处理后与生活污水一同</w:t>
            </w:r>
            <w:r>
              <w:rPr>
                <w:rFonts w:cs="Times New Roman"/>
                <w:color w:val="auto"/>
                <w:sz w:val="21"/>
                <w:szCs w:val="22"/>
                <w:highlight w:val="none"/>
              </w:rPr>
              <w:t>经</w:t>
            </w:r>
            <w:r>
              <w:rPr>
                <w:rFonts w:hint="eastAsia" w:cs="Times New Roman"/>
                <w:color w:val="auto"/>
                <w:sz w:val="21"/>
                <w:szCs w:val="22"/>
                <w:highlight w:val="none"/>
              </w:rPr>
              <w:t>依托的乐山市沙湾区豪沐科技有限公司</w:t>
            </w:r>
            <w:r>
              <w:rPr>
                <w:rFonts w:cs="Times New Roman"/>
                <w:color w:val="auto"/>
                <w:sz w:val="21"/>
                <w:szCs w:val="22"/>
                <w:highlight w:val="none"/>
              </w:rPr>
              <w:t>预处理池（</w:t>
            </w:r>
            <w:r>
              <w:rPr>
                <w:rFonts w:hint="eastAsia" w:cs="Times New Roman"/>
                <w:color w:val="auto"/>
                <w:sz w:val="21"/>
                <w:szCs w:val="22"/>
                <w:highlight w:val="none"/>
              </w:rPr>
              <w:t>2</w:t>
            </w:r>
            <w:r>
              <w:rPr>
                <w:rFonts w:cs="Times New Roman"/>
                <w:color w:val="auto"/>
                <w:sz w:val="21"/>
                <w:szCs w:val="22"/>
                <w:highlight w:val="none"/>
              </w:rPr>
              <w:t>0m</w:t>
            </w:r>
            <w:r>
              <w:rPr>
                <w:rFonts w:cs="Times New Roman"/>
                <w:color w:val="auto"/>
                <w:sz w:val="21"/>
                <w:szCs w:val="22"/>
                <w:highlight w:val="none"/>
                <w:vertAlign w:val="superscript"/>
              </w:rPr>
              <w:t>3</w:t>
            </w:r>
            <w:r>
              <w:rPr>
                <w:rFonts w:cs="Times New Roman"/>
                <w:color w:val="auto"/>
                <w:sz w:val="21"/>
                <w:szCs w:val="22"/>
                <w:highlight w:val="none"/>
              </w:rPr>
              <w:t>）处理后经园区污水管网排入乐山沙湾经济开发区污水处理厂进一步处理达标后外排大渡河；生产废水（选矿废水、车辆冲洗废水）循环使用，不外排；初期雨水经</w:t>
            </w:r>
            <w:r>
              <w:rPr>
                <w:rFonts w:hint="eastAsia" w:cs="Times New Roman"/>
                <w:color w:val="auto"/>
                <w:sz w:val="21"/>
                <w:szCs w:val="22"/>
                <w:highlight w:val="none"/>
              </w:rPr>
              <w:t>依托的乐山市沙湾区豪沐科技有限公司</w:t>
            </w:r>
            <w:r>
              <w:rPr>
                <w:rFonts w:cs="Times New Roman"/>
                <w:color w:val="auto"/>
                <w:sz w:val="21"/>
                <w:szCs w:val="22"/>
                <w:highlight w:val="none"/>
              </w:rPr>
              <w:t>初期雨水池（600m</w:t>
            </w:r>
            <w:r>
              <w:rPr>
                <w:rFonts w:cs="Times New Roman"/>
                <w:color w:val="auto"/>
                <w:sz w:val="21"/>
                <w:szCs w:val="22"/>
                <w:highlight w:val="none"/>
                <w:vertAlign w:val="superscript"/>
              </w:rPr>
              <w:t>3</w:t>
            </w:r>
            <w:r>
              <w:rPr>
                <w:rFonts w:cs="Times New Roman"/>
                <w:color w:val="auto"/>
                <w:sz w:val="21"/>
                <w:szCs w:val="22"/>
                <w:highlight w:val="none"/>
              </w:rPr>
              <w:t>）沉淀处理后回用于生产补水或厂区洒水降尘，不外排。（2）本项目严格落实减排计划，减少对环境空气质量的影响。</w:t>
            </w:r>
          </w:p>
        </w:tc>
        <w:tc>
          <w:tcPr>
            <w:tcW w:w="484" w:type="pct"/>
            <w:tcBorders>
              <w:top w:val="single" w:color="000000" w:sz="2" w:space="0"/>
              <w:left w:val="single" w:color="000000" w:sz="2" w:space="0"/>
              <w:bottom w:val="single" w:color="000000" w:sz="2" w:space="0"/>
              <w:right w:val="single" w:color="000000" w:sz="2" w:space="0"/>
            </w:tcBorders>
            <w:vAlign w:val="center"/>
          </w:tcPr>
          <w:p w14:paraId="49F98C72">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1CE6C9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8" w:type="pct"/>
            <w:vMerge w:val="continue"/>
            <w:tcBorders>
              <w:top w:val="single" w:color="000000" w:sz="2" w:space="0"/>
              <w:left w:val="single" w:color="000000" w:sz="2" w:space="0"/>
              <w:bottom w:val="single" w:color="000000" w:sz="2" w:space="0"/>
              <w:right w:val="single" w:color="000000" w:sz="2" w:space="0"/>
            </w:tcBorders>
            <w:vAlign w:val="center"/>
          </w:tcPr>
          <w:p w14:paraId="2CA703AF">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04" w:type="pct"/>
            <w:vMerge w:val="continue"/>
            <w:tcBorders>
              <w:top w:val="single" w:color="000000" w:sz="2" w:space="0"/>
              <w:left w:val="single" w:color="000000" w:sz="2" w:space="0"/>
              <w:bottom w:val="single" w:color="000000" w:sz="2" w:space="0"/>
              <w:right w:val="single" w:color="000000" w:sz="2" w:space="0"/>
            </w:tcBorders>
            <w:vAlign w:val="center"/>
          </w:tcPr>
          <w:p w14:paraId="1E450AF2">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39" w:type="pct"/>
            <w:vMerge w:val="continue"/>
            <w:tcBorders>
              <w:top w:val="single" w:color="000000" w:sz="2" w:space="0"/>
              <w:left w:val="single" w:color="000000" w:sz="2" w:space="0"/>
              <w:bottom w:val="single" w:color="000000" w:sz="2" w:space="0"/>
              <w:right w:val="single" w:color="000000" w:sz="2" w:space="0"/>
            </w:tcBorders>
            <w:vAlign w:val="center"/>
          </w:tcPr>
          <w:p w14:paraId="59C1AC7F">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67" w:type="pct"/>
            <w:tcBorders>
              <w:top w:val="single" w:color="000000" w:sz="2" w:space="0"/>
              <w:left w:val="single" w:color="000000" w:sz="2" w:space="0"/>
              <w:bottom w:val="single" w:color="000000" w:sz="2" w:space="0"/>
              <w:right w:val="single" w:color="000000" w:sz="2" w:space="0"/>
            </w:tcBorders>
            <w:vAlign w:val="center"/>
          </w:tcPr>
          <w:p w14:paraId="76036205">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污染物排放管控</w:t>
            </w:r>
          </w:p>
        </w:tc>
        <w:tc>
          <w:tcPr>
            <w:tcW w:w="1507" w:type="pct"/>
            <w:tcBorders>
              <w:top w:val="single" w:color="000000" w:sz="2" w:space="0"/>
              <w:left w:val="single" w:color="000000" w:sz="2" w:space="0"/>
              <w:bottom w:val="single" w:color="000000" w:sz="2" w:space="0"/>
              <w:right w:val="single" w:color="000000" w:sz="2" w:space="0"/>
            </w:tcBorders>
            <w:vAlign w:val="center"/>
          </w:tcPr>
          <w:p w14:paraId="001FFE87">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【现有源提标升级改造】</w:t>
            </w:r>
          </w:p>
          <w:p w14:paraId="2C043431">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（1）现有工业园区集中污水处理厂执行《四川省岷江、沱江流域水污染物排放标准》（DB51 2311-2016），增加工业污水中水回用配套设施建设，鼓励园区和企业中水回用；</w:t>
            </w:r>
          </w:p>
          <w:p w14:paraId="77B4F7C3">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（2）推进高污染、高耗水行业清洁生产改造，确保单位产品基准排水量达到《四川省岷江、沱江流域水污染物排放标准》。加大钢铁、印染、造纸、化工、制革等高耗水企业废水深度处理回用；</w:t>
            </w:r>
          </w:p>
          <w:p w14:paraId="0AD8A446">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（3）市中区、五通桥区、沙湾区、犍为县、井研县、峨眉山市、夹江县属大气污染重点区域，执行大气污染物排放特别限值和特别控制要求；</w:t>
            </w:r>
          </w:p>
          <w:p w14:paraId="562E0B8E">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（4）全市燃煤锅炉稳定达到超低排放限值要求，烟粉尘低于10毫克立方米，二氧化硫低于35毫克立方米，氮氧化物低于50毫克立方米；</w:t>
            </w:r>
          </w:p>
          <w:p w14:paraId="3589DCC5">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5）持续推进水泥、陶瓷、砖瓦、铸造、铁合金、钢铁等行业大气污染深度治理，深入推进颗粒物、二氧化硫、氮氧化物和挥发性有机物治理，持续推进陶瓷行业（喷雾干燥塔）清洁能源改造工程，加快推进五通桥涉氨排放化工企业氨排放治理。</w:t>
            </w:r>
          </w:p>
          <w:p w14:paraId="6F50F273">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6）完善园区及企业雨污分流系统，全面推进医药、化工等行业初期雨水收集处理，推动有条件的园区实施入园企业“一企一管、明管输送、实时监测”。加强企业废水预处理和排水管理，鼓励纳管企业与园区污水处理厂运营单位通过签订委托处理合同等方式协同处理废水。</w:t>
            </w:r>
          </w:p>
          <w:p w14:paraId="7140245C">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【新增源等量或倍量替代】</w:t>
            </w:r>
          </w:p>
          <w:p w14:paraId="070B058E">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（1）工业废水集中处理设施实现稳定达《四川省岷江、沱江流域水污染物排放标准》相应标准限值排放。磷肥和含磷农药制造等企业，应当按照排污许可要求，采取有效措施控制总磷排放浓度和排放总量；</w:t>
            </w:r>
          </w:p>
          <w:p w14:paraId="4799096F">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（2）大力推进低（无）VOCs含量原辅材料替代；聚焦治污设施“三率”，提升综合治理效率。</w:t>
            </w:r>
          </w:p>
          <w:p w14:paraId="74DB1F21">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3）化工园区应按照分类收集，分质处理的要求，配备专业化工生产废水集中处理设施（独立建设或依托骨干企业）及专管或明管输送的配套管网，化工生产废水纳管率达到100%。入河排污口设置应符合相关规定。</w:t>
            </w:r>
          </w:p>
          <w:p w14:paraId="709AD9A5">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4）重点行业建设项目应遵循重点重金属污染物排放“等量替代”原则。按国家规定，建设单位在提交环境影响评价文件时应明确重点重金属污染物排放总量及来源，无明确具体总量来源的，各级生态环境部门不得批准相关环境影响评价文件。重金属污染物排放总量替代管理豁免的情形参见《四川省“十四五”重金属污染防控工作方案》；重点行业、重点重金属的界定参见《四川省“十四五”重金属污染防控工作方案》。</w:t>
            </w:r>
          </w:p>
          <w:p w14:paraId="546FAA10">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5）落实《四川省深入打好重污染天气消除、臭氧污染防治和柴油货车污染治理攻坚战实施方案》要求，推进重点行业超低排放改造和深度治理，加快实施低VOCs含量原辅材料替代，持续开展VOCs治理设施提级增效，强化VOCs无组织排放整治，加强非正常工况废气排放管控，推进涉VOCs产业集群治理提升，推进油品VOCs综合管控。</w:t>
            </w:r>
          </w:p>
          <w:p w14:paraId="260A9D4E">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【新增源排放标准限值】</w:t>
            </w:r>
          </w:p>
          <w:p w14:paraId="5EEC7A03">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（1）建立健全全过程、多层级环境风险防范体系。强化危化品泄漏应急处置措施，确保风险可控。针对化工园区建立有毒有害气体环境风险预警体系，建立区域、流域联动应急响应体系，实行联防联控。</w:t>
            </w:r>
          </w:p>
          <w:p w14:paraId="4EBBDCFB">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【污染物排放绩效水平准入要求】</w:t>
            </w:r>
          </w:p>
          <w:p w14:paraId="3EC91DA9">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（1）涉及有毒有害、易燃易爆物质新建、改扩建项目，严控准入要求；</w:t>
            </w:r>
          </w:p>
          <w:p w14:paraId="30B82F66">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（2）严格涉重金属企业和园区环境准入管理，新（改、扩）建涉重金属重点行业建设项目实施“等量替代”或“减量替代”；</w:t>
            </w:r>
          </w:p>
          <w:p w14:paraId="2B2A7860">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3）有色金属冶炼、石油加工、化工、焦化、电镀、制革等行业企业拆除生产设施设备、构筑物和污染治理设施，要事先制定残留污染物清理和安全处置方案，要严格按照有关规定实施安全处理处置，防范拆除活动污染土壤；</w:t>
            </w:r>
          </w:p>
          <w:p w14:paraId="042F8EB1">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4）对拟收回土地使用权的有色金属矿采选、有色金属冶炼、石油加工、化工、焦化、电镀、制革、铅蓄电池、农药、危废处置、电子拆解等行业企业用地，应按相关要求进行土壤环境状况调查评估，符合相应规划用地土壤环境质量要求的地块，方可进入用地程序。</w:t>
            </w:r>
          </w:p>
          <w:p w14:paraId="3FF5D5A9">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（5）化工园区应具有安全风险监控体系、建立生态环境监测监控体系、建立必要的突发环境事件应急体系。</w:t>
            </w:r>
          </w:p>
          <w:p w14:paraId="58F636A7">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【其他污染物排放管控要求】</w:t>
            </w:r>
          </w:p>
          <w:p w14:paraId="4146173C">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鼓励引导新建、改建、扩建工业园区应当按照有关要求统筹建设工业废水集中处理和回用设施，适时推进企业间串联用水、分质用水、一水多用，实现水循环梯级优化利用和废水集中处理回用，创建节水型工业园区；</w:t>
            </w:r>
          </w:p>
          <w:p w14:paraId="1C73C7E6">
            <w:pPr>
              <w:adjustRightInd w:val="0"/>
              <w:spacing w:before="65" w:beforeLines="20" w:after="65" w:afterLines="20" w:line="240" w:lineRule="auto"/>
              <w:ind w:firstLine="0" w:firstLineChars="0"/>
              <w:jc w:val="both"/>
              <w:rPr>
                <w:rFonts w:cs="Times New Roman"/>
                <w:color w:val="auto"/>
                <w:sz w:val="21"/>
                <w:szCs w:val="22"/>
                <w:highlight w:val="none"/>
              </w:rPr>
            </w:pPr>
            <w:r>
              <w:rPr>
                <w:rFonts w:hint="eastAsia" w:cs="Times New Roman"/>
                <w:color w:val="auto"/>
                <w:sz w:val="21"/>
                <w:szCs w:val="22"/>
                <w:highlight w:val="none"/>
              </w:rPr>
              <w:t>（2）鼓励火力发电、钢铁、纺织、造纸、石化和化工、食品和发酵等高耗水企业对废水进行深度处理回用，降低单位产品耗水量。火电、石化、钢铁、有色、造纸、印染等高耗水行业项目具备使用再生水条件但未有效利用的，要严格控制新增取水许可。</w:t>
            </w:r>
          </w:p>
        </w:tc>
        <w:tc>
          <w:tcPr>
            <w:tcW w:w="1508" w:type="pct"/>
            <w:tcBorders>
              <w:top w:val="single" w:color="000000" w:sz="2" w:space="0"/>
              <w:left w:val="single" w:color="000000" w:sz="2" w:space="0"/>
              <w:bottom w:val="single" w:color="000000" w:sz="2" w:space="0"/>
              <w:right w:val="single" w:color="000000" w:sz="2" w:space="0"/>
            </w:tcBorders>
            <w:vAlign w:val="center"/>
          </w:tcPr>
          <w:p w14:paraId="20C886D1">
            <w:pPr>
              <w:pStyle w:val="37"/>
              <w:adjustRightInd w:val="0"/>
              <w:jc w:val="left"/>
              <w:rPr>
                <w:color w:val="auto"/>
                <w:highlight w:val="none"/>
              </w:rPr>
            </w:pPr>
            <w:r>
              <w:rPr>
                <w:color w:val="auto"/>
                <w:highlight w:val="none"/>
              </w:rPr>
              <w:t>本项目选矿废水经絮凝沉淀处理后回用于</w:t>
            </w:r>
            <w:r>
              <w:rPr>
                <w:rFonts w:hint="eastAsia"/>
                <w:color w:val="auto"/>
                <w:highlight w:val="none"/>
              </w:rPr>
              <w:t>湿式磨矿、浮选等工序</w:t>
            </w:r>
            <w:r>
              <w:rPr>
                <w:color w:val="auto"/>
                <w:highlight w:val="none"/>
              </w:rPr>
              <w:t>，不外排；车辆冲洗废水经沉淀池处理后回用于车辆冲洗，不外排；初期雨水经初期雨水池沉淀处理后回用于喷雾降尘，不外排；</w:t>
            </w: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）处理达</w:t>
            </w:r>
            <w:r>
              <w:rPr>
                <w:rFonts w:hint="eastAsia"/>
                <w:color w:val="auto"/>
                <w:highlight w:val="none"/>
              </w:rPr>
              <w:t>“</w:t>
            </w:r>
            <w:r>
              <w:rPr>
                <w:color w:val="auto"/>
                <w:highlight w:val="none"/>
              </w:rPr>
              <w:t>乐山沙湾经济开发区污水处理厂设计进水水质</w:t>
            </w:r>
            <w:r>
              <w:rPr>
                <w:rFonts w:hint="eastAsia"/>
                <w:color w:val="auto"/>
                <w:highlight w:val="none"/>
              </w:rPr>
              <w:t>”</w:t>
            </w:r>
            <w:r>
              <w:rPr>
                <w:color w:val="auto"/>
                <w:highlight w:val="none"/>
              </w:rPr>
              <w:t>后经园区污水管网排入乐山沙湾经济开发区污水处理厂进一步处理达《四川省岷江、沱江流域水污染物排放标准》（DB51/2311-2016）中</w:t>
            </w:r>
            <w:r>
              <w:rPr>
                <w:rFonts w:hint="eastAsia"/>
                <w:color w:val="auto"/>
                <w:highlight w:val="none"/>
              </w:rPr>
              <w:t>“</w:t>
            </w:r>
            <w:r>
              <w:rPr>
                <w:color w:val="auto"/>
                <w:highlight w:val="none"/>
              </w:rPr>
              <w:t>工业园区集中式污水处理厂</w:t>
            </w:r>
            <w:r>
              <w:rPr>
                <w:rFonts w:hint="eastAsia"/>
                <w:color w:val="auto"/>
                <w:highlight w:val="none"/>
              </w:rPr>
              <w:t>”</w:t>
            </w:r>
            <w:r>
              <w:rPr>
                <w:color w:val="auto"/>
                <w:highlight w:val="none"/>
              </w:rPr>
              <w:t>标准后外排大渡河。</w:t>
            </w:r>
          </w:p>
          <w:p w14:paraId="47E8C59C">
            <w:pPr>
              <w:pStyle w:val="37"/>
              <w:adjustRightInd w:val="0"/>
              <w:jc w:val="left"/>
              <w:rPr>
                <w:color w:val="auto"/>
                <w:highlight w:val="none"/>
              </w:rPr>
            </w:pPr>
            <w:r>
              <w:rPr>
                <w:color w:val="auto"/>
                <w:highlight w:val="none"/>
              </w:rPr>
              <w:t>本项目不属于高污染、高耗水行业。</w:t>
            </w:r>
          </w:p>
          <w:p w14:paraId="47F1C8AA">
            <w:pPr>
              <w:pStyle w:val="37"/>
              <w:adjustRightInd w:val="0"/>
              <w:jc w:val="left"/>
              <w:rPr>
                <w:color w:val="auto"/>
                <w:highlight w:val="none"/>
              </w:rPr>
            </w:pPr>
            <w:r>
              <w:rPr>
                <w:color w:val="auto"/>
                <w:highlight w:val="none"/>
              </w:rPr>
              <w:t>本项目位于沙湾区，本项目污染物执行大气污染物排放特别限值和特别控制要求。</w:t>
            </w:r>
          </w:p>
          <w:p w14:paraId="21ABF72E">
            <w:pPr>
              <w:pStyle w:val="37"/>
              <w:adjustRightInd w:val="0"/>
              <w:jc w:val="left"/>
              <w:rPr>
                <w:color w:val="auto"/>
                <w:highlight w:val="none"/>
              </w:rPr>
            </w:pPr>
            <w:r>
              <w:rPr>
                <w:color w:val="auto"/>
                <w:highlight w:val="none"/>
              </w:rPr>
              <w:t>本项目不涉及燃煤锅炉，本项目有组织颗粒物排放浓度执行10mg/m</w:t>
            </w:r>
            <w:r>
              <w:rPr>
                <w:color w:val="auto"/>
                <w:highlight w:val="none"/>
                <w:vertAlign w:val="superscript"/>
              </w:rPr>
              <w:t>3</w:t>
            </w:r>
            <w:r>
              <w:rPr>
                <w:color w:val="auto"/>
                <w:highlight w:val="none"/>
              </w:rPr>
              <w:t>，厂界无组织颗粒物排放浓度执行0.5mg/m</w:t>
            </w:r>
            <w:r>
              <w:rPr>
                <w:color w:val="auto"/>
                <w:highlight w:val="none"/>
                <w:vertAlign w:val="superscript"/>
              </w:rPr>
              <w:t>3</w:t>
            </w:r>
            <w:r>
              <w:rPr>
                <w:color w:val="auto"/>
                <w:highlight w:val="none"/>
              </w:rPr>
              <w:t>。</w:t>
            </w:r>
          </w:p>
          <w:p w14:paraId="5D3655E2">
            <w:pPr>
              <w:pStyle w:val="37"/>
              <w:adjustRightInd w:val="0"/>
              <w:jc w:val="left"/>
              <w:rPr>
                <w:color w:val="auto"/>
                <w:highlight w:val="none"/>
              </w:rPr>
            </w:pPr>
            <w:r>
              <w:rPr>
                <w:color w:val="auto"/>
                <w:highlight w:val="none"/>
              </w:rPr>
              <w:t>本项目不属于水泥、陶瓷、砖瓦、铸造、铁合金、钢铁等行业，本项目在生产过程中主要大气污染物为颗粒物等，项目产生的废气经治理后，外排的废气能够实现达标排放。</w:t>
            </w:r>
          </w:p>
          <w:p w14:paraId="0889A575">
            <w:pPr>
              <w:pStyle w:val="37"/>
              <w:adjustRightInd w:val="0"/>
              <w:jc w:val="left"/>
              <w:rPr>
                <w:color w:val="auto"/>
                <w:highlight w:val="none"/>
              </w:rPr>
            </w:pPr>
            <w:r>
              <w:rPr>
                <w:color w:val="auto"/>
                <w:highlight w:val="none"/>
              </w:rPr>
              <w:t>本项目实施雨污分流。</w:t>
            </w:r>
          </w:p>
          <w:p w14:paraId="239D31A1">
            <w:pPr>
              <w:pStyle w:val="37"/>
              <w:adjustRightInd w:val="0"/>
              <w:jc w:val="left"/>
              <w:rPr>
                <w:color w:val="auto"/>
                <w:szCs w:val="22"/>
                <w:highlight w:val="none"/>
              </w:rPr>
            </w:pPr>
            <w:r>
              <w:rPr>
                <w:color w:val="auto"/>
                <w:highlight w:val="none"/>
              </w:rPr>
              <w:t>本项目</w:t>
            </w:r>
            <w:r>
              <w:rPr>
                <w:rFonts w:hint="eastAsia"/>
                <w:color w:val="auto"/>
                <w:highlight w:val="none"/>
              </w:rPr>
              <w:t>选矿</w:t>
            </w:r>
            <w:r>
              <w:rPr>
                <w:color w:val="auto"/>
                <w:highlight w:val="none"/>
              </w:rPr>
              <w:t>废水循环使用，不外排，本项目不涉及</w:t>
            </w:r>
            <w:r>
              <w:rPr>
                <w:color w:val="auto"/>
                <w:szCs w:val="22"/>
                <w:highlight w:val="none"/>
              </w:rPr>
              <w:t>磷肥和含磷农药制造。</w:t>
            </w:r>
          </w:p>
          <w:p w14:paraId="6085A2D6">
            <w:pPr>
              <w:pStyle w:val="37"/>
              <w:adjustRightInd w:val="0"/>
              <w:jc w:val="left"/>
              <w:rPr>
                <w:color w:val="auto"/>
                <w:szCs w:val="22"/>
                <w:highlight w:val="none"/>
              </w:rPr>
            </w:pPr>
            <w:r>
              <w:rPr>
                <w:color w:val="auto"/>
                <w:szCs w:val="22"/>
                <w:highlight w:val="none"/>
              </w:rPr>
              <w:t>本项目不涉及VOCs。</w:t>
            </w:r>
          </w:p>
          <w:p w14:paraId="01C4D22C">
            <w:pPr>
              <w:pStyle w:val="37"/>
              <w:adjustRightInd w:val="0"/>
              <w:jc w:val="left"/>
              <w:rPr>
                <w:color w:val="auto"/>
                <w:szCs w:val="22"/>
                <w:highlight w:val="none"/>
              </w:rPr>
            </w:pPr>
            <w:r>
              <w:rPr>
                <w:color w:val="auto"/>
                <w:szCs w:val="22"/>
                <w:highlight w:val="none"/>
              </w:rPr>
              <w:t>本项目位于四川乐山沙湾经济开发区，不属于</w:t>
            </w:r>
            <w:r>
              <w:rPr>
                <w:rFonts w:hint="eastAsia"/>
                <w:color w:val="auto"/>
                <w:szCs w:val="22"/>
                <w:highlight w:val="none"/>
              </w:rPr>
              <w:t>化工</w:t>
            </w:r>
            <w:r>
              <w:rPr>
                <w:color w:val="auto"/>
                <w:szCs w:val="22"/>
                <w:highlight w:val="none"/>
              </w:rPr>
              <w:t>园区。</w:t>
            </w:r>
          </w:p>
          <w:p w14:paraId="76BFA112">
            <w:pPr>
              <w:pStyle w:val="37"/>
              <w:adjustRightInd w:val="0"/>
              <w:jc w:val="left"/>
              <w:rPr>
                <w:color w:val="auto"/>
                <w:highlight w:val="none"/>
              </w:rPr>
            </w:pPr>
            <w:r>
              <w:rPr>
                <w:color w:val="auto"/>
                <w:highlight w:val="none"/>
              </w:rPr>
              <w:t>根据本项目原矿检测报告，本项目原矿中国家管控的重金属铅、汞、镉、铬、砷、铊、锑。</w:t>
            </w:r>
          </w:p>
          <w:p w14:paraId="30932D7F">
            <w:pPr>
              <w:pStyle w:val="37"/>
              <w:adjustRightInd w:val="0"/>
              <w:jc w:val="left"/>
              <w:rPr>
                <w:color w:val="auto"/>
                <w:highlight w:val="none"/>
              </w:rPr>
            </w:pPr>
            <w:r>
              <w:rPr>
                <w:color w:val="auto"/>
                <w:highlight w:val="none"/>
              </w:rPr>
              <w:t>项目固废均实现综合利用，收集暂存位于厂区内，并采取相应的污染防治措施，环境风险可控。</w:t>
            </w:r>
          </w:p>
          <w:p w14:paraId="19453895">
            <w:pPr>
              <w:pStyle w:val="37"/>
              <w:adjustRightInd w:val="0"/>
              <w:jc w:val="left"/>
              <w:rPr>
                <w:color w:val="auto"/>
                <w:szCs w:val="22"/>
                <w:highlight w:val="none"/>
              </w:rPr>
            </w:pPr>
            <w:r>
              <w:rPr>
                <w:color w:val="auto"/>
                <w:highlight w:val="none"/>
              </w:rPr>
              <w:t>本项目不涉及</w:t>
            </w:r>
            <w:r>
              <w:rPr>
                <w:color w:val="auto"/>
                <w:szCs w:val="22"/>
                <w:highlight w:val="none"/>
              </w:rPr>
              <w:t>有毒有害、易燃易爆物质。</w:t>
            </w:r>
          </w:p>
          <w:p w14:paraId="0F985EA2">
            <w:pPr>
              <w:pStyle w:val="37"/>
              <w:adjustRightInd w:val="0"/>
              <w:jc w:val="left"/>
              <w:rPr>
                <w:color w:val="auto"/>
                <w:szCs w:val="22"/>
                <w:highlight w:val="none"/>
              </w:rPr>
            </w:pPr>
            <w:r>
              <w:rPr>
                <w:color w:val="auto"/>
                <w:szCs w:val="22"/>
                <w:highlight w:val="none"/>
              </w:rPr>
              <w:t>本项目不属于有色金属冶炼、石油加工、化工、焦化、电镀、制革等行业。</w:t>
            </w:r>
          </w:p>
          <w:p w14:paraId="637330A9">
            <w:pPr>
              <w:pStyle w:val="37"/>
              <w:adjustRightInd w:val="0"/>
              <w:jc w:val="left"/>
              <w:rPr>
                <w:color w:val="auto"/>
                <w:szCs w:val="22"/>
                <w:highlight w:val="none"/>
              </w:rPr>
            </w:pPr>
            <w:r>
              <w:rPr>
                <w:color w:val="auto"/>
                <w:szCs w:val="22"/>
                <w:highlight w:val="none"/>
              </w:rPr>
              <w:t>本项目不属于拟收回土地使用权的企业。</w:t>
            </w:r>
          </w:p>
          <w:p w14:paraId="551EABFE">
            <w:pPr>
              <w:pStyle w:val="37"/>
              <w:adjustRightInd w:val="0"/>
              <w:jc w:val="left"/>
              <w:rPr>
                <w:color w:val="auto"/>
                <w:szCs w:val="22"/>
                <w:highlight w:val="none"/>
              </w:rPr>
            </w:pPr>
            <w:r>
              <w:rPr>
                <w:color w:val="auto"/>
                <w:szCs w:val="22"/>
                <w:highlight w:val="none"/>
              </w:rPr>
              <w:t>本项目不属于火力发电、钢铁、纺织、造纸、石化和化工、食品和发酵等高耗水企业。</w:t>
            </w:r>
          </w:p>
        </w:tc>
        <w:tc>
          <w:tcPr>
            <w:tcW w:w="484" w:type="pct"/>
            <w:tcBorders>
              <w:top w:val="single" w:color="000000" w:sz="2" w:space="0"/>
              <w:left w:val="single" w:color="000000" w:sz="2" w:space="0"/>
              <w:bottom w:val="single" w:color="000000" w:sz="2" w:space="0"/>
              <w:right w:val="single" w:color="000000" w:sz="2" w:space="0"/>
            </w:tcBorders>
            <w:vAlign w:val="center"/>
          </w:tcPr>
          <w:p w14:paraId="14B91EF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208E26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8" w:type="pct"/>
            <w:vMerge w:val="continue"/>
            <w:tcBorders>
              <w:top w:val="single" w:color="000000" w:sz="2" w:space="0"/>
              <w:left w:val="single" w:color="000000" w:sz="2" w:space="0"/>
              <w:bottom w:val="single" w:color="000000" w:sz="2" w:space="0"/>
              <w:right w:val="single" w:color="000000" w:sz="2" w:space="0"/>
            </w:tcBorders>
            <w:vAlign w:val="center"/>
          </w:tcPr>
          <w:p w14:paraId="5CCAE5B7">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04" w:type="pct"/>
            <w:vMerge w:val="continue"/>
            <w:tcBorders>
              <w:top w:val="single" w:color="000000" w:sz="2" w:space="0"/>
              <w:left w:val="single" w:color="000000" w:sz="2" w:space="0"/>
              <w:bottom w:val="single" w:color="000000" w:sz="2" w:space="0"/>
              <w:right w:val="single" w:color="000000" w:sz="2" w:space="0"/>
            </w:tcBorders>
            <w:vAlign w:val="center"/>
          </w:tcPr>
          <w:p w14:paraId="6EDB8C5F">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39" w:type="pct"/>
            <w:vMerge w:val="continue"/>
            <w:tcBorders>
              <w:top w:val="single" w:color="000000" w:sz="2" w:space="0"/>
              <w:left w:val="single" w:color="000000" w:sz="2" w:space="0"/>
              <w:bottom w:val="single" w:color="000000" w:sz="2" w:space="0"/>
              <w:right w:val="single" w:color="000000" w:sz="2" w:space="0"/>
            </w:tcBorders>
            <w:vAlign w:val="center"/>
          </w:tcPr>
          <w:p w14:paraId="77A5121E">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67" w:type="pct"/>
            <w:tcBorders>
              <w:top w:val="single" w:color="000000" w:sz="2" w:space="0"/>
              <w:left w:val="single" w:color="000000" w:sz="2" w:space="0"/>
              <w:bottom w:val="single" w:color="000000" w:sz="2" w:space="0"/>
              <w:right w:val="single" w:color="000000" w:sz="2" w:space="0"/>
            </w:tcBorders>
            <w:vAlign w:val="center"/>
          </w:tcPr>
          <w:p w14:paraId="12B5019C">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环境风险防控</w:t>
            </w:r>
          </w:p>
        </w:tc>
        <w:tc>
          <w:tcPr>
            <w:tcW w:w="1507" w:type="pct"/>
            <w:tcBorders>
              <w:top w:val="single" w:color="000000" w:sz="2" w:space="0"/>
              <w:left w:val="single" w:color="000000" w:sz="2" w:space="0"/>
              <w:bottom w:val="single" w:color="000000" w:sz="2" w:space="0"/>
              <w:right w:val="single" w:color="000000" w:sz="2" w:space="0"/>
            </w:tcBorders>
            <w:vAlign w:val="center"/>
          </w:tcPr>
          <w:p w14:paraId="7765A3B0">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【安全利用类农用地管控要求】</w:t>
            </w:r>
          </w:p>
          <w:p w14:paraId="7F241D4C">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（1）严格控制煤炭消费总量。严格控制新建、改建、扩建耗煤项目，新增耗煤项目实行当年煤炭消耗减量倍量替代。</w:t>
            </w:r>
          </w:p>
          <w:p w14:paraId="099323F0">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【污染地块管控要求】</w:t>
            </w:r>
          </w:p>
          <w:p w14:paraId="29C7E389">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（1）全面淘汰10蒸吨小时及以下燃煤锅炉，原则上不再新建35蒸吨小时及以下的燃煤锅炉，推进县级及以上城市建成区淘汰35蒸吨小时及以下燃煤锅炉，以工业余热、电厂热力、清洁能源等替代煤炭。</w:t>
            </w:r>
          </w:p>
          <w:p w14:paraId="0D49ED57">
            <w:pPr>
              <w:adjustRightInd w:val="0"/>
              <w:spacing w:before="65" w:beforeLines="20" w:after="65" w:afterLines="20" w:line="240" w:lineRule="auto"/>
              <w:ind w:firstLine="0" w:firstLineChars="0"/>
              <w:jc w:val="both"/>
              <w:rPr>
                <w:rFonts w:hint="eastAsia" w:cs="Times New Roman"/>
                <w:color w:val="auto"/>
                <w:sz w:val="21"/>
                <w:szCs w:val="22"/>
                <w:highlight w:val="none"/>
              </w:rPr>
            </w:pPr>
            <w:r>
              <w:rPr>
                <w:rFonts w:hint="eastAsia" w:cs="Times New Roman"/>
                <w:color w:val="auto"/>
                <w:sz w:val="21"/>
                <w:szCs w:val="22"/>
                <w:highlight w:val="none"/>
              </w:rPr>
              <w:t>（2）加快推进火电、钢铁、铸造（含烧结、球团、高炉工序）水泥、焦化行业燃煤锅炉和工业炉窑超低排放改造及深度治理。稳步实施陶瓷、玻璃、铁合金、有色、砖瓦等行业企业深度治理，推进工业炉窑煤改电（气）和低氮燃烧改造。全面加强钢铁、建材、有色、焦化、铸造重点行业无组织排放治理。生物质锅炉采用专用锅炉，配套布袋等高效除尘设施，禁止掺烧煤炭、垃圾等其他物料。</w:t>
            </w:r>
          </w:p>
          <w:p w14:paraId="7FB7CEB8">
            <w:pPr>
              <w:adjustRightInd w:val="0"/>
              <w:spacing w:before="65" w:beforeLines="20" w:after="65" w:afterLines="20" w:line="240" w:lineRule="auto"/>
              <w:ind w:firstLine="0" w:firstLineChars="0"/>
              <w:jc w:val="both"/>
              <w:rPr>
                <w:rFonts w:cs="Times New Roman"/>
                <w:color w:val="auto"/>
                <w:sz w:val="21"/>
                <w:szCs w:val="22"/>
                <w:highlight w:val="none"/>
              </w:rPr>
            </w:pPr>
            <w:r>
              <w:rPr>
                <w:rFonts w:hint="eastAsia" w:cs="Times New Roman"/>
                <w:color w:val="auto"/>
                <w:sz w:val="21"/>
                <w:szCs w:val="22"/>
                <w:highlight w:val="none"/>
              </w:rPr>
              <w:t>（3）禁燃区禁止审批（核准、备案）、新建、扩建燃用高污染燃料的锅炉、炉窑等各类燃用高污染燃料的设施。</w:t>
            </w:r>
          </w:p>
        </w:tc>
        <w:tc>
          <w:tcPr>
            <w:tcW w:w="1508" w:type="pct"/>
            <w:tcBorders>
              <w:top w:val="single" w:color="000000" w:sz="2" w:space="0"/>
              <w:left w:val="single" w:color="000000" w:sz="2" w:space="0"/>
              <w:bottom w:val="single" w:color="000000" w:sz="2" w:space="0"/>
              <w:right w:val="single" w:color="000000" w:sz="2" w:space="0"/>
            </w:tcBorders>
            <w:vAlign w:val="center"/>
          </w:tcPr>
          <w:p w14:paraId="4982623A">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本项目</w:t>
            </w:r>
            <w:r>
              <w:rPr>
                <w:rFonts w:hint="eastAsia" w:cs="Times New Roman"/>
                <w:color w:val="auto"/>
                <w:sz w:val="21"/>
                <w:szCs w:val="22"/>
                <w:highlight w:val="none"/>
              </w:rPr>
              <w:t>不</w:t>
            </w:r>
            <w:r>
              <w:rPr>
                <w:rFonts w:cs="Times New Roman"/>
                <w:color w:val="auto"/>
                <w:sz w:val="21"/>
                <w:szCs w:val="22"/>
                <w:highlight w:val="none"/>
              </w:rPr>
              <w:t>涉及煤炭使用。</w:t>
            </w:r>
          </w:p>
          <w:p w14:paraId="29FF2ECD">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本项目不涉及锅炉和炉窑。</w:t>
            </w:r>
          </w:p>
        </w:tc>
        <w:tc>
          <w:tcPr>
            <w:tcW w:w="484" w:type="pct"/>
            <w:tcBorders>
              <w:top w:val="single" w:color="000000" w:sz="2" w:space="0"/>
              <w:left w:val="single" w:color="000000" w:sz="2" w:space="0"/>
              <w:bottom w:val="single" w:color="000000" w:sz="2" w:space="0"/>
              <w:right w:val="single" w:color="000000" w:sz="2" w:space="0"/>
            </w:tcBorders>
            <w:vAlign w:val="center"/>
          </w:tcPr>
          <w:p w14:paraId="3DB33F3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符合</w:t>
            </w:r>
          </w:p>
        </w:tc>
      </w:tr>
      <w:tr w14:paraId="76249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88" w:type="pct"/>
            <w:vMerge w:val="continue"/>
            <w:tcBorders>
              <w:top w:val="single" w:color="000000" w:sz="2" w:space="0"/>
              <w:left w:val="single" w:color="000000" w:sz="2" w:space="0"/>
              <w:bottom w:val="single" w:color="000000" w:sz="2" w:space="0"/>
              <w:right w:val="single" w:color="000000" w:sz="2" w:space="0"/>
            </w:tcBorders>
            <w:vAlign w:val="center"/>
          </w:tcPr>
          <w:p w14:paraId="086356EB">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504" w:type="pct"/>
            <w:vMerge w:val="continue"/>
            <w:tcBorders>
              <w:top w:val="single" w:color="000000" w:sz="2" w:space="0"/>
              <w:left w:val="single" w:color="000000" w:sz="2" w:space="0"/>
              <w:bottom w:val="single" w:color="000000" w:sz="2" w:space="0"/>
              <w:right w:val="single" w:color="000000" w:sz="2" w:space="0"/>
            </w:tcBorders>
            <w:vAlign w:val="center"/>
          </w:tcPr>
          <w:p w14:paraId="660A3CA0">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39" w:type="pct"/>
            <w:vMerge w:val="continue"/>
            <w:tcBorders>
              <w:top w:val="single" w:color="000000" w:sz="2" w:space="0"/>
              <w:left w:val="single" w:color="000000" w:sz="2" w:space="0"/>
              <w:bottom w:val="single" w:color="000000" w:sz="2" w:space="0"/>
              <w:right w:val="single" w:color="000000" w:sz="2" w:space="0"/>
            </w:tcBorders>
            <w:vAlign w:val="center"/>
          </w:tcPr>
          <w:p w14:paraId="31C4BC5D">
            <w:pPr>
              <w:adjustRightInd w:val="0"/>
              <w:spacing w:before="65" w:beforeLines="20" w:after="65" w:afterLines="20" w:line="240" w:lineRule="auto"/>
              <w:ind w:firstLine="0" w:firstLineChars="0"/>
              <w:jc w:val="center"/>
              <w:rPr>
                <w:rFonts w:cs="Times New Roman"/>
                <w:color w:val="auto"/>
                <w:sz w:val="21"/>
                <w:szCs w:val="22"/>
                <w:highlight w:val="none"/>
              </w:rPr>
            </w:pPr>
          </w:p>
        </w:tc>
        <w:tc>
          <w:tcPr>
            <w:tcW w:w="467" w:type="pct"/>
            <w:tcBorders>
              <w:top w:val="single" w:color="000000" w:sz="2" w:space="0"/>
              <w:left w:val="single" w:color="000000" w:sz="2" w:space="0"/>
              <w:bottom w:val="single" w:color="000000" w:sz="2" w:space="0"/>
              <w:right w:val="single" w:color="000000" w:sz="2" w:space="0"/>
            </w:tcBorders>
            <w:vAlign w:val="center"/>
          </w:tcPr>
          <w:p w14:paraId="637B0763">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资源开发利用效率要求</w:t>
            </w:r>
          </w:p>
        </w:tc>
        <w:tc>
          <w:tcPr>
            <w:tcW w:w="1507" w:type="pct"/>
            <w:tcBorders>
              <w:top w:val="single" w:color="000000" w:sz="2" w:space="0"/>
              <w:left w:val="single" w:color="000000" w:sz="2" w:space="0"/>
              <w:bottom w:val="single" w:color="000000" w:sz="2" w:space="0"/>
              <w:right w:val="single" w:color="000000" w:sz="2" w:space="0"/>
            </w:tcBorders>
            <w:vAlign w:val="center"/>
          </w:tcPr>
          <w:p w14:paraId="01D7455F">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w:t>
            </w:r>
          </w:p>
        </w:tc>
        <w:tc>
          <w:tcPr>
            <w:tcW w:w="1508" w:type="pct"/>
            <w:tcBorders>
              <w:top w:val="single" w:color="000000" w:sz="2" w:space="0"/>
              <w:left w:val="single" w:color="000000" w:sz="2" w:space="0"/>
              <w:bottom w:val="single" w:color="000000" w:sz="2" w:space="0"/>
              <w:right w:val="single" w:color="000000" w:sz="2" w:space="0"/>
            </w:tcBorders>
            <w:vAlign w:val="center"/>
          </w:tcPr>
          <w:p w14:paraId="3A8D1046">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w:t>
            </w:r>
          </w:p>
        </w:tc>
        <w:tc>
          <w:tcPr>
            <w:tcW w:w="484" w:type="pct"/>
            <w:tcBorders>
              <w:top w:val="single" w:color="000000" w:sz="2" w:space="0"/>
              <w:left w:val="single" w:color="000000" w:sz="2" w:space="0"/>
              <w:bottom w:val="single" w:color="000000" w:sz="2" w:space="0"/>
              <w:right w:val="single" w:color="000000" w:sz="2" w:space="0"/>
            </w:tcBorders>
            <w:vAlign w:val="center"/>
          </w:tcPr>
          <w:p w14:paraId="50B62133">
            <w:pPr>
              <w:adjustRightInd w:val="0"/>
              <w:spacing w:before="65" w:beforeLines="20" w:after="65" w:afterLines="20" w:line="240" w:lineRule="auto"/>
              <w:ind w:firstLine="0" w:firstLineChars="0"/>
              <w:jc w:val="center"/>
              <w:rPr>
                <w:rFonts w:cs="Times New Roman"/>
                <w:color w:val="auto"/>
                <w:sz w:val="21"/>
                <w:szCs w:val="22"/>
                <w:highlight w:val="none"/>
              </w:rPr>
            </w:pPr>
            <w:r>
              <w:rPr>
                <w:rFonts w:cs="Times New Roman"/>
                <w:color w:val="auto"/>
                <w:sz w:val="21"/>
                <w:szCs w:val="22"/>
                <w:highlight w:val="none"/>
              </w:rPr>
              <w:t>/</w:t>
            </w:r>
          </w:p>
        </w:tc>
      </w:tr>
    </w:tbl>
    <w:p w14:paraId="747D4A33">
      <w:pPr>
        <w:adjustRightInd w:val="0"/>
        <w:ind w:firstLine="480"/>
        <w:rPr>
          <w:rFonts w:cs="Times New Roman"/>
          <w:color w:val="auto"/>
          <w:highlight w:val="none"/>
        </w:rPr>
      </w:pPr>
      <w:r>
        <w:rPr>
          <w:rFonts w:cs="Times New Roman"/>
          <w:color w:val="auto"/>
          <w:highlight w:val="none"/>
        </w:rPr>
        <w:t>1.2 县（市、区）普适性管控要求</w:t>
      </w:r>
    </w:p>
    <w:p w14:paraId="05948409">
      <w:pPr>
        <w:pStyle w:val="12"/>
        <w:adjustRightInd w:val="0"/>
        <w:ind w:firstLine="48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30</w:t>
      </w:r>
      <w:r>
        <w:rPr>
          <w:rFonts w:cs="Times New Roman"/>
          <w:color w:val="auto"/>
          <w:highlight w:val="none"/>
        </w:rPr>
        <w:fldChar w:fldCharType="end"/>
      </w:r>
      <w:r>
        <w:rPr>
          <w:rFonts w:cs="Times New Roman"/>
          <w:color w:val="auto"/>
          <w:highlight w:val="none"/>
        </w:rPr>
        <w:t>县（市、区）普适性管控要求</w:t>
      </w:r>
    </w:p>
    <w:tbl>
      <w:tblPr>
        <w:tblStyle w:val="31"/>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897"/>
        <w:gridCol w:w="975"/>
        <w:gridCol w:w="1428"/>
        <w:gridCol w:w="6297"/>
        <w:gridCol w:w="3679"/>
        <w:gridCol w:w="691"/>
      </w:tblGrid>
      <w:tr w14:paraId="62135E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321" w:type="pct"/>
            <w:tcBorders>
              <w:top w:val="single" w:color="000000" w:sz="2" w:space="0"/>
              <w:left w:val="single" w:color="000000" w:sz="2" w:space="0"/>
              <w:bottom w:val="single" w:color="000000" w:sz="2" w:space="0"/>
              <w:right w:val="single" w:color="000000" w:sz="2" w:space="0"/>
            </w:tcBorders>
            <w:vAlign w:val="center"/>
          </w:tcPr>
          <w:p w14:paraId="2D9A0A56">
            <w:pPr>
              <w:pStyle w:val="37"/>
              <w:adjustRightInd w:val="0"/>
              <w:rPr>
                <w:b/>
                <w:bCs/>
                <w:color w:val="auto"/>
                <w:highlight w:val="none"/>
              </w:rPr>
            </w:pPr>
            <w:r>
              <w:rPr>
                <w:b/>
                <w:bCs/>
                <w:color w:val="auto"/>
                <w:highlight w:val="none"/>
              </w:rPr>
              <w:t>县区</w:t>
            </w:r>
          </w:p>
        </w:tc>
        <w:tc>
          <w:tcPr>
            <w:tcW w:w="349" w:type="pct"/>
            <w:tcBorders>
              <w:top w:val="single" w:color="000000" w:sz="2" w:space="0"/>
              <w:left w:val="single" w:color="000000" w:sz="2" w:space="0"/>
              <w:bottom w:val="single" w:color="000000" w:sz="2" w:space="0"/>
              <w:right w:val="single" w:color="000000" w:sz="2" w:space="0"/>
            </w:tcBorders>
            <w:vAlign w:val="center"/>
          </w:tcPr>
          <w:p w14:paraId="098B6082">
            <w:pPr>
              <w:pStyle w:val="37"/>
              <w:adjustRightInd w:val="0"/>
              <w:rPr>
                <w:b/>
                <w:bCs/>
                <w:color w:val="auto"/>
                <w:highlight w:val="none"/>
              </w:rPr>
            </w:pPr>
            <w:r>
              <w:rPr>
                <w:b/>
                <w:bCs/>
                <w:color w:val="auto"/>
                <w:highlight w:val="none"/>
              </w:rPr>
              <w:t>区域名称</w:t>
            </w:r>
          </w:p>
        </w:tc>
        <w:tc>
          <w:tcPr>
            <w:tcW w:w="511" w:type="pct"/>
            <w:tcBorders>
              <w:top w:val="single" w:color="000000" w:sz="2" w:space="0"/>
              <w:left w:val="single" w:color="000000" w:sz="2" w:space="0"/>
              <w:bottom w:val="single" w:color="000000" w:sz="2" w:space="0"/>
              <w:right w:val="single" w:color="000000" w:sz="2" w:space="0"/>
            </w:tcBorders>
            <w:vAlign w:val="center"/>
          </w:tcPr>
          <w:p w14:paraId="430217D8">
            <w:pPr>
              <w:pStyle w:val="37"/>
              <w:adjustRightInd w:val="0"/>
              <w:rPr>
                <w:b/>
                <w:bCs/>
                <w:color w:val="auto"/>
                <w:highlight w:val="none"/>
              </w:rPr>
            </w:pPr>
            <w:r>
              <w:rPr>
                <w:b/>
                <w:bCs/>
                <w:color w:val="auto"/>
                <w:highlight w:val="none"/>
              </w:rPr>
              <w:t>管控类别</w:t>
            </w:r>
          </w:p>
        </w:tc>
        <w:tc>
          <w:tcPr>
            <w:tcW w:w="2253" w:type="pct"/>
            <w:tcBorders>
              <w:top w:val="single" w:color="000000" w:sz="2" w:space="0"/>
              <w:left w:val="single" w:color="000000" w:sz="2" w:space="0"/>
              <w:bottom w:val="single" w:color="000000" w:sz="2" w:space="0"/>
              <w:right w:val="single" w:color="000000" w:sz="2" w:space="0"/>
            </w:tcBorders>
            <w:vAlign w:val="center"/>
          </w:tcPr>
          <w:p w14:paraId="42599149">
            <w:pPr>
              <w:pStyle w:val="37"/>
              <w:adjustRightInd w:val="0"/>
              <w:rPr>
                <w:b/>
                <w:bCs/>
                <w:color w:val="auto"/>
                <w:highlight w:val="none"/>
              </w:rPr>
            </w:pPr>
            <w:r>
              <w:rPr>
                <w:b/>
                <w:bCs/>
                <w:color w:val="auto"/>
                <w:highlight w:val="none"/>
              </w:rPr>
              <w:t>单元特性管控要求</w:t>
            </w:r>
          </w:p>
        </w:tc>
        <w:tc>
          <w:tcPr>
            <w:tcW w:w="1316" w:type="pct"/>
            <w:tcBorders>
              <w:top w:val="single" w:color="000000" w:sz="2" w:space="0"/>
              <w:left w:val="single" w:color="000000" w:sz="2" w:space="0"/>
              <w:bottom w:val="single" w:color="000000" w:sz="2" w:space="0"/>
              <w:right w:val="single" w:color="000000" w:sz="2" w:space="0"/>
            </w:tcBorders>
            <w:vAlign w:val="center"/>
          </w:tcPr>
          <w:p w14:paraId="012772DE">
            <w:pPr>
              <w:pStyle w:val="37"/>
              <w:adjustRightInd w:val="0"/>
              <w:rPr>
                <w:b/>
                <w:bCs/>
                <w:color w:val="auto"/>
                <w:highlight w:val="none"/>
              </w:rPr>
            </w:pPr>
            <w:r>
              <w:rPr>
                <w:b/>
                <w:bCs/>
                <w:color w:val="auto"/>
                <w:highlight w:val="none"/>
              </w:rPr>
              <w:t>本项目情况</w:t>
            </w:r>
          </w:p>
        </w:tc>
        <w:tc>
          <w:tcPr>
            <w:tcW w:w="247" w:type="pct"/>
            <w:tcBorders>
              <w:top w:val="single" w:color="000000" w:sz="2" w:space="0"/>
              <w:left w:val="single" w:color="000000" w:sz="2" w:space="0"/>
              <w:bottom w:val="single" w:color="000000" w:sz="2" w:space="0"/>
              <w:right w:val="single" w:color="000000" w:sz="2" w:space="0"/>
            </w:tcBorders>
            <w:vAlign w:val="center"/>
          </w:tcPr>
          <w:p w14:paraId="616E5DDA">
            <w:pPr>
              <w:pStyle w:val="37"/>
              <w:adjustRightInd w:val="0"/>
              <w:rPr>
                <w:b/>
                <w:bCs/>
                <w:color w:val="auto"/>
                <w:highlight w:val="none"/>
              </w:rPr>
            </w:pPr>
            <w:r>
              <w:rPr>
                <w:b/>
                <w:bCs/>
                <w:color w:val="auto"/>
                <w:highlight w:val="none"/>
              </w:rPr>
              <w:t>符合性</w:t>
            </w:r>
          </w:p>
        </w:tc>
      </w:tr>
      <w:tr w14:paraId="1B1510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321" w:type="pct"/>
            <w:vMerge w:val="restart"/>
            <w:tcBorders>
              <w:top w:val="single" w:color="000000" w:sz="2" w:space="0"/>
              <w:left w:val="single" w:color="000000" w:sz="2" w:space="0"/>
              <w:bottom w:val="single" w:color="000000" w:sz="2" w:space="0"/>
              <w:right w:val="single" w:color="000000" w:sz="2" w:space="0"/>
            </w:tcBorders>
            <w:vAlign w:val="center"/>
          </w:tcPr>
          <w:p w14:paraId="1C23AFB3">
            <w:pPr>
              <w:pStyle w:val="37"/>
              <w:adjustRightInd w:val="0"/>
              <w:rPr>
                <w:color w:val="auto"/>
                <w:highlight w:val="none"/>
              </w:rPr>
            </w:pPr>
            <w:r>
              <w:rPr>
                <w:rFonts w:eastAsia="仿宋"/>
                <w:color w:val="auto"/>
                <w:sz w:val="24"/>
                <w:highlight w:val="none"/>
              </w:rPr>
              <w:t>沙湾区</w:t>
            </w:r>
          </w:p>
        </w:tc>
        <w:tc>
          <w:tcPr>
            <w:tcW w:w="349" w:type="pct"/>
            <w:vMerge w:val="restart"/>
            <w:tcBorders>
              <w:top w:val="single" w:color="000000" w:sz="2" w:space="0"/>
              <w:left w:val="single" w:color="000000" w:sz="2" w:space="0"/>
              <w:bottom w:val="single" w:color="000000" w:sz="2" w:space="0"/>
              <w:right w:val="single" w:color="000000" w:sz="2" w:space="0"/>
            </w:tcBorders>
            <w:vAlign w:val="center"/>
          </w:tcPr>
          <w:p w14:paraId="201816E2">
            <w:pPr>
              <w:pStyle w:val="37"/>
              <w:adjustRightInd w:val="0"/>
              <w:rPr>
                <w:color w:val="auto"/>
                <w:highlight w:val="none"/>
              </w:rPr>
            </w:pPr>
            <w:r>
              <w:rPr>
                <w:rFonts w:eastAsia="仿宋"/>
                <w:color w:val="auto"/>
                <w:sz w:val="24"/>
                <w:highlight w:val="none"/>
              </w:rPr>
              <w:t>沙湾区</w:t>
            </w:r>
          </w:p>
        </w:tc>
        <w:tc>
          <w:tcPr>
            <w:tcW w:w="511" w:type="pct"/>
            <w:tcBorders>
              <w:top w:val="single" w:color="000000" w:sz="2" w:space="0"/>
              <w:left w:val="single" w:color="000000" w:sz="2" w:space="0"/>
              <w:bottom w:val="single" w:color="000000" w:sz="2" w:space="0"/>
              <w:right w:val="single" w:color="000000" w:sz="2" w:space="0"/>
            </w:tcBorders>
            <w:vAlign w:val="center"/>
          </w:tcPr>
          <w:p w14:paraId="5732A00F">
            <w:pPr>
              <w:pStyle w:val="37"/>
              <w:adjustRightInd w:val="0"/>
              <w:rPr>
                <w:color w:val="auto"/>
                <w:highlight w:val="none"/>
              </w:rPr>
            </w:pPr>
            <w:r>
              <w:rPr>
                <w:color w:val="auto"/>
                <w:highlight w:val="none"/>
              </w:rPr>
              <w:t>空间布局约束</w:t>
            </w:r>
          </w:p>
        </w:tc>
        <w:tc>
          <w:tcPr>
            <w:tcW w:w="2253" w:type="pct"/>
            <w:tcBorders>
              <w:top w:val="single" w:color="000000" w:sz="2" w:space="0"/>
              <w:left w:val="single" w:color="000000" w:sz="2" w:space="0"/>
              <w:bottom w:val="single" w:color="000000" w:sz="2" w:space="0"/>
              <w:right w:val="single" w:color="000000" w:sz="2" w:space="0"/>
            </w:tcBorders>
            <w:vAlign w:val="center"/>
          </w:tcPr>
          <w:p w14:paraId="3DF9061D">
            <w:pPr>
              <w:pStyle w:val="37"/>
              <w:adjustRightInd w:val="0"/>
              <w:jc w:val="both"/>
              <w:rPr>
                <w:rFonts w:hint="eastAsia"/>
                <w:color w:val="auto"/>
                <w:highlight w:val="none"/>
              </w:rPr>
            </w:pPr>
            <w:r>
              <w:rPr>
                <w:rFonts w:hint="eastAsia"/>
                <w:color w:val="auto"/>
                <w:highlight w:val="none"/>
              </w:rPr>
              <w:t>【禁止开发建设活动的要求】</w:t>
            </w:r>
          </w:p>
          <w:p w14:paraId="2C7421C0">
            <w:pPr>
              <w:pStyle w:val="37"/>
              <w:adjustRightInd w:val="0"/>
              <w:jc w:val="both"/>
              <w:rPr>
                <w:rFonts w:hint="eastAsia"/>
                <w:color w:val="auto"/>
                <w:highlight w:val="none"/>
              </w:rPr>
            </w:pPr>
            <w:r>
              <w:rPr>
                <w:rFonts w:hint="eastAsia"/>
                <w:color w:val="auto"/>
                <w:highlight w:val="none"/>
              </w:rPr>
              <w:t>禁止在长江干支流岸线一公里范围内新建、扩建化工园区和化工项目。</w:t>
            </w:r>
          </w:p>
          <w:p w14:paraId="4545B9B5">
            <w:pPr>
              <w:pStyle w:val="37"/>
              <w:adjustRightInd w:val="0"/>
              <w:jc w:val="both"/>
              <w:rPr>
                <w:rFonts w:hint="eastAsia"/>
                <w:color w:val="auto"/>
                <w:highlight w:val="none"/>
              </w:rPr>
            </w:pPr>
            <w:r>
              <w:rPr>
                <w:rFonts w:hint="eastAsia"/>
                <w:color w:val="auto"/>
                <w:highlight w:val="none"/>
              </w:rPr>
              <w:t>【限制开发建设活动的要求】</w:t>
            </w:r>
          </w:p>
          <w:p w14:paraId="46010F13">
            <w:pPr>
              <w:pStyle w:val="37"/>
              <w:adjustRightInd w:val="0"/>
              <w:jc w:val="both"/>
              <w:rPr>
                <w:rFonts w:hint="eastAsia"/>
                <w:color w:val="auto"/>
                <w:highlight w:val="none"/>
              </w:rPr>
            </w:pPr>
            <w:r>
              <w:rPr>
                <w:rFonts w:hint="eastAsia"/>
                <w:color w:val="auto"/>
                <w:highlight w:val="none"/>
              </w:rPr>
              <w:t>1.优化调整产业结构，严格高排放、高能耗项目环境准入要求；</w:t>
            </w:r>
          </w:p>
          <w:p w14:paraId="68768C05">
            <w:pPr>
              <w:pStyle w:val="37"/>
              <w:adjustRightInd w:val="0"/>
              <w:jc w:val="both"/>
              <w:rPr>
                <w:rFonts w:hint="eastAsia" w:eastAsia="宋体"/>
                <w:color w:val="auto"/>
                <w:highlight w:val="none"/>
                <w:lang w:eastAsia="zh-CN"/>
              </w:rPr>
            </w:pPr>
            <w:r>
              <w:rPr>
                <w:rFonts w:hint="eastAsia"/>
                <w:color w:val="auto"/>
                <w:highlight w:val="none"/>
              </w:rPr>
              <w:t>2.禁止违规新增钢铁、水泥等行业产能</w:t>
            </w:r>
            <w:r>
              <w:rPr>
                <w:rFonts w:hint="eastAsia"/>
                <w:color w:val="auto"/>
                <w:highlight w:val="none"/>
                <w:lang w:eastAsia="zh-CN"/>
              </w:rPr>
              <w:t>。</w:t>
            </w:r>
          </w:p>
        </w:tc>
        <w:tc>
          <w:tcPr>
            <w:tcW w:w="1316" w:type="pct"/>
            <w:tcBorders>
              <w:top w:val="single" w:color="000000" w:sz="2" w:space="0"/>
              <w:left w:val="single" w:color="000000" w:sz="2" w:space="0"/>
              <w:bottom w:val="single" w:color="000000" w:sz="2" w:space="0"/>
              <w:right w:val="single" w:color="000000" w:sz="2" w:space="0"/>
            </w:tcBorders>
            <w:vAlign w:val="center"/>
          </w:tcPr>
          <w:p w14:paraId="26E6961A">
            <w:pPr>
              <w:pStyle w:val="37"/>
              <w:adjustRightInd w:val="0"/>
              <w:rPr>
                <w:color w:val="auto"/>
                <w:highlight w:val="none"/>
              </w:rPr>
            </w:pPr>
            <w:r>
              <w:rPr>
                <w:color w:val="auto"/>
                <w:highlight w:val="none"/>
              </w:rPr>
              <w:t>本项目位于四川乐山沙湾经济开发区，园区不属于化工园区，本项目不属于化工项目。本项目不属于高排放、高能耗项目，本项目不属于钢铁、水泥等行业。</w:t>
            </w:r>
          </w:p>
        </w:tc>
        <w:tc>
          <w:tcPr>
            <w:tcW w:w="247" w:type="pct"/>
            <w:tcBorders>
              <w:top w:val="single" w:color="000000" w:sz="2" w:space="0"/>
              <w:left w:val="single" w:color="000000" w:sz="2" w:space="0"/>
              <w:bottom w:val="single" w:color="000000" w:sz="2" w:space="0"/>
              <w:right w:val="single" w:color="000000" w:sz="2" w:space="0"/>
            </w:tcBorders>
            <w:vAlign w:val="center"/>
          </w:tcPr>
          <w:p w14:paraId="771927B4">
            <w:pPr>
              <w:pStyle w:val="37"/>
              <w:adjustRightInd w:val="0"/>
              <w:rPr>
                <w:color w:val="auto"/>
                <w:highlight w:val="none"/>
              </w:rPr>
            </w:pPr>
            <w:r>
              <w:rPr>
                <w:color w:val="auto"/>
                <w:highlight w:val="none"/>
              </w:rPr>
              <w:t>符合</w:t>
            </w:r>
          </w:p>
        </w:tc>
      </w:tr>
      <w:tr w14:paraId="57C3B2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321" w:type="pct"/>
            <w:vMerge w:val="continue"/>
            <w:tcBorders>
              <w:top w:val="single" w:color="000000" w:sz="2" w:space="0"/>
              <w:left w:val="single" w:color="000000" w:sz="2" w:space="0"/>
              <w:bottom w:val="single" w:color="000000" w:sz="2" w:space="0"/>
              <w:right w:val="single" w:color="000000" w:sz="2" w:space="0"/>
            </w:tcBorders>
            <w:vAlign w:val="center"/>
          </w:tcPr>
          <w:p w14:paraId="12246FD5">
            <w:pPr>
              <w:pStyle w:val="37"/>
              <w:adjustRightInd w:val="0"/>
              <w:rPr>
                <w:color w:val="auto"/>
                <w:highlight w:val="none"/>
              </w:rPr>
            </w:pPr>
          </w:p>
        </w:tc>
        <w:tc>
          <w:tcPr>
            <w:tcW w:w="349" w:type="pct"/>
            <w:vMerge w:val="continue"/>
            <w:tcBorders>
              <w:top w:val="single" w:color="000000" w:sz="2" w:space="0"/>
              <w:left w:val="single" w:color="000000" w:sz="2" w:space="0"/>
              <w:bottom w:val="single" w:color="000000" w:sz="2" w:space="0"/>
              <w:right w:val="single" w:color="000000" w:sz="2" w:space="0"/>
            </w:tcBorders>
            <w:vAlign w:val="center"/>
          </w:tcPr>
          <w:p w14:paraId="1AE2FB60">
            <w:pPr>
              <w:pStyle w:val="37"/>
              <w:adjustRightInd w:val="0"/>
              <w:rPr>
                <w:color w:val="auto"/>
                <w:highlight w:val="none"/>
              </w:rPr>
            </w:pPr>
          </w:p>
        </w:tc>
        <w:tc>
          <w:tcPr>
            <w:tcW w:w="511" w:type="pct"/>
            <w:tcBorders>
              <w:top w:val="single" w:color="000000" w:sz="2" w:space="0"/>
              <w:left w:val="single" w:color="000000" w:sz="2" w:space="0"/>
              <w:bottom w:val="single" w:color="000000" w:sz="2" w:space="0"/>
              <w:right w:val="single" w:color="000000" w:sz="2" w:space="0"/>
            </w:tcBorders>
            <w:vAlign w:val="center"/>
          </w:tcPr>
          <w:p w14:paraId="10D23FCF">
            <w:pPr>
              <w:pStyle w:val="37"/>
              <w:adjustRightInd w:val="0"/>
              <w:rPr>
                <w:color w:val="auto"/>
                <w:highlight w:val="none"/>
              </w:rPr>
            </w:pPr>
            <w:r>
              <w:rPr>
                <w:color w:val="auto"/>
                <w:highlight w:val="none"/>
              </w:rPr>
              <w:t>污染物排放管控</w:t>
            </w:r>
          </w:p>
        </w:tc>
        <w:tc>
          <w:tcPr>
            <w:tcW w:w="2253" w:type="pct"/>
            <w:tcBorders>
              <w:top w:val="single" w:color="000000" w:sz="2" w:space="0"/>
              <w:left w:val="single" w:color="000000" w:sz="2" w:space="0"/>
              <w:bottom w:val="single" w:color="000000" w:sz="2" w:space="0"/>
              <w:right w:val="single" w:color="000000" w:sz="2" w:space="0"/>
            </w:tcBorders>
            <w:vAlign w:val="center"/>
          </w:tcPr>
          <w:p w14:paraId="46D46507">
            <w:pPr>
              <w:pStyle w:val="37"/>
              <w:adjustRightInd w:val="0"/>
              <w:jc w:val="both"/>
              <w:rPr>
                <w:rFonts w:hint="eastAsia"/>
                <w:color w:val="auto"/>
                <w:highlight w:val="none"/>
              </w:rPr>
            </w:pPr>
            <w:r>
              <w:rPr>
                <w:rFonts w:hint="eastAsia"/>
                <w:color w:val="auto"/>
                <w:highlight w:val="none"/>
              </w:rPr>
              <w:t>【现有源提标升级改造】</w:t>
            </w:r>
          </w:p>
          <w:p w14:paraId="2540C078">
            <w:pPr>
              <w:pStyle w:val="37"/>
              <w:adjustRightInd w:val="0"/>
              <w:jc w:val="both"/>
              <w:rPr>
                <w:rFonts w:hint="eastAsia"/>
                <w:color w:val="auto"/>
                <w:highlight w:val="none"/>
              </w:rPr>
            </w:pPr>
            <w:r>
              <w:rPr>
                <w:rFonts w:hint="eastAsia"/>
                <w:color w:val="auto"/>
                <w:highlight w:val="none"/>
              </w:rPr>
              <w:t>1.加强区域大气污染治理，禁止违规新增钢铁、水泥等行业产能，推动大气深度治理改造；执行大气污染物特别排放限值。</w:t>
            </w:r>
          </w:p>
          <w:p w14:paraId="0C488DFD">
            <w:pPr>
              <w:pStyle w:val="37"/>
              <w:adjustRightInd w:val="0"/>
              <w:jc w:val="both"/>
              <w:rPr>
                <w:rFonts w:hint="eastAsia"/>
                <w:color w:val="auto"/>
                <w:highlight w:val="none"/>
              </w:rPr>
            </w:pPr>
            <w:r>
              <w:rPr>
                <w:rFonts w:hint="eastAsia"/>
                <w:color w:val="auto"/>
                <w:highlight w:val="none"/>
              </w:rPr>
              <w:t>2.加强非金属矿山生态环境保护，系统推进矿山生态保护修复。</w:t>
            </w:r>
          </w:p>
          <w:p w14:paraId="3CB3B7FC">
            <w:pPr>
              <w:pStyle w:val="37"/>
              <w:adjustRightInd w:val="0"/>
              <w:jc w:val="both"/>
              <w:rPr>
                <w:rFonts w:hint="eastAsia"/>
                <w:color w:val="auto"/>
                <w:highlight w:val="none"/>
              </w:rPr>
            </w:pPr>
            <w:r>
              <w:rPr>
                <w:rFonts w:hint="eastAsia"/>
                <w:color w:val="auto"/>
                <w:highlight w:val="none"/>
              </w:rPr>
              <w:t>【新增源等量或倍量替代】</w:t>
            </w:r>
          </w:p>
          <w:p w14:paraId="69CB61A3">
            <w:pPr>
              <w:pStyle w:val="37"/>
              <w:adjustRightInd w:val="0"/>
              <w:jc w:val="both"/>
              <w:rPr>
                <w:rFonts w:hint="eastAsia"/>
                <w:color w:val="auto"/>
                <w:highlight w:val="none"/>
              </w:rPr>
            </w:pPr>
            <w:r>
              <w:rPr>
                <w:rFonts w:hint="eastAsia"/>
                <w:color w:val="auto"/>
                <w:highlight w:val="none"/>
              </w:rPr>
              <w:t>1.加强城乡生态环境保护基础设施建设；</w:t>
            </w:r>
          </w:p>
          <w:p w14:paraId="0C4C0A70">
            <w:pPr>
              <w:pStyle w:val="37"/>
              <w:adjustRightInd w:val="0"/>
              <w:jc w:val="both"/>
              <w:rPr>
                <w:rFonts w:hint="eastAsia"/>
                <w:color w:val="auto"/>
                <w:highlight w:val="none"/>
              </w:rPr>
            </w:pPr>
            <w:r>
              <w:rPr>
                <w:rFonts w:hint="eastAsia"/>
                <w:color w:val="auto"/>
                <w:highlight w:val="none"/>
              </w:rPr>
              <w:t>2.纸浆造纸行业参考执行其行业资源环境绩效指标准入要求。</w:t>
            </w:r>
          </w:p>
          <w:p w14:paraId="7FB69E82">
            <w:pPr>
              <w:pStyle w:val="37"/>
              <w:adjustRightInd w:val="0"/>
              <w:jc w:val="both"/>
              <w:rPr>
                <w:rFonts w:hint="eastAsia"/>
                <w:color w:val="auto"/>
                <w:highlight w:val="none"/>
              </w:rPr>
            </w:pPr>
            <w:r>
              <w:rPr>
                <w:rFonts w:hint="eastAsia"/>
                <w:color w:val="auto"/>
                <w:highlight w:val="none"/>
              </w:rPr>
              <w:t>【污染物排放绩效水平准入要求】</w:t>
            </w:r>
          </w:p>
          <w:p w14:paraId="67EBD6A0">
            <w:pPr>
              <w:pStyle w:val="37"/>
              <w:adjustRightInd w:val="0"/>
              <w:jc w:val="both"/>
              <w:rPr>
                <w:color w:val="auto"/>
                <w:highlight w:val="none"/>
              </w:rPr>
            </w:pPr>
            <w:r>
              <w:rPr>
                <w:rFonts w:hint="eastAsia"/>
                <w:color w:val="auto"/>
                <w:highlight w:val="none"/>
              </w:rPr>
              <w:t>加强大渡河良好水体保护，严格控制大渡河流域新建、扩建水环境风险突出项目。</w:t>
            </w:r>
          </w:p>
        </w:tc>
        <w:tc>
          <w:tcPr>
            <w:tcW w:w="1316" w:type="pct"/>
            <w:tcBorders>
              <w:top w:val="single" w:color="000000" w:sz="2" w:space="0"/>
              <w:left w:val="single" w:color="000000" w:sz="2" w:space="0"/>
              <w:bottom w:val="single" w:color="000000" w:sz="2" w:space="0"/>
              <w:right w:val="single" w:color="000000" w:sz="2" w:space="0"/>
            </w:tcBorders>
            <w:vAlign w:val="center"/>
          </w:tcPr>
          <w:p w14:paraId="5D95B76D">
            <w:pPr>
              <w:pStyle w:val="37"/>
              <w:adjustRightInd w:val="0"/>
              <w:rPr>
                <w:color w:val="auto"/>
                <w:highlight w:val="none"/>
              </w:rPr>
            </w:pPr>
            <w:r>
              <w:rPr>
                <w:color w:val="auto"/>
                <w:highlight w:val="none"/>
              </w:rPr>
              <w:t>本项目不属于钢铁、水泥等行业。本项目</w:t>
            </w:r>
            <w:r>
              <w:rPr>
                <w:rFonts w:hint="eastAsia"/>
                <w:color w:val="auto"/>
                <w:highlight w:val="none"/>
              </w:rPr>
              <w:t>执行</w:t>
            </w:r>
            <w:r>
              <w:rPr>
                <w:color w:val="auto"/>
                <w:highlight w:val="none"/>
              </w:rPr>
              <w:t>大气污染物特别排放限值。本项目不涉及矿山。</w:t>
            </w:r>
          </w:p>
          <w:p w14:paraId="159BA2ED">
            <w:pPr>
              <w:pStyle w:val="37"/>
              <w:adjustRightInd w:val="0"/>
              <w:rPr>
                <w:color w:val="auto"/>
                <w:highlight w:val="none"/>
              </w:rPr>
            </w:pPr>
            <w:r>
              <w:rPr>
                <w:color w:val="auto"/>
                <w:highlight w:val="none"/>
              </w:rPr>
              <w:t>本项目不属于纸浆造纸行业。</w:t>
            </w:r>
          </w:p>
          <w:p w14:paraId="53AAC1BD">
            <w:pPr>
              <w:pStyle w:val="37"/>
              <w:adjustRightInd w:val="0"/>
              <w:rPr>
                <w:color w:val="auto"/>
                <w:highlight w:val="none"/>
              </w:rPr>
            </w:pPr>
            <w:r>
              <w:rPr>
                <w:color w:val="auto"/>
                <w:highlight w:val="none"/>
              </w:rPr>
              <w:t>本项目不属于水环境风险突出项目。</w:t>
            </w:r>
          </w:p>
        </w:tc>
        <w:tc>
          <w:tcPr>
            <w:tcW w:w="247" w:type="pct"/>
            <w:tcBorders>
              <w:top w:val="single" w:color="000000" w:sz="2" w:space="0"/>
              <w:left w:val="single" w:color="000000" w:sz="2" w:space="0"/>
              <w:bottom w:val="single" w:color="000000" w:sz="2" w:space="0"/>
              <w:right w:val="single" w:color="000000" w:sz="2" w:space="0"/>
            </w:tcBorders>
            <w:vAlign w:val="center"/>
          </w:tcPr>
          <w:p w14:paraId="58D75423">
            <w:pPr>
              <w:pStyle w:val="37"/>
              <w:adjustRightInd w:val="0"/>
              <w:rPr>
                <w:color w:val="auto"/>
                <w:highlight w:val="none"/>
              </w:rPr>
            </w:pPr>
            <w:r>
              <w:rPr>
                <w:color w:val="auto"/>
                <w:highlight w:val="none"/>
              </w:rPr>
              <w:t>符合</w:t>
            </w:r>
          </w:p>
        </w:tc>
      </w:tr>
      <w:tr w14:paraId="047B75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321" w:type="pct"/>
            <w:vMerge w:val="continue"/>
            <w:tcBorders>
              <w:top w:val="single" w:color="000000" w:sz="2" w:space="0"/>
              <w:left w:val="single" w:color="000000" w:sz="2" w:space="0"/>
              <w:bottom w:val="single" w:color="000000" w:sz="2" w:space="0"/>
              <w:right w:val="single" w:color="000000" w:sz="2" w:space="0"/>
            </w:tcBorders>
            <w:vAlign w:val="center"/>
          </w:tcPr>
          <w:p w14:paraId="09AF7EDA">
            <w:pPr>
              <w:pStyle w:val="37"/>
              <w:adjustRightInd w:val="0"/>
              <w:rPr>
                <w:color w:val="auto"/>
                <w:highlight w:val="none"/>
              </w:rPr>
            </w:pPr>
          </w:p>
        </w:tc>
        <w:tc>
          <w:tcPr>
            <w:tcW w:w="349" w:type="pct"/>
            <w:vMerge w:val="continue"/>
            <w:tcBorders>
              <w:top w:val="single" w:color="000000" w:sz="2" w:space="0"/>
              <w:left w:val="single" w:color="000000" w:sz="2" w:space="0"/>
              <w:bottom w:val="single" w:color="000000" w:sz="2" w:space="0"/>
              <w:right w:val="single" w:color="000000" w:sz="2" w:space="0"/>
            </w:tcBorders>
            <w:vAlign w:val="center"/>
          </w:tcPr>
          <w:p w14:paraId="2CA227E5">
            <w:pPr>
              <w:pStyle w:val="37"/>
              <w:adjustRightInd w:val="0"/>
              <w:rPr>
                <w:color w:val="auto"/>
                <w:highlight w:val="none"/>
              </w:rPr>
            </w:pPr>
          </w:p>
        </w:tc>
        <w:tc>
          <w:tcPr>
            <w:tcW w:w="511" w:type="pct"/>
            <w:tcBorders>
              <w:top w:val="single" w:color="000000" w:sz="2" w:space="0"/>
              <w:left w:val="single" w:color="000000" w:sz="2" w:space="0"/>
              <w:bottom w:val="single" w:color="000000" w:sz="2" w:space="0"/>
              <w:right w:val="single" w:color="000000" w:sz="2" w:space="0"/>
            </w:tcBorders>
            <w:vAlign w:val="center"/>
          </w:tcPr>
          <w:p w14:paraId="63E14698">
            <w:pPr>
              <w:pStyle w:val="37"/>
              <w:adjustRightInd w:val="0"/>
              <w:rPr>
                <w:color w:val="auto"/>
                <w:highlight w:val="none"/>
              </w:rPr>
            </w:pPr>
            <w:r>
              <w:rPr>
                <w:color w:val="auto"/>
                <w:highlight w:val="none"/>
              </w:rPr>
              <w:t>环境风险防控</w:t>
            </w:r>
          </w:p>
        </w:tc>
        <w:tc>
          <w:tcPr>
            <w:tcW w:w="2253" w:type="pct"/>
            <w:tcBorders>
              <w:top w:val="single" w:color="000000" w:sz="2" w:space="0"/>
              <w:left w:val="single" w:color="000000" w:sz="2" w:space="0"/>
              <w:bottom w:val="single" w:color="000000" w:sz="2" w:space="0"/>
              <w:right w:val="single" w:color="000000" w:sz="2" w:space="0"/>
            </w:tcBorders>
            <w:vAlign w:val="center"/>
          </w:tcPr>
          <w:p w14:paraId="545E1D38">
            <w:pPr>
              <w:pStyle w:val="37"/>
              <w:adjustRightInd w:val="0"/>
              <w:rPr>
                <w:color w:val="auto"/>
                <w:highlight w:val="none"/>
              </w:rPr>
            </w:pPr>
            <w:r>
              <w:rPr>
                <w:color w:val="auto"/>
                <w:highlight w:val="none"/>
              </w:rPr>
              <w:t>/</w:t>
            </w:r>
          </w:p>
        </w:tc>
        <w:tc>
          <w:tcPr>
            <w:tcW w:w="1316" w:type="pct"/>
            <w:tcBorders>
              <w:top w:val="single" w:color="000000" w:sz="2" w:space="0"/>
              <w:left w:val="single" w:color="000000" w:sz="2" w:space="0"/>
              <w:bottom w:val="single" w:color="000000" w:sz="2" w:space="0"/>
              <w:right w:val="single" w:color="000000" w:sz="2" w:space="0"/>
            </w:tcBorders>
            <w:vAlign w:val="center"/>
          </w:tcPr>
          <w:p w14:paraId="3993CBAE">
            <w:pPr>
              <w:pStyle w:val="37"/>
              <w:adjustRightInd w:val="0"/>
              <w:rPr>
                <w:color w:val="auto"/>
                <w:highlight w:val="none"/>
              </w:rPr>
            </w:pPr>
            <w:r>
              <w:rPr>
                <w:color w:val="auto"/>
                <w:highlight w:val="none"/>
              </w:rPr>
              <w:t>/</w:t>
            </w:r>
          </w:p>
        </w:tc>
        <w:tc>
          <w:tcPr>
            <w:tcW w:w="247" w:type="pct"/>
            <w:tcBorders>
              <w:top w:val="single" w:color="000000" w:sz="2" w:space="0"/>
              <w:left w:val="single" w:color="000000" w:sz="2" w:space="0"/>
              <w:bottom w:val="single" w:color="000000" w:sz="2" w:space="0"/>
              <w:right w:val="single" w:color="000000" w:sz="2" w:space="0"/>
            </w:tcBorders>
            <w:vAlign w:val="center"/>
          </w:tcPr>
          <w:p w14:paraId="75F99FFC">
            <w:pPr>
              <w:pStyle w:val="37"/>
              <w:adjustRightInd w:val="0"/>
              <w:rPr>
                <w:color w:val="auto"/>
                <w:highlight w:val="none"/>
              </w:rPr>
            </w:pPr>
            <w:r>
              <w:rPr>
                <w:color w:val="auto"/>
                <w:highlight w:val="none"/>
              </w:rPr>
              <w:t>/</w:t>
            </w:r>
          </w:p>
        </w:tc>
      </w:tr>
      <w:tr w14:paraId="55682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321" w:type="pct"/>
            <w:vMerge w:val="continue"/>
            <w:tcBorders>
              <w:top w:val="single" w:color="000000" w:sz="2" w:space="0"/>
              <w:left w:val="single" w:color="000000" w:sz="2" w:space="0"/>
              <w:bottom w:val="single" w:color="000000" w:sz="2" w:space="0"/>
              <w:right w:val="single" w:color="000000" w:sz="2" w:space="0"/>
            </w:tcBorders>
            <w:vAlign w:val="center"/>
          </w:tcPr>
          <w:p w14:paraId="0F4CA3C3">
            <w:pPr>
              <w:pStyle w:val="37"/>
              <w:adjustRightInd w:val="0"/>
              <w:rPr>
                <w:color w:val="auto"/>
                <w:highlight w:val="none"/>
              </w:rPr>
            </w:pPr>
          </w:p>
        </w:tc>
        <w:tc>
          <w:tcPr>
            <w:tcW w:w="349" w:type="pct"/>
            <w:vMerge w:val="continue"/>
            <w:tcBorders>
              <w:top w:val="single" w:color="000000" w:sz="2" w:space="0"/>
              <w:left w:val="single" w:color="000000" w:sz="2" w:space="0"/>
              <w:bottom w:val="single" w:color="000000" w:sz="2" w:space="0"/>
              <w:right w:val="single" w:color="000000" w:sz="2" w:space="0"/>
            </w:tcBorders>
            <w:vAlign w:val="center"/>
          </w:tcPr>
          <w:p w14:paraId="0A332F15">
            <w:pPr>
              <w:pStyle w:val="37"/>
              <w:adjustRightInd w:val="0"/>
              <w:rPr>
                <w:color w:val="auto"/>
                <w:highlight w:val="none"/>
              </w:rPr>
            </w:pPr>
          </w:p>
        </w:tc>
        <w:tc>
          <w:tcPr>
            <w:tcW w:w="511" w:type="pct"/>
            <w:tcBorders>
              <w:top w:val="single" w:color="000000" w:sz="2" w:space="0"/>
              <w:left w:val="single" w:color="000000" w:sz="2" w:space="0"/>
              <w:bottom w:val="single" w:color="000000" w:sz="2" w:space="0"/>
              <w:right w:val="single" w:color="000000" w:sz="2" w:space="0"/>
            </w:tcBorders>
            <w:vAlign w:val="center"/>
          </w:tcPr>
          <w:p w14:paraId="68A1F7CB">
            <w:pPr>
              <w:pStyle w:val="37"/>
              <w:adjustRightInd w:val="0"/>
              <w:rPr>
                <w:color w:val="auto"/>
                <w:highlight w:val="none"/>
              </w:rPr>
            </w:pPr>
            <w:r>
              <w:rPr>
                <w:color w:val="auto"/>
                <w:highlight w:val="none"/>
              </w:rPr>
              <w:t>资源开发利用效率要求</w:t>
            </w:r>
          </w:p>
        </w:tc>
        <w:tc>
          <w:tcPr>
            <w:tcW w:w="2253" w:type="pct"/>
            <w:tcBorders>
              <w:top w:val="single" w:color="000000" w:sz="2" w:space="0"/>
              <w:left w:val="single" w:color="000000" w:sz="2" w:space="0"/>
              <w:bottom w:val="single" w:color="000000" w:sz="2" w:space="0"/>
              <w:right w:val="single" w:color="000000" w:sz="2" w:space="0"/>
            </w:tcBorders>
            <w:vAlign w:val="center"/>
          </w:tcPr>
          <w:p w14:paraId="28AC054F">
            <w:pPr>
              <w:pStyle w:val="37"/>
              <w:adjustRightInd w:val="0"/>
              <w:rPr>
                <w:color w:val="auto"/>
                <w:highlight w:val="none"/>
              </w:rPr>
            </w:pPr>
            <w:r>
              <w:rPr>
                <w:color w:val="auto"/>
                <w:highlight w:val="none"/>
              </w:rPr>
              <w:t>/</w:t>
            </w:r>
          </w:p>
        </w:tc>
        <w:tc>
          <w:tcPr>
            <w:tcW w:w="1316" w:type="pct"/>
            <w:tcBorders>
              <w:top w:val="single" w:color="000000" w:sz="2" w:space="0"/>
              <w:left w:val="single" w:color="000000" w:sz="2" w:space="0"/>
              <w:bottom w:val="single" w:color="000000" w:sz="2" w:space="0"/>
              <w:right w:val="single" w:color="000000" w:sz="2" w:space="0"/>
            </w:tcBorders>
            <w:vAlign w:val="center"/>
          </w:tcPr>
          <w:p w14:paraId="6A546404">
            <w:pPr>
              <w:pStyle w:val="37"/>
              <w:adjustRightInd w:val="0"/>
              <w:rPr>
                <w:color w:val="auto"/>
                <w:highlight w:val="none"/>
              </w:rPr>
            </w:pPr>
            <w:r>
              <w:rPr>
                <w:color w:val="auto"/>
                <w:highlight w:val="none"/>
              </w:rPr>
              <w:t>/</w:t>
            </w:r>
          </w:p>
        </w:tc>
        <w:tc>
          <w:tcPr>
            <w:tcW w:w="247" w:type="pct"/>
            <w:tcBorders>
              <w:top w:val="single" w:color="000000" w:sz="2" w:space="0"/>
              <w:left w:val="single" w:color="000000" w:sz="2" w:space="0"/>
              <w:bottom w:val="single" w:color="000000" w:sz="2" w:space="0"/>
              <w:right w:val="single" w:color="000000" w:sz="2" w:space="0"/>
            </w:tcBorders>
            <w:vAlign w:val="center"/>
          </w:tcPr>
          <w:p w14:paraId="428DCFC2">
            <w:pPr>
              <w:pStyle w:val="37"/>
              <w:adjustRightInd w:val="0"/>
              <w:rPr>
                <w:color w:val="auto"/>
                <w:highlight w:val="none"/>
              </w:rPr>
            </w:pPr>
            <w:r>
              <w:rPr>
                <w:color w:val="auto"/>
                <w:highlight w:val="none"/>
              </w:rPr>
              <w:t>/</w:t>
            </w:r>
          </w:p>
        </w:tc>
      </w:tr>
    </w:tbl>
    <w:p w14:paraId="18522369">
      <w:pPr>
        <w:adjustRightInd w:val="0"/>
        <w:ind w:firstLine="480"/>
        <w:rPr>
          <w:rFonts w:cs="Times New Roman"/>
          <w:color w:val="auto"/>
          <w:highlight w:val="none"/>
        </w:rPr>
      </w:pPr>
      <w:r>
        <w:rPr>
          <w:rFonts w:cs="Times New Roman"/>
          <w:color w:val="auto"/>
          <w:highlight w:val="none"/>
        </w:rPr>
        <w:t>1.3 环境管控单元准入清单</w:t>
      </w:r>
    </w:p>
    <w:p w14:paraId="22251EFB">
      <w:pPr>
        <w:pStyle w:val="90"/>
        <w:numPr>
          <w:ilvl w:val="0"/>
          <w:numId w:val="0"/>
        </w:numPr>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31</w:t>
      </w:r>
      <w:r>
        <w:rPr>
          <w:rFonts w:cs="Times New Roman"/>
          <w:color w:val="auto"/>
          <w:highlight w:val="none"/>
        </w:rPr>
        <w:fldChar w:fldCharType="end"/>
      </w:r>
      <w:r>
        <w:rPr>
          <w:rFonts w:cs="Times New Roman"/>
          <w:color w:val="auto"/>
          <w:highlight w:val="none"/>
        </w:rPr>
        <w:t>环境管控单元准入清单</w:t>
      </w:r>
    </w:p>
    <w:tbl>
      <w:tblPr>
        <w:tblStyle w:val="31"/>
        <w:tblW w:w="4998"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781"/>
        <w:gridCol w:w="641"/>
        <w:gridCol w:w="730"/>
        <w:gridCol w:w="730"/>
        <w:gridCol w:w="806"/>
        <w:gridCol w:w="4316"/>
        <w:gridCol w:w="3382"/>
        <w:gridCol w:w="1586"/>
      </w:tblGrid>
      <w:tr w14:paraId="2D55D7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blHeader/>
        </w:trPr>
        <w:tc>
          <w:tcPr>
            <w:tcW w:w="637" w:type="pct"/>
            <w:tcBorders>
              <w:top w:val="single" w:color="000000" w:sz="2" w:space="0"/>
              <w:left w:val="single" w:color="000000" w:sz="2" w:space="0"/>
              <w:bottom w:val="single" w:color="000000" w:sz="2" w:space="0"/>
              <w:right w:val="single" w:color="000000" w:sz="2" w:space="0"/>
            </w:tcBorders>
            <w:vAlign w:val="center"/>
          </w:tcPr>
          <w:p w14:paraId="052240A1">
            <w:pPr>
              <w:pStyle w:val="37"/>
              <w:adjustRightInd w:val="0"/>
              <w:rPr>
                <w:b/>
                <w:bCs/>
                <w:color w:val="auto"/>
                <w:highlight w:val="none"/>
              </w:rPr>
            </w:pPr>
            <w:r>
              <w:rPr>
                <w:b/>
                <w:bCs/>
                <w:color w:val="auto"/>
                <w:highlight w:val="none"/>
              </w:rPr>
              <w:t>环境管控单元编码</w:t>
            </w:r>
          </w:p>
        </w:tc>
        <w:tc>
          <w:tcPr>
            <w:tcW w:w="229" w:type="pct"/>
            <w:tcBorders>
              <w:top w:val="single" w:color="000000" w:sz="2" w:space="0"/>
              <w:left w:val="single" w:color="000000" w:sz="2" w:space="0"/>
              <w:bottom w:val="single" w:color="000000" w:sz="2" w:space="0"/>
              <w:right w:val="single" w:color="000000" w:sz="2" w:space="0"/>
            </w:tcBorders>
            <w:vAlign w:val="center"/>
          </w:tcPr>
          <w:p w14:paraId="0E1611DF">
            <w:pPr>
              <w:pStyle w:val="37"/>
              <w:adjustRightInd w:val="0"/>
              <w:rPr>
                <w:b/>
                <w:bCs/>
                <w:color w:val="auto"/>
                <w:highlight w:val="none"/>
              </w:rPr>
            </w:pPr>
            <w:r>
              <w:rPr>
                <w:b/>
                <w:bCs/>
                <w:color w:val="auto"/>
                <w:highlight w:val="none"/>
              </w:rPr>
              <w:t>环境管控单元名称</w:t>
            </w:r>
          </w:p>
        </w:tc>
        <w:tc>
          <w:tcPr>
            <w:tcW w:w="261" w:type="pct"/>
            <w:tcBorders>
              <w:top w:val="single" w:color="000000" w:sz="2" w:space="0"/>
              <w:left w:val="single" w:color="000000" w:sz="2" w:space="0"/>
              <w:bottom w:val="single" w:color="000000" w:sz="2" w:space="0"/>
              <w:right w:val="single" w:color="000000" w:sz="2" w:space="0"/>
            </w:tcBorders>
            <w:vAlign w:val="center"/>
          </w:tcPr>
          <w:p w14:paraId="7FB84005">
            <w:pPr>
              <w:pStyle w:val="37"/>
              <w:adjustRightInd w:val="0"/>
              <w:rPr>
                <w:b/>
                <w:bCs/>
                <w:color w:val="auto"/>
                <w:highlight w:val="none"/>
              </w:rPr>
            </w:pPr>
            <w:r>
              <w:rPr>
                <w:b/>
                <w:bCs/>
                <w:color w:val="auto"/>
                <w:highlight w:val="none"/>
              </w:rPr>
              <w:t>管控单元类型</w:t>
            </w:r>
          </w:p>
        </w:tc>
        <w:tc>
          <w:tcPr>
            <w:tcW w:w="261" w:type="pct"/>
            <w:tcBorders>
              <w:top w:val="single" w:color="000000" w:sz="2" w:space="0"/>
              <w:left w:val="single" w:color="000000" w:sz="2" w:space="0"/>
              <w:bottom w:val="single" w:color="000000" w:sz="2" w:space="0"/>
              <w:right w:val="single" w:color="000000" w:sz="2" w:space="0"/>
            </w:tcBorders>
            <w:vAlign w:val="center"/>
          </w:tcPr>
          <w:p w14:paraId="5A7CFFDE">
            <w:pPr>
              <w:pStyle w:val="37"/>
              <w:adjustRightInd w:val="0"/>
              <w:rPr>
                <w:b/>
                <w:bCs/>
                <w:color w:val="auto"/>
                <w:highlight w:val="none"/>
              </w:rPr>
            </w:pPr>
            <w:r>
              <w:rPr>
                <w:b/>
                <w:bCs/>
                <w:color w:val="auto"/>
                <w:highlight w:val="none"/>
              </w:rPr>
              <w:t>所属县区</w:t>
            </w:r>
          </w:p>
        </w:tc>
        <w:tc>
          <w:tcPr>
            <w:tcW w:w="288" w:type="pct"/>
            <w:tcBorders>
              <w:top w:val="single" w:color="000000" w:sz="2" w:space="0"/>
              <w:left w:val="single" w:color="000000" w:sz="2" w:space="0"/>
              <w:bottom w:val="single" w:color="000000" w:sz="2" w:space="0"/>
              <w:right w:val="single" w:color="000000" w:sz="2" w:space="0"/>
            </w:tcBorders>
            <w:vAlign w:val="center"/>
          </w:tcPr>
          <w:p w14:paraId="0870D1D3">
            <w:pPr>
              <w:pStyle w:val="37"/>
              <w:adjustRightInd w:val="0"/>
              <w:rPr>
                <w:b/>
                <w:bCs/>
                <w:color w:val="auto"/>
                <w:highlight w:val="none"/>
              </w:rPr>
            </w:pPr>
            <w:r>
              <w:rPr>
                <w:b/>
                <w:bCs/>
                <w:color w:val="auto"/>
                <w:highlight w:val="none"/>
              </w:rPr>
              <w:t>管控类别</w:t>
            </w:r>
          </w:p>
        </w:tc>
        <w:tc>
          <w:tcPr>
            <w:tcW w:w="1543" w:type="pct"/>
            <w:tcBorders>
              <w:top w:val="single" w:color="000000" w:sz="2" w:space="0"/>
              <w:left w:val="single" w:color="000000" w:sz="2" w:space="0"/>
              <w:bottom w:val="single" w:color="000000" w:sz="2" w:space="0"/>
              <w:right w:val="single" w:color="000000" w:sz="2" w:space="0"/>
            </w:tcBorders>
            <w:vAlign w:val="center"/>
          </w:tcPr>
          <w:p w14:paraId="6B2E4DE3">
            <w:pPr>
              <w:pStyle w:val="37"/>
              <w:adjustRightInd w:val="0"/>
              <w:rPr>
                <w:b/>
                <w:bCs/>
                <w:color w:val="auto"/>
                <w:highlight w:val="none"/>
              </w:rPr>
            </w:pPr>
            <w:r>
              <w:rPr>
                <w:b/>
                <w:bCs/>
                <w:color w:val="auto"/>
                <w:highlight w:val="none"/>
              </w:rPr>
              <w:t>单元特性管控要求</w:t>
            </w:r>
          </w:p>
        </w:tc>
        <w:tc>
          <w:tcPr>
            <w:tcW w:w="1209" w:type="pct"/>
            <w:tcBorders>
              <w:top w:val="single" w:color="000000" w:sz="2" w:space="0"/>
              <w:left w:val="single" w:color="000000" w:sz="2" w:space="0"/>
              <w:bottom w:val="single" w:color="000000" w:sz="2" w:space="0"/>
              <w:right w:val="single" w:color="000000" w:sz="2" w:space="0"/>
            </w:tcBorders>
            <w:vAlign w:val="center"/>
          </w:tcPr>
          <w:p w14:paraId="6A6EED2E">
            <w:pPr>
              <w:pStyle w:val="37"/>
              <w:adjustRightInd w:val="0"/>
              <w:rPr>
                <w:b/>
                <w:bCs/>
                <w:color w:val="auto"/>
                <w:highlight w:val="none"/>
              </w:rPr>
            </w:pPr>
            <w:r>
              <w:rPr>
                <w:b/>
                <w:bCs/>
                <w:color w:val="auto"/>
                <w:highlight w:val="none"/>
              </w:rPr>
              <w:t>本项目情况</w:t>
            </w:r>
          </w:p>
        </w:tc>
        <w:tc>
          <w:tcPr>
            <w:tcW w:w="567" w:type="pct"/>
            <w:tcBorders>
              <w:top w:val="single" w:color="000000" w:sz="2" w:space="0"/>
              <w:left w:val="single" w:color="000000" w:sz="2" w:space="0"/>
              <w:bottom w:val="single" w:color="000000" w:sz="2" w:space="0"/>
              <w:right w:val="single" w:color="000000" w:sz="2" w:space="0"/>
            </w:tcBorders>
            <w:vAlign w:val="center"/>
          </w:tcPr>
          <w:p w14:paraId="3C8DF752">
            <w:pPr>
              <w:pStyle w:val="37"/>
              <w:adjustRightInd w:val="0"/>
              <w:rPr>
                <w:b/>
                <w:bCs/>
                <w:color w:val="auto"/>
                <w:highlight w:val="none"/>
              </w:rPr>
            </w:pPr>
            <w:r>
              <w:rPr>
                <w:b/>
                <w:bCs/>
                <w:color w:val="auto"/>
                <w:highlight w:val="none"/>
              </w:rPr>
              <w:t>符合性</w:t>
            </w:r>
          </w:p>
        </w:tc>
      </w:tr>
      <w:tr w14:paraId="4E4EF7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37" w:type="pct"/>
            <w:vMerge w:val="restart"/>
            <w:tcBorders>
              <w:top w:val="single" w:color="000000" w:sz="2" w:space="0"/>
              <w:left w:val="single" w:color="000000" w:sz="2" w:space="0"/>
              <w:bottom w:val="single" w:color="000000" w:sz="2" w:space="0"/>
              <w:right w:val="single" w:color="000000" w:sz="2" w:space="0"/>
            </w:tcBorders>
            <w:vAlign w:val="center"/>
          </w:tcPr>
          <w:p w14:paraId="51284539">
            <w:pPr>
              <w:pStyle w:val="37"/>
              <w:adjustRightInd w:val="0"/>
              <w:rPr>
                <w:color w:val="auto"/>
                <w:highlight w:val="none"/>
              </w:rPr>
            </w:pPr>
            <w:r>
              <w:rPr>
                <w:color w:val="auto"/>
                <w:highlight w:val="none"/>
              </w:rPr>
              <w:t>ZH51111120002</w:t>
            </w:r>
          </w:p>
        </w:tc>
        <w:tc>
          <w:tcPr>
            <w:tcW w:w="229" w:type="pct"/>
            <w:vMerge w:val="restart"/>
            <w:tcBorders>
              <w:top w:val="single" w:color="000000" w:sz="2" w:space="0"/>
              <w:left w:val="single" w:color="000000" w:sz="2" w:space="0"/>
              <w:bottom w:val="single" w:color="000000" w:sz="2" w:space="0"/>
              <w:right w:val="single" w:color="000000" w:sz="2" w:space="0"/>
            </w:tcBorders>
            <w:vAlign w:val="center"/>
          </w:tcPr>
          <w:p w14:paraId="10F46F55">
            <w:pPr>
              <w:pStyle w:val="37"/>
              <w:adjustRightInd w:val="0"/>
              <w:rPr>
                <w:color w:val="auto"/>
                <w:highlight w:val="none"/>
              </w:rPr>
            </w:pPr>
            <w:r>
              <w:rPr>
                <w:color w:val="auto"/>
                <w:highlight w:val="none"/>
              </w:rPr>
              <w:t>四川乐山沙湾经济开发区</w:t>
            </w:r>
          </w:p>
        </w:tc>
        <w:tc>
          <w:tcPr>
            <w:tcW w:w="261" w:type="pct"/>
            <w:vMerge w:val="restart"/>
            <w:tcBorders>
              <w:top w:val="single" w:color="000000" w:sz="2" w:space="0"/>
              <w:left w:val="single" w:color="000000" w:sz="2" w:space="0"/>
              <w:bottom w:val="single" w:color="000000" w:sz="2" w:space="0"/>
              <w:right w:val="single" w:color="000000" w:sz="2" w:space="0"/>
            </w:tcBorders>
            <w:vAlign w:val="center"/>
          </w:tcPr>
          <w:p w14:paraId="0C5FB845">
            <w:pPr>
              <w:pStyle w:val="37"/>
              <w:adjustRightInd w:val="0"/>
              <w:rPr>
                <w:color w:val="auto"/>
                <w:highlight w:val="none"/>
              </w:rPr>
            </w:pPr>
            <w:r>
              <w:rPr>
                <w:color w:val="auto"/>
                <w:highlight w:val="none"/>
              </w:rPr>
              <w:t>重点管控单元</w:t>
            </w:r>
          </w:p>
        </w:tc>
        <w:tc>
          <w:tcPr>
            <w:tcW w:w="261" w:type="pct"/>
            <w:vMerge w:val="restart"/>
            <w:tcBorders>
              <w:top w:val="single" w:color="000000" w:sz="2" w:space="0"/>
              <w:left w:val="single" w:color="000000" w:sz="2" w:space="0"/>
              <w:bottom w:val="single" w:color="000000" w:sz="2" w:space="0"/>
              <w:right w:val="single" w:color="000000" w:sz="2" w:space="0"/>
            </w:tcBorders>
            <w:vAlign w:val="center"/>
          </w:tcPr>
          <w:p w14:paraId="4F2CDEDF">
            <w:pPr>
              <w:pStyle w:val="37"/>
              <w:adjustRightInd w:val="0"/>
              <w:rPr>
                <w:color w:val="auto"/>
                <w:highlight w:val="none"/>
              </w:rPr>
            </w:pPr>
            <w:r>
              <w:rPr>
                <w:color w:val="auto"/>
                <w:highlight w:val="none"/>
              </w:rPr>
              <w:t>乐山市沙湾区</w:t>
            </w:r>
          </w:p>
        </w:tc>
        <w:tc>
          <w:tcPr>
            <w:tcW w:w="288" w:type="pct"/>
            <w:tcBorders>
              <w:top w:val="single" w:color="000000" w:sz="2" w:space="0"/>
              <w:left w:val="single" w:color="000000" w:sz="2" w:space="0"/>
              <w:bottom w:val="single" w:color="000000" w:sz="2" w:space="0"/>
              <w:right w:val="single" w:color="000000" w:sz="2" w:space="0"/>
            </w:tcBorders>
            <w:vAlign w:val="center"/>
          </w:tcPr>
          <w:p w14:paraId="076EE682">
            <w:pPr>
              <w:pStyle w:val="37"/>
              <w:adjustRightInd w:val="0"/>
              <w:rPr>
                <w:color w:val="auto"/>
                <w:highlight w:val="none"/>
              </w:rPr>
            </w:pPr>
            <w:r>
              <w:rPr>
                <w:color w:val="auto"/>
                <w:highlight w:val="none"/>
              </w:rPr>
              <w:t>空间布局约束</w:t>
            </w:r>
          </w:p>
        </w:tc>
        <w:tc>
          <w:tcPr>
            <w:tcW w:w="1543" w:type="pct"/>
            <w:tcBorders>
              <w:top w:val="single" w:color="000000" w:sz="2" w:space="0"/>
              <w:left w:val="single" w:color="000000" w:sz="2" w:space="0"/>
              <w:bottom w:val="single" w:color="000000" w:sz="2" w:space="0"/>
              <w:right w:val="single" w:color="000000" w:sz="2" w:space="0"/>
            </w:tcBorders>
            <w:vAlign w:val="center"/>
          </w:tcPr>
          <w:p w14:paraId="62CCB695">
            <w:pPr>
              <w:pStyle w:val="37"/>
              <w:adjustRightInd w:val="0"/>
              <w:jc w:val="both"/>
              <w:rPr>
                <w:rFonts w:hint="eastAsia"/>
                <w:color w:val="auto"/>
                <w:highlight w:val="none"/>
              </w:rPr>
            </w:pPr>
            <w:r>
              <w:rPr>
                <w:rFonts w:hint="eastAsia"/>
                <w:color w:val="auto"/>
                <w:highlight w:val="none"/>
              </w:rPr>
              <w:t>【禁止开发建设活动的要求】</w:t>
            </w:r>
          </w:p>
          <w:p w14:paraId="4F6167B3">
            <w:pPr>
              <w:pStyle w:val="37"/>
              <w:adjustRightInd w:val="0"/>
              <w:jc w:val="both"/>
              <w:rPr>
                <w:rFonts w:hint="eastAsia"/>
                <w:color w:val="auto"/>
                <w:highlight w:val="none"/>
              </w:rPr>
            </w:pPr>
            <w:r>
              <w:rPr>
                <w:rFonts w:hint="eastAsia"/>
                <w:color w:val="auto"/>
                <w:highlight w:val="none"/>
              </w:rPr>
              <w:t>1、禁止引入高污染、高能耗、高风险项目；</w:t>
            </w:r>
          </w:p>
          <w:p w14:paraId="39902FAA">
            <w:pPr>
              <w:pStyle w:val="37"/>
              <w:adjustRightInd w:val="0"/>
              <w:jc w:val="both"/>
              <w:rPr>
                <w:rFonts w:hint="eastAsia"/>
                <w:color w:val="auto"/>
                <w:highlight w:val="none"/>
              </w:rPr>
            </w:pPr>
            <w:r>
              <w:rPr>
                <w:rFonts w:hint="eastAsia"/>
                <w:color w:val="auto"/>
                <w:highlight w:val="none"/>
              </w:rPr>
              <w:t>2、禁止新引入排放一类重金属废水的项目；</w:t>
            </w:r>
          </w:p>
          <w:p w14:paraId="570F0327">
            <w:pPr>
              <w:pStyle w:val="37"/>
              <w:adjustRightInd w:val="0"/>
              <w:jc w:val="both"/>
              <w:rPr>
                <w:rFonts w:hint="eastAsia"/>
                <w:color w:val="auto"/>
                <w:highlight w:val="none"/>
              </w:rPr>
            </w:pPr>
            <w:r>
              <w:rPr>
                <w:rFonts w:hint="eastAsia"/>
                <w:color w:val="auto"/>
                <w:highlight w:val="none"/>
              </w:rPr>
              <w:t>3、其他执行乐山市工业重点管控单元普适性总体准入要求。</w:t>
            </w:r>
          </w:p>
          <w:p w14:paraId="08903DF4">
            <w:pPr>
              <w:pStyle w:val="37"/>
              <w:adjustRightInd w:val="0"/>
              <w:jc w:val="both"/>
              <w:rPr>
                <w:rFonts w:hint="eastAsia"/>
                <w:color w:val="auto"/>
                <w:highlight w:val="none"/>
              </w:rPr>
            </w:pPr>
            <w:r>
              <w:rPr>
                <w:rFonts w:hint="eastAsia"/>
                <w:color w:val="auto"/>
                <w:highlight w:val="none"/>
              </w:rPr>
              <w:t>【限制开发建设活动的要求】</w:t>
            </w:r>
          </w:p>
          <w:p w14:paraId="7972ACEA">
            <w:pPr>
              <w:pStyle w:val="37"/>
              <w:adjustRightInd w:val="0"/>
              <w:jc w:val="both"/>
              <w:rPr>
                <w:rFonts w:hint="eastAsia"/>
                <w:color w:val="auto"/>
                <w:highlight w:val="none"/>
              </w:rPr>
            </w:pPr>
            <w:r>
              <w:rPr>
                <w:rFonts w:hint="eastAsia"/>
                <w:color w:val="auto"/>
                <w:highlight w:val="none"/>
              </w:rPr>
              <w:t>1、严控涉磷类水污染物排放的项目，新建涉磷工业实施总磷排放量减量替代；</w:t>
            </w:r>
          </w:p>
          <w:p w14:paraId="54644F1D">
            <w:pPr>
              <w:pStyle w:val="37"/>
              <w:adjustRightInd w:val="0"/>
              <w:jc w:val="both"/>
              <w:rPr>
                <w:rFonts w:hint="eastAsia"/>
                <w:color w:val="auto"/>
                <w:highlight w:val="none"/>
              </w:rPr>
            </w:pPr>
            <w:r>
              <w:rPr>
                <w:rFonts w:hint="eastAsia"/>
                <w:color w:val="auto"/>
                <w:highlight w:val="none"/>
              </w:rPr>
              <w:t>2、严控涉大气污染物排放的重污染项目；</w:t>
            </w:r>
          </w:p>
          <w:p w14:paraId="47E44002">
            <w:pPr>
              <w:pStyle w:val="37"/>
              <w:adjustRightInd w:val="0"/>
              <w:jc w:val="both"/>
              <w:rPr>
                <w:rFonts w:hint="eastAsia"/>
                <w:color w:val="auto"/>
                <w:highlight w:val="none"/>
              </w:rPr>
            </w:pPr>
            <w:r>
              <w:rPr>
                <w:rFonts w:hint="eastAsia"/>
                <w:color w:val="auto"/>
                <w:highlight w:val="none"/>
              </w:rPr>
              <w:t>3、严格限制风险潜势等级Ⅳ级及以上的工业企业入园，严格限制未落实减排计划的新增大量烟（粉）尘排放项目入园，严格限制违规新增钢铁、水泥产能；</w:t>
            </w:r>
          </w:p>
          <w:p w14:paraId="5FB0F930">
            <w:pPr>
              <w:pStyle w:val="37"/>
              <w:adjustRightInd w:val="0"/>
              <w:jc w:val="both"/>
              <w:rPr>
                <w:rFonts w:hint="eastAsia"/>
                <w:color w:val="auto"/>
                <w:highlight w:val="none"/>
              </w:rPr>
            </w:pPr>
            <w:r>
              <w:rPr>
                <w:rFonts w:hint="eastAsia"/>
                <w:color w:val="auto"/>
                <w:highlight w:val="none"/>
              </w:rPr>
              <w:t>4、其他执行乐山市工业重点管控单元普适性总体准入要求。/</w:t>
            </w:r>
          </w:p>
          <w:p w14:paraId="1A837ACB">
            <w:pPr>
              <w:pStyle w:val="37"/>
              <w:adjustRightInd w:val="0"/>
              <w:jc w:val="both"/>
              <w:rPr>
                <w:rFonts w:hint="eastAsia"/>
                <w:color w:val="auto"/>
                <w:highlight w:val="none"/>
              </w:rPr>
            </w:pPr>
            <w:r>
              <w:rPr>
                <w:rFonts w:hint="eastAsia"/>
                <w:color w:val="auto"/>
                <w:highlight w:val="none"/>
              </w:rPr>
              <w:t>【不符合空间布局要求活动的退出要求】</w:t>
            </w:r>
          </w:p>
          <w:p w14:paraId="37B25741">
            <w:pPr>
              <w:pStyle w:val="37"/>
              <w:adjustRightInd w:val="0"/>
              <w:jc w:val="both"/>
              <w:rPr>
                <w:color w:val="auto"/>
                <w:highlight w:val="none"/>
              </w:rPr>
            </w:pPr>
            <w:r>
              <w:rPr>
                <w:rFonts w:hint="eastAsia"/>
                <w:color w:val="auto"/>
                <w:highlight w:val="none"/>
              </w:rPr>
              <w:t>执行乐山市工业重点管控单元普适性总体准入要求。/</w:t>
            </w:r>
          </w:p>
        </w:tc>
        <w:tc>
          <w:tcPr>
            <w:tcW w:w="1209" w:type="pct"/>
            <w:tcBorders>
              <w:top w:val="single" w:color="000000" w:sz="2" w:space="0"/>
              <w:left w:val="single" w:color="000000" w:sz="2" w:space="0"/>
              <w:bottom w:val="single" w:color="000000" w:sz="2" w:space="0"/>
              <w:right w:val="single" w:color="000000" w:sz="2" w:space="0"/>
            </w:tcBorders>
            <w:vAlign w:val="center"/>
          </w:tcPr>
          <w:p w14:paraId="4FCA1D8C">
            <w:pPr>
              <w:pStyle w:val="37"/>
              <w:adjustRightInd w:val="0"/>
              <w:jc w:val="left"/>
              <w:rPr>
                <w:color w:val="auto"/>
                <w:highlight w:val="none"/>
              </w:rPr>
            </w:pPr>
            <w:r>
              <w:rPr>
                <w:color w:val="auto"/>
                <w:highlight w:val="none"/>
              </w:rPr>
              <w:t>本项目不属于高污染、高能耗、高风险项目。</w:t>
            </w:r>
          </w:p>
          <w:p w14:paraId="17DC61E6">
            <w:pPr>
              <w:pStyle w:val="37"/>
              <w:adjustRightInd w:val="0"/>
              <w:jc w:val="left"/>
              <w:rPr>
                <w:color w:val="auto"/>
                <w:highlight w:val="none"/>
              </w:rPr>
            </w:pPr>
            <w:r>
              <w:rPr>
                <w:color w:val="auto"/>
                <w:highlight w:val="none"/>
              </w:rPr>
              <w:t>本项目不涉及一类重金属废水。</w:t>
            </w:r>
          </w:p>
          <w:p w14:paraId="7CA46674">
            <w:pPr>
              <w:pStyle w:val="37"/>
              <w:adjustRightInd w:val="0"/>
              <w:jc w:val="left"/>
              <w:rPr>
                <w:color w:val="auto"/>
                <w:highlight w:val="none"/>
              </w:rPr>
            </w:pPr>
            <w:r>
              <w:rPr>
                <w:color w:val="auto"/>
                <w:highlight w:val="none"/>
              </w:rPr>
              <w:t>本项目符合乐山市工业重点管控单元普适性总体准入要求。</w:t>
            </w:r>
          </w:p>
          <w:p w14:paraId="49FB6F4B">
            <w:pPr>
              <w:pStyle w:val="37"/>
              <w:adjustRightInd w:val="0"/>
              <w:jc w:val="left"/>
              <w:rPr>
                <w:color w:val="auto"/>
                <w:highlight w:val="none"/>
              </w:rPr>
            </w:pPr>
            <w:r>
              <w:rPr>
                <w:color w:val="auto"/>
                <w:highlight w:val="none"/>
              </w:rPr>
              <w:t>本项目不涉及磷类水污染物。</w:t>
            </w:r>
          </w:p>
          <w:p w14:paraId="4DE97387">
            <w:pPr>
              <w:pStyle w:val="37"/>
              <w:adjustRightInd w:val="0"/>
              <w:jc w:val="left"/>
              <w:rPr>
                <w:color w:val="auto"/>
                <w:highlight w:val="none"/>
              </w:rPr>
            </w:pPr>
            <w:r>
              <w:rPr>
                <w:color w:val="auto"/>
                <w:highlight w:val="none"/>
              </w:rPr>
              <w:t>本项目不属于大气污染物排放的重污染项目。</w:t>
            </w:r>
          </w:p>
          <w:p w14:paraId="1001CF5F">
            <w:pPr>
              <w:pStyle w:val="37"/>
              <w:adjustRightInd w:val="0"/>
              <w:jc w:val="left"/>
              <w:rPr>
                <w:color w:val="auto"/>
                <w:highlight w:val="none"/>
              </w:rPr>
            </w:pPr>
            <w:r>
              <w:rPr>
                <w:color w:val="auto"/>
                <w:highlight w:val="none"/>
              </w:rPr>
              <w:t>本项目风险潜势等级为Ⅰ级。</w:t>
            </w:r>
          </w:p>
        </w:tc>
        <w:tc>
          <w:tcPr>
            <w:tcW w:w="567" w:type="pct"/>
            <w:tcBorders>
              <w:top w:val="single" w:color="000000" w:sz="2" w:space="0"/>
              <w:left w:val="single" w:color="000000" w:sz="2" w:space="0"/>
              <w:bottom w:val="single" w:color="000000" w:sz="2" w:space="0"/>
              <w:right w:val="single" w:color="000000" w:sz="2" w:space="0"/>
            </w:tcBorders>
            <w:vAlign w:val="center"/>
          </w:tcPr>
          <w:p w14:paraId="307D345F">
            <w:pPr>
              <w:pStyle w:val="37"/>
              <w:adjustRightInd w:val="0"/>
              <w:rPr>
                <w:color w:val="auto"/>
                <w:highlight w:val="none"/>
              </w:rPr>
            </w:pPr>
            <w:r>
              <w:rPr>
                <w:color w:val="auto"/>
                <w:highlight w:val="none"/>
              </w:rPr>
              <w:t>符合</w:t>
            </w:r>
          </w:p>
        </w:tc>
      </w:tr>
      <w:tr w14:paraId="050914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37" w:type="pct"/>
            <w:vMerge w:val="continue"/>
            <w:tcBorders>
              <w:top w:val="single" w:color="000000" w:sz="2" w:space="0"/>
              <w:left w:val="single" w:color="000000" w:sz="2" w:space="0"/>
              <w:bottom w:val="single" w:color="000000" w:sz="2" w:space="0"/>
              <w:right w:val="single" w:color="000000" w:sz="2" w:space="0"/>
            </w:tcBorders>
            <w:vAlign w:val="center"/>
          </w:tcPr>
          <w:p w14:paraId="467CC527">
            <w:pPr>
              <w:pStyle w:val="37"/>
              <w:adjustRightInd w:val="0"/>
              <w:rPr>
                <w:color w:val="auto"/>
                <w:highlight w:val="none"/>
              </w:rPr>
            </w:pPr>
          </w:p>
        </w:tc>
        <w:tc>
          <w:tcPr>
            <w:tcW w:w="229" w:type="pct"/>
            <w:vMerge w:val="continue"/>
            <w:tcBorders>
              <w:top w:val="single" w:color="000000" w:sz="2" w:space="0"/>
              <w:left w:val="single" w:color="000000" w:sz="2" w:space="0"/>
              <w:bottom w:val="single" w:color="000000" w:sz="2" w:space="0"/>
              <w:right w:val="single" w:color="000000" w:sz="2" w:space="0"/>
            </w:tcBorders>
            <w:vAlign w:val="center"/>
          </w:tcPr>
          <w:p w14:paraId="3BA44195">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2774D7DB">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4889C785">
            <w:pPr>
              <w:pStyle w:val="37"/>
              <w:adjustRightInd w:val="0"/>
              <w:rPr>
                <w:color w:val="auto"/>
                <w:highlight w:val="none"/>
              </w:rPr>
            </w:pPr>
          </w:p>
        </w:tc>
        <w:tc>
          <w:tcPr>
            <w:tcW w:w="288" w:type="pct"/>
            <w:tcBorders>
              <w:top w:val="single" w:color="000000" w:sz="2" w:space="0"/>
              <w:left w:val="single" w:color="000000" w:sz="2" w:space="0"/>
              <w:bottom w:val="single" w:color="000000" w:sz="2" w:space="0"/>
              <w:right w:val="single" w:color="000000" w:sz="2" w:space="0"/>
            </w:tcBorders>
            <w:vAlign w:val="center"/>
          </w:tcPr>
          <w:p w14:paraId="68B826C9">
            <w:pPr>
              <w:pStyle w:val="37"/>
              <w:adjustRightInd w:val="0"/>
              <w:rPr>
                <w:color w:val="auto"/>
                <w:highlight w:val="none"/>
              </w:rPr>
            </w:pPr>
            <w:r>
              <w:rPr>
                <w:color w:val="auto"/>
                <w:highlight w:val="none"/>
              </w:rPr>
              <w:t>污染物排放管控</w:t>
            </w:r>
          </w:p>
        </w:tc>
        <w:tc>
          <w:tcPr>
            <w:tcW w:w="1543" w:type="pct"/>
            <w:tcBorders>
              <w:top w:val="single" w:color="000000" w:sz="2" w:space="0"/>
              <w:left w:val="single" w:color="000000" w:sz="2" w:space="0"/>
              <w:bottom w:val="single" w:color="000000" w:sz="2" w:space="0"/>
              <w:right w:val="single" w:color="000000" w:sz="2" w:space="0"/>
            </w:tcBorders>
            <w:vAlign w:val="center"/>
          </w:tcPr>
          <w:p w14:paraId="118A8988">
            <w:pPr>
              <w:pStyle w:val="37"/>
              <w:adjustRightInd w:val="0"/>
              <w:jc w:val="both"/>
              <w:rPr>
                <w:rFonts w:hint="eastAsia"/>
                <w:color w:val="auto"/>
                <w:highlight w:val="none"/>
              </w:rPr>
            </w:pPr>
            <w:r>
              <w:rPr>
                <w:rFonts w:hint="eastAsia"/>
                <w:color w:val="auto"/>
                <w:highlight w:val="none"/>
              </w:rPr>
              <w:t>【现有源提标升级改造】</w:t>
            </w:r>
          </w:p>
          <w:p w14:paraId="7A301E59">
            <w:pPr>
              <w:pStyle w:val="37"/>
              <w:adjustRightInd w:val="0"/>
              <w:jc w:val="both"/>
              <w:rPr>
                <w:rFonts w:hint="eastAsia"/>
                <w:color w:val="auto"/>
                <w:highlight w:val="none"/>
              </w:rPr>
            </w:pPr>
            <w:r>
              <w:rPr>
                <w:rFonts w:hint="eastAsia"/>
                <w:color w:val="auto"/>
                <w:highlight w:val="none"/>
              </w:rPr>
              <w:t>1、完成现有企业废气深度治理，达到行业特别排放限值要求；加快推动德胜集团“1250立方米高炉产能置换”和“100吨提钒转炉”等技改提升项目建设。实施生产工艺深度脱碳、工业流程再造、电气化改造、二氧化碳回收循环利用等技术示范工程。</w:t>
            </w:r>
          </w:p>
          <w:p w14:paraId="45A29234">
            <w:pPr>
              <w:pStyle w:val="37"/>
              <w:adjustRightInd w:val="0"/>
              <w:jc w:val="both"/>
              <w:rPr>
                <w:rFonts w:hint="eastAsia"/>
                <w:color w:val="auto"/>
                <w:highlight w:val="none"/>
              </w:rPr>
            </w:pPr>
            <w:r>
              <w:rPr>
                <w:rFonts w:hint="eastAsia"/>
                <w:color w:val="auto"/>
                <w:highlight w:val="none"/>
                <w:lang w:val="en-US" w:eastAsia="zh-CN"/>
              </w:rPr>
              <w:t>2</w:t>
            </w:r>
            <w:r>
              <w:rPr>
                <w:rFonts w:hint="eastAsia"/>
                <w:color w:val="auto"/>
                <w:highlight w:val="none"/>
              </w:rPr>
              <w:t>、其他执行乐山市工业重点管控单元普适性总体准入要求。</w:t>
            </w:r>
          </w:p>
          <w:p w14:paraId="242A0DD5">
            <w:pPr>
              <w:pStyle w:val="37"/>
              <w:adjustRightInd w:val="0"/>
              <w:jc w:val="both"/>
              <w:rPr>
                <w:rFonts w:hint="eastAsia"/>
                <w:color w:val="auto"/>
                <w:highlight w:val="none"/>
              </w:rPr>
            </w:pPr>
            <w:r>
              <w:rPr>
                <w:rFonts w:hint="eastAsia"/>
                <w:color w:val="auto"/>
                <w:highlight w:val="none"/>
              </w:rPr>
              <w:t>【新增源等量或倍量替代】</w:t>
            </w:r>
          </w:p>
          <w:p w14:paraId="2BC7BBDC">
            <w:pPr>
              <w:pStyle w:val="37"/>
              <w:adjustRightInd w:val="0"/>
              <w:jc w:val="both"/>
              <w:rPr>
                <w:rFonts w:hint="eastAsia"/>
                <w:color w:val="auto"/>
                <w:highlight w:val="none"/>
              </w:rPr>
            </w:pPr>
            <w:r>
              <w:rPr>
                <w:rFonts w:hint="eastAsia"/>
                <w:color w:val="auto"/>
                <w:highlight w:val="none"/>
              </w:rPr>
              <w:t>1、削减园区现有污染源大气污染物排放总量，特别是烟粉尘及VOCs总量，在全区空气质量达标的情况下，实施等量替代。</w:t>
            </w:r>
          </w:p>
          <w:p w14:paraId="6D80478A">
            <w:pPr>
              <w:pStyle w:val="37"/>
              <w:adjustRightInd w:val="0"/>
              <w:jc w:val="both"/>
              <w:rPr>
                <w:rFonts w:hint="eastAsia"/>
                <w:color w:val="auto"/>
                <w:highlight w:val="none"/>
              </w:rPr>
            </w:pPr>
            <w:r>
              <w:rPr>
                <w:rFonts w:hint="eastAsia"/>
                <w:color w:val="auto"/>
                <w:highlight w:val="none"/>
              </w:rPr>
              <w:t>2、其他执行乐山市工业重点管控单元普适性总体准入要求。/</w:t>
            </w:r>
          </w:p>
          <w:p w14:paraId="2253FEDF">
            <w:pPr>
              <w:pStyle w:val="37"/>
              <w:adjustRightInd w:val="0"/>
              <w:jc w:val="both"/>
              <w:rPr>
                <w:rFonts w:hint="eastAsia"/>
                <w:color w:val="auto"/>
                <w:highlight w:val="none"/>
              </w:rPr>
            </w:pPr>
            <w:r>
              <w:rPr>
                <w:rFonts w:hint="eastAsia"/>
                <w:color w:val="auto"/>
                <w:highlight w:val="none"/>
              </w:rPr>
              <w:t>【污染物排放绩效水平准入要求】</w:t>
            </w:r>
          </w:p>
          <w:p w14:paraId="3E606118">
            <w:pPr>
              <w:pStyle w:val="37"/>
              <w:adjustRightInd w:val="0"/>
              <w:jc w:val="both"/>
              <w:rPr>
                <w:rFonts w:hint="eastAsia"/>
                <w:color w:val="auto"/>
                <w:highlight w:val="none"/>
              </w:rPr>
            </w:pPr>
            <w:r>
              <w:rPr>
                <w:rFonts w:hint="eastAsia"/>
                <w:color w:val="auto"/>
                <w:highlight w:val="none"/>
              </w:rPr>
              <w:t>1、封堵太平组团已停产、破产企业入河排污口。</w:t>
            </w:r>
          </w:p>
          <w:p w14:paraId="62FDF5AB">
            <w:pPr>
              <w:pStyle w:val="37"/>
              <w:adjustRightInd w:val="0"/>
              <w:jc w:val="both"/>
              <w:rPr>
                <w:rFonts w:hint="eastAsia"/>
                <w:color w:val="auto"/>
                <w:highlight w:val="none"/>
              </w:rPr>
            </w:pPr>
            <w:r>
              <w:rPr>
                <w:rFonts w:hint="eastAsia"/>
                <w:color w:val="auto"/>
                <w:highlight w:val="none"/>
              </w:rPr>
              <w:t>2、碳排放强度建议指标：钢铁行业碳排放强度≤4.03吨CO</w:t>
            </w:r>
            <w:r>
              <w:rPr>
                <w:rFonts w:hint="eastAsia"/>
                <w:color w:val="auto"/>
                <w:highlight w:val="none"/>
                <w:vertAlign w:val="subscript"/>
              </w:rPr>
              <w:t>2</w:t>
            </w:r>
            <w:r>
              <w:rPr>
                <w:rFonts w:hint="eastAsia"/>
                <w:color w:val="auto"/>
                <w:highlight w:val="none"/>
              </w:rPr>
              <w:t>万元。</w:t>
            </w:r>
          </w:p>
          <w:p w14:paraId="621F73EB">
            <w:pPr>
              <w:pStyle w:val="37"/>
              <w:adjustRightInd w:val="0"/>
              <w:jc w:val="both"/>
              <w:rPr>
                <w:color w:val="auto"/>
                <w:highlight w:val="none"/>
              </w:rPr>
            </w:pPr>
            <w:r>
              <w:rPr>
                <w:rFonts w:hint="eastAsia"/>
                <w:color w:val="auto"/>
                <w:highlight w:val="none"/>
              </w:rPr>
              <w:t>3、其他执行乐山市工业重点管控单元普适性总体准入要求。</w:t>
            </w:r>
          </w:p>
        </w:tc>
        <w:tc>
          <w:tcPr>
            <w:tcW w:w="1209" w:type="pct"/>
            <w:tcBorders>
              <w:top w:val="single" w:color="000000" w:sz="2" w:space="0"/>
              <w:left w:val="single" w:color="000000" w:sz="2" w:space="0"/>
              <w:bottom w:val="single" w:color="000000" w:sz="2" w:space="0"/>
              <w:right w:val="single" w:color="000000" w:sz="2" w:space="0"/>
            </w:tcBorders>
            <w:vAlign w:val="center"/>
          </w:tcPr>
          <w:p w14:paraId="6BAEE2C6">
            <w:pPr>
              <w:pStyle w:val="37"/>
              <w:adjustRightInd w:val="0"/>
              <w:jc w:val="left"/>
              <w:rPr>
                <w:color w:val="auto"/>
                <w:highlight w:val="none"/>
              </w:rPr>
            </w:pPr>
            <w:r>
              <w:rPr>
                <w:color w:val="auto"/>
                <w:highlight w:val="none"/>
              </w:rPr>
              <w:t>本项目不属于德胜集团。</w:t>
            </w:r>
          </w:p>
          <w:p w14:paraId="2F3EAF0E">
            <w:pPr>
              <w:pStyle w:val="37"/>
              <w:adjustRightInd w:val="0"/>
              <w:jc w:val="left"/>
              <w:rPr>
                <w:color w:val="auto"/>
                <w:highlight w:val="none"/>
              </w:rPr>
            </w:pPr>
            <w:r>
              <w:rPr>
                <w:color w:val="auto"/>
                <w:highlight w:val="none"/>
              </w:rPr>
              <w:t>本项目不涉及深度脱碳、工业流程再造、电气化改造、二氧化碳回收循环利用等技术。</w:t>
            </w:r>
          </w:p>
          <w:p w14:paraId="12CE7FEF">
            <w:pPr>
              <w:pStyle w:val="37"/>
              <w:adjustRightInd w:val="0"/>
              <w:jc w:val="left"/>
              <w:rPr>
                <w:color w:val="auto"/>
                <w:highlight w:val="none"/>
              </w:rPr>
            </w:pPr>
            <w:r>
              <w:rPr>
                <w:rFonts w:hint="eastAsia"/>
                <w:color w:val="auto"/>
                <w:highlight w:val="none"/>
              </w:rPr>
              <w:t>本</w:t>
            </w:r>
            <w:r>
              <w:rPr>
                <w:color w:val="auto"/>
                <w:highlight w:val="none"/>
              </w:rPr>
              <w:t>项目满足乐山市工业重点管控单元普适性总体准入要求。</w:t>
            </w:r>
          </w:p>
          <w:p w14:paraId="170EB11E">
            <w:pPr>
              <w:pStyle w:val="37"/>
              <w:adjustRightInd w:val="0"/>
              <w:jc w:val="left"/>
              <w:rPr>
                <w:color w:val="auto"/>
                <w:highlight w:val="none"/>
              </w:rPr>
            </w:pPr>
            <w:r>
              <w:rPr>
                <w:color w:val="auto"/>
                <w:highlight w:val="none"/>
              </w:rPr>
              <w:t>本项目位于乐山市沙湾区，属于</w:t>
            </w:r>
            <w:r>
              <w:rPr>
                <w:rFonts w:hint="eastAsia"/>
                <w:color w:val="auto"/>
                <w:highlight w:val="none"/>
                <w:lang w:val="en-US" w:eastAsia="zh-CN"/>
              </w:rPr>
              <w:t>不</w:t>
            </w:r>
            <w:r>
              <w:rPr>
                <w:color w:val="auto"/>
                <w:highlight w:val="none"/>
              </w:rPr>
              <w:t>达标区。</w:t>
            </w:r>
          </w:p>
          <w:p w14:paraId="29AD95B4">
            <w:pPr>
              <w:pStyle w:val="37"/>
              <w:adjustRightInd w:val="0"/>
              <w:jc w:val="left"/>
              <w:rPr>
                <w:color w:val="auto"/>
                <w:highlight w:val="none"/>
              </w:rPr>
            </w:pPr>
            <w:r>
              <w:rPr>
                <w:color w:val="auto"/>
                <w:highlight w:val="none"/>
              </w:rPr>
              <w:t>本项目位于四川乐山沙湾经济开发区嘉农组团。</w:t>
            </w:r>
          </w:p>
          <w:p w14:paraId="0354F103">
            <w:pPr>
              <w:pStyle w:val="37"/>
              <w:adjustRightInd w:val="0"/>
              <w:jc w:val="left"/>
              <w:rPr>
                <w:color w:val="auto"/>
                <w:highlight w:val="none"/>
              </w:rPr>
            </w:pPr>
            <w:r>
              <w:rPr>
                <w:color w:val="auto"/>
                <w:highlight w:val="none"/>
              </w:rPr>
              <w:t>本项目不属于钢铁行业。</w:t>
            </w:r>
          </w:p>
        </w:tc>
        <w:tc>
          <w:tcPr>
            <w:tcW w:w="567" w:type="pct"/>
            <w:tcBorders>
              <w:top w:val="single" w:color="000000" w:sz="2" w:space="0"/>
              <w:left w:val="single" w:color="000000" w:sz="2" w:space="0"/>
              <w:bottom w:val="single" w:color="000000" w:sz="2" w:space="0"/>
              <w:right w:val="single" w:color="000000" w:sz="2" w:space="0"/>
            </w:tcBorders>
            <w:vAlign w:val="center"/>
          </w:tcPr>
          <w:p w14:paraId="6CAEB2AA">
            <w:pPr>
              <w:pStyle w:val="37"/>
              <w:adjustRightInd w:val="0"/>
              <w:rPr>
                <w:color w:val="auto"/>
                <w:highlight w:val="none"/>
              </w:rPr>
            </w:pPr>
            <w:r>
              <w:rPr>
                <w:color w:val="auto"/>
                <w:highlight w:val="none"/>
              </w:rPr>
              <w:t>符合</w:t>
            </w:r>
          </w:p>
        </w:tc>
      </w:tr>
      <w:tr w14:paraId="2EA32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37" w:type="pct"/>
            <w:vMerge w:val="continue"/>
            <w:tcBorders>
              <w:top w:val="single" w:color="000000" w:sz="2" w:space="0"/>
              <w:left w:val="single" w:color="000000" w:sz="2" w:space="0"/>
              <w:bottom w:val="single" w:color="000000" w:sz="2" w:space="0"/>
              <w:right w:val="single" w:color="000000" w:sz="2" w:space="0"/>
            </w:tcBorders>
            <w:vAlign w:val="center"/>
          </w:tcPr>
          <w:p w14:paraId="4873B71C">
            <w:pPr>
              <w:pStyle w:val="37"/>
              <w:adjustRightInd w:val="0"/>
              <w:rPr>
                <w:color w:val="auto"/>
                <w:highlight w:val="none"/>
              </w:rPr>
            </w:pPr>
          </w:p>
        </w:tc>
        <w:tc>
          <w:tcPr>
            <w:tcW w:w="229" w:type="pct"/>
            <w:vMerge w:val="continue"/>
            <w:tcBorders>
              <w:top w:val="single" w:color="000000" w:sz="2" w:space="0"/>
              <w:left w:val="single" w:color="000000" w:sz="2" w:space="0"/>
              <w:bottom w:val="single" w:color="000000" w:sz="2" w:space="0"/>
              <w:right w:val="single" w:color="000000" w:sz="2" w:space="0"/>
            </w:tcBorders>
            <w:vAlign w:val="center"/>
          </w:tcPr>
          <w:p w14:paraId="1A449B2B">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55018CF9">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378A09D2">
            <w:pPr>
              <w:pStyle w:val="37"/>
              <w:adjustRightInd w:val="0"/>
              <w:rPr>
                <w:color w:val="auto"/>
                <w:highlight w:val="none"/>
              </w:rPr>
            </w:pPr>
          </w:p>
        </w:tc>
        <w:tc>
          <w:tcPr>
            <w:tcW w:w="288" w:type="pct"/>
            <w:tcBorders>
              <w:top w:val="single" w:color="000000" w:sz="2" w:space="0"/>
              <w:left w:val="single" w:color="000000" w:sz="2" w:space="0"/>
              <w:bottom w:val="single" w:color="000000" w:sz="2" w:space="0"/>
              <w:right w:val="single" w:color="000000" w:sz="2" w:space="0"/>
            </w:tcBorders>
            <w:vAlign w:val="center"/>
          </w:tcPr>
          <w:p w14:paraId="45A77D34">
            <w:pPr>
              <w:pStyle w:val="37"/>
              <w:adjustRightInd w:val="0"/>
              <w:rPr>
                <w:color w:val="auto"/>
                <w:highlight w:val="none"/>
              </w:rPr>
            </w:pPr>
            <w:r>
              <w:rPr>
                <w:color w:val="auto"/>
                <w:highlight w:val="none"/>
              </w:rPr>
              <w:t>环境风险防控</w:t>
            </w:r>
          </w:p>
        </w:tc>
        <w:tc>
          <w:tcPr>
            <w:tcW w:w="1543" w:type="pct"/>
            <w:tcBorders>
              <w:top w:val="single" w:color="000000" w:sz="2" w:space="0"/>
              <w:left w:val="single" w:color="000000" w:sz="2" w:space="0"/>
              <w:bottom w:val="single" w:color="000000" w:sz="2" w:space="0"/>
              <w:right w:val="single" w:color="000000" w:sz="2" w:space="0"/>
            </w:tcBorders>
            <w:vAlign w:val="center"/>
          </w:tcPr>
          <w:p w14:paraId="0D834AD1">
            <w:pPr>
              <w:pStyle w:val="37"/>
              <w:adjustRightInd w:val="0"/>
              <w:jc w:val="both"/>
              <w:rPr>
                <w:rFonts w:hint="eastAsia"/>
                <w:color w:val="auto"/>
                <w:highlight w:val="none"/>
              </w:rPr>
            </w:pPr>
            <w:r>
              <w:rPr>
                <w:rFonts w:hint="eastAsia"/>
                <w:color w:val="auto"/>
                <w:highlight w:val="none"/>
              </w:rPr>
              <w:t>【园区环境风险防控要求】</w:t>
            </w:r>
          </w:p>
          <w:p w14:paraId="2465E601">
            <w:pPr>
              <w:pStyle w:val="37"/>
              <w:adjustRightInd w:val="0"/>
              <w:jc w:val="both"/>
              <w:rPr>
                <w:rFonts w:hint="eastAsia"/>
                <w:color w:val="auto"/>
                <w:highlight w:val="none"/>
              </w:rPr>
            </w:pPr>
            <w:r>
              <w:rPr>
                <w:rFonts w:hint="eastAsia"/>
                <w:color w:val="auto"/>
                <w:highlight w:val="none"/>
              </w:rPr>
              <w:t>1、危险化学品仓库、生产车间尽量远离地表水沿岸布设；</w:t>
            </w:r>
          </w:p>
          <w:p w14:paraId="3F9FEDA2">
            <w:pPr>
              <w:pStyle w:val="37"/>
              <w:adjustRightInd w:val="0"/>
              <w:jc w:val="both"/>
              <w:rPr>
                <w:rFonts w:hint="eastAsia"/>
                <w:color w:val="auto"/>
                <w:highlight w:val="none"/>
              </w:rPr>
            </w:pPr>
            <w:r>
              <w:rPr>
                <w:rFonts w:hint="eastAsia"/>
                <w:color w:val="auto"/>
                <w:highlight w:val="none"/>
              </w:rPr>
              <w:t>2、其他执行乐山市工业重点管控单元普适性总体准入要求。</w:t>
            </w:r>
          </w:p>
          <w:p w14:paraId="2456620D">
            <w:pPr>
              <w:pStyle w:val="37"/>
              <w:adjustRightInd w:val="0"/>
              <w:jc w:val="both"/>
              <w:rPr>
                <w:rFonts w:hint="eastAsia"/>
                <w:color w:val="auto"/>
                <w:highlight w:val="none"/>
              </w:rPr>
            </w:pPr>
            <w:r>
              <w:rPr>
                <w:rFonts w:hint="eastAsia"/>
                <w:color w:val="auto"/>
                <w:highlight w:val="none"/>
              </w:rPr>
              <w:t>【企业环境风险防控要求】</w:t>
            </w:r>
          </w:p>
          <w:p w14:paraId="003638BC">
            <w:pPr>
              <w:pStyle w:val="37"/>
              <w:adjustRightInd w:val="0"/>
              <w:jc w:val="both"/>
              <w:rPr>
                <w:rFonts w:hint="eastAsia"/>
                <w:color w:val="auto"/>
                <w:highlight w:val="none"/>
              </w:rPr>
            </w:pPr>
            <w:r>
              <w:rPr>
                <w:rFonts w:hint="eastAsia"/>
                <w:color w:val="auto"/>
                <w:highlight w:val="none"/>
              </w:rPr>
              <w:t>执行乐山市工业重点管控单元普适性总体准入要求。</w:t>
            </w:r>
          </w:p>
          <w:p w14:paraId="5FFD3686">
            <w:pPr>
              <w:pStyle w:val="37"/>
              <w:adjustRightInd w:val="0"/>
              <w:jc w:val="both"/>
              <w:rPr>
                <w:rFonts w:hint="eastAsia"/>
                <w:color w:val="auto"/>
                <w:highlight w:val="none"/>
              </w:rPr>
            </w:pPr>
            <w:r>
              <w:rPr>
                <w:rFonts w:hint="eastAsia"/>
                <w:color w:val="auto"/>
                <w:highlight w:val="none"/>
              </w:rPr>
              <w:t>【其他环境风险防控要求】</w:t>
            </w:r>
          </w:p>
          <w:p w14:paraId="47939116">
            <w:pPr>
              <w:pStyle w:val="37"/>
              <w:adjustRightInd w:val="0"/>
              <w:jc w:val="both"/>
              <w:rPr>
                <w:color w:val="auto"/>
                <w:highlight w:val="none"/>
              </w:rPr>
            </w:pPr>
            <w:r>
              <w:rPr>
                <w:rFonts w:hint="eastAsia"/>
                <w:color w:val="auto"/>
                <w:highlight w:val="none"/>
              </w:rPr>
              <w:t>执行乐山市工业重点管控单元普适性总体准入要求。</w:t>
            </w:r>
          </w:p>
        </w:tc>
        <w:tc>
          <w:tcPr>
            <w:tcW w:w="1209" w:type="pct"/>
            <w:tcBorders>
              <w:top w:val="single" w:color="000000" w:sz="2" w:space="0"/>
              <w:left w:val="single" w:color="000000" w:sz="2" w:space="0"/>
              <w:bottom w:val="single" w:color="000000" w:sz="2" w:space="0"/>
              <w:right w:val="single" w:color="000000" w:sz="2" w:space="0"/>
            </w:tcBorders>
            <w:vAlign w:val="center"/>
          </w:tcPr>
          <w:p w14:paraId="0331E1F9">
            <w:pPr>
              <w:pStyle w:val="37"/>
              <w:adjustRightInd w:val="0"/>
              <w:jc w:val="left"/>
              <w:rPr>
                <w:color w:val="auto"/>
                <w:highlight w:val="none"/>
              </w:rPr>
            </w:pPr>
            <w:r>
              <w:rPr>
                <w:color w:val="auto"/>
                <w:highlight w:val="none"/>
              </w:rPr>
              <w:t>本项目药剂库、生产车间远离地表水体沿岸。</w:t>
            </w:r>
          </w:p>
          <w:p w14:paraId="2BB6ACEE">
            <w:pPr>
              <w:pStyle w:val="37"/>
              <w:adjustRightInd w:val="0"/>
              <w:jc w:val="left"/>
              <w:rPr>
                <w:color w:val="auto"/>
                <w:highlight w:val="none"/>
              </w:rPr>
            </w:pPr>
            <w:r>
              <w:rPr>
                <w:color w:val="auto"/>
                <w:highlight w:val="none"/>
              </w:rPr>
              <w:t>本项目满足乐山市工业重点管控单元普适性总体准入要求。</w:t>
            </w:r>
          </w:p>
        </w:tc>
        <w:tc>
          <w:tcPr>
            <w:tcW w:w="567" w:type="pct"/>
            <w:tcBorders>
              <w:top w:val="single" w:color="000000" w:sz="2" w:space="0"/>
              <w:left w:val="single" w:color="000000" w:sz="2" w:space="0"/>
              <w:bottom w:val="single" w:color="000000" w:sz="2" w:space="0"/>
              <w:right w:val="single" w:color="000000" w:sz="2" w:space="0"/>
            </w:tcBorders>
            <w:vAlign w:val="center"/>
          </w:tcPr>
          <w:p w14:paraId="1A14E508">
            <w:pPr>
              <w:pStyle w:val="37"/>
              <w:adjustRightInd w:val="0"/>
              <w:rPr>
                <w:color w:val="auto"/>
                <w:highlight w:val="none"/>
              </w:rPr>
            </w:pPr>
            <w:r>
              <w:rPr>
                <w:color w:val="auto"/>
                <w:highlight w:val="none"/>
              </w:rPr>
              <w:t>符合</w:t>
            </w:r>
          </w:p>
        </w:tc>
      </w:tr>
      <w:tr w14:paraId="4B35C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37" w:type="pct"/>
            <w:vMerge w:val="continue"/>
            <w:tcBorders>
              <w:top w:val="single" w:color="000000" w:sz="2" w:space="0"/>
              <w:left w:val="single" w:color="000000" w:sz="2" w:space="0"/>
              <w:bottom w:val="single" w:color="000000" w:sz="2" w:space="0"/>
              <w:right w:val="single" w:color="000000" w:sz="2" w:space="0"/>
            </w:tcBorders>
            <w:vAlign w:val="center"/>
          </w:tcPr>
          <w:p w14:paraId="43518A6D">
            <w:pPr>
              <w:pStyle w:val="37"/>
              <w:adjustRightInd w:val="0"/>
              <w:rPr>
                <w:color w:val="auto"/>
                <w:highlight w:val="none"/>
              </w:rPr>
            </w:pPr>
          </w:p>
        </w:tc>
        <w:tc>
          <w:tcPr>
            <w:tcW w:w="229" w:type="pct"/>
            <w:vMerge w:val="continue"/>
            <w:tcBorders>
              <w:top w:val="single" w:color="000000" w:sz="2" w:space="0"/>
              <w:left w:val="single" w:color="000000" w:sz="2" w:space="0"/>
              <w:bottom w:val="single" w:color="000000" w:sz="2" w:space="0"/>
              <w:right w:val="single" w:color="000000" w:sz="2" w:space="0"/>
            </w:tcBorders>
            <w:vAlign w:val="center"/>
          </w:tcPr>
          <w:p w14:paraId="2A3857BB">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4E8A7C7F">
            <w:pPr>
              <w:pStyle w:val="37"/>
              <w:adjustRightInd w:val="0"/>
              <w:rPr>
                <w:color w:val="auto"/>
                <w:highlight w:val="none"/>
              </w:rPr>
            </w:pPr>
          </w:p>
        </w:tc>
        <w:tc>
          <w:tcPr>
            <w:tcW w:w="261" w:type="pct"/>
            <w:vMerge w:val="continue"/>
            <w:tcBorders>
              <w:top w:val="single" w:color="000000" w:sz="2" w:space="0"/>
              <w:left w:val="single" w:color="000000" w:sz="2" w:space="0"/>
              <w:bottom w:val="single" w:color="000000" w:sz="2" w:space="0"/>
              <w:right w:val="single" w:color="000000" w:sz="2" w:space="0"/>
            </w:tcBorders>
            <w:vAlign w:val="center"/>
          </w:tcPr>
          <w:p w14:paraId="31D6ECA1">
            <w:pPr>
              <w:pStyle w:val="37"/>
              <w:adjustRightInd w:val="0"/>
              <w:rPr>
                <w:color w:val="auto"/>
                <w:highlight w:val="none"/>
              </w:rPr>
            </w:pPr>
          </w:p>
        </w:tc>
        <w:tc>
          <w:tcPr>
            <w:tcW w:w="288" w:type="pct"/>
            <w:tcBorders>
              <w:top w:val="single" w:color="000000" w:sz="2" w:space="0"/>
              <w:left w:val="single" w:color="000000" w:sz="2" w:space="0"/>
              <w:bottom w:val="single" w:color="000000" w:sz="2" w:space="0"/>
              <w:right w:val="single" w:color="000000" w:sz="2" w:space="0"/>
            </w:tcBorders>
            <w:vAlign w:val="center"/>
          </w:tcPr>
          <w:p w14:paraId="1D40A3D3">
            <w:pPr>
              <w:pStyle w:val="37"/>
              <w:adjustRightInd w:val="0"/>
              <w:rPr>
                <w:color w:val="auto"/>
                <w:highlight w:val="none"/>
              </w:rPr>
            </w:pPr>
            <w:r>
              <w:rPr>
                <w:color w:val="auto"/>
                <w:highlight w:val="none"/>
              </w:rPr>
              <w:t>资源开发利用效率要求</w:t>
            </w:r>
          </w:p>
        </w:tc>
        <w:tc>
          <w:tcPr>
            <w:tcW w:w="1543" w:type="pct"/>
            <w:tcBorders>
              <w:top w:val="single" w:color="000000" w:sz="2" w:space="0"/>
              <w:left w:val="single" w:color="000000" w:sz="2" w:space="0"/>
              <w:bottom w:val="single" w:color="000000" w:sz="2" w:space="0"/>
              <w:right w:val="single" w:color="000000" w:sz="2" w:space="0"/>
            </w:tcBorders>
            <w:vAlign w:val="center"/>
          </w:tcPr>
          <w:p w14:paraId="3106EFC5">
            <w:pPr>
              <w:pStyle w:val="37"/>
              <w:adjustRightInd w:val="0"/>
              <w:jc w:val="both"/>
              <w:rPr>
                <w:rFonts w:hint="eastAsia"/>
                <w:color w:val="auto"/>
                <w:highlight w:val="none"/>
              </w:rPr>
            </w:pPr>
            <w:r>
              <w:rPr>
                <w:rFonts w:hint="eastAsia"/>
                <w:color w:val="auto"/>
                <w:highlight w:val="none"/>
              </w:rPr>
              <w:t>【水资源利用效率要求】</w:t>
            </w:r>
          </w:p>
          <w:p w14:paraId="4F06F4B4">
            <w:pPr>
              <w:pStyle w:val="37"/>
              <w:adjustRightInd w:val="0"/>
              <w:jc w:val="both"/>
              <w:rPr>
                <w:rFonts w:hint="eastAsia"/>
                <w:color w:val="auto"/>
                <w:highlight w:val="none"/>
              </w:rPr>
            </w:pPr>
            <w:r>
              <w:rPr>
                <w:rFonts w:hint="eastAsia"/>
                <w:color w:val="auto"/>
                <w:highlight w:val="none"/>
              </w:rPr>
              <w:t>执行乐山市工业重点管控单元普适性总体准入要求。/</w:t>
            </w:r>
          </w:p>
          <w:p w14:paraId="317C50A0">
            <w:pPr>
              <w:pStyle w:val="37"/>
              <w:adjustRightInd w:val="0"/>
              <w:jc w:val="both"/>
              <w:rPr>
                <w:rFonts w:hint="eastAsia"/>
                <w:color w:val="auto"/>
                <w:highlight w:val="none"/>
              </w:rPr>
            </w:pPr>
            <w:r>
              <w:rPr>
                <w:rFonts w:hint="eastAsia"/>
                <w:color w:val="auto"/>
                <w:highlight w:val="none"/>
              </w:rPr>
              <w:t>【能源利用效率要求】</w:t>
            </w:r>
          </w:p>
          <w:p w14:paraId="77434BCE">
            <w:pPr>
              <w:pStyle w:val="37"/>
              <w:adjustRightInd w:val="0"/>
              <w:jc w:val="both"/>
              <w:rPr>
                <w:rFonts w:hint="eastAsia"/>
                <w:color w:val="auto"/>
                <w:highlight w:val="none"/>
              </w:rPr>
            </w:pPr>
            <w:r>
              <w:rPr>
                <w:rFonts w:hint="eastAsia"/>
                <w:color w:val="auto"/>
                <w:highlight w:val="none"/>
              </w:rPr>
              <w:t>1、严格控制新（改、扩）建耗煤项目，新增耗煤项目实行现有煤炭消耗减量倍量替代；</w:t>
            </w:r>
          </w:p>
          <w:p w14:paraId="2DDE151C">
            <w:pPr>
              <w:pStyle w:val="37"/>
              <w:adjustRightInd w:val="0"/>
              <w:jc w:val="both"/>
              <w:rPr>
                <w:rFonts w:hint="eastAsia"/>
                <w:color w:val="auto"/>
                <w:highlight w:val="none"/>
              </w:rPr>
            </w:pPr>
            <w:r>
              <w:rPr>
                <w:rFonts w:hint="eastAsia"/>
                <w:color w:val="auto"/>
                <w:highlight w:val="none"/>
              </w:rPr>
              <w:t>2、禁燃区内禁止审批（核准、备案）、新建、扩建燃用高污染燃料的锅炉、炉窑等各类燃用高污染燃料的设施；</w:t>
            </w:r>
          </w:p>
          <w:p w14:paraId="6AF74417">
            <w:pPr>
              <w:pStyle w:val="37"/>
              <w:adjustRightInd w:val="0"/>
              <w:jc w:val="both"/>
              <w:rPr>
                <w:rFonts w:hint="eastAsia"/>
                <w:color w:val="auto"/>
                <w:highlight w:val="none"/>
              </w:rPr>
            </w:pPr>
            <w:r>
              <w:rPr>
                <w:rFonts w:hint="eastAsia"/>
                <w:color w:val="auto"/>
                <w:highlight w:val="none"/>
              </w:rPr>
              <w:t>3、炼钢、炼铁重点产业达到能效基准水平；</w:t>
            </w:r>
          </w:p>
          <w:p w14:paraId="5E97E2E1">
            <w:pPr>
              <w:pStyle w:val="37"/>
              <w:adjustRightInd w:val="0"/>
              <w:jc w:val="both"/>
              <w:rPr>
                <w:color w:val="auto"/>
                <w:highlight w:val="none"/>
              </w:rPr>
            </w:pPr>
            <w:r>
              <w:rPr>
                <w:rFonts w:hint="eastAsia"/>
                <w:color w:val="auto"/>
                <w:highlight w:val="none"/>
              </w:rPr>
              <w:t>4、其他执行乐山市工业重点管控单元普适性总体准入要求。/</w:t>
            </w:r>
          </w:p>
        </w:tc>
        <w:tc>
          <w:tcPr>
            <w:tcW w:w="1209" w:type="pct"/>
            <w:tcBorders>
              <w:top w:val="single" w:color="000000" w:sz="2" w:space="0"/>
              <w:left w:val="single" w:color="000000" w:sz="2" w:space="0"/>
              <w:bottom w:val="single" w:color="000000" w:sz="2" w:space="0"/>
              <w:right w:val="single" w:color="000000" w:sz="2" w:space="0"/>
            </w:tcBorders>
            <w:vAlign w:val="center"/>
          </w:tcPr>
          <w:p w14:paraId="03E7B060">
            <w:pPr>
              <w:pStyle w:val="37"/>
              <w:adjustRightInd w:val="0"/>
              <w:jc w:val="left"/>
              <w:rPr>
                <w:color w:val="auto"/>
                <w:highlight w:val="none"/>
              </w:rPr>
            </w:pPr>
            <w:r>
              <w:rPr>
                <w:color w:val="auto"/>
                <w:highlight w:val="none"/>
              </w:rPr>
              <w:t>本项目满足乐山市工业重点管控单元普适性总体准入要求。</w:t>
            </w:r>
          </w:p>
          <w:p w14:paraId="6A661629">
            <w:pPr>
              <w:pStyle w:val="37"/>
              <w:adjustRightInd w:val="0"/>
              <w:jc w:val="left"/>
              <w:rPr>
                <w:color w:val="auto"/>
                <w:highlight w:val="none"/>
              </w:rPr>
            </w:pPr>
            <w:r>
              <w:rPr>
                <w:color w:val="auto"/>
                <w:highlight w:val="none"/>
              </w:rPr>
              <w:t>本项目不涉及耗煤、锅炉、炉窑。</w:t>
            </w:r>
          </w:p>
          <w:p w14:paraId="696D0114">
            <w:pPr>
              <w:pStyle w:val="37"/>
              <w:adjustRightInd w:val="0"/>
              <w:jc w:val="left"/>
              <w:rPr>
                <w:color w:val="auto"/>
                <w:highlight w:val="none"/>
              </w:rPr>
            </w:pPr>
            <w:r>
              <w:rPr>
                <w:color w:val="auto"/>
                <w:highlight w:val="none"/>
              </w:rPr>
              <w:t>本项目不属于炼钢、炼铁重点产业。</w:t>
            </w:r>
          </w:p>
        </w:tc>
        <w:tc>
          <w:tcPr>
            <w:tcW w:w="567" w:type="pct"/>
            <w:tcBorders>
              <w:top w:val="single" w:color="000000" w:sz="2" w:space="0"/>
              <w:left w:val="single" w:color="000000" w:sz="2" w:space="0"/>
              <w:bottom w:val="single" w:color="000000" w:sz="2" w:space="0"/>
              <w:right w:val="single" w:color="000000" w:sz="2" w:space="0"/>
            </w:tcBorders>
            <w:vAlign w:val="center"/>
          </w:tcPr>
          <w:p w14:paraId="15CF4279">
            <w:pPr>
              <w:pStyle w:val="37"/>
              <w:adjustRightInd w:val="0"/>
              <w:rPr>
                <w:color w:val="auto"/>
                <w:highlight w:val="none"/>
              </w:rPr>
            </w:pPr>
            <w:r>
              <w:rPr>
                <w:color w:val="auto"/>
                <w:highlight w:val="none"/>
              </w:rPr>
              <w:t>符合</w:t>
            </w:r>
          </w:p>
        </w:tc>
      </w:tr>
    </w:tbl>
    <w:p w14:paraId="68FF3708">
      <w:pPr>
        <w:adjustRightInd w:val="0"/>
        <w:ind w:firstLine="480"/>
        <w:rPr>
          <w:rFonts w:cs="Times New Roman"/>
          <w:color w:val="auto"/>
          <w:highlight w:val="none"/>
        </w:rPr>
      </w:pPr>
      <w:r>
        <w:rPr>
          <w:rFonts w:cs="Times New Roman"/>
          <w:color w:val="auto"/>
          <w:highlight w:val="none"/>
        </w:rPr>
        <w:t>1.4 要素管控分区管控要求</w:t>
      </w:r>
    </w:p>
    <w:p w14:paraId="21EF1396">
      <w:pPr>
        <w:pStyle w:val="90"/>
        <w:numPr>
          <w:ilvl w:val="0"/>
          <w:numId w:val="0"/>
        </w:numPr>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32</w:t>
      </w:r>
      <w:r>
        <w:rPr>
          <w:rFonts w:cs="Times New Roman"/>
          <w:color w:val="auto"/>
          <w:highlight w:val="none"/>
        </w:rPr>
        <w:fldChar w:fldCharType="end"/>
      </w:r>
      <w:r>
        <w:rPr>
          <w:rFonts w:cs="Times New Roman"/>
          <w:color w:val="auto"/>
          <w:highlight w:val="none"/>
        </w:rPr>
        <w:t>要素管控分区管控要求</w:t>
      </w:r>
    </w:p>
    <w:tbl>
      <w:tblPr>
        <w:tblStyle w:val="31"/>
        <w:tblW w:w="4982"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851"/>
        <w:gridCol w:w="1505"/>
        <w:gridCol w:w="931"/>
        <w:gridCol w:w="956"/>
        <w:gridCol w:w="1023"/>
        <w:gridCol w:w="878"/>
        <w:gridCol w:w="1224"/>
        <w:gridCol w:w="2442"/>
        <w:gridCol w:w="2129"/>
        <w:gridCol w:w="989"/>
      </w:tblGrid>
      <w:tr w14:paraId="1A08C4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blHeader/>
        </w:trPr>
        <w:tc>
          <w:tcPr>
            <w:tcW w:w="664" w:type="pct"/>
            <w:tcBorders>
              <w:top w:val="single" w:color="000000" w:sz="2" w:space="0"/>
              <w:left w:val="single" w:color="000000" w:sz="2" w:space="0"/>
              <w:bottom w:val="single" w:color="000000" w:sz="2" w:space="0"/>
              <w:right w:val="single" w:color="000000" w:sz="2" w:space="0"/>
            </w:tcBorders>
            <w:vAlign w:val="center"/>
          </w:tcPr>
          <w:p w14:paraId="6BCF279F">
            <w:pPr>
              <w:pStyle w:val="37"/>
              <w:adjustRightInd w:val="0"/>
              <w:rPr>
                <w:b/>
                <w:bCs/>
                <w:color w:val="auto"/>
                <w:highlight w:val="none"/>
              </w:rPr>
            </w:pPr>
            <w:r>
              <w:rPr>
                <w:b/>
                <w:bCs/>
                <w:color w:val="auto"/>
                <w:highlight w:val="none"/>
              </w:rPr>
              <w:t>管控分区编码</w:t>
            </w:r>
          </w:p>
        </w:tc>
        <w:tc>
          <w:tcPr>
            <w:tcW w:w="540" w:type="pct"/>
            <w:tcBorders>
              <w:top w:val="single" w:color="000000" w:sz="2" w:space="0"/>
              <w:left w:val="single" w:color="000000" w:sz="2" w:space="0"/>
              <w:bottom w:val="single" w:color="000000" w:sz="2" w:space="0"/>
              <w:right w:val="single" w:color="000000" w:sz="2" w:space="0"/>
            </w:tcBorders>
            <w:vAlign w:val="center"/>
          </w:tcPr>
          <w:p w14:paraId="052FFF91">
            <w:pPr>
              <w:pStyle w:val="37"/>
              <w:adjustRightInd w:val="0"/>
              <w:rPr>
                <w:b/>
                <w:bCs/>
                <w:color w:val="auto"/>
                <w:highlight w:val="none"/>
              </w:rPr>
            </w:pPr>
            <w:r>
              <w:rPr>
                <w:b/>
                <w:bCs/>
                <w:color w:val="auto"/>
                <w:highlight w:val="none"/>
              </w:rPr>
              <w:t>管控分区名称</w:t>
            </w:r>
          </w:p>
        </w:tc>
        <w:tc>
          <w:tcPr>
            <w:tcW w:w="334" w:type="pct"/>
            <w:tcBorders>
              <w:top w:val="single" w:color="000000" w:sz="2" w:space="0"/>
              <w:left w:val="single" w:color="000000" w:sz="2" w:space="0"/>
              <w:bottom w:val="single" w:color="000000" w:sz="2" w:space="0"/>
              <w:right w:val="single" w:color="000000" w:sz="2" w:space="0"/>
            </w:tcBorders>
            <w:vAlign w:val="center"/>
          </w:tcPr>
          <w:p w14:paraId="1D6C1A72">
            <w:pPr>
              <w:pStyle w:val="37"/>
              <w:adjustRightInd w:val="0"/>
              <w:rPr>
                <w:b/>
                <w:bCs/>
                <w:color w:val="auto"/>
                <w:highlight w:val="none"/>
              </w:rPr>
            </w:pPr>
            <w:r>
              <w:rPr>
                <w:b/>
                <w:bCs/>
                <w:color w:val="auto"/>
                <w:highlight w:val="none"/>
              </w:rPr>
              <w:t>管控区分类</w:t>
            </w:r>
          </w:p>
        </w:tc>
        <w:tc>
          <w:tcPr>
            <w:tcW w:w="343" w:type="pct"/>
            <w:tcBorders>
              <w:top w:val="single" w:color="000000" w:sz="2" w:space="0"/>
              <w:left w:val="single" w:color="000000" w:sz="2" w:space="0"/>
              <w:bottom w:val="single" w:color="000000" w:sz="2" w:space="0"/>
              <w:right w:val="single" w:color="000000" w:sz="2" w:space="0"/>
            </w:tcBorders>
            <w:vAlign w:val="center"/>
          </w:tcPr>
          <w:p w14:paraId="573F46CD">
            <w:pPr>
              <w:pStyle w:val="37"/>
              <w:adjustRightInd w:val="0"/>
              <w:rPr>
                <w:b/>
                <w:bCs/>
                <w:color w:val="auto"/>
                <w:highlight w:val="none"/>
              </w:rPr>
            </w:pPr>
            <w:r>
              <w:rPr>
                <w:b/>
                <w:bCs/>
                <w:color w:val="auto"/>
                <w:highlight w:val="none"/>
              </w:rPr>
              <w:t>环境要素</w:t>
            </w:r>
          </w:p>
        </w:tc>
        <w:tc>
          <w:tcPr>
            <w:tcW w:w="367" w:type="pct"/>
            <w:tcBorders>
              <w:top w:val="single" w:color="000000" w:sz="2" w:space="0"/>
              <w:left w:val="single" w:color="000000" w:sz="2" w:space="0"/>
              <w:bottom w:val="single" w:color="000000" w:sz="2" w:space="0"/>
              <w:right w:val="single" w:color="000000" w:sz="2" w:space="0"/>
            </w:tcBorders>
            <w:vAlign w:val="center"/>
          </w:tcPr>
          <w:p w14:paraId="318C19F0">
            <w:pPr>
              <w:pStyle w:val="37"/>
              <w:adjustRightInd w:val="0"/>
              <w:rPr>
                <w:b/>
                <w:bCs/>
                <w:color w:val="auto"/>
                <w:highlight w:val="none"/>
              </w:rPr>
            </w:pPr>
            <w:r>
              <w:rPr>
                <w:b/>
                <w:bCs/>
                <w:color w:val="auto"/>
                <w:highlight w:val="none"/>
              </w:rPr>
              <w:t>要素细类</w:t>
            </w:r>
          </w:p>
        </w:tc>
        <w:tc>
          <w:tcPr>
            <w:tcW w:w="315" w:type="pct"/>
            <w:tcBorders>
              <w:top w:val="single" w:color="000000" w:sz="2" w:space="0"/>
              <w:left w:val="single" w:color="000000" w:sz="2" w:space="0"/>
              <w:bottom w:val="single" w:color="000000" w:sz="2" w:space="0"/>
              <w:right w:val="single" w:color="000000" w:sz="2" w:space="0"/>
            </w:tcBorders>
            <w:vAlign w:val="center"/>
          </w:tcPr>
          <w:p w14:paraId="66CBE281">
            <w:pPr>
              <w:pStyle w:val="37"/>
              <w:adjustRightInd w:val="0"/>
              <w:rPr>
                <w:b/>
                <w:bCs/>
                <w:color w:val="auto"/>
                <w:highlight w:val="none"/>
              </w:rPr>
            </w:pPr>
            <w:r>
              <w:rPr>
                <w:b/>
                <w:bCs/>
                <w:color w:val="auto"/>
                <w:highlight w:val="none"/>
              </w:rPr>
              <w:t>所属县区</w:t>
            </w:r>
          </w:p>
        </w:tc>
        <w:tc>
          <w:tcPr>
            <w:tcW w:w="439" w:type="pct"/>
            <w:tcBorders>
              <w:top w:val="single" w:color="000000" w:sz="2" w:space="0"/>
              <w:left w:val="single" w:color="000000" w:sz="2" w:space="0"/>
              <w:bottom w:val="single" w:color="000000" w:sz="2" w:space="0"/>
              <w:right w:val="single" w:color="000000" w:sz="2" w:space="0"/>
            </w:tcBorders>
            <w:vAlign w:val="center"/>
          </w:tcPr>
          <w:p w14:paraId="36BD524B">
            <w:pPr>
              <w:pStyle w:val="37"/>
              <w:adjustRightInd w:val="0"/>
              <w:rPr>
                <w:b/>
                <w:bCs/>
                <w:color w:val="auto"/>
                <w:highlight w:val="none"/>
              </w:rPr>
            </w:pPr>
            <w:r>
              <w:rPr>
                <w:b/>
                <w:bCs/>
                <w:color w:val="auto"/>
                <w:highlight w:val="none"/>
              </w:rPr>
              <w:t>管控类别</w:t>
            </w:r>
          </w:p>
        </w:tc>
        <w:tc>
          <w:tcPr>
            <w:tcW w:w="876" w:type="pct"/>
            <w:tcBorders>
              <w:top w:val="single" w:color="000000" w:sz="2" w:space="0"/>
              <w:left w:val="single" w:color="000000" w:sz="2" w:space="0"/>
              <w:bottom w:val="single" w:color="000000" w:sz="2" w:space="0"/>
              <w:right w:val="single" w:color="000000" w:sz="2" w:space="0"/>
            </w:tcBorders>
            <w:vAlign w:val="center"/>
          </w:tcPr>
          <w:p w14:paraId="180AE283">
            <w:pPr>
              <w:pStyle w:val="37"/>
              <w:adjustRightInd w:val="0"/>
              <w:rPr>
                <w:b/>
                <w:bCs/>
                <w:color w:val="auto"/>
                <w:highlight w:val="none"/>
              </w:rPr>
            </w:pPr>
            <w:r>
              <w:rPr>
                <w:b/>
                <w:bCs/>
                <w:color w:val="auto"/>
                <w:highlight w:val="none"/>
              </w:rPr>
              <w:t>管控分区管控要求</w:t>
            </w:r>
          </w:p>
        </w:tc>
        <w:tc>
          <w:tcPr>
            <w:tcW w:w="764" w:type="pct"/>
            <w:tcBorders>
              <w:top w:val="single" w:color="000000" w:sz="2" w:space="0"/>
              <w:left w:val="single" w:color="000000" w:sz="2" w:space="0"/>
              <w:bottom w:val="single" w:color="000000" w:sz="2" w:space="0"/>
              <w:right w:val="single" w:color="000000" w:sz="2" w:space="0"/>
            </w:tcBorders>
            <w:vAlign w:val="center"/>
          </w:tcPr>
          <w:p w14:paraId="74A07834">
            <w:pPr>
              <w:pStyle w:val="37"/>
              <w:adjustRightInd w:val="0"/>
              <w:rPr>
                <w:b/>
                <w:bCs/>
                <w:color w:val="auto"/>
                <w:highlight w:val="none"/>
              </w:rPr>
            </w:pPr>
            <w:r>
              <w:rPr>
                <w:b/>
                <w:bCs/>
                <w:color w:val="auto"/>
                <w:highlight w:val="none"/>
              </w:rPr>
              <w:t>本项目情况</w:t>
            </w:r>
          </w:p>
        </w:tc>
        <w:tc>
          <w:tcPr>
            <w:tcW w:w="355" w:type="pct"/>
            <w:tcBorders>
              <w:top w:val="single" w:color="000000" w:sz="2" w:space="0"/>
              <w:left w:val="single" w:color="000000" w:sz="2" w:space="0"/>
              <w:bottom w:val="single" w:color="000000" w:sz="2" w:space="0"/>
              <w:right w:val="single" w:color="000000" w:sz="2" w:space="0"/>
            </w:tcBorders>
            <w:vAlign w:val="center"/>
          </w:tcPr>
          <w:p w14:paraId="4B306112">
            <w:pPr>
              <w:pStyle w:val="37"/>
              <w:adjustRightInd w:val="0"/>
              <w:rPr>
                <w:b/>
                <w:bCs/>
                <w:color w:val="auto"/>
                <w:highlight w:val="none"/>
              </w:rPr>
            </w:pPr>
            <w:r>
              <w:rPr>
                <w:b/>
                <w:bCs/>
                <w:color w:val="auto"/>
                <w:highlight w:val="none"/>
              </w:rPr>
              <w:t>符合性</w:t>
            </w:r>
          </w:p>
        </w:tc>
      </w:tr>
      <w:tr w14:paraId="5042C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5D75E7AB">
            <w:pPr>
              <w:pStyle w:val="37"/>
              <w:adjustRightInd w:val="0"/>
              <w:rPr>
                <w:color w:val="auto"/>
                <w:highlight w:val="none"/>
              </w:rPr>
            </w:pPr>
            <w:r>
              <w:rPr>
                <w:color w:val="auto"/>
                <w:highlight w:val="none"/>
              </w:rPr>
              <w:t>YS5111113110001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0F457599">
            <w:pPr>
              <w:pStyle w:val="37"/>
              <w:adjustRightInd w:val="0"/>
              <w:rPr>
                <w:color w:val="auto"/>
                <w:highlight w:val="none"/>
              </w:rPr>
            </w:pPr>
            <w:r>
              <w:rPr>
                <w:color w:val="auto"/>
                <w:highlight w:val="none"/>
              </w:rPr>
              <w:t>沙湾区其他区域</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76BD2653">
            <w:pPr>
              <w:pStyle w:val="37"/>
              <w:adjustRightInd w:val="0"/>
              <w:rPr>
                <w:color w:val="auto"/>
                <w:highlight w:val="none"/>
              </w:rPr>
            </w:pPr>
            <w:r>
              <w:rPr>
                <w:color w:val="auto"/>
                <w:highlight w:val="none"/>
              </w:rPr>
              <w:t>重一般管控区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517443C0">
            <w:pPr>
              <w:pStyle w:val="37"/>
              <w:adjustRightInd w:val="0"/>
              <w:rPr>
                <w:color w:val="auto"/>
                <w:highlight w:val="none"/>
              </w:rPr>
            </w:pPr>
            <w:r>
              <w:rPr>
                <w:color w:val="auto"/>
                <w:highlight w:val="none"/>
              </w:rPr>
              <w:t>生态</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7457F17E">
            <w:pPr>
              <w:pStyle w:val="37"/>
              <w:adjustRightInd w:val="0"/>
              <w:rPr>
                <w:color w:val="auto"/>
                <w:highlight w:val="none"/>
              </w:rPr>
            </w:pPr>
            <w:r>
              <w:rPr>
                <w:color w:val="auto"/>
                <w:highlight w:val="none"/>
              </w:rPr>
              <w:t>一般管控区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6CD85952">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42E78404">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46C07694">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6091DF89">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57396774">
            <w:pPr>
              <w:pStyle w:val="37"/>
              <w:adjustRightInd w:val="0"/>
              <w:rPr>
                <w:color w:val="auto"/>
                <w:highlight w:val="none"/>
              </w:rPr>
            </w:pPr>
            <w:r>
              <w:rPr>
                <w:color w:val="auto"/>
                <w:highlight w:val="none"/>
              </w:rPr>
              <w:t>/</w:t>
            </w:r>
          </w:p>
        </w:tc>
      </w:tr>
      <w:tr w14:paraId="048E6A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2C036F34">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1ACDFA5B">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6B0A2E14">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009697E0">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C4D215A">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26053D49">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320CD25B">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30EEAB10">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4F255745">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6691DB14">
            <w:pPr>
              <w:pStyle w:val="37"/>
              <w:adjustRightInd w:val="0"/>
              <w:rPr>
                <w:color w:val="auto"/>
                <w:highlight w:val="none"/>
              </w:rPr>
            </w:pPr>
            <w:r>
              <w:rPr>
                <w:color w:val="auto"/>
                <w:highlight w:val="none"/>
              </w:rPr>
              <w:t>/</w:t>
            </w:r>
          </w:p>
        </w:tc>
      </w:tr>
      <w:tr w14:paraId="2A590E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6A140F4">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5345B33F">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33FA533A">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25579BA8">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CFB4FBA">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402E684A">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4F63B0EE">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3E877054">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6CED267F">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60EACA20">
            <w:pPr>
              <w:pStyle w:val="37"/>
              <w:adjustRightInd w:val="0"/>
              <w:rPr>
                <w:color w:val="auto"/>
                <w:highlight w:val="none"/>
              </w:rPr>
            </w:pPr>
            <w:r>
              <w:rPr>
                <w:color w:val="auto"/>
                <w:highlight w:val="none"/>
              </w:rPr>
              <w:t>/</w:t>
            </w:r>
          </w:p>
        </w:tc>
      </w:tr>
      <w:tr w14:paraId="23D345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3588A601">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5655523F">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22412B95">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3931ADCC">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41E54D91">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14DD8114">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10ADA819">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711673A9">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05601D86">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53594C5C">
            <w:pPr>
              <w:pStyle w:val="37"/>
              <w:adjustRightInd w:val="0"/>
              <w:rPr>
                <w:color w:val="auto"/>
                <w:highlight w:val="none"/>
              </w:rPr>
            </w:pPr>
            <w:r>
              <w:rPr>
                <w:color w:val="auto"/>
                <w:highlight w:val="none"/>
              </w:rPr>
              <w:t>/</w:t>
            </w:r>
          </w:p>
        </w:tc>
      </w:tr>
      <w:tr w14:paraId="6AA2AE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7B1D5446">
            <w:pPr>
              <w:pStyle w:val="37"/>
              <w:adjustRightInd w:val="0"/>
              <w:rPr>
                <w:color w:val="auto"/>
                <w:highlight w:val="none"/>
              </w:rPr>
            </w:pPr>
            <w:r>
              <w:rPr>
                <w:color w:val="auto"/>
                <w:highlight w:val="none"/>
              </w:rPr>
              <w:t>YS5111112210001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2F370468">
            <w:pPr>
              <w:pStyle w:val="37"/>
              <w:adjustRightInd w:val="0"/>
              <w:rPr>
                <w:color w:val="auto"/>
                <w:highlight w:val="none"/>
              </w:rPr>
            </w:pPr>
            <w:r>
              <w:rPr>
                <w:color w:val="auto"/>
                <w:highlight w:val="none"/>
              </w:rPr>
              <w:t>大渡河-沙湾区-大渡河安谷电站大坝-控制单元</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6CB0D0BC">
            <w:pPr>
              <w:pStyle w:val="37"/>
              <w:adjustRightInd w:val="0"/>
              <w:rPr>
                <w:color w:val="auto"/>
                <w:highlight w:val="none"/>
              </w:rPr>
            </w:pPr>
            <w:r>
              <w:rPr>
                <w:color w:val="auto"/>
                <w:highlight w:val="none"/>
              </w:rPr>
              <w:t>重点管控区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5644BD06">
            <w:pPr>
              <w:pStyle w:val="37"/>
              <w:adjustRightInd w:val="0"/>
              <w:rPr>
                <w:color w:val="auto"/>
                <w:highlight w:val="none"/>
              </w:rPr>
            </w:pPr>
            <w:r>
              <w:rPr>
                <w:color w:val="auto"/>
                <w:highlight w:val="none"/>
              </w:rPr>
              <w:t>水</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26146B6B">
            <w:pPr>
              <w:pStyle w:val="37"/>
              <w:adjustRightInd w:val="0"/>
              <w:rPr>
                <w:color w:val="auto"/>
                <w:highlight w:val="none"/>
              </w:rPr>
            </w:pPr>
            <w:r>
              <w:rPr>
                <w:color w:val="auto"/>
                <w:highlight w:val="none"/>
              </w:rPr>
              <w:t>水环境工业污染重点管控区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7869B259">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09EBEF4E">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5E76980C">
            <w:pPr>
              <w:pStyle w:val="37"/>
              <w:adjustRightInd w:val="0"/>
              <w:jc w:val="both"/>
              <w:rPr>
                <w:rFonts w:hint="eastAsia"/>
                <w:color w:val="auto"/>
                <w:highlight w:val="none"/>
              </w:rPr>
            </w:pPr>
            <w:r>
              <w:rPr>
                <w:rFonts w:hint="eastAsia"/>
                <w:color w:val="auto"/>
                <w:highlight w:val="none"/>
              </w:rPr>
              <w:t>【限制开发建设活动的要求】</w:t>
            </w:r>
          </w:p>
          <w:p w14:paraId="3B483743">
            <w:pPr>
              <w:pStyle w:val="37"/>
              <w:adjustRightInd w:val="0"/>
              <w:jc w:val="both"/>
              <w:rPr>
                <w:color w:val="auto"/>
                <w:highlight w:val="none"/>
              </w:rPr>
            </w:pPr>
            <w:r>
              <w:rPr>
                <w:rFonts w:hint="eastAsia"/>
                <w:color w:val="auto"/>
                <w:highlight w:val="none"/>
              </w:rPr>
              <w:t>严控磷铵、黄磷等产业违规新增产能。加快退出不符合产业政策和环保要求、不满足安全生产条件的涉磷企业。</w:t>
            </w:r>
          </w:p>
        </w:tc>
        <w:tc>
          <w:tcPr>
            <w:tcW w:w="764" w:type="pct"/>
            <w:tcBorders>
              <w:top w:val="single" w:color="000000" w:sz="2" w:space="0"/>
              <w:left w:val="single" w:color="000000" w:sz="2" w:space="0"/>
              <w:bottom w:val="single" w:color="000000" w:sz="2" w:space="0"/>
              <w:right w:val="single" w:color="000000" w:sz="2" w:space="0"/>
            </w:tcBorders>
            <w:vAlign w:val="center"/>
          </w:tcPr>
          <w:p w14:paraId="5C7CDA75">
            <w:pPr>
              <w:pStyle w:val="37"/>
              <w:adjustRightInd w:val="0"/>
              <w:rPr>
                <w:color w:val="auto"/>
                <w:highlight w:val="none"/>
              </w:rPr>
            </w:pPr>
            <w:r>
              <w:rPr>
                <w:color w:val="auto"/>
                <w:highlight w:val="none"/>
              </w:rPr>
              <w:t>本项目不涉及磷铵、黄磷等产业。</w:t>
            </w:r>
          </w:p>
        </w:tc>
        <w:tc>
          <w:tcPr>
            <w:tcW w:w="355" w:type="pct"/>
            <w:tcBorders>
              <w:top w:val="single" w:color="000000" w:sz="2" w:space="0"/>
              <w:left w:val="single" w:color="000000" w:sz="2" w:space="0"/>
              <w:bottom w:val="single" w:color="000000" w:sz="2" w:space="0"/>
              <w:right w:val="single" w:color="000000" w:sz="2" w:space="0"/>
            </w:tcBorders>
            <w:vAlign w:val="center"/>
          </w:tcPr>
          <w:p w14:paraId="3CD5A188">
            <w:pPr>
              <w:pStyle w:val="37"/>
              <w:adjustRightInd w:val="0"/>
              <w:rPr>
                <w:color w:val="auto"/>
                <w:highlight w:val="none"/>
              </w:rPr>
            </w:pPr>
            <w:r>
              <w:rPr>
                <w:color w:val="auto"/>
                <w:highlight w:val="none"/>
              </w:rPr>
              <w:t>符合</w:t>
            </w:r>
          </w:p>
        </w:tc>
      </w:tr>
      <w:tr w14:paraId="4B4CE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7E1BCAB9">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0B3D0502">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3EF5E37C">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7A24EA01">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75322005">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1F03632B">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60002C21">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22BC2FD6">
            <w:pPr>
              <w:pStyle w:val="37"/>
              <w:adjustRightInd w:val="0"/>
              <w:jc w:val="both"/>
              <w:rPr>
                <w:rFonts w:hint="eastAsia"/>
                <w:color w:val="auto"/>
                <w:highlight w:val="none"/>
              </w:rPr>
            </w:pPr>
            <w:r>
              <w:rPr>
                <w:rFonts w:hint="eastAsia"/>
                <w:color w:val="auto"/>
                <w:highlight w:val="none"/>
              </w:rPr>
              <w:t>【新增源等量或倍量替代】</w:t>
            </w:r>
          </w:p>
          <w:p w14:paraId="01A9E115">
            <w:pPr>
              <w:pStyle w:val="37"/>
              <w:adjustRightInd w:val="0"/>
              <w:jc w:val="both"/>
              <w:rPr>
                <w:color w:val="auto"/>
                <w:highlight w:val="none"/>
              </w:rPr>
            </w:pPr>
            <w:r>
              <w:rPr>
                <w:rFonts w:hint="eastAsia"/>
                <w:color w:val="auto"/>
                <w:highlight w:val="none"/>
              </w:rPr>
              <w:t>1、深入实施工业企业污水处理设施升级改造，全面实现工业废水达标排放。2、强化工业集聚区污水治理，推进工业污水集中处理设施及配套收集系统建设与提标升级改造，大力推进现有污水收集、处理设施问题排查及整治；完善园区及企业雨污分流系统，全面推进医药、化工等行业初期雨水收集处理，推动有条件的园区实施入园企业“一企一管、明管输送、实时监测”。3、加强工业园区集中污水处理设施运行监管，强企业废水预处理和排水管理，鼓励纳管企业与园区污水处理厂运营单位通过签订委托处理合同等方式协同处理废水。4、加强新化学物质环境管理，严格执行《新化学物质环境管理登记办法》,落实企业新化学物质环境风险防控主体责任。落实国家《优先控制化学品名录（第一批）》《优先控制化学品名录（第二批）》《重点管控新污染物清单（2023年版）》环境风险管控措施。</w:t>
            </w:r>
          </w:p>
        </w:tc>
        <w:tc>
          <w:tcPr>
            <w:tcW w:w="764" w:type="pct"/>
            <w:tcBorders>
              <w:top w:val="single" w:color="000000" w:sz="2" w:space="0"/>
              <w:left w:val="single" w:color="000000" w:sz="2" w:space="0"/>
              <w:bottom w:val="single" w:color="000000" w:sz="2" w:space="0"/>
              <w:right w:val="single" w:color="000000" w:sz="2" w:space="0"/>
            </w:tcBorders>
            <w:vAlign w:val="center"/>
          </w:tcPr>
          <w:p w14:paraId="6D2C961A">
            <w:pPr>
              <w:pStyle w:val="37"/>
              <w:adjustRightInd w:val="0"/>
              <w:rPr>
                <w:color w:val="auto"/>
                <w:highlight w:val="none"/>
              </w:rPr>
            </w:pPr>
            <w:r>
              <w:rPr>
                <w:color w:val="auto"/>
                <w:highlight w:val="none"/>
              </w:rPr>
              <w:t>本项目实施雨污分流。</w:t>
            </w:r>
          </w:p>
          <w:p w14:paraId="62875B7B">
            <w:pPr>
              <w:pStyle w:val="37"/>
              <w:adjustRightInd w:val="0"/>
              <w:rPr>
                <w:color w:val="auto"/>
                <w:highlight w:val="none"/>
              </w:rPr>
            </w:pPr>
            <w:r>
              <w:rPr>
                <w:color w:val="auto"/>
                <w:highlight w:val="none"/>
              </w:rPr>
              <w:t>本项目选矿废水经絮凝沉淀处理后回用于</w:t>
            </w:r>
            <w:r>
              <w:rPr>
                <w:rFonts w:hint="eastAsia"/>
                <w:color w:val="auto"/>
                <w:highlight w:val="none"/>
              </w:rPr>
              <w:t>湿式磨矿、浮选等工序</w:t>
            </w:r>
            <w:r>
              <w:rPr>
                <w:color w:val="auto"/>
                <w:highlight w:val="none"/>
              </w:rPr>
              <w:t>，不外排；车辆冲洗废水经沉淀池处理后回用于车辆冲洗，不外排；初期雨水经初期雨水池沉淀处理后回用于喷雾降尘，不外排；</w:t>
            </w:r>
            <w:r>
              <w:rPr>
                <w:rFonts w:hint="eastAsia"/>
                <w:color w:val="auto"/>
                <w:highlight w:val="none"/>
              </w:rPr>
              <w:t>生活污水（含食堂废水）：食堂废水经隔油池（1m</w:t>
            </w:r>
            <w:r>
              <w:rPr>
                <w:rFonts w:hint="eastAsia"/>
                <w:color w:val="auto"/>
                <w:highlight w:val="none"/>
                <w:vertAlign w:val="superscript"/>
              </w:rPr>
              <w:t>3</w:t>
            </w:r>
            <w:r>
              <w:rPr>
                <w:rFonts w:hint="eastAsia"/>
                <w:color w:val="auto"/>
                <w:highlight w:val="none"/>
              </w:rPr>
              <w:t>）处理后与生活污水一同</w:t>
            </w:r>
            <w:r>
              <w:rPr>
                <w:color w:val="auto"/>
                <w:highlight w:val="none"/>
              </w:rPr>
              <w:t>经</w:t>
            </w:r>
            <w:r>
              <w:rPr>
                <w:rFonts w:hint="eastAsia"/>
                <w:color w:val="auto"/>
                <w:highlight w:val="none"/>
              </w:rPr>
              <w:t>依托的乐山市沙湾区豪沐科技有限公司</w:t>
            </w:r>
            <w:r>
              <w:rPr>
                <w:color w:val="auto"/>
                <w:highlight w:val="none"/>
              </w:rPr>
              <w:t>预处理池（</w:t>
            </w:r>
            <w:r>
              <w:rPr>
                <w:rFonts w:hint="eastAsia"/>
                <w:color w:val="auto"/>
                <w:highlight w:val="none"/>
              </w:rPr>
              <w:t>2</w:t>
            </w:r>
            <w:r>
              <w:rPr>
                <w:color w:val="auto"/>
                <w:highlight w:val="none"/>
              </w:rPr>
              <w:t>0m</w:t>
            </w:r>
            <w:r>
              <w:rPr>
                <w:color w:val="auto"/>
                <w:highlight w:val="none"/>
                <w:vertAlign w:val="superscript"/>
              </w:rPr>
              <w:t>3</w:t>
            </w:r>
            <w:r>
              <w:rPr>
                <w:color w:val="auto"/>
                <w:highlight w:val="none"/>
              </w:rPr>
              <w:t>）处理达</w:t>
            </w:r>
            <w:r>
              <w:rPr>
                <w:rFonts w:hint="eastAsia"/>
                <w:color w:val="auto"/>
                <w:highlight w:val="none"/>
              </w:rPr>
              <w:t>“</w:t>
            </w:r>
            <w:r>
              <w:rPr>
                <w:color w:val="auto"/>
                <w:highlight w:val="none"/>
              </w:rPr>
              <w:t>乐山沙湾经济开发区污水处理厂设计进水水质</w:t>
            </w:r>
            <w:r>
              <w:rPr>
                <w:rFonts w:hint="eastAsia"/>
                <w:color w:val="auto"/>
                <w:highlight w:val="none"/>
              </w:rPr>
              <w:t>”</w:t>
            </w:r>
            <w:r>
              <w:rPr>
                <w:color w:val="auto"/>
                <w:highlight w:val="none"/>
              </w:rPr>
              <w:t>后经园区污水管网排入乐山沙湾经济开发区污水处理厂进一步处理达《四川省岷江、沱江流域水污染物排放标准》（DB51/2311-2016）中</w:t>
            </w:r>
            <w:r>
              <w:rPr>
                <w:rFonts w:hint="eastAsia"/>
                <w:color w:val="auto"/>
                <w:highlight w:val="none"/>
              </w:rPr>
              <w:t>“</w:t>
            </w:r>
            <w:r>
              <w:rPr>
                <w:color w:val="auto"/>
                <w:highlight w:val="none"/>
              </w:rPr>
              <w:t>工业园区集中式污水处理厂</w:t>
            </w:r>
            <w:r>
              <w:rPr>
                <w:rFonts w:hint="eastAsia"/>
                <w:color w:val="auto"/>
                <w:highlight w:val="none"/>
              </w:rPr>
              <w:t>”</w:t>
            </w:r>
            <w:r>
              <w:rPr>
                <w:color w:val="auto"/>
                <w:highlight w:val="none"/>
              </w:rPr>
              <w:t>标准后外排大渡河。本项目不涉及新化学物质。</w:t>
            </w:r>
          </w:p>
        </w:tc>
        <w:tc>
          <w:tcPr>
            <w:tcW w:w="355" w:type="pct"/>
            <w:tcBorders>
              <w:top w:val="single" w:color="000000" w:sz="2" w:space="0"/>
              <w:left w:val="single" w:color="000000" w:sz="2" w:space="0"/>
              <w:bottom w:val="single" w:color="000000" w:sz="2" w:space="0"/>
              <w:right w:val="single" w:color="000000" w:sz="2" w:space="0"/>
            </w:tcBorders>
            <w:vAlign w:val="center"/>
          </w:tcPr>
          <w:p w14:paraId="7DCD629C">
            <w:pPr>
              <w:pStyle w:val="37"/>
              <w:adjustRightInd w:val="0"/>
              <w:rPr>
                <w:color w:val="auto"/>
                <w:highlight w:val="none"/>
              </w:rPr>
            </w:pPr>
            <w:r>
              <w:rPr>
                <w:color w:val="auto"/>
                <w:highlight w:val="none"/>
              </w:rPr>
              <w:t>符合</w:t>
            </w:r>
          </w:p>
        </w:tc>
      </w:tr>
      <w:tr w14:paraId="7A26B5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15B6B0D">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0B26BEF9">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6879037D">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0587B29F">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41DC39EE">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38A733D5">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017C3A17">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384414C6">
            <w:pPr>
              <w:pStyle w:val="37"/>
              <w:adjustRightInd w:val="0"/>
              <w:jc w:val="both"/>
              <w:rPr>
                <w:rFonts w:hint="eastAsia"/>
                <w:color w:val="auto"/>
                <w:highlight w:val="none"/>
              </w:rPr>
            </w:pPr>
            <w:r>
              <w:rPr>
                <w:rFonts w:hint="eastAsia"/>
                <w:color w:val="auto"/>
                <w:highlight w:val="none"/>
              </w:rPr>
              <w:t>【安全利用类农用地管控要求】</w:t>
            </w:r>
          </w:p>
          <w:p w14:paraId="15CD3151">
            <w:pPr>
              <w:pStyle w:val="37"/>
              <w:adjustRightInd w:val="0"/>
              <w:jc w:val="both"/>
              <w:rPr>
                <w:color w:val="auto"/>
                <w:highlight w:val="none"/>
              </w:rPr>
            </w:pPr>
            <w:r>
              <w:rPr>
                <w:rFonts w:hint="eastAsia"/>
                <w:color w:val="auto"/>
                <w:highlight w:val="none"/>
              </w:rPr>
              <w:t>加强高耗水行业用水定额管理，以水定产，严格控制高耗水新建、改建、扩建项目。</w:t>
            </w:r>
          </w:p>
        </w:tc>
        <w:tc>
          <w:tcPr>
            <w:tcW w:w="764" w:type="pct"/>
            <w:tcBorders>
              <w:top w:val="single" w:color="000000" w:sz="2" w:space="0"/>
              <w:left w:val="single" w:color="000000" w:sz="2" w:space="0"/>
              <w:bottom w:val="single" w:color="000000" w:sz="2" w:space="0"/>
              <w:right w:val="single" w:color="000000" w:sz="2" w:space="0"/>
            </w:tcBorders>
            <w:vAlign w:val="center"/>
          </w:tcPr>
          <w:p w14:paraId="7BE9A34D">
            <w:pPr>
              <w:pStyle w:val="37"/>
              <w:adjustRightInd w:val="0"/>
              <w:rPr>
                <w:rFonts w:hint="default" w:eastAsia="宋体"/>
                <w:color w:val="auto"/>
                <w:highlight w:val="none"/>
                <w:lang w:val="en-US" w:eastAsia="zh-CN"/>
              </w:rPr>
            </w:pPr>
            <w:r>
              <w:rPr>
                <w:rFonts w:hint="eastAsia"/>
                <w:color w:val="auto"/>
                <w:highlight w:val="none"/>
                <w:lang w:val="en-US" w:eastAsia="zh-CN"/>
              </w:rPr>
              <w:t>本项目不属于高耗水行业。</w:t>
            </w:r>
          </w:p>
        </w:tc>
        <w:tc>
          <w:tcPr>
            <w:tcW w:w="355" w:type="pct"/>
            <w:tcBorders>
              <w:top w:val="single" w:color="000000" w:sz="2" w:space="0"/>
              <w:left w:val="single" w:color="000000" w:sz="2" w:space="0"/>
              <w:bottom w:val="single" w:color="000000" w:sz="2" w:space="0"/>
              <w:right w:val="single" w:color="000000" w:sz="2" w:space="0"/>
            </w:tcBorders>
            <w:vAlign w:val="center"/>
          </w:tcPr>
          <w:p w14:paraId="4D2AB320">
            <w:pPr>
              <w:pStyle w:val="37"/>
              <w:adjustRightInd w:val="0"/>
              <w:rPr>
                <w:color w:val="auto"/>
                <w:highlight w:val="none"/>
              </w:rPr>
            </w:pPr>
            <w:r>
              <w:rPr>
                <w:color w:val="auto"/>
                <w:highlight w:val="none"/>
              </w:rPr>
              <w:t>/</w:t>
            </w:r>
          </w:p>
        </w:tc>
      </w:tr>
      <w:tr w14:paraId="3DF62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3A0653A4">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1FC3A068">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2EED89DA">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69CE4264">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8D5DA22">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2F1E2218">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320EC118">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7B128F68">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121472E2">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3588035F">
            <w:pPr>
              <w:pStyle w:val="37"/>
              <w:adjustRightInd w:val="0"/>
              <w:rPr>
                <w:color w:val="auto"/>
                <w:highlight w:val="none"/>
              </w:rPr>
            </w:pPr>
            <w:r>
              <w:rPr>
                <w:color w:val="auto"/>
                <w:highlight w:val="none"/>
              </w:rPr>
              <w:t>/</w:t>
            </w:r>
          </w:p>
        </w:tc>
      </w:tr>
      <w:tr w14:paraId="605CC6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265C5CB5">
            <w:pPr>
              <w:pStyle w:val="37"/>
              <w:adjustRightInd w:val="0"/>
              <w:rPr>
                <w:color w:val="auto"/>
                <w:highlight w:val="none"/>
              </w:rPr>
            </w:pPr>
            <w:r>
              <w:rPr>
                <w:color w:val="auto"/>
                <w:highlight w:val="none"/>
              </w:rPr>
              <w:t>YS5111112590001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405D5A94">
            <w:pPr>
              <w:pStyle w:val="37"/>
              <w:adjustRightInd w:val="0"/>
              <w:rPr>
                <w:color w:val="auto"/>
                <w:highlight w:val="none"/>
              </w:rPr>
            </w:pPr>
            <w:r>
              <w:rPr>
                <w:color w:val="auto"/>
                <w:highlight w:val="none"/>
              </w:rPr>
              <w:t>减污降碳重点管控区——四川乐山沙湾经济开发区</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5868BCE6">
            <w:pPr>
              <w:pStyle w:val="37"/>
              <w:adjustRightInd w:val="0"/>
              <w:rPr>
                <w:color w:val="auto"/>
                <w:highlight w:val="none"/>
              </w:rPr>
            </w:pPr>
            <w:r>
              <w:rPr>
                <w:color w:val="auto"/>
                <w:highlight w:val="none"/>
              </w:rPr>
              <w:t>重点管控区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4523BB4A">
            <w:pPr>
              <w:pStyle w:val="37"/>
              <w:adjustRightInd w:val="0"/>
              <w:rPr>
                <w:color w:val="auto"/>
                <w:highlight w:val="none"/>
              </w:rPr>
            </w:pPr>
            <w:r>
              <w:rPr>
                <w:color w:val="auto"/>
                <w:highlight w:val="none"/>
              </w:rPr>
              <w:t>减污降碳</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06D4E9C4">
            <w:pPr>
              <w:pStyle w:val="37"/>
              <w:adjustRightInd w:val="0"/>
              <w:rPr>
                <w:color w:val="auto"/>
                <w:highlight w:val="none"/>
              </w:rPr>
            </w:pPr>
            <w:r>
              <w:rPr>
                <w:color w:val="auto"/>
                <w:highlight w:val="none"/>
              </w:rPr>
              <w:t>其他自然资源重点管控区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3118BC8D">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1D06377B">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128B1D63">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7DF31F2D">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72FFF4BC">
            <w:pPr>
              <w:pStyle w:val="37"/>
              <w:adjustRightInd w:val="0"/>
              <w:rPr>
                <w:color w:val="auto"/>
                <w:highlight w:val="none"/>
              </w:rPr>
            </w:pPr>
            <w:r>
              <w:rPr>
                <w:color w:val="auto"/>
                <w:highlight w:val="none"/>
              </w:rPr>
              <w:t>/</w:t>
            </w:r>
          </w:p>
        </w:tc>
      </w:tr>
      <w:tr w14:paraId="5A5E5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225225A">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45A3B88D">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34EBDB9B">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57548FBD">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621B3BF8">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49D89207">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1466F6D4">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4D17E627">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28E5366B">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7C656EF3">
            <w:pPr>
              <w:pStyle w:val="37"/>
              <w:adjustRightInd w:val="0"/>
              <w:rPr>
                <w:color w:val="auto"/>
                <w:highlight w:val="none"/>
              </w:rPr>
            </w:pPr>
            <w:r>
              <w:rPr>
                <w:color w:val="auto"/>
                <w:highlight w:val="none"/>
              </w:rPr>
              <w:t>/</w:t>
            </w:r>
          </w:p>
        </w:tc>
      </w:tr>
      <w:tr w14:paraId="4CFF7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7026F1C2">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21158EF9">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531AA4B9">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402E24E0">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45496CC8">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2CDF1278">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04D448F5">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24982F8F">
            <w:pPr>
              <w:pStyle w:val="37"/>
              <w:adjustRightInd w:val="0"/>
              <w:jc w:val="both"/>
              <w:rPr>
                <w:rFonts w:hint="eastAsia"/>
                <w:color w:val="auto"/>
                <w:highlight w:val="none"/>
              </w:rPr>
            </w:pPr>
            <w:r>
              <w:rPr>
                <w:rFonts w:hint="eastAsia"/>
                <w:color w:val="auto"/>
                <w:highlight w:val="none"/>
              </w:rPr>
              <w:t>【园区环境风险防控要求】</w:t>
            </w:r>
          </w:p>
          <w:p w14:paraId="5EFF9DCB">
            <w:pPr>
              <w:pStyle w:val="37"/>
              <w:adjustRightInd w:val="0"/>
              <w:jc w:val="both"/>
              <w:rPr>
                <w:color w:val="auto"/>
                <w:highlight w:val="none"/>
              </w:rPr>
            </w:pPr>
            <w:r>
              <w:rPr>
                <w:rFonts w:hint="eastAsia"/>
                <w:color w:val="auto"/>
                <w:highlight w:val="none"/>
              </w:rPr>
              <w:t>引导炼钢、炼铁重点产业达到能效基准水平。</w:t>
            </w:r>
          </w:p>
        </w:tc>
        <w:tc>
          <w:tcPr>
            <w:tcW w:w="764" w:type="pct"/>
            <w:tcBorders>
              <w:top w:val="single" w:color="000000" w:sz="2" w:space="0"/>
              <w:left w:val="single" w:color="000000" w:sz="2" w:space="0"/>
              <w:bottom w:val="single" w:color="000000" w:sz="2" w:space="0"/>
              <w:right w:val="single" w:color="000000" w:sz="2" w:space="0"/>
            </w:tcBorders>
            <w:vAlign w:val="center"/>
          </w:tcPr>
          <w:p w14:paraId="0F5556D5">
            <w:pPr>
              <w:pStyle w:val="37"/>
              <w:adjustRightInd w:val="0"/>
              <w:rPr>
                <w:color w:val="auto"/>
                <w:highlight w:val="none"/>
              </w:rPr>
            </w:pPr>
            <w:r>
              <w:rPr>
                <w:color w:val="auto"/>
                <w:highlight w:val="none"/>
              </w:rPr>
              <w:t>本项目不属于炼钢、炼铁重点产业。</w:t>
            </w:r>
          </w:p>
        </w:tc>
        <w:tc>
          <w:tcPr>
            <w:tcW w:w="355" w:type="pct"/>
            <w:tcBorders>
              <w:top w:val="single" w:color="000000" w:sz="2" w:space="0"/>
              <w:left w:val="single" w:color="000000" w:sz="2" w:space="0"/>
              <w:bottom w:val="single" w:color="000000" w:sz="2" w:space="0"/>
              <w:right w:val="single" w:color="000000" w:sz="2" w:space="0"/>
            </w:tcBorders>
            <w:vAlign w:val="center"/>
          </w:tcPr>
          <w:p w14:paraId="57F0D3F0">
            <w:pPr>
              <w:pStyle w:val="37"/>
              <w:adjustRightInd w:val="0"/>
              <w:rPr>
                <w:color w:val="auto"/>
                <w:highlight w:val="none"/>
              </w:rPr>
            </w:pPr>
            <w:r>
              <w:rPr>
                <w:color w:val="auto"/>
                <w:highlight w:val="none"/>
              </w:rPr>
              <w:t>符合</w:t>
            </w:r>
          </w:p>
        </w:tc>
      </w:tr>
      <w:tr w14:paraId="65C969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00A96AD7">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7E745BBF">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50F09D95">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39DA316D">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02A6E357">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576C31AF">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6CBADF70">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581ACCDD">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173219D2">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78155777">
            <w:pPr>
              <w:pStyle w:val="37"/>
              <w:adjustRightInd w:val="0"/>
              <w:rPr>
                <w:color w:val="auto"/>
                <w:highlight w:val="none"/>
              </w:rPr>
            </w:pPr>
            <w:r>
              <w:rPr>
                <w:color w:val="auto"/>
                <w:highlight w:val="none"/>
              </w:rPr>
              <w:t>/</w:t>
            </w:r>
          </w:p>
        </w:tc>
      </w:tr>
      <w:tr w14:paraId="56F276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7AE86FB5">
            <w:pPr>
              <w:pStyle w:val="37"/>
              <w:adjustRightInd w:val="0"/>
              <w:rPr>
                <w:color w:val="auto"/>
                <w:highlight w:val="none"/>
              </w:rPr>
            </w:pPr>
            <w:r>
              <w:rPr>
                <w:color w:val="auto"/>
                <w:highlight w:val="none"/>
              </w:rPr>
              <w:t>YS5111112310001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42126CBD">
            <w:pPr>
              <w:pStyle w:val="37"/>
              <w:adjustRightInd w:val="0"/>
              <w:rPr>
                <w:color w:val="auto"/>
                <w:highlight w:val="none"/>
              </w:rPr>
            </w:pPr>
            <w:r>
              <w:rPr>
                <w:color w:val="auto"/>
                <w:highlight w:val="none"/>
              </w:rPr>
              <w:t>四川乐山沙湾经济开发区</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57E25D69">
            <w:pPr>
              <w:pStyle w:val="37"/>
              <w:adjustRightInd w:val="0"/>
              <w:rPr>
                <w:color w:val="auto"/>
                <w:highlight w:val="none"/>
              </w:rPr>
            </w:pPr>
            <w:r>
              <w:rPr>
                <w:color w:val="auto"/>
                <w:highlight w:val="none"/>
              </w:rPr>
              <w:t>重点管控区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22265B50">
            <w:pPr>
              <w:pStyle w:val="37"/>
              <w:adjustRightInd w:val="0"/>
              <w:rPr>
                <w:color w:val="auto"/>
                <w:highlight w:val="none"/>
              </w:rPr>
            </w:pPr>
            <w:r>
              <w:rPr>
                <w:color w:val="auto"/>
                <w:highlight w:val="none"/>
              </w:rPr>
              <w:t>大气</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3489E18F">
            <w:pPr>
              <w:pStyle w:val="37"/>
              <w:adjustRightInd w:val="0"/>
              <w:rPr>
                <w:color w:val="auto"/>
                <w:highlight w:val="none"/>
              </w:rPr>
            </w:pPr>
            <w:r>
              <w:rPr>
                <w:color w:val="auto"/>
                <w:highlight w:val="none"/>
              </w:rPr>
              <w:t>大气环境高排放重点管控区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289EE818">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733A9C95">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2A96055A">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58582609">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48B80707">
            <w:pPr>
              <w:pStyle w:val="37"/>
              <w:adjustRightInd w:val="0"/>
              <w:rPr>
                <w:color w:val="auto"/>
                <w:highlight w:val="none"/>
              </w:rPr>
            </w:pPr>
            <w:r>
              <w:rPr>
                <w:color w:val="auto"/>
                <w:highlight w:val="none"/>
              </w:rPr>
              <w:t>/</w:t>
            </w:r>
          </w:p>
        </w:tc>
      </w:tr>
      <w:tr w14:paraId="2E9318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2EBDC539">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4143E12A">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6421F0B5">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051C318A">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5A5302F">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4D3645A1">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361A0110">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1BDE2EC9">
            <w:pPr>
              <w:pStyle w:val="37"/>
              <w:adjustRightInd w:val="0"/>
              <w:jc w:val="both"/>
              <w:rPr>
                <w:rFonts w:hint="eastAsia"/>
                <w:color w:val="auto"/>
                <w:highlight w:val="none"/>
              </w:rPr>
            </w:pPr>
            <w:r>
              <w:rPr>
                <w:rFonts w:hint="eastAsia"/>
                <w:color w:val="auto"/>
                <w:highlight w:val="none"/>
              </w:rPr>
              <w:t>新增源等量或倍量替代】</w:t>
            </w:r>
          </w:p>
          <w:p w14:paraId="414355E2">
            <w:pPr>
              <w:pStyle w:val="37"/>
              <w:adjustRightInd w:val="0"/>
              <w:jc w:val="both"/>
              <w:rPr>
                <w:rFonts w:hint="eastAsia"/>
                <w:color w:val="auto"/>
                <w:highlight w:val="none"/>
              </w:rPr>
            </w:pPr>
            <w:r>
              <w:rPr>
                <w:rFonts w:hint="eastAsia"/>
                <w:color w:val="auto"/>
                <w:highlight w:val="none"/>
              </w:rPr>
              <w:t>1、全面淘汰10蒸吨小时及以下燃煤锅炉，原则上不再新建35蒸吨小时及以下的燃煤锅炉，推进县级及以上城市建成区淘汰35蒸吨小时及以下燃煤锅炉，以工业余热、电厂热力、清洁能源等替代煤炭。</w:t>
            </w:r>
          </w:p>
          <w:p w14:paraId="1EA798E8">
            <w:pPr>
              <w:pStyle w:val="37"/>
              <w:adjustRightInd w:val="0"/>
              <w:jc w:val="both"/>
              <w:rPr>
                <w:color w:val="auto"/>
                <w:highlight w:val="none"/>
              </w:rPr>
            </w:pPr>
            <w:r>
              <w:rPr>
                <w:rFonts w:hint="eastAsia"/>
                <w:color w:val="auto"/>
                <w:highlight w:val="none"/>
              </w:rPr>
              <w:t>2、加快推进火电、钢铁、铸造（含烧结、球团、高炉工序）水泥、焦化行业燃煤锅炉和工业炉窑超低排放改造及深度治理。稳步实施陶瓷、玻璃、铁合金、有色、砖瓦等行业企业深度治理，推进工业炉窑煤改电（气）和低氮燃烧改造。全面加强钢铁、建材、有色、焦化、铸造重点行业无组织排放治理。生物质锅炉采用专用锅炉，配套布袋等高效除尘设施，禁止掺烧煤炭、垃圾等其他物料。</w:t>
            </w:r>
          </w:p>
        </w:tc>
        <w:tc>
          <w:tcPr>
            <w:tcW w:w="764" w:type="pct"/>
            <w:tcBorders>
              <w:top w:val="single" w:color="000000" w:sz="2" w:space="0"/>
              <w:left w:val="single" w:color="000000" w:sz="2" w:space="0"/>
              <w:bottom w:val="single" w:color="000000" w:sz="2" w:space="0"/>
              <w:right w:val="single" w:color="000000" w:sz="2" w:space="0"/>
            </w:tcBorders>
            <w:vAlign w:val="center"/>
          </w:tcPr>
          <w:p w14:paraId="1EA1CACF">
            <w:pPr>
              <w:pStyle w:val="37"/>
              <w:adjustRightInd w:val="0"/>
              <w:rPr>
                <w:color w:val="auto"/>
                <w:highlight w:val="none"/>
              </w:rPr>
            </w:pPr>
            <w:r>
              <w:rPr>
                <w:rFonts w:hint="eastAsia"/>
                <w:color w:val="auto"/>
                <w:highlight w:val="none"/>
              </w:rPr>
              <w:t>本项目不涉及燃煤锅炉</w:t>
            </w:r>
            <w:r>
              <w:rPr>
                <w:rFonts w:hint="eastAsia"/>
                <w:color w:val="auto"/>
                <w:highlight w:val="none"/>
                <w:lang w:eastAsia="zh-CN"/>
              </w:rPr>
              <w:t>、</w:t>
            </w:r>
            <w:r>
              <w:rPr>
                <w:rFonts w:hint="eastAsia"/>
                <w:color w:val="auto"/>
                <w:highlight w:val="none"/>
              </w:rPr>
              <w:t>工业炉窑</w:t>
            </w:r>
            <w:r>
              <w:rPr>
                <w:color w:val="auto"/>
                <w:highlight w:val="none"/>
              </w:rPr>
              <w:t>。</w:t>
            </w:r>
          </w:p>
          <w:p w14:paraId="1A5EC61A">
            <w:pPr>
              <w:pStyle w:val="37"/>
              <w:adjustRightInd w:val="0"/>
              <w:rPr>
                <w:rFonts w:hint="eastAsia"/>
                <w:color w:val="auto"/>
                <w:highlight w:val="none"/>
                <w:lang w:val="en-US" w:eastAsia="zh-CN"/>
              </w:rPr>
            </w:pPr>
            <w:r>
              <w:rPr>
                <w:rFonts w:hint="eastAsia"/>
                <w:color w:val="auto"/>
                <w:highlight w:val="none"/>
                <w:lang w:val="en-US" w:eastAsia="zh-CN"/>
              </w:rPr>
              <w:t>本项目不属于钢铁、建材、有色、焦化、铸造重点行业。</w:t>
            </w:r>
          </w:p>
          <w:p w14:paraId="6DDC5EFA">
            <w:pPr>
              <w:pStyle w:val="37"/>
              <w:adjustRightInd w:val="0"/>
              <w:rPr>
                <w:rFonts w:hint="default"/>
                <w:color w:val="auto"/>
                <w:highlight w:val="none"/>
                <w:lang w:val="en-US" w:eastAsia="zh-CN"/>
              </w:rPr>
            </w:pPr>
            <w:r>
              <w:rPr>
                <w:rFonts w:hint="eastAsia"/>
                <w:color w:val="auto"/>
                <w:highlight w:val="none"/>
                <w:lang w:val="en-US" w:eastAsia="zh-CN"/>
              </w:rPr>
              <w:t>本项目不涉及生物质锅炉。</w:t>
            </w:r>
          </w:p>
        </w:tc>
        <w:tc>
          <w:tcPr>
            <w:tcW w:w="355" w:type="pct"/>
            <w:tcBorders>
              <w:top w:val="single" w:color="000000" w:sz="2" w:space="0"/>
              <w:left w:val="single" w:color="000000" w:sz="2" w:space="0"/>
              <w:bottom w:val="single" w:color="000000" w:sz="2" w:space="0"/>
              <w:right w:val="single" w:color="000000" w:sz="2" w:space="0"/>
            </w:tcBorders>
            <w:vAlign w:val="center"/>
          </w:tcPr>
          <w:p w14:paraId="3FEE2876">
            <w:pPr>
              <w:pStyle w:val="37"/>
              <w:adjustRightInd w:val="0"/>
              <w:rPr>
                <w:color w:val="auto"/>
                <w:highlight w:val="none"/>
              </w:rPr>
            </w:pPr>
            <w:r>
              <w:rPr>
                <w:color w:val="auto"/>
                <w:highlight w:val="none"/>
              </w:rPr>
              <w:t>/</w:t>
            </w:r>
          </w:p>
        </w:tc>
      </w:tr>
      <w:tr w14:paraId="10357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5C285396">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121B8E4B">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462E7CD5">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0077C9F4">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0E8B4F90">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11780A74">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4535B987">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78C47D6D">
            <w:pPr>
              <w:pStyle w:val="37"/>
              <w:adjustRightInd w:val="0"/>
              <w:jc w:val="both"/>
              <w:rPr>
                <w:rFonts w:hint="eastAsia"/>
                <w:color w:val="auto"/>
                <w:highlight w:val="none"/>
              </w:rPr>
            </w:pPr>
            <w:r>
              <w:rPr>
                <w:rFonts w:hint="eastAsia"/>
                <w:color w:val="auto"/>
                <w:highlight w:val="none"/>
              </w:rPr>
              <w:t>严格管控类农用地管控要求】</w:t>
            </w:r>
          </w:p>
          <w:p w14:paraId="4119861C">
            <w:pPr>
              <w:pStyle w:val="37"/>
              <w:adjustRightInd w:val="0"/>
              <w:jc w:val="both"/>
              <w:rPr>
                <w:rFonts w:hint="eastAsia"/>
                <w:color w:val="auto"/>
                <w:highlight w:val="none"/>
              </w:rPr>
            </w:pPr>
            <w:r>
              <w:rPr>
                <w:rFonts w:hint="eastAsia"/>
                <w:color w:val="auto"/>
                <w:highlight w:val="none"/>
              </w:rPr>
              <w:t>1、加快实施低VOCs含量原辅材料替代。持续开展VOCs治理设施提级增效，对采用单一低温等离子、光氧化、光催化以及非水溶性VOCs废气采用单一喷淋吸收等治理技术且无法稳定达标的，加快推进升级改造。强化VOCs无组织排放整治。石化、化工等行业加强非正常工况废气排放管控。推进涉VOCs产业集群治理提升。</w:t>
            </w:r>
          </w:p>
          <w:p w14:paraId="7328E816">
            <w:pPr>
              <w:pStyle w:val="37"/>
              <w:adjustRightInd w:val="0"/>
              <w:jc w:val="both"/>
              <w:rPr>
                <w:rFonts w:hint="eastAsia"/>
                <w:color w:val="auto"/>
                <w:highlight w:val="none"/>
              </w:rPr>
            </w:pPr>
            <w:r>
              <w:rPr>
                <w:rFonts w:hint="eastAsia"/>
                <w:color w:val="auto"/>
                <w:highlight w:val="none"/>
              </w:rPr>
              <w:t>2、乐山市2023年12月前，推进中心城区国控站点周边10km砖瓦企业无组织排放、隧道窑烟超低排放改造，排放标准达到颗粒物≤10mg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、氮氧化物≤50mg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。2024年12月底前，完成对南、西部“战区”域范围内峨胜水泥、德胜水泥、永祥新材料等8家水泥企业超低排放改造，排放标准达到颗粒物≤10mg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、氮氧化物≤50mg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；完成市中区、沙湾区、井研县和峨眉山市42家铸造行业企业电炉烟气深度治理，排放标准达到颗粒物≤15mg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重点整治无组织排放治理及炉窑烟气治理，实现煤粉、膨润土、硅砂等粉状物料应袋装或罐装，并储存于半封储库、堆棚及以上措施，易产生粉尘部位（浇铸、打磨等工序)必须安装二次除尘设施，做到应装尽装，并确保二次除尘设施正常运行。2024年8月前，推进年产能在150万平方米以上的陶瓷企业喷雾干燥工序使用天然气或完成深度治理，排放标准达到颗粒物≤l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、氮氧化物≤80mg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、氨逃逸≤8mg</w:t>
            </w:r>
            <w:r>
              <w:rPr>
                <w:rFonts w:hint="eastAsia"/>
                <w:color w:val="auto"/>
                <w:highlight w:val="none"/>
                <w:lang w:val="en-US" w:eastAsia="zh-CN"/>
              </w:rPr>
              <w:t>/</w:t>
            </w:r>
            <w:r>
              <w:rPr>
                <w:rFonts w:hint="eastAsia"/>
                <w:color w:val="auto"/>
                <w:highlight w:val="none"/>
              </w:rPr>
              <w:t>Nm</w:t>
            </w:r>
            <w:r>
              <w:rPr>
                <w:rFonts w:hint="eastAsia"/>
                <w:color w:val="auto"/>
                <w:highlight w:val="none"/>
                <w:vertAlign w:val="superscript"/>
              </w:rPr>
              <w:t>3</w:t>
            </w:r>
            <w:r>
              <w:rPr>
                <w:rFonts w:hint="eastAsia"/>
                <w:color w:val="auto"/>
                <w:highlight w:val="none"/>
              </w:rPr>
              <w:t>的标准；推进东、北部“战区”年产能在150万平方米以上的重点陶瓷企业完成超低排放改造，轮道窑全部安装完成SCR脱硝设施，并稳定运行，排放标准达到颗粒物≤10mg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、氮氧化物≤80mg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w:t>
            </w:r>
          </w:p>
          <w:p w14:paraId="298B066B">
            <w:pPr>
              <w:pStyle w:val="37"/>
              <w:adjustRightInd w:val="0"/>
              <w:jc w:val="both"/>
              <w:rPr>
                <w:rFonts w:hint="eastAsia"/>
                <w:color w:val="auto"/>
                <w:highlight w:val="none"/>
              </w:rPr>
            </w:pPr>
            <w:r>
              <w:rPr>
                <w:rFonts w:hint="eastAsia"/>
                <w:color w:val="auto"/>
                <w:highlight w:val="none"/>
              </w:rPr>
              <w:t>【企业环境风险防控要求】</w:t>
            </w:r>
          </w:p>
          <w:p w14:paraId="1D1FF579">
            <w:pPr>
              <w:pStyle w:val="37"/>
              <w:adjustRightInd w:val="0"/>
              <w:jc w:val="both"/>
              <w:rPr>
                <w:rFonts w:hint="eastAsia"/>
                <w:color w:val="auto"/>
                <w:highlight w:val="none"/>
              </w:rPr>
            </w:pPr>
            <w:r>
              <w:rPr>
                <w:rFonts w:hint="eastAsia"/>
                <w:color w:val="auto"/>
                <w:highlight w:val="none"/>
              </w:rPr>
              <w:t>1、加快实施低VOCs含量原辅材料替代。持续开展VOCs治理设施提级增效，对采用单一低温等离子、光氧化、光催化以及非水溶性VOCs废气采用单一喷淋吸收等治理技术且无法稳定达标的，加快推进升级改造。强化VOCs无组织排放整治。石化、化工等行业加强非正常工况废气排放管控。推进涉VOCs产业集群治理提升。</w:t>
            </w:r>
          </w:p>
          <w:p w14:paraId="42B207A7">
            <w:pPr>
              <w:pStyle w:val="37"/>
              <w:adjustRightInd w:val="0"/>
              <w:jc w:val="both"/>
              <w:rPr>
                <w:color w:val="auto"/>
                <w:highlight w:val="none"/>
              </w:rPr>
            </w:pPr>
            <w:r>
              <w:rPr>
                <w:rFonts w:hint="eastAsia"/>
                <w:color w:val="auto"/>
                <w:highlight w:val="none"/>
              </w:rPr>
              <w:t>2、乐山市2023年12月前，推进中心城区国控站点周边10km砖瓦企业无组织排放、隧道窑烟超低排放改造，排放标准达到颗粒物≤10mg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、氮氧化物≤50mg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。2024年12月底前，完成对南、西部“战区”域范围内峨胜水泥、德胜水泥、永祥新材料等8家水泥企业超低排放改造，排放标准达到颗粒物≤10mg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、氮氧化物≤50mg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；完成市中区、沙湾区、井研县和峨眉山市42家铸造行业企业电炉烟气深度治理，排放标准达到颗粒物≤15mg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重点整治无组织排放治理及炉窑烟气治理，实现煤粉、膨润土、硅砂等粉状物料应袋装或罐装，并储存于半封储库、堆棚及以上措施，易产生粉尘部位（浇铸、打磨等工序)必须安装二次除尘设施，做到应装尽装，并确保二次除尘设施正常运行。2024年8月前，推进年产能在150万平方米以上的陶瓷企业喷雾干燥工序使用天然气或完成深度治理，排放标准达到颗粒物≤l5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、氮氧化物≤80mg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、氨逃逸≤8mg</w:t>
            </w:r>
            <w:r>
              <w:rPr>
                <w:rFonts w:hint="eastAsia"/>
                <w:color w:val="auto"/>
                <w:highlight w:val="none"/>
                <w:lang w:val="en-US" w:eastAsia="zh-CN"/>
              </w:rPr>
              <w:t>/</w:t>
            </w:r>
            <w:r>
              <w:rPr>
                <w:rFonts w:hint="eastAsia"/>
                <w:color w:val="auto"/>
                <w:highlight w:val="none"/>
              </w:rPr>
              <w:t>Nm</w:t>
            </w:r>
            <w:r>
              <w:rPr>
                <w:rFonts w:hint="eastAsia"/>
                <w:color w:val="auto"/>
                <w:highlight w:val="none"/>
                <w:vertAlign w:val="superscript"/>
              </w:rPr>
              <w:t>3</w:t>
            </w:r>
            <w:r>
              <w:rPr>
                <w:rFonts w:hint="eastAsia"/>
                <w:color w:val="auto"/>
                <w:highlight w:val="none"/>
              </w:rPr>
              <w:t>的标准；推进东、北部“战区”年产能在150万平方米以上的重点陶瓷企业完成超低排放改造，轮道窑全部安装完成SCR脱硝设施，并稳定运行，排放标准达到颗粒物≤10mg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、二氧化硫≤30mg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、氮氧化物≤80mg</w:t>
            </w:r>
            <w:r>
              <w:rPr>
                <w:rFonts w:hint="eastAsia"/>
                <w:color w:val="auto"/>
                <w:highlight w:val="none"/>
                <w:lang w:val="en-US" w:eastAsia="zh-CN"/>
              </w:rPr>
              <w:t>/</w:t>
            </w:r>
            <w:r>
              <w:rPr>
                <w:rFonts w:hint="eastAsia"/>
                <w:color w:val="auto"/>
                <w:highlight w:val="none"/>
              </w:rPr>
              <w:t>m</w:t>
            </w:r>
            <w:r>
              <w:rPr>
                <w:rFonts w:hint="eastAsia"/>
                <w:color w:val="auto"/>
                <w:highlight w:val="none"/>
                <w:vertAlign w:val="superscript"/>
              </w:rPr>
              <w:t>3</w:t>
            </w:r>
            <w:r>
              <w:rPr>
                <w:rFonts w:hint="eastAsia"/>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1F990EEF">
            <w:pPr>
              <w:pStyle w:val="37"/>
              <w:adjustRightInd w:val="0"/>
              <w:rPr>
                <w:color w:val="auto"/>
                <w:highlight w:val="none"/>
              </w:rPr>
            </w:pPr>
            <w:r>
              <w:rPr>
                <w:rFonts w:hint="eastAsia"/>
                <w:color w:val="auto"/>
                <w:highlight w:val="none"/>
              </w:rPr>
              <w:t>原矿仓库、粉矿仓库、精矿仓库、尾矿仓库设置为封闭厂房，在原矿仓库上方设置喷雾降尘装置进行喷雾除尘，粉矿仓库、精矿仓库、尾矿仓库采取雾炮机进行喷雾除尘；</w:t>
            </w:r>
            <w:r>
              <w:rPr>
                <w:color w:val="auto"/>
                <w:highlight w:val="none"/>
              </w:rPr>
              <w:t>加强车辆管理，</w:t>
            </w:r>
            <w:r>
              <w:rPr>
                <w:rFonts w:hint="eastAsia"/>
                <w:color w:val="auto"/>
                <w:highlight w:val="none"/>
                <w:lang w:val="en-US" w:eastAsia="zh-CN"/>
              </w:rPr>
              <w:t>依托</w:t>
            </w:r>
            <w:r>
              <w:rPr>
                <w:color w:val="auto"/>
                <w:highlight w:val="none"/>
              </w:rPr>
              <w:t>1个洗车区（面积约</w:t>
            </w:r>
            <w:r>
              <w:rPr>
                <w:rFonts w:hint="eastAsia"/>
                <w:color w:val="auto"/>
                <w:highlight w:val="none"/>
              </w:rPr>
              <w:t>1</w:t>
            </w:r>
            <w:r>
              <w:rPr>
                <w:color w:val="auto"/>
                <w:highlight w:val="none"/>
              </w:rPr>
              <w:t>0m</w:t>
            </w:r>
            <w:r>
              <w:rPr>
                <w:color w:val="auto"/>
                <w:highlight w:val="none"/>
                <w:vertAlign w:val="superscript"/>
              </w:rPr>
              <w:t>2</w:t>
            </w:r>
            <w:r>
              <w:rPr>
                <w:color w:val="auto"/>
                <w:highlight w:val="none"/>
              </w:rPr>
              <w:t>）、运输车辆车轮清洗，降低车速，定期洒水降尘，加盖</w:t>
            </w:r>
            <w:r>
              <w:rPr>
                <w:rFonts w:hint="eastAsia"/>
                <w:color w:val="auto"/>
                <w:highlight w:val="none"/>
              </w:rPr>
              <w:t>篷布</w:t>
            </w:r>
            <w:r>
              <w:rPr>
                <w:color w:val="auto"/>
                <w:highlight w:val="none"/>
              </w:rPr>
              <w:t>，密闭运输；全厂运输皮带均采取密闭措施</w:t>
            </w:r>
            <w:r>
              <w:rPr>
                <w:rFonts w:hint="eastAsia"/>
                <w:color w:val="auto"/>
                <w:highlight w:val="none"/>
              </w:rPr>
              <w:t>；厂区围墙、主要运输道路两侧加装喷雾装置</w:t>
            </w:r>
            <w:r>
              <w:rPr>
                <w:color w:val="auto"/>
                <w:highlight w:val="none"/>
              </w:rPr>
              <w:t>。</w:t>
            </w:r>
            <w:r>
              <w:rPr>
                <w:rFonts w:hint="eastAsia"/>
                <w:color w:val="auto"/>
                <w:highlight w:val="none"/>
              </w:rPr>
              <w:t>食堂油烟通过设置一套效率不低于75%的油烟收集净化系统收集治理后通过专用烟道引至楼顶达标排放。</w:t>
            </w:r>
          </w:p>
          <w:p w14:paraId="4DDE9774">
            <w:pPr>
              <w:pStyle w:val="37"/>
              <w:adjustRightInd w:val="0"/>
              <w:rPr>
                <w:color w:val="auto"/>
                <w:highlight w:val="none"/>
              </w:rPr>
            </w:pPr>
            <w:r>
              <w:rPr>
                <w:color w:val="auto"/>
                <w:highlight w:val="none"/>
              </w:rPr>
              <w:t>本项目不涉及VOCs。</w:t>
            </w:r>
          </w:p>
          <w:p w14:paraId="6F65128E">
            <w:pPr>
              <w:pStyle w:val="37"/>
              <w:adjustRightInd w:val="0"/>
              <w:rPr>
                <w:color w:val="auto"/>
                <w:highlight w:val="none"/>
              </w:rPr>
            </w:pPr>
            <w:r>
              <w:rPr>
                <w:color w:val="auto"/>
                <w:highlight w:val="none"/>
              </w:rPr>
              <w:t>本项目颗粒物执行10mg/m</w:t>
            </w:r>
            <w:r>
              <w:rPr>
                <w:color w:val="auto"/>
                <w:highlight w:val="none"/>
                <w:vertAlign w:val="superscript"/>
              </w:rPr>
              <w:t>3</w:t>
            </w:r>
            <w:r>
              <w:rPr>
                <w:color w:val="auto"/>
                <w:highlight w:val="none"/>
              </w:rPr>
              <w:t>的</w:t>
            </w:r>
            <w:r>
              <w:rPr>
                <w:rFonts w:hint="eastAsia"/>
                <w:color w:val="auto"/>
                <w:highlight w:val="none"/>
              </w:rPr>
              <w:t>限值</w:t>
            </w: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1385D47D">
            <w:pPr>
              <w:pStyle w:val="37"/>
              <w:adjustRightInd w:val="0"/>
              <w:rPr>
                <w:color w:val="auto"/>
                <w:highlight w:val="none"/>
              </w:rPr>
            </w:pPr>
            <w:r>
              <w:rPr>
                <w:color w:val="auto"/>
                <w:highlight w:val="none"/>
              </w:rPr>
              <w:t>/</w:t>
            </w:r>
          </w:p>
        </w:tc>
      </w:tr>
      <w:tr w14:paraId="552A3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F682A68">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0A2FD5BD">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6827742C">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4CA0A4E2">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49E25754">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0B3D1A92">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4230F97A">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6BDF9E20">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7CC22589">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3F26F8F9">
            <w:pPr>
              <w:pStyle w:val="37"/>
              <w:adjustRightInd w:val="0"/>
              <w:rPr>
                <w:color w:val="auto"/>
                <w:highlight w:val="none"/>
              </w:rPr>
            </w:pPr>
            <w:r>
              <w:rPr>
                <w:color w:val="auto"/>
                <w:highlight w:val="none"/>
              </w:rPr>
              <w:t>/</w:t>
            </w:r>
          </w:p>
        </w:tc>
      </w:tr>
      <w:tr w14:paraId="118883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5007BD3F">
            <w:pPr>
              <w:pStyle w:val="37"/>
              <w:adjustRightInd w:val="0"/>
              <w:rPr>
                <w:color w:val="auto"/>
                <w:highlight w:val="none"/>
              </w:rPr>
            </w:pPr>
            <w:r>
              <w:rPr>
                <w:color w:val="auto"/>
                <w:highlight w:val="none"/>
              </w:rPr>
              <w:t>YS5111112530001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53F40A5A">
            <w:pPr>
              <w:pStyle w:val="37"/>
              <w:adjustRightInd w:val="0"/>
              <w:rPr>
                <w:color w:val="auto"/>
                <w:highlight w:val="none"/>
              </w:rPr>
            </w:pPr>
            <w:r>
              <w:rPr>
                <w:color w:val="auto"/>
                <w:highlight w:val="none"/>
              </w:rPr>
              <w:t>沙湾区城镇开发边界</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543E112F">
            <w:pPr>
              <w:pStyle w:val="37"/>
              <w:adjustRightInd w:val="0"/>
              <w:rPr>
                <w:color w:val="auto"/>
                <w:highlight w:val="none"/>
              </w:rPr>
            </w:pPr>
            <w:r>
              <w:rPr>
                <w:color w:val="auto"/>
                <w:highlight w:val="none"/>
              </w:rPr>
              <w:t>重点管控区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6C2626E4">
            <w:pPr>
              <w:pStyle w:val="37"/>
              <w:adjustRightInd w:val="0"/>
              <w:rPr>
                <w:color w:val="auto"/>
                <w:highlight w:val="none"/>
              </w:rPr>
            </w:pPr>
            <w:r>
              <w:rPr>
                <w:color w:val="auto"/>
                <w:highlight w:val="none"/>
              </w:rPr>
              <w:t>自然资源</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0EAEEB79">
            <w:pPr>
              <w:pStyle w:val="37"/>
              <w:adjustRightInd w:val="0"/>
              <w:rPr>
                <w:color w:val="auto"/>
                <w:highlight w:val="none"/>
              </w:rPr>
            </w:pPr>
            <w:r>
              <w:rPr>
                <w:color w:val="auto"/>
                <w:highlight w:val="none"/>
              </w:rPr>
              <w:t>土地资源重点管控区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678C3122">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0845DDB1">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43EED36C">
            <w:pPr>
              <w:pStyle w:val="37"/>
              <w:adjustRightInd w:val="0"/>
              <w:jc w:val="both"/>
              <w:rPr>
                <w:rFonts w:hint="eastAsia"/>
                <w:color w:val="auto"/>
                <w:highlight w:val="none"/>
              </w:rPr>
            </w:pPr>
            <w:r>
              <w:rPr>
                <w:rFonts w:hint="eastAsia"/>
                <w:color w:val="auto"/>
                <w:highlight w:val="none"/>
              </w:rPr>
              <w:t>【禁止开发建设活动的要求】</w:t>
            </w:r>
          </w:p>
          <w:p w14:paraId="7B5677D5">
            <w:pPr>
              <w:pStyle w:val="37"/>
              <w:adjustRightInd w:val="0"/>
              <w:jc w:val="both"/>
              <w:rPr>
                <w:color w:val="auto"/>
                <w:highlight w:val="none"/>
              </w:rPr>
            </w:pPr>
            <w:r>
              <w:rPr>
                <w:rFonts w:hint="eastAsia"/>
                <w:color w:val="auto"/>
                <w:highlight w:val="none"/>
              </w:rPr>
              <w:t>1.以城镇开发建设现状为基础，综合考虑资源承载能力、人口分布、经济布局、城乡统筹、城镇无序蔓延。科学预留一定比例的留白区，为未来发展留有开发空间。城镇建设和发展不得违法违规侵占河道、湖面、滩地。2.城镇开发边界调整报国土空间规划原审批机关审批</w:t>
            </w: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3F4030D9">
            <w:pPr>
              <w:pStyle w:val="37"/>
              <w:adjustRightInd w:val="0"/>
              <w:rPr>
                <w:color w:val="auto"/>
                <w:highlight w:val="none"/>
              </w:rPr>
            </w:pPr>
            <w:r>
              <w:rPr>
                <w:color w:val="auto"/>
                <w:highlight w:val="none"/>
              </w:rPr>
              <w:t>本项目位于城镇开发边界内</w:t>
            </w:r>
          </w:p>
        </w:tc>
        <w:tc>
          <w:tcPr>
            <w:tcW w:w="355" w:type="pct"/>
            <w:tcBorders>
              <w:top w:val="single" w:color="000000" w:sz="2" w:space="0"/>
              <w:left w:val="single" w:color="000000" w:sz="2" w:space="0"/>
              <w:bottom w:val="single" w:color="000000" w:sz="2" w:space="0"/>
              <w:right w:val="single" w:color="000000" w:sz="2" w:space="0"/>
            </w:tcBorders>
            <w:vAlign w:val="center"/>
          </w:tcPr>
          <w:p w14:paraId="1C9EC216">
            <w:pPr>
              <w:pStyle w:val="37"/>
              <w:adjustRightInd w:val="0"/>
              <w:rPr>
                <w:color w:val="auto"/>
                <w:highlight w:val="none"/>
              </w:rPr>
            </w:pPr>
            <w:r>
              <w:rPr>
                <w:color w:val="auto"/>
                <w:highlight w:val="none"/>
              </w:rPr>
              <w:t>符合</w:t>
            </w:r>
          </w:p>
        </w:tc>
      </w:tr>
      <w:tr w14:paraId="535EB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3D38504A">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346D02E5">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5514E721">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1DF3B1F6">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8FEDD18">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5474BA6F">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1D211090">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18852ECB">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4860EA5A">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490B58E9">
            <w:pPr>
              <w:pStyle w:val="37"/>
              <w:adjustRightInd w:val="0"/>
              <w:rPr>
                <w:color w:val="auto"/>
                <w:highlight w:val="none"/>
              </w:rPr>
            </w:pPr>
            <w:r>
              <w:rPr>
                <w:color w:val="auto"/>
                <w:highlight w:val="none"/>
              </w:rPr>
              <w:t>/</w:t>
            </w:r>
          </w:p>
        </w:tc>
      </w:tr>
      <w:tr w14:paraId="1FF1D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72B146E4">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15F98F4B">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21FAEA78">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3201B63E">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06B9284B">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084B6877">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4FF35EF1">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005DF63E">
            <w:pPr>
              <w:pStyle w:val="37"/>
              <w:adjustRightInd w:val="0"/>
              <w:jc w:val="both"/>
              <w:rPr>
                <w:rFonts w:hint="eastAsia"/>
                <w:color w:val="auto"/>
                <w:highlight w:val="none"/>
              </w:rPr>
            </w:pPr>
            <w:r>
              <w:rPr>
                <w:rFonts w:hint="eastAsia"/>
                <w:color w:val="auto"/>
                <w:highlight w:val="none"/>
              </w:rPr>
              <w:t>【污染地块管控要求】</w:t>
            </w:r>
          </w:p>
          <w:p w14:paraId="468E28DB">
            <w:pPr>
              <w:pStyle w:val="37"/>
              <w:adjustRightInd w:val="0"/>
              <w:jc w:val="both"/>
              <w:rPr>
                <w:color w:val="auto"/>
                <w:highlight w:val="none"/>
              </w:rPr>
            </w:pPr>
            <w:r>
              <w:rPr>
                <w:rFonts w:hint="eastAsia"/>
                <w:color w:val="auto"/>
                <w:highlight w:val="none"/>
              </w:rPr>
              <w:t>土地资源开发利用量不得超过土地资源利用上线控制性指标。</w:t>
            </w:r>
          </w:p>
        </w:tc>
        <w:tc>
          <w:tcPr>
            <w:tcW w:w="764" w:type="pct"/>
            <w:tcBorders>
              <w:top w:val="single" w:color="000000" w:sz="2" w:space="0"/>
              <w:left w:val="single" w:color="000000" w:sz="2" w:space="0"/>
              <w:bottom w:val="single" w:color="000000" w:sz="2" w:space="0"/>
              <w:right w:val="single" w:color="000000" w:sz="2" w:space="0"/>
            </w:tcBorders>
            <w:vAlign w:val="center"/>
          </w:tcPr>
          <w:p w14:paraId="56C22336">
            <w:pPr>
              <w:pStyle w:val="37"/>
              <w:adjustRightInd w:val="0"/>
              <w:rPr>
                <w:color w:val="auto"/>
                <w:highlight w:val="none"/>
              </w:rPr>
            </w:pPr>
            <w:r>
              <w:rPr>
                <w:color w:val="auto"/>
                <w:highlight w:val="none"/>
              </w:rPr>
              <w:t>本项目土地资源开发利用量未超过土地资源利用</w:t>
            </w:r>
            <w:r>
              <w:rPr>
                <w:rFonts w:hint="eastAsia"/>
                <w:color w:val="auto"/>
                <w:highlight w:val="none"/>
              </w:rPr>
              <w:t>上限</w:t>
            </w:r>
            <w:r>
              <w:rPr>
                <w:color w:val="auto"/>
                <w:highlight w:val="none"/>
              </w:rPr>
              <w:t>控制性指标</w:t>
            </w:r>
          </w:p>
        </w:tc>
        <w:tc>
          <w:tcPr>
            <w:tcW w:w="355" w:type="pct"/>
            <w:tcBorders>
              <w:top w:val="single" w:color="000000" w:sz="2" w:space="0"/>
              <w:left w:val="single" w:color="000000" w:sz="2" w:space="0"/>
              <w:bottom w:val="single" w:color="000000" w:sz="2" w:space="0"/>
              <w:right w:val="single" w:color="000000" w:sz="2" w:space="0"/>
            </w:tcBorders>
            <w:vAlign w:val="center"/>
          </w:tcPr>
          <w:p w14:paraId="70CDBDA9">
            <w:pPr>
              <w:pStyle w:val="37"/>
              <w:adjustRightInd w:val="0"/>
              <w:rPr>
                <w:color w:val="auto"/>
                <w:highlight w:val="none"/>
              </w:rPr>
            </w:pPr>
            <w:r>
              <w:rPr>
                <w:color w:val="auto"/>
                <w:highlight w:val="none"/>
              </w:rPr>
              <w:t>符合</w:t>
            </w:r>
          </w:p>
        </w:tc>
      </w:tr>
      <w:tr w14:paraId="7ADAD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1CCE40DF">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2F9B7724">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7A366888">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14551C0D">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021CEE7">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4C0B45E4">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67850ABA">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75F965AC">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7BBE6B18">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531F8269">
            <w:pPr>
              <w:pStyle w:val="37"/>
              <w:adjustRightInd w:val="0"/>
              <w:rPr>
                <w:color w:val="auto"/>
                <w:highlight w:val="none"/>
              </w:rPr>
            </w:pPr>
            <w:r>
              <w:rPr>
                <w:color w:val="auto"/>
                <w:highlight w:val="none"/>
              </w:rPr>
              <w:t>/</w:t>
            </w:r>
          </w:p>
        </w:tc>
      </w:tr>
      <w:tr w14:paraId="3F6A03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restart"/>
            <w:tcBorders>
              <w:top w:val="single" w:color="000000" w:sz="2" w:space="0"/>
              <w:left w:val="single" w:color="000000" w:sz="2" w:space="0"/>
              <w:bottom w:val="single" w:color="000000" w:sz="2" w:space="0"/>
              <w:right w:val="single" w:color="000000" w:sz="2" w:space="0"/>
            </w:tcBorders>
            <w:vAlign w:val="center"/>
          </w:tcPr>
          <w:p w14:paraId="38ABB9BC">
            <w:pPr>
              <w:pStyle w:val="37"/>
              <w:adjustRightInd w:val="0"/>
              <w:rPr>
                <w:color w:val="auto"/>
                <w:highlight w:val="none"/>
              </w:rPr>
            </w:pPr>
            <w:r>
              <w:rPr>
                <w:color w:val="auto"/>
                <w:highlight w:val="none"/>
              </w:rPr>
              <w:t>YS5111112550001</w:t>
            </w:r>
          </w:p>
        </w:tc>
        <w:tc>
          <w:tcPr>
            <w:tcW w:w="540" w:type="pct"/>
            <w:vMerge w:val="restart"/>
            <w:tcBorders>
              <w:top w:val="single" w:color="000000" w:sz="2" w:space="0"/>
              <w:left w:val="single" w:color="000000" w:sz="2" w:space="0"/>
              <w:bottom w:val="single" w:color="000000" w:sz="2" w:space="0"/>
              <w:right w:val="single" w:color="000000" w:sz="2" w:space="0"/>
            </w:tcBorders>
            <w:vAlign w:val="center"/>
          </w:tcPr>
          <w:p w14:paraId="2F0139A4">
            <w:pPr>
              <w:pStyle w:val="37"/>
              <w:adjustRightInd w:val="0"/>
              <w:rPr>
                <w:color w:val="auto"/>
                <w:highlight w:val="none"/>
              </w:rPr>
            </w:pPr>
            <w:r>
              <w:rPr>
                <w:color w:val="auto"/>
                <w:highlight w:val="none"/>
              </w:rPr>
              <w:t>沙湾区自然资源重点管控区</w:t>
            </w:r>
          </w:p>
        </w:tc>
        <w:tc>
          <w:tcPr>
            <w:tcW w:w="334" w:type="pct"/>
            <w:vMerge w:val="restart"/>
            <w:tcBorders>
              <w:top w:val="single" w:color="000000" w:sz="2" w:space="0"/>
              <w:left w:val="single" w:color="000000" w:sz="2" w:space="0"/>
              <w:bottom w:val="single" w:color="000000" w:sz="2" w:space="0"/>
              <w:right w:val="single" w:color="000000" w:sz="2" w:space="0"/>
            </w:tcBorders>
            <w:vAlign w:val="center"/>
          </w:tcPr>
          <w:p w14:paraId="5D0D01F9">
            <w:pPr>
              <w:pStyle w:val="37"/>
              <w:adjustRightInd w:val="0"/>
              <w:rPr>
                <w:color w:val="auto"/>
                <w:highlight w:val="none"/>
              </w:rPr>
            </w:pPr>
            <w:r>
              <w:rPr>
                <w:color w:val="auto"/>
                <w:highlight w:val="none"/>
              </w:rPr>
              <w:t>重点管控区</w:t>
            </w:r>
          </w:p>
        </w:tc>
        <w:tc>
          <w:tcPr>
            <w:tcW w:w="343" w:type="pct"/>
            <w:vMerge w:val="restart"/>
            <w:tcBorders>
              <w:top w:val="single" w:color="000000" w:sz="2" w:space="0"/>
              <w:left w:val="single" w:color="000000" w:sz="2" w:space="0"/>
              <w:bottom w:val="single" w:color="000000" w:sz="2" w:space="0"/>
              <w:right w:val="single" w:color="000000" w:sz="2" w:space="0"/>
            </w:tcBorders>
            <w:vAlign w:val="center"/>
          </w:tcPr>
          <w:p w14:paraId="57118C8A">
            <w:pPr>
              <w:pStyle w:val="37"/>
              <w:adjustRightInd w:val="0"/>
              <w:rPr>
                <w:color w:val="auto"/>
                <w:highlight w:val="none"/>
              </w:rPr>
            </w:pPr>
            <w:r>
              <w:rPr>
                <w:color w:val="auto"/>
                <w:highlight w:val="none"/>
              </w:rPr>
              <w:t>自然资源</w:t>
            </w:r>
          </w:p>
        </w:tc>
        <w:tc>
          <w:tcPr>
            <w:tcW w:w="367" w:type="pct"/>
            <w:vMerge w:val="restart"/>
            <w:tcBorders>
              <w:top w:val="single" w:color="000000" w:sz="2" w:space="0"/>
              <w:left w:val="single" w:color="000000" w:sz="2" w:space="0"/>
              <w:bottom w:val="single" w:color="000000" w:sz="2" w:space="0"/>
              <w:right w:val="single" w:color="000000" w:sz="2" w:space="0"/>
            </w:tcBorders>
            <w:vAlign w:val="center"/>
          </w:tcPr>
          <w:p w14:paraId="5749773A">
            <w:pPr>
              <w:pStyle w:val="37"/>
              <w:adjustRightInd w:val="0"/>
              <w:rPr>
                <w:color w:val="auto"/>
                <w:highlight w:val="none"/>
              </w:rPr>
            </w:pPr>
            <w:r>
              <w:rPr>
                <w:color w:val="auto"/>
                <w:highlight w:val="none"/>
              </w:rPr>
              <w:t>自然资源重点管控区</w:t>
            </w:r>
          </w:p>
        </w:tc>
        <w:tc>
          <w:tcPr>
            <w:tcW w:w="315" w:type="pct"/>
            <w:vMerge w:val="restart"/>
            <w:tcBorders>
              <w:top w:val="single" w:color="000000" w:sz="2" w:space="0"/>
              <w:left w:val="single" w:color="000000" w:sz="2" w:space="0"/>
              <w:bottom w:val="single" w:color="000000" w:sz="2" w:space="0"/>
              <w:right w:val="single" w:color="000000" w:sz="2" w:space="0"/>
            </w:tcBorders>
            <w:vAlign w:val="center"/>
          </w:tcPr>
          <w:p w14:paraId="386FD7E5">
            <w:pPr>
              <w:pStyle w:val="37"/>
              <w:adjustRightInd w:val="0"/>
              <w:rPr>
                <w:color w:val="auto"/>
                <w:highlight w:val="none"/>
              </w:rPr>
            </w:pPr>
            <w:r>
              <w:rPr>
                <w:color w:val="auto"/>
                <w:highlight w:val="none"/>
              </w:rPr>
              <w:t>乐山市沙湾区</w:t>
            </w:r>
          </w:p>
        </w:tc>
        <w:tc>
          <w:tcPr>
            <w:tcW w:w="439" w:type="pct"/>
            <w:tcBorders>
              <w:top w:val="single" w:color="000000" w:sz="2" w:space="0"/>
              <w:left w:val="single" w:color="000000" w:sz="2" w:space="0"/>
              <w:bottom w:val="single" w:color="000000" w:sz="2" w:space="0"/>
              <w:right w:val="single" w:color="000000" w:sz="2" w:space="0"/>
            </w:tcBorders>
            <w:vAlign w:val="center"/>
          </w:tcPr>
          <w:p w14:paraId="35BA2E47">
            <w:pPr>
              <w:pStyle w:val="37"/>
              <w:adjustRightInd w:val="0"/>
              <w:rPr>
                <w:color w:val="auto"/>
                <w:highlight w:val="none"/>
              </w:rPr>
            </w:pPr>
            <w:r>
              <w:rPr>
                <w:color w:val="auto"/>
                <w:highlight w:val="none"/>
              </w:rPr>
              <w:t>空间布局约束</w:t>
            </w:r>
          </w:p>
        </w:tc>
        <w:tc>
          <w:tcPr>
            <w:tcW w:w="876" w:type="pct"/>
            <w:tcBorders>
              <w:top w:val="single" w:color="000000" w:sz="2" w:space="0"/>
              <w:left w:val="single" w:color="000000" w:sz="2" w:space="0"/>
              <w:bottom w:val="single" w:color="000000" w:sz="2" w:space="0"/>
              <w:right w:val="single" w:color="000000" w:sz="2" w:space="0"/>
            </w:tcBorders>
            <w:vAlign w:val="center"/>
          </w:tcPr>
          <w:p w14:paraId="428E3B93">
            <w:pPr>
              <w:pStyle w:val="37"/>
              <w:adjustRightInd w:val="0"/>
              <w:rPr>
                <w:color w:val="auto"/>
                <w:highlight w:val="none"/>
              </w:rPr>
            </w:pPr>
          </w:p>
        </w:tc>
        <w:tc>
          <w:tcPr>
            <w:tcW w:w="764" w:type="pct"/>
            <w:tcBorders>
              <w:top w:val="single" w:color="000000" w:sz="2" w:space="0"/>
              <w:left w:val="single" w:color="000000" w:sz="2" w:space="0"/>
              <w:bottom w:val="single" w:color="000000" w:sz="2" w:space="0"/>
              <w:right w:val="single" w:color="000000" w:sz="2" w:space="0"/>
            </w:tcBorders>
            <w:vAlign w:val="center"/>
          </w:tcPr>
          <w:p w14:paraId="659051D0">
            <w:pPr>
              <w:pStyle w:val="37"/>
              <w:adjustRightInd w:val="0"/>
              <w:rPr>
                <w:color w:val="auto"/>
                <w:highlight w:val="none"/>
              </w:rPr>
            </w:pPr>
          </w:p>
        </w:tc>
        <w:tc>
          <w:tcPr>
            <w:tcW w:w="355" w:type="pct"/>
            <w:tcBorders>
              <w:top w:val="single" w:color="000000" w:sz="2" w:space="0"/>
              <w:left w:val="single" w:color="000000" w:sz="2" w:space="0"/>
              <w:bottom w:val="single" w:color="000000" w:sz="2" w:space="0"/>
              <w:right w:val="single" w:color="000000" w:sz="2" w:space="0"/>
            </w:tcBorders>
            <w:vAlign w:val="center"/>
          </w:tcPr>
          <w:p w14:paraId="6C9F897A">
            <w:pPr>
              <w:pStyle w:val="37"/>
              <w:adjustRightInd w:val="0"/>
              <w:rPr>
                <w:color w:val="auto"/>
                <w:highlight w:val="none"/>
              </w:rPr>
            </w:pPr>
          </w:p>
        </w:tc>
      </w:tr>
      <w:tr w14:paraId="5C38F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10BD138">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1D662DCF">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73F81738">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0F9FA1F4">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7A14C29D">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097AEAFD">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4B959964">
            <w:pPr>
              <w:pStyle w:val="37"/>
              <w:adjustRightInd w:val="0"/>
              <w:rPr>
                <w:color w:val="auto"/>
                <w:highlight w:val="none"/>
              </w:rPr>
            </w:pPr>
            <w:r>
              <w:rPr>
                <w:color w:val="auto"/>
                <w:highlight w:val="none"/>
              </w:rPr>
              <w:t>污染物排放管控</w:t>
            </w:r>
          </w:p>
        </w:tc>
        <w:tc>
          <w:tcPr>
            <w:tcW w:w="876" w:type="pct"/>
            <w:tcBorders>
              <w:top w:val="single" w:color="000000" w:sz="2" w:space="0"/>
              <w:left w:val="single" w:color="000000" w:sz="2" w:space="0"/>
              <w:bottom w:val="single" w:color="000000" w:sz="2" w:space="0"/>
              <w:right w:val="single" w:color="000000" w:sz="2" w:space="0"/>
            </w:tcBorders>
            <w:vAlign w:val="center"/>
          </w:tcPr>
          <w:p w14:paraId="452A74FC">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08D6B15B">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2F5EA050">
            <w:pPr>
              <w:pStyle w:val="37"/>
              <w:adjustRightInd w:val="0"/>
              <w:rPr>
                <w:color w:val="auto"/>
                <w:highlight w:val="none"/>
              </w:rPr>
            </w:pPr>
            <w:r>
              <w:rPr>
                <w:color w:val="auto"/>
                <w:highlight w:val="none"/>
              </w:rPr>
              <w:t>/</w:t>
            </w:r>
          </w:p>
        </w:tc>
      </w:tr>
      <w:tr w14:paraId="59E957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10424F25">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5AE2FC8E">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50FFC3AE">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7F02B9DB">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26A109FC">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0B08D31B">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6C975C04">
            <w:pPr>
              <w:pStyle w:val="37"/>
              <w:adjustRightInd w:val="0"/>
              <w:rPr>
                <w:color w:val="auto"/>
                <w:highlight w:val="none"/>
              </w:rPr>
            </w:pPr>
            <w:r>
              <w:rPr>
                <w:color w:val="auto"/>
                <w:highlight w:val="none"/>
              </w:rPr>
              <w:t>环境风险防控</w:t>
            </w:r>
          </w:p>
        </w:tc>
        <w:tc>
          <w:tcPr>
            <w:tcW w:w="876" w:type="pct"/>
            <w:tcBorders>
              <w:top w:val="single" w:color="000000" w:sz="2" w:space="0"/>
              <w:left w:val="single" w:color="000000" w:sz="2" w:space="0"/>
              <w:bottom w:val="single" w:color="000000" w:sz="2" w:space="0"/>
              <w:right w:val="single" w:color="000000" w:sz="2" w:space="0"/>
            </w:tcBorders>
            <w:vAlign w:val="center"/>
          </w:tcPr>
          <w:p w14:paraId="05841A3E">
            <w:pPr>
              <w:pStyle w:val="37"/>
              <w:adjustRightInd w:val="0"/>
              <w:jc w:val="both"/>
              <w:rPr>
                <w:rFonts w:hint="eastAsia"/>
                <w:color w:val="auto"/>
                <w:highlight w:val="none"/>
              </w:rPr>
            </w:pPr>
            <w:r>
              <w:rPr>
                <w:rFonts w:hint="eastAsia"/>
                <w:color w:val="auto"/>
                <w:highlight w:val="none"/>
              </w:rPr>
              <w:t>【污染地块管控要求】</w:t>
            </w:r>
          </w:p>
          <w:p w14:paraId="05B201EA">
            <w:pPr>
              <w:pStyle w:val="37"/>
              <w:adjustRightInd w:val="0"/>
              <w:jc w:val="both"/>
              <w:rPr>
                <w:color w:val="auto"/>
                <w:highlight w:val="none"/>
              </w:rPr>
            </w:pPr>
            <w:r>
              <w:rPr>
                <w:rFonts w:hint="eastAsia"/>
                <w:color w:val="auto"/>
                <w:highlight w:val="none"/>
              </w:rPr>
              <w:t>土地资源开发利用量不得超过土地资源利用上线控制性指标。</w:t>
            </w:r>
          </w:p>
        </w:tc>
        <w:tc>
          <w:tcPr>
            <w:tcW w:w="764" w:type="pct"/>
            <w:tcBorders>
              <w:top w:val="single" w:color="000000" w:sz="2" w:space="0"/>
              <w:left w:val="single" w:color="000000" w:sz="2" w:space="0"/>
              <w:bottom w:val="single" w:color="000000" w:sz="2" w:space="0"/>
              <w:right w:val="single" w:color="000000" w:sz="2" w:space="0"/>
            </w:tcBorders>
            <w:vAlign w:val="center"/>
          </w:tcPr>
          <w:p w14:paraId="1900163F">
            <w:pPr>
              <w:pStyle w:val="37"/>
              <w:adjustRightInd w:val="0"/>
              <w:rPr>
                <w:color w:val="auto"/>
                <w:highlight w:val="none"/>
              </w:rPr>
            </w:pPr>
            <w:r>
              <w:rPr>
                <w:color w:val="auto"/>
                <w:highlight w:val="none"/>
              </w:rPr>
              <w:t>本项目土地资源开发利用量未超过土地资源利用</w:t>
            </w:r>
            <w:r>
              <w:rPr>
                <w:rFonts w:hint="eastAsia"/>
                <w:color w:val="auto"/>
                <w:highlight w:val="none"/>
              </w:rPr>
              <w:t>上限</w:t>
            </w:r>
            <w:r>
              <w:rPr>
                <w:color w:val="auto"/>
                <w:highlight w:val="none"/>
              </w:rPr>
              <w:t>控制性指标</w:t>
            </w:r>
          </w:p>
        </w:tc>
        <w:tc>
          <w:tcPr>
            <w:tcW w:w="355" w:type="pct"/>
            <w:tcBorders>
              <w:top w:val="single" w:color="000000" w:sz="2" w:space="0"/>
              <w:left w:val="single" w:color="000000" w:sz="2" w:space="0"/>
              <w:bottom w:val="single" w:color="000000" w:sz="2" w:space="0"/>
              <w:right w:val="single" w:color="000000" w:sz="2" w:space="0"/>
            </w:tcBorders>
            <w:vAlign w:val="center"/>
          </w:tcPr>
          <w:p w14:paraId="3362371E">
            <w:pPr>
              <w:pStyle w:val="37"/>
              <w:adjustRightInd w:val="0"/>
              <w:rPr>
                <w:color w:val="auto"/>
                <w:highlight w:val="none"/>
              </w:rPr>
            </w:pPr>
            <w:r>
              <w:rPr>
                <w:color w:val="auto"/>
                <w:highlight w:val="none"/>
              </w:rPr>
              <w:t>符合</w:t>
            </w:r>
          </w:p>
        </w:tc>
      </w:tr>
      <w:tr w14:paraId="19AF69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c>
          <w:tcPr>
            <w:tcW w:w="664" w:type="pct"/>
            <w:vMerge w:val="continue"/>
            <w:tcBorders>
              <w:top w:val="single" w:color="000000" w:sz="2" w:space="0"/>
              <w:left w:val="single" w:color="000000" w:sz="2" w:space="0"/>
              <w:bottom w:val="single" w:color="000000" w:sz="2" w:space="0"/>
              <w:right w:val="single" w:color="000000" w:sz="2" w:space="0"/>
            </w:tcBorders>
            <w:vAlign w:val="center"/>
          </w:tcPr>
          <w:p w14:paraId="67D3C49B">
            <w:pPr>
              <w:pStyle w:val="37"/>
              <w:adjustRightInd w:val="0"/>
              <w:rPr>
                <w:color w:val="auto"/>
                <w:highlight w:val="none"/>
              </w:rPr>
            </w:pPr>
          </w:p>
        </w:tc>
        <w:tc>
          <w:tcPr>
            <w:tcW w:w="540" w:type="pct"/>
            <w:vMerge w:val="continue"/>
            <w:tcBorders>
              <w:top w:val="single" w:color="000000" w:sz="2" w:space="0"/>
              <w:left w:val="single" w:color="000000" w:sz="2" w:space="0"/>
              <w:bottom w:val="single" w:color="000000" w:sz="2" w:space="0"/>
              <w:right w:val="single" w:color="000000" w:sz="2" w:space="0"/>
            </w:tcBorders>
            <w:vAlign w:val="center"/>
          </w:tcPr>
          <w:p w14:paraId="422A5795">
            <w:pPr>
              <w:pStyle w:val="37"/>
              <w:adjustRightInd w:val="0"/>
              <w:rPr>
                <w:color w:val="auto"/>
                <w:highlight w:val="none"/>
              </w:rPr>
            </w:pPr>
          </w:p>
        </w:tc>
        <w:tc>
          <w:tcPr>
            <w:tcW w:w="334" w:type="pct"/>
            <w:vMerge w:val="continue"/>
            <w:tcBorders>
              <w:top w:val="single" w:color="000000" w:sz="2" w:space="0"/>
              <w:left w:val="single" w:color="000000" w:sz="2" w:space="0"/>
              <w:bottom w:val="single" w:color="000000" w:sz="2" w:space="0"/>
              <w:right w:val="single" w:color="000000" w:sz="2" w:space="0"/>
            </w:tcBorders>
            <w:vAlign w:val="center"/>
          </w:tcPr>
          <w:p w14:paraId="6D6ED0D5">
            <w:pPr>
              <w:pStyle w:val="37"/>
              <w:adjustRightInd w:val="0"/>
              <w:rPr>
                <w:color w:val="auto"/>
                <w:highlight w:val="none"/>
              </w:rPr>
            </w:pPr>
          </w:p>
        </w:tc>
        <w:tc>
          <w:tcPr>
            <w:tcW w:w="343" w:type="pct"/>
            <w:vMerge w:val="continue"/>
            <w:tcBorders>
              <w:top w:val="single" w:color="000000" w:sz="2" w:space="0"/>
              <w:left w:val="single" w:color="000000" w:sz="2" w:space="0"/>
              <w:bottom w:val="single" w:color="000000" w:sz="2" w:space="0"/>
              <w:right w:val="single" w:color="000000" w:sz="2" w:space="0"/>
            </w:tcBorders>
            <w:vAlign w:val="center"/>
          </w:tcPr>
          <w:p w14:paraId="4F4E7630">
            <w:pPr>
              <w:pStyle w:val="37"/>
              <w:adjustRightInd w:val="0"/>
              <w:rPr>
                <w:color w:val="auto"/>
                <w:highlight w:val="none"/>
              </w:rPr>
            </w:pPr>
          </w:p>
        </w:tc>
        <w:tc>
          <w:tcPr>
            <w:tcW w:w="367" w:type="pct"/>
            <w:vMerge w:val="continue"/>
            <w:tcBorders>
              <w:top w:val="single" w:color="000000" w:sz="2" w:space="0"/>
              <w:left w:val="single" w:color="000000" w:sz="2" w:space="0"/>
              <w:bottom w:val="single" w:color="000000" w:sz="2" w:space="0"/>
              <w:right w:val="single" w:color="000000" w:sz="2" w:space="0"/>
            </w:tcBorders>
            <w:vAlign w:val="center"/>
          </w:tcPr>
          <w:p w14:paraId="1018DE31">
            <w:pPr>
              <w:pStyle w:val="37"/>
              <w:adjustRightInd w:val="0"/>
              <w:rPr>
                <w:color w:val="auto"/>
                <w:highlight w:val="none"/>
              </w:rPr>
            </w:pPr>
          </w:p>
        </w:tc>
        <w:tc>
          <w:tcPr>
            <w:tcW w:w="315" w:type="pct"/>
            <w:vMerge w:val="continue"/>
            <w:tcBorders>
              <w:top w:val="single" w:color="000000" w:sz="2" w:space="0"/>
              <w:left w:val="single" w:color="000000" w:sz="2" w:space="0"/>
              <w:bottom w:val="single" w:color="000000" w:sz="2" w:space="0"/>
              <w:right w:val="single" w:color="000000" w:sz="2" w:space="0"/>
            </w:tcBorders>
            <w:vAlign w:val="center"/>
          </w:tcPr>
          <w:p w14:paraId="2510AD9B">
            <w:pPr>
              <w:pStyle w:val="37"/>
              <w:adjustRightInd w:val="0"/>
              <w:rPr>
                <w:color w:val="auto"/>
                <w:highlight w:val="none"/>
              </w:rPr>
            </w:pPr>
          </w:p>
        </w:tc>
        <w:tc>
          <w:tcPr>
            <w:tcW w:w="439" w:type="pct"/>
            <w:tcBorders>
              <w:top w:val="single" w:color="000000" w:sz="2" w:space="0"/>
              <w:left w:val="single" w:color="000000" w:sz="2" w:space="0"/>
              <w:bottom w:val="single" w:color="000000" w:sz="2" w:space="0"/>
              <w:right w:val="single" w:color="000000" w:sz="2" w:space="0"/>
            </w:tcBorders>
            <w:vAlign w:val="center"/>
          </w:tcPr>
          <w:p w14:paraId="0BE0E8CE">
            <w:pPr>
              <w:pStyle w:val="37"/>
              <w:adjustRightInd w:val="0"/>
              <w:rPr>
                <w:color w:val="auto"/>
                <w:highlight w:val="none"/>
              </w:rPr>
            </w:pPr>
            <w:r>
              <w:rPr>
                <w:color w:val="auto"/>
                <w:highlight w:val="none"/>
              </w:rPr>
              <w:t>资源开发利用效率要求</w:t>
            </w:r>
          </w:p>
        </w:tc>
        <w:tc>
          <w:tcPr>
            <w:tcW w:w="876" w:type="pct"/>
            <w:tcBorders>
              <w:top w:val="single" w:color="000000" w:sz="2" w:space="0"/>
              <w:left w:val="single" w:color="000000" w:sz="2" w:space="0"/>
              <w:bottom w:val="single" w:color="000000" w:sz="2" w:space="0"/>
              <w:right w:val="single" w:color="000000" w:sz="2" w:space="0"/>
            </w:tcBorders>
            <w:vAlign w:val="center"/>
          </w:tcPr>
          <w:p w14:paraId="4E4FE3FA">
            <w:pPr>
              <w:pStyle w:val="37"/>
              <w:adjustRightInd w:val="0"/>
              <w:rPr>
                <w:color w:val="auto"/>
                <w:highlight w:val="none"/>
              </w:rPr>
            </w:pPr>
            <w:r>
              <w:rPr>
                <w:color w:val="auto"/>
                <w:highlight w:val="none"/>
              </w:rPr>
              <w:t>/</w:t>
            </w:r>
          </w:p>
        </w:tc>
        <w:tc>
          <w:tcPr>
            <w:tcW w:w="764" w:type="pct"/>
            <w:tcBorders>
              <w:top w:val="single" w:color="000000" w:sz="2" w:space="0"/>
              <w:left w:val="single" w:color="000000" w:sz="2" w:space="0"/>
              <w:bottom w:val="single" w:color="000000" w:sz="2" w:space="0"/>
              <w:right w:val="single" w:color="000000" w:sz="2" w:space="0"/>
            </w:tcBorders>
            <w:vAlign w:val="center"/>
          </w:tcPr>
          <w:p w14:paraId="69E9D00D">
            <w:pPr>
              <w:pStyle w:val="37"/>
              <w:adjustRightInd w:val="0"/>
              <w:rPr>
                <w:color w:val="auto"/>
                <w:highlight w:val="none"/>
              </w:rPr>
            </w:pPr>
            <w:r>
              <w:rPr>
                <w:color w:val="auto"/>
                <w:highlight w:val="none"/>
              </w:rPr>
              <w:t>/</w:t>
            </w:r>
          </w:p>
        </w:tc>
        <w:tc>
          <w:tcPr>
            <w:tcW w:w="355" w:type="pct"/>
            <w:tcBorders>
              <w:top w:val="single" w:color="000000" w:sz="2" w:space="0"/>
              <w:left w:val="single" w:color="000000" w:sz="2" w:space="0"/>
              <w:bottom w:val="single" w:color="000000" w:sz="2" w:space="0"/>
              <w:right w:val="single" w:color="000000" w:sz="2" w:space="0"/>
            </w:tcBorders>
            <w:vAlign w:val="center"/>
          </w:tcPr>
          <w:p w14:paraId="49DF6195">
            <w:pPr>
              <w:pStyle w:val="37"/>
              <w:adjustRightInd w:val="0"/>
              <w:rPr>
                <w:color w:val="auto"/>
                <w:highlight w:val="none"/>
              </w:rPr>
            </w:pPr>
            <w:r>
              <w:rPr>
                <w:color w:val="auto"/>
                <w:highlight w:val="none"/>
              </w:rPr>
              <w:t>/</w:t>
            </w:r>
          </w:p>
        </w:tc>
      </w:tr>
    </w:tbl>
    <w:p w14:paraId="7968409C">
      <w:pPr>
        <w:adjustRightInd w:val="0"/>
        <w:ind w:firstLine="480"/>
        <w:rPr>
          <w:rFonts w:cs="Times New Roman"/>
          <w:color w:val="auto"/>
          <w:highlight w:val="none"/>
        </w:rPr>
        <w:sectPr>
          <w:pgSz w:w="16838" w:h="11906" w:orient="landscape"/>
          <w:pgMar w:top="1800" w:right="1440" w:bottom="1800" w:left="1440" w:header="851" w:footer="992" w:gutter="0"/>
          <w:cols w:space="425" w:num="1"/>
          <w:docGrid w:type="lines" w:linePitch="326" w:charSpace="0"/>
        </w:sectPr>
      </w:pPr>
      <w:r>
        <w:rPr>
          <w:rFonts w:cs="Times New Roman"/>
          <w:color w:val="auto"/>
          <w:szCs w:val="22"/>
          <w:highlight w:val="none"/>
        </w:rPr>
        <w:t>综上所述，本项目建设符合四川省及</w:t>
      </w:r>
      <w:r>
        <w:rPr>
          <w:rFonts w:hint="eastAsia" w:cs="Times New Roman"/>
          <w:color w:val="auto"/>
          <w:szCs w:val="22"/>
          <w:highlight w:val="none"/>
          <w:lang w:val="en-US" w:eastAsia="zh-CN"/>
        </w:rPr>
        <w:t>乐山</w:t>
      </w:r>
      <w:r>
        <w:rPr>
          <w:rFonts w:cs="Times New Roman"/>
          <w:color w:val="auto"/>
          <w:szCs w:val="22"/>
          <w:highlight w:val="none"/>
        </w:rPr>
        <w:t>市生态环境分区管控相关要求。</w:t>
      </w:r>
    </w:p>
    <w:p w14:paraId="2F838800">
      <w:pPr>
        <w:pStyle w:val="4"/>
        <w:adjustRightInd w:val="0"/>
        <w:rPr>
          <w:rFonts w:cs="Times New Roman"/>
          <w:color w:val="auto"/>
          <w:highlight w:val="none"/>
        </w:rPr>
      </w:pPr>
      <w:bookmarkStart w:id="24" w:name="_Toc32609"/>
      <w:bookmarkStart w:id="25" w:name="_Toc10504"/>
      <w:bookmarkStart w:id="26" w:name="_Toc11944"/>
      <w:bookmarkStart w:id="27" w:name="_Toc29199"/>
      <w:bookmarkStart w:id="28" w:name="_Toc22439"/>
      <w:bookmarkStart w:id="29" w:name="_Toc2013"/>
      <w:r>
        <w:rPr>
          <w:rFonts w:cs="Times New Roman"/>
          <w:color w:val="auto"/>
          <w:highlight w:val="none"/>
        </w:rPr>
        <w:t>选址符合性分析</w:t>
      </w:r>
      <w:bookmarkEnd w:id="24"/>
    </w:p>
    <w:p w14:paraId="64052E0E">
      <w:pPr>
        <w:pStyle w:val="5"/>
        <w:adjustRightInd w:val="0"/>
        <w:rPr>
          <w:rFonts w:cs="Times New Roman"/>
          <w:color w:val="auto"/>
          <w:highlight w:val="none"/>
        </w:rPr>
      </w:pPr>
      <w:r>
        <w:rPr>
          <w:rFonts w:cs="Times New Roman"/>
          <w:color w:val="auto"/>
          <w:highlight w:val="none"/>
        </w:rPr>
        <w:t>项目用地规划符合性</w:t>
      </w:r>
    </w:p>
    <w:p w14:paraId="35C4C8EC">
      <w:pPr>
        <w:adjustRightInd w:val="0"/>
        <w:ind w:firstLine="480"/>
        <w:rPr>
          <w:rFonts w:cs="Times New Roman"/>
          <w:color w:val="auto"/>
          <w:highlight w:val="none"/>
        </w:rPr>
      </w:pPr>
      <w:r>
        <w:rPr>
          <w:rFonts w:cs="Times New Roman"/>
          <w:color w:val="auto"/>
          <w:highlight w:val="none"/>
        </w:rPr>
        <w:t>本项目选址位于乐山市四川乐山沙湾经济开发区，项目所在地块</w:t>
      </w:r>
      <w:r>
        <w:rPr>
          <w:rFonts w:hint="eastAsia" w:cs="Times New Roman"/>
          <w:color w:val="auto"/>
          <w:highlight w:val="none"/>
        </w:rPr>
        <w:t>已取得乐山市沙湾区自然资源局出具的《不动产权证书》（川（2026）沙湾区不动产权第0000726号）、（川（2026）沙湾区不动产权第0000727号）</w:t>
      </w:r>
      <w:r>
        <w:rPr>
          <w:rFonts w:cs="Times New Roman"/>
          <w:color w:val="auto"/>
          <w:highlight w:val="none"/>
        </w:rPr>
        <w:t>。</w:t>
      </w:r>
    </w:p>
    <w:p w14:paraId="595CC68C">
      <w:pPr>
        <w:adjustRightInd w:val="0"/>
        <w:ind w:firstLine="480"/>
        <w:rPr>
          <w:rFonts w:cs="Times New Roman"/>
          <w:color w:val="auto"/>
          <w:highlight w:val="none"/>
        </w:rPr>
      </w:pPr>
      <w:r>
        <w:rPr>
          <w:rFonts w:cs="Times New Roman"/>
          <w:color w:val="auto"/>
          <w:highlight w:val="none"/>
        </w:rPr>
        <w:t>本项目为锂辉石选矿项目，不属于园区负面清单禁止准入的项目类型，属于与园区主导产业相容的、不形成交叉影响的产业，为园区允许类。</w:t>
      </w:r>
    </w:p>
    <w:p w14:paraId="5739C745">
      <w:pPr>
        <w:adjustRightInd w:val="0"/>
        <w:ind w:firstLine="480"/>
        <w:rPr>
          <w:rFonts w:cs="Times New Roman"/>
          <w:color w:val="auto"/>
          <w:highlight w:val="none"/>
        </w:rPr>
      </w:pPr>
      <w:r>
        <w:rPr>
          <w:rFonts w:cs="Times New Roman"/>
          <w:color w:val="auto"/>
          <w:highlight w:val="none"/>
        </w:rPr>
        <w:t>综上，本项目用地符合区域规划，选址可行。</w:t>
      </w:r>
    </w:p>
    <w:p w14:paraId="5E9E76CF">
      <w:pPr>
        <w:pStyle w:val="5"/>
        <w:adjustRightInd w:val="0"/>
        <w:rPr>
          <w:rFonts w:cs="Times New Roman"/>
          <w:color w:val="auto"/>
          <w:highlight w:val="none"/>
        </w:rPr>
      </w:pPr>
      <w:r>
        <w:rPr>
          <w:rFonts w:cs="Times New Roman"/>
          <w:color w:val="auto"/>
          <w:highlight w:val="none"/>
        </w:rPr>
        <w:t>与周边环境相容性分析</w:t>
      </w:r>
    </w:p>
    <w:p w14:paraId="0040CDC0">
      <w:pPr>
        <w:adjustRightInd w:val="0"/>
        <w:ind w:firstLine="480"/>
        <w:rPr>
          <w:rFonts w:cs="Times New Roman"/>
          <w:color w:val="auto"/>
          <w:highlight w:val="none"/>
        </w:rPr>
      </w:pPr>
      <w:r>
        <w:rPr>
          <w:rFonts w:cs="Times New Roman"/>
          <w:color w:val="auto"/>
          <w:highlight w:val="none"/>
        </w:rPr>
        <w:t>本项目位于四川乐山沙湾经济开发区内，距离最近场镇（嘉农镇）最近距离</w:t>
      </w:r>
      <w:r>
        <w:rPr>
          <w:rFonts w:hint="eastAsia" w:cs="Times New Roman"/>
          <w:color w:val="auto"/>
          <w:highlight w:val="none"/>
        </w:rPr>
        <w:t>850</w:t>
      </w:r>
      <w:r>
        <w:rPr>
          <w:rFonts w:cs="Times New Roman"/>
          <w:color w:val="auto"/>
          <w:highlight w:val="none"/>
        </w:rPr>
        <w:t>m，距离沙湾区县城4</w:t>
      </w:r>
      <w:r>
        <w:rPr>
          <w:rFonts w:hint="eastAsia" w:cs="Times New Roman"/>
          <w:color w:val="auto"/>
          <w:highlight w:val="none"/>
        </w:rPr>
        <w:t>000</w:t>
      </w:r>
      <w:r>
        <w:rPr>
          <w:rFonts w:cs="Times New Roman"/>
          <w:color w:val="auto"/>
          <w:highlight w:val="none"/>
        </w:rPr>
        <w:t>m。本项目区域的地表水主要为大渡河，属于长江支流，项目距离大渡河</w:t>
      </w:r>
      <w:r>
        <w:rPr>
          <w:rFonts w:hint="eastAsia" w:cs="Times New Roman"/>
          <w:color w:val="auto"/>
          <w:highlight w:val="none"/>
        </w:rPr>
        <w:t>生态河</w:t>
      </w:r>
      <w:r>
        <w:rPr>
          <w:rFonts w:cs="Times New Roman"/>
          <w:color w:val="auto"/>
          <w:highlight w:val="none"/>
        </w:rPr>
        <w:t>直线距离约</w:t>
      </w:r>
      <w:r>
        <w:rPr>
          <w:rFonts w:hint="eastAsia" w:cs="Times New Roman"/>
          <w:color w:val="auto"/>
          <w:highlight w:val="none"/>
        </w:rPr>
        <w:t>655</w:t>
      </w:r>
      <w:r>
        <w:rPr>
          <w:rFonts w:cs="Times New Roman"/>
          <w:color w:val="auto"/>
          <w:highlight w:val="none"/>
        </w:rPr>
        <w:t>m。项目周边主要为不锈钢生产企业，无食品、医药等企业，项目划定的50m卫生防护距离内无居民、学校等环境敏感目标。本项目不涉及自然保护区、风景名胜区等敏感区，不涉及生态保护红线，不涉及地下水集中式饮用水源保护区。</w:t>
      </w:r>
    </w:p>
    <w:p w14:paraId="5121FD77">
      <w:pPr>
        <w:adjustRightInd w:val="0"/>
        <w:ind w:firstLine="480"/>
        <w:rPr>
          <w:rFonts w:cs="Times New Roman"/>
          <w:color w:val="auto"/>
          <w:highlight w:val="none"/>
        </w:rPr>
      </w:pPr>
      <w:r>
        <w:rPr>
          <w:rFonts w:cs="Times New Roman"/>
          <w:color w:val="auto"/>
          <w:highlight w:val="none"/>
        </w:rPr>
        <w:t>项目厂界外东南侧6</w:t>
      </w:r>
      <w:r>
        <w:rPr>
          <w:rFonts w:hint="eastAsia" w:cs="Times New Roman"/>
          <w:color w:val="auto"/>
          <w:highlight w:val="none"/>
        </w:rPr>
        <w:t>5</w:t>
      </w:r>
      <w:r>
        <w:rPr>
          <w:rFonts w:cs="Times New Roman"/>
          <w:color w:val="auto"/>
          <w:highlight w:val="none"/>
        </w:rPr>
        <w:t>5m为大渡河生态河</w:t>
      </w:r>
      <w:r>
        <w:rPr>
          <w:rFonts w:hint="eastAsia" w:cs="Times New Roman"/>
          <w:color w:val="auto"/>
          <w:highlight w:val="none"/>
        </w:rPr>
        <w:t>。项目</w:t>
      </w:r>
      <w:r>
        <w:rPr>
          <w:rFonts w:cs="Times New Roman"/>
          <w:color w:val="auto"/>
          <w:highlight w:val="none"/>
        </w:rPr>
        <w:t>厂界北侧</w:t>
      </w:r>
      <w:r>
        <w:rPr>
          <w:rFonts w:hint="eastAsia" w:cs="Times New Roman"/>
          <w:color w:val="auto"/>
          <w:highlight w:val="none"/>
        </w:rPr>
        <w:t>外10m为红猫堰</w:t>
      </w:r>
      <w:r>
        <w:rPr>
          <w:rFonts w:cs="Times New Roman"/>
          <w:color w:val="auto"/>
          <w:highlight w:val="none"/>
        </w:rPr>
        <w:t>，向北汇入大渡河。厂界外东南侧12</w:t>
      </w:r>
      <w:r>
        <w:rPr>
          <w:rFonts w:hint="eastAsia" w:cs="Times New Roman"/>
          <w:color w:val="auto"/>
          <w:highlight w:val="none"/>
        </w:rPr>
        <w:t>59</w:t>
      </w:r>
      <w:r>
        <w:rPr>
          <w:rFonts w:cs="Times New Roman"/>
          <w:color w:val="auto"/>
          <w:highlight w:val="none"/>
        </w:rPr>
        <w:t>m为乐山市大渡河安谷电站库区集中式饮用水水源保护区（厂界外东南侧约18</w:t>
      </w:r>
      <w:r>
        <w:rPr>
          <w:rFonts w:hint="eastAsia" w:cs="Times New Roman"/>
          <w:color w:val="auto"/>
          <w:highlight w:val="none"/>
        </w:rPr>
        <w:t>15</w:t>
      </w:r>
      <w:r>
        <w:rPr>
          <w:rFonts w:cs="Times New Roman"/>
          <w:color w:val="auto"/>
          <w:highlight w:val="none"/>
        </w:rPr>
        <w:t>m为乐山市大渡河安谷电站库区集中式饮用水水源保护区取水口），厂界外东南侧</w:t>
      </w:r>
      <w:r>
        <w:rPr>
          <w:rFonts w:hint="eastAsia" w:cs="Times New Roman"/>
          <w:color w:val="auto"/>
          <w:highlight w:val="none"/>
        </w:rPr>
        <w:t>655m</w:t>
      </w:r>
      <w:r>
        <w:rPr>
          <w:rFonts w:cs="Times New Roman"/>
          <w:color w:val="auto"/>
          <w:highlight w:val="none"/>
        </w:rPr>
        <w:t>为四川沙湾大渡河国家湿地公园。本项目生活污水</w:t>
      </w:r>
      <w:r>
        <w:rPr>
          <w:rFonts w:hint="eastAsia" w:cs="Times New Roman"/>
          <w:color w:val="auto"/>
          <w:highlight w:val="none"/>
        </w:rPr>
        <w:t>（含食堂废水）</w:t>
      </w:r>
      <w:r>
        <w:rPr>
          <w:rFonts w:cs="Times New Roman"/>
          <w:color w:val="auto"/>
          <w:highlight w:val="none"/>
        </w:rPr>
        <w:t>排放至园区污水处理厂（乐山沙湾经济开发区污水处理厂），执行《四川省岷江、沱江流域水污染物排放标准》（DB51 /2311-2016），本项目生产废水不外排，本次评价要求企业编制突发环境事件应急预案，因此本项目对乐山市大渡河安谷电站库区集中式饮用水水源保护区影响较小。</w:t>
      </w:r>
    </w:p>
    <w:p w14:paraId="20059959">
      <w:pPr>
        <w:adjustRightInd w:val="0"/>
        <w:ind w:firstLine="480"/>
        <w:rPr>
          <w:rFonts w:cs="Times New Roman"/>
          <w:color w:val="auto"/>
          <w:highlight w:val="none"/>
        </w:rPr>
      </w:pPr>
      <w:r>
        <w:rPr>
          <w:rFonts w:cs="Times New Roman"/>
          <w:color w:val="auto"/>
          <w:highlight w:val="none"/>
        </w:rPr>
        <w:t>综上所述，本项目的建设与周边环境相容。</w:t>
      </w:r>
    </w:p>
    <w:p w14:paraId="11D8A867">
      <w:pPr>
        <w:pStyle w:val="5"/>
        <w:adjustRightInd w:val="0"/>
        <w:rPr>
          <w:rFonts w:cs="Times New Roman"/>
          <w:color w:val="auto"/>
          <w:highlight w:val="none"/>
        </w:rPr>
      </w:pPr>
      <w:r>
        <w:rPr>
          <w:rFonts w:cs="Times New Roman"/>
          <w:color w:val="auto"/>
          <w:highlight w:val="none"/>
        </w:rPr>
        <w:t>项目选址与区域环境质量要求的符合性</w:t>
      </w:r>
    </w:p>
    <w:p w14:paraId="3FC12C51">
      <w:pPr>
        <w:adjustRightInd w:val="0"/>
        <w:ind w:firstLine="480"/>
        <w:rPr>
          <w:rFonts w:cs="Times New Roman"/>
          <w:color w:val="auto"/>
          <w:highlight w:val="none"/>
        </w:rPr>
      </w:pPr>
      <w:r>
        <w:rPr>
          <w:rFonts w:cs="Times New Roman"/>
          <w:color w:val="auto"/>
          <w:highlight w:val="none"/>
        </w:rPr>
        <w:t>本项目为锂辉石矿</w:t>
      </w:r>
      <w:r>
        <w:rPr>
          <w:rFonts w:hint="eastAsia" w:cs="Times New Roman"/>
          <w:color w:val="auto"/>
          <w:highlight w:val="none"/>
        </w:rPr>
        <w:t>选矿</w:t>
      </w:r>
      <w:r>
        <w:rPr>
          <w:rFonts w:cs="Times New Roman"/>
          <w:color w:val="auto"/>
          <w:highlight w:val="none"/>
        </w:rPr>
        <w:t>项目，产生的污染物主要为废气（颗粒物）、废水、噪声及固废。根据现场调查，项目厂界外200m范围内没有声环境保护目标，厂界外东南侧12</w:t>
      </w:r>
      <w:r>
        <w:rPr>
          <w:rFonts w:hint="eastAsia" w:cs="Times New Roman"/>
          <w:color w:val="auto"/>
          <w:highlight w:val="none"/>
        </w:rPr>
        <w:t>59</w:t>
      </w:r>
      <w:r>
        <w:rPr>
          <w:rFonts w:cs="Times New Roman"/>
          <w:color w:val="auto"/>
          <w:highlight w:val="none"/>
        </w:rPr>
        <w:t>m有乐山市大渡河安谷电站库区集中式饮用水水源保护区（项目场地东南侧约18</w:t>
      </w:r>
      <w:r>
        <w:rPr>
          <w:rFonts w:hint="eastAsia" w:cs="Times New Roman"/>
          <w:color w:val="auto"/>
          <w:highlight w:val="none"/>
        </w:rPr>
        <w:t>15</w:t>
      </w:r>
      <w:r>
        <w:rPr>
          <w:rFonts w:cs="Times New Roman"/>
          <w:color w:val="auto"/>
          <w:highlight w:val="none"/>
        </w:rPr>
        <w:t>m为乐山市大渡河安谷电站库区集中式饮用水水源保护区取水口）。本项目厂界外的环境空气保护目标位于项目所在地主导风向，且本项目主要大气污染物在严格落实本报告提出的环保措施后能够实现达标排放</w:t>
      </w:r>
      <w:r>
        <w:rPr>
          <w:rFonts w:cs="Times New Roman"/>
          <w:color w:val="auto"/>
          <w:szCs w:val="24"/>
          <w:highlight w:val="none"/>
        </w:rPr>
        <w:t>。</w:t>
      </w:r>
      <w:r>
        <w:rPr>
          <w:rStyle w:val="36"/>
          <w:rFonts w:cs="Times New Roman"/>
          <w:color w:val="auto"/>
          <w:sz w:val="24"/>
          <w:szCs w:val="24"/>
          <w:highlight w:val="none"/>
        </w:rPr>
        <w:t>本项目严格落实减排计划。</w:t>
      </w:r>
    </w:p>
    <w:p w14:paraId="70CE0267">
      <w:pPr>
        <w:adjustRightInd w:val="0"/>
        <w:ind w:firstLine="480"/>
        <w:rPr>
          <w:rFonts w:cs="Times New Roman"/>
          <w:color w:val="auto"/>
          <w:highlight w:val="none"/>
        </w:rPr>
      </w:pPr>
      <w:r>
        <w:rPr>
          <w:rFonts w:cs="Times New Roman"/>
          <w:color w:val="auto"/>
          <w:highlight w:val="none"/>
        </w:rPr>
        <w:t>本项目原料和产品均暂存于封闭库房内，配套设置除尘措施。项目</w:t>
      </w:r>
      <w:r>
        <w:rPr>
          <w:rFonts w:hint="eastAsia" w:cs="Times New Roman"/>
          <w:color w:val="auto"/>
          <w:highlight w:val="none"/>
        </w:rPr>
        <w:t>给料、</w:t>
      </w:r>
      <w:r>
        <w:rPr>
          <w:rFonts w:cs="Times New Roman"/>
          <w:color w:val="auto"/>
          <w:highlight w:val="none"/>
        </w:rPr>
        <w:t>破碎、筛分等产尘工序均在封闭车间内进行，本项目给料、破碎粉尘经收集后统一经1套袋式除尘装置（TA001）处理后经一根15m排气筒（DA001）处理后达标外排</w:t>
      </w:r>
      <w:r>
        <w:rPr>
          <w:rFonts w:hint="eastAsia" w:cs="Times New Roman"/>
          <w:color w:val="auto"/>
          <w:highlight w:val="none"/>
        </w:rPr>
        <w:t>，</w:t>
      </w:r>
      <w:r>
        <w:rPr>
          <w:rFonts w:cs="Times New Roman"/>
          <w:color w:val="auto"/>
          <w:highlight w:val="none"/>
        </w:rPr>
        <w:t>筛分废气经收集后统一经1套袋式除尘装置（TA002）处理后经一根15m排气筒（DA001，共用）处理后达标外排，同时在原矿仓库</w:t>
      </w:r>
      <w:r>
        <w:rPr>
          <w:rFonts w:hint="eastAsia" w:cs="Times New Roman"/>
          <w:color w:val="auto"/>
          <w:highlight w:val="none"/>
        </w:rPr>
        <w:t>、尾矿仓库、精矿仓库</w:t>
      </w:r>
      <w:r>
        <w:rPr>
          <w:rFonts w:cs="Times New Roman"/>
          <w:color w:val="auto"/>
          <w:highlight w:val="none"/>
        </w:rPr>
        <w:t>等区域安装自动喷雾等喷雾降尘设施。本项目运输车辆全部采取遮盖措施，车辆出厂前均进行冲洗。</w:t>
      </w:r>
      <w:r>
        <w:rPr>
          <w:rFonts w:hint="eastAsia" w:cs="Times New Roman"/>
          <w:color w:val="auto"/>
          <w:highlight w:val="none"/>
        </w:rPr>
        <w:t>厂区围墙、主要运输道路两侧加装喷雾装置。食堂油烟通过设置一套效率不低于75%的油烟收集净化系统收集治理后通过专用烟道引至楼顶达标排放。</w:t>
      </w:r>
      <w:r>
        <w:rPr>
          <w:rFonts w:cs="Times New Roman"/>
          <w:color w:val="auto"/>
          <w:highlight w:val="none"/>
        </w:rPr>
        <w:t>根据大气环境影响预测结果，项目建成后粉尘影响较低。此外，因此项目建成后对周边大气环境影响较小。</w:t>
      </w:r>
    </w:p>
    <w:p w14:paraId="2A3F2799">
      <w:pPr>
        <w:adjustRightInd w:val="0"/>
        <w:ind w:firstLine="480"/>
        <w:rPr>
          <w:rFonts w:cs="Times New Roman"/>
          <w:color w:val="auto"/>
          <w:highlight w:val="none"/>
        </w:rPr>
      </w:pPr>
      <w:r>
        <w:rPr>
          <w:rFonts w:cs="Times New Roman"/>
          <w:color w:val="auto"/>
          <w:highlight w:val="none"/>
        </w:rPr>
        <w:t>本项目选矿废水经絮凝沉淀处理后回用于</w:t>
      </w:r>
      <w:r>
        <w:rPr>
          <w:rFonts w:hint="eastAsia" w:cs="Times New Roman"/>
          <w:color w:val="auto"/>
          <w:highlight w:val="none"/>
        </w:rPr>
        <w:t>湿式磨矿、浮选等工序</w:t>
      </w:r>
      <w:r>
        <w:rPr>
          <w:rFonts w:cs="Times New Roman"/>
          <w:color w:val="auto"/>
          <w:highlight w:val="none"/>
        </w:rPr>
        <w:t>，不外排；初期雨水经</w:t>
      </w:r>
      <w:r>
        <w:rPr>
          <w:rFonts w:hint="eastAsia" w:cs="Times New Roman"/>
          <w:color w:val="auto"/>
          <w:highlight w:val="none"/>
        </w:rPr>
        <w:t>依托的乐山市沙湾区豪沐科技有限公司</w:t>
      </w:r>
      <w:r>
        <w:rPr>
          <w:rFonts w:cs="Times New Roman"/>
          <w:color w:val="auto"/>
          <w:highlight w:val="none"/>
        </w:rPr>
        <w:t>初期雨水池沉淀处理后回用于喷雾降尘，不外排；车辆冲洗废水经</w:t>
      </w:r>
      <w:r>
        <w:rPr>
          <w:rFonts w:hint="eastAsia" w:cs="Times New Roman"/>
          <w:color w:val="auto"/>
          <w:highlight w:val="none"/>
        </w:rPr>
        <w:t>依托的乐山市沙湾区豪沐科技有限公司</w:t>
      </w:r>
      <w:r>
        <w:rPr>
          <w:rFonts w:cs="Times New Roman"/>
          <w:color w:val="auto"/>
          <w:highlight w:val="none"/>
        </w:rPr>
        <w:t>沉淀池处理后回用于车辆冲洗，不外排；</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）处理达标后，通过污水管网排入乐山沙湾经济开发区污水处理厂进一步处理。因此，项目建设对周边地表水环境影响较小。</w:t>
      </w:r>
    </w:p>
    <w:p w14:paraId="53DEEDED">
      <w:pPr>
        <w:adjustRightInd w:val="0"/>
        <w:ind w:firstLine="480"/>
        <w:rPr>
          <w:rFonts w:cs="Times New Roman"/>
          <w:color w:val="auto"/>
          <w:highlight w:val="none"/>
        </w:rPr>
      </w:pPr>
      <w:r>
        <w:rPr>
          <w:rFonts w:cs="Times New Roman"/>
          <w:color w:val="auto"/>
          <w:highlight w:val="none"/>
        </w:rPr>
        <w:t>结合区域规划环评要求，建设单位应严格落实本次评价提出的各项污染物防治措施，确保项目建设不会对周边敏感目标产生不利影响。</w:t>
      </w:r>
    </w:p>
    <w:p w14:paraId="2A5A72AB">
      <w:pPr>
        <w:adjustRightInd w:val="0"/>
        <w:ind w:firstLine="480"/>
        <w:rPr>
          <w:rFonts w:cs="Times New Roman"/>
          <w:color w:val="auto"/>
          <w:highlight w:val="none"/>
        </w:rPr>
      </w:pPr>
      <w:r>
        <w:rPr>
          <w:rFonts w:cs="Times New Roman"/>
          <w:color w:val="auto"/>
          <w:highlight w:val="none"/>
        </w:rPr>
        <w:t>综上所述，本项目在采取可行性污染防治措施后，废气、废水、噪声能够实现达标排放，固体废物能够妥善处置，对周边环境无明显影响。因此，本项目建设与环境相容。</w:t>
      </w:r>
    </w:p>
    <w:p w14:paraId="6AEDCE3B">
      <w:pPr>
        <w:pStyle w:val="3"/>
        <w:adjustRightInd w:val="0"/>
        <w:rPr>
          <w:rFonts w:cs="Times New Roman"/>
          <w:color w:val="auto"/>
          <w:highlight w:val="none"/>
        </w:rPr>
      </w:pPr>
      <w:bookmarkStart w:id="30" w:name="_Toc25733"/>
      <w:r>
        <w:rPr>
          <w:rFonts w:cs="Times New Roman"/>
          <w:color w:val="auto"/>
          <w:highlight w:val="none"/>
        </w:rPr>
        <w:t>环境影响识别和评价因子筛选</w:t>
      </w:r>
      <w:bookmarkEnd w:id="25"/>
      <w:bookmarkEnd w:id="26"/>
      <w:bookmarkEnd w:id="27"/>
      <w:bookmarkEnd w:id="28"/>
      <w:bookmarkEnd w:id="29"/>
      <w:bookmarkEnd w:id="30"/>
    </w:p>
    <w:p w14:paraId="400D8B8B">
      <w:pPr>
        <w:pStyle w:val="4"/>
        <w:adjustRightInd w:val="0"/>
        <w:rPr>
          <w:rFonts w:cs="Times New Roman"/>
          <w:color w:val="auto"/>
          <w:highlight w:val="none"/>
        </w:rPr>
      </w:pPr>
      <w:bookmarkStart w:id="31" w:name="_Toc20518"/>
      <w:bookmarkStart w:id="32" w:name="_Toc32183"/>
      <w:bookmarkStart w:id="33" w:name="_Toc5519"/>
      <w:r>
        <w:rPr>
          <w:rFonts w:cs="Times New Roman"/>
          <w:color w:val="auto"/>
          <w:highlight w:val="none"/>
        </w:rPr>
        <w:t>环境影响因素识别</w:t>
      </w:r>
      <w:bookmarkEnd w:id="31"/>
      <w:bookmarkEnd w:id="32"/>
      <w:bookmarkEnd w:id="33"/>
    </w:p>
    <w:p w14:paraId="62AF32BA">
      <w:pPr>
        <w:adjustRightInd w:val="0"/>
        <w:ind w:firstLine="480"/>
        <w:rPr>
          <w:rFonts w:cs="Times New Roman"/>
          <w:color w:val="auto"/>
          <w:highlight w:val="none"/>
        </w:rPr>
      </w:pPr>
      <w:r>
        <w:rPr>
          <w:rFonts w:cs="Times New Roman"/>
          <w:color w:val="auto"/>
          <w:highlight w:val="none"/>
        </w:rPr>
        <w:t>在了解和分析建设项目所在区域发展规划、环境保护规划、环境功能区划、项目污染源及环境现状的基础上，分析和列出本项目的直接和间接行为，以及可能受上述行为影响的环境要素及相关参数，详见下表。</w:t>
      </w:r>
    </w:p>
    <w:p w14:paraId="763A0499">
      <w:pPr>
        <w:pStyle w:val="12"/>
        <w:adjustRightInd w:val="0"/>
        <w:rPr>
          <w:rFonts w:cs="Times New Roman"/>
          <w:color w:val="auto"/>
          <w:kern w:val="21"/>
          <w:sz w:val="24"/>
          <w:szCs w:val="22"/>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33</w:t>
      </w:r>
      <w:r>
        <w:rPr>
          <w:rFonts w:cs="Times New Roman"/>
          <w:color w:val="auto"/>
          <w:highlight w:val="none"/>
        </w:rPr>
        <w:fldChar w:fldCharType="end"/>
      </w:r>
      <w:r>
        <w:rPr>
          <w:rFonts w:cs="Times New Roman"/>
          <w:bCs/>
          <w:color w:val="auto"/>
          <w:kern w:val="21"/>
          <w:szCs w:val="21"/>
          <w:highlight w:val="none"/>
        </w:rPr>
        <w:t>环境影响因素识别表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192"/>
        <w:gridCol w:w="1095"/>
        <w:gridCol w:w="1247"/>
        <w:gridCol w:w="1038"/>
        <w:gridCol w:w="832"/>
        <w:gridCol w:w="1038"/>
        <w:gridCol w:w="1039"/>
      </w:tblGrid>
      <w:tr w14:paraId="5BB71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609" w:type="pct"/>
            <w:vAlign w:val="center"/>
          </w:tcPr>
          <w:p w14:paraId="2ACF6B87">
            <w:pPr>
              <w:pStyle w:val="37"/>
              <w:adjustRightInd w:val="0"/>
              <w:rPr>
                <w:b/>
                <w:bCs/>
                <w:color w:val="auto"/>
                <w:highlight w:val="none"/>
              </w:rPr>
            </w:pPr>
            <w:r>
              <w:rPr>
                <w:b/>
                <w:bCs/>
                <w:color w:val="auto"/>
                <w:highlight w:val="none"/>
              </w:rPr>
              <w:t>评价时段</w:t>
            </w:r>
          </w:p>
        </w:tc>
        <w:tc>
          <w:tcPr>
            <w:tcW w:w="699" w:type="pct"/>
            <w:vAlign w:val="center"/>
          </w:tcPr>
          <w:p w14:paraId="725CDCF4">
            <w:pPr>
              <w:pStyle w:val="37"/>
              <w:adjustRightInd w:val="0"/>
              <w:rPr>
                <w:b/>
                <w:bCs/>
                <w:color w:val="auto"/>
                <w:highlight w:val="none"/>
              </w:rPr>
            </w:pPr>
            <w:r>
              <w:rPr>
                <w:b/>
                <w:bCs/>
                <w:color w:val="auto"/>
                <w:highlight w:val="none"/>
              </w:rPr>
              <w:t>影响因素</w:t>
            </w:r>
          </w:p>
        </w:tc>
        <w:tc>
          <w:tcPr>
            <w:tcW w:w="642" w:type="pct"/>
            <w:vAlign w:val="center"/>
          </w:tcPr>
          <w:p w14:paraId="6F955E58">
            <w:pPr>
              <w:pStyle w:val="37"/>
              <w:adjustRightInd w:val="0"/>
              <w:rPr>
                <w:b/>
                <w:bCs/>
                <w:color w:val="auto"/>
                <w:highlight w:val="none"/>
              </w:rPr>
            </w:pPr>
            <w:r>
              <w:rPr>
                <w:b/>
                <w:bCs/>
                <w:color w:val="auto"/>
                <w:highlight w:val="none"/>
              </w:rPr>
              <w:t>地表水环境</w:t>
            </w:r>
          </w:p>
        </w:tc>
        <w:tc>
          <w:tcPr>
            <w:tcW w:w="731" w:type="pct"/>
            <w:vAlign w:val="center"/>
          </w:tcPr>
          <w:p w14:paraId="505150C7">
            <w:pPr>
              <w:pStyle w:val="37"/>
              <w:adjustRightInd w:val="0"/>
              <w:rPr>
                <w:b/>
                <w:bCs/>
                <w:color w:val="auto"/>
                <w:highlight w:val="none"/>
              </w:rPr>
            </w:pPr>
            <w:r>
              <w:rPr>
                <w:b/>
                <w:bCs/>
                <w:color w:val="auto"/>
                <w:highlight w:val="none"/>
              </w:rPr>
              <w:t>地下水环境</w:t>
            </w:r>
          </w:p>
        </w:tc>
        <w:tc>
          <w:tcPr>
            <w:tcW w:w="609" w:type="pct"/>
            <w:vAlign w:val="center"/>
          </w:tcPr>
          <w:p w14:paraId="5A94B10B">
            <w:pPr>
              <w:pStyle w:val="37"/>
              <w:adjustRightInd w:val="0"/>
              <w:rPr>
                <w:b/>
                <w:bCs/>
                <w:color w:val="auto"/>
                <w:highlight w:val="none"/>
              </w:rPr>
            </w:pPr>
            <w:r>
              <w:rPr>
                <w:b/>
                <w:bCs/>
                <w:color w:val="auto"/>
                <w:highlight w:val="none"/>
              </w:rPr>
              <w:t>大气环境</w:t>
            </w:r>
          </w:p>
        </w:tc>
        <w:tc>
          <w:tcPr>
            <w:tcW w:w="488" w:type="pct"/>
            <w:vAlign w:val="center"/>
          </w:tcPr>
          <w:p w14:paraId="1558C92B">
            <w:pPr>
              <w:pStyle w:val="37"/>
              <w:adjustRightInd w:val="0"/>
              <w:rPr>
                <w:b/>
                <w:bCs/>
                <w:color w:val="auto"/>
                <w:highlight w:val="none"/>
              </w:rPr>
            </w:pPr>
            <w:r>
              <w:rPr>
                <w:b/>
                <w:bCs/>
                <w:color w:val="auto"/>
                <w:highlight w:val="none"/>
              </w:rPr>
              <w:t>声环境</w:t>
            </w:r>
          </w:p>
        </w:tc>
        <w:tc>
          <w:tcPr>
            <w:tcW w:w="609" w:type="pct"/>
            <w:vAlign w:val="center"/>
          </w:tcPr>
          <w:p w14:paraId="0A2A25C1">
            <w:pPr>
              <w:pStyle w:val="37"/>
              <w:adjustRightInd w:val="0"/>
              <w:rPr>
                <w:b/>
                <w:bCs/>
                <w:color w:val="auto"/>
                <w:highlight w:val="none"/>
              </w:rPr>
            </w:pPr>
            <w:r>
              <w:rPr>
                <w:b/>
                <w:bCs/>
                <w:color w:val="auto"/>
                <w:highlight w:val="none"/>
              </w:rPr>
              <w:t>土壤环境</w:t>
            </w:r>
          </w:p>
        </w:tc>
        <w:tc>
          <w:tcPr>
            <w:tcW w:w="609" w:type="pct"/>
            <w:vAlign w:val="center"/>
          </w:tcPr>
          <w:p w14:paraId="0DF71A42">
            <w:pPr>
              <w:pStyle w:val="37"/>
              <w:adjustRightInd w:val="0"/>
              <w:rPr>
                <w:b/>
                <w:bCs/>
                <w:color w:val="auto"/>
                <w:highlight w:val="none"/>
              </w:rPr>
            </w:pPr>
            <w:r>
              <w:rPr>
                <w:b/>
                <w:bCs/>
                <w:color w:val="auto"/>
                <w:highlight w:val="none"/>
              </w:rPr>
              <w:t>生态环境</w:t>
            </w:r>
          </w:p>
        </w:tc>
      </w:tr>
      <w:tr w14:paraId="27404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restart"/>
            <w:vAlign w:val="center"/>
          </w:tcPr>
          <w:p w14:paraId="19346A55">
            <w:pPr>
              <w:pStyle w:val="37"/>
              <w:adjustRightInd w:val="0"/>
              <w:rPr>
                <w:color w:val="auto"/>
                <w:highlight w:val="none"/>
              </w:rPr>
            </w:pPr>
            <w:r>
              <w:rPr>
                <w:color w:val="auto"/>
                <w:highlight w:val="none"/>
              </w:rPr>
              <w:t>施工期</w:t>
            </w:r>
          </w:p>
        </w:tc>
        <w:tc>
          <w:tcPr>
            <w:tcW w:w="699" w:type="pct"/>
            <w:vAlign w:val="center"/>
          </w:tcPr>
          <w:p w14:paraId="0ADFF0B6">
            <w:pPr>
              <w:pStyle w:val="37"/>
              <w:adjustRightInd w:val="0"/>
              <w:rPr>
                <w:color w:val="auto"/>
                <w:highlight w:val="none"/>
              </w:rPr>
            </w:pPr>
            <w:r>
              <w:rPr>
                <w:color w:val="auto"/>
                <w:highlight w:val="none"/>
              </w:rPr>
              <w:t>施工废水</w:t>
            </w:r>
          </w:p>
        </w:tc>
        <w:tc>
          <w:tcPr>
            <w:tcW w:w="642" w:type="pct"/>
            <w:vAlign w:val="center"/>
          </w:tcPr>
          <w:p w14:paraId="4C222193">
            <w:pPr>
              <w:pStyle w:val="37"/>
              <w:adjustRightInd w:val="0"/>
              <w:rPr>
                <w:color w:val="auto"/>
                <w:highlight w:val="none"/>
              </w:rPr>
            </w:pPr>
            <w:r>
              <w:rPr>
                <w:color w:val="auto"/>
                <w:highlight w:val="none"/>
              </w:rPr>
              <w:t>-1D</w:t>
            </w:r>
          </w:p>
        </w:tc>
        <w:tc>
          <w:tcPr>
            <w:tcW w:w="731" w:type="pct"/>
            <w:vAlign w:val="center"/>
          </w:tcPr>
          <w:p w14:paraId="546EEBBA">
            <w:pPr>
              <w:pStyle w:val="37"/>
              <w:adjustRightInd w:val="0"/>
              <w:rPr>
                <w:color w:val="auto"/>
                <w:highlight w:val="none"/>
              </w:rPr>
            </w:pPr>
            <w:r>
              <w:rPr>
                <w:color w:val="auto"/>
                <w:highlight w:val="none"/>
              </w:rPr>
              <w:t>-1D</w:t>
            </w:r>
          </w:p>
        </w:tc>
        <w:tc>
          <w:tcPr>
            <w:tcW w:w="609" w:type="pct"/>
            <w:vAlign w:val="center"/>
          </w:tcPr>
          <w:p w14:paraId="3E562AEB">
            <w:pPr>
              <w:pStyle w:val="37"/>
              <w:adjustRightInd w:val="0"/>
              <w:rPr>
                <w:color w:val="auto"/>
                <w:highlight w:val="none"/>
              </w:rPr>
            </w:pPr>
          </w:p>
        </w:tc>
        <w:tc>
          <w:tcPr>
            <w:tcW w:w="488" w:type="pct"/>
            <w:vAlign w:val="center"/>
          </w:tcPr>
          <w:p w14:paraId="0AB945E0">
            <w:pPr>
              <w:pStyle w:val="37"/>
              <w:adjustRightInd w:val="0"/>
              <w:rPr>
                <w:color w:val="auto"/>
                <w:highlight w:val="none"/>
              </w:rPr>
            </w:pPr>
          </w:p>
        </w:tc>
        <w:tc>
          <w:tcPr>
            <w:tcW w:w="609" w:type="pct"/>
            <w:vAlign w:val="center"/>
          </w:tcPr>
          <w:p w14:paraId="00BA6750">
            <w:pPr>
              <w:pStyle w:val="37"/>
              <w:adjustRightInd w:val="0"/>
              <w:rPr>
                <w:color w:val="auto"/>
                <w:highlight w:val="none"/>
              </w:rPr>
            </w:pPr>
          </w:p>
        </w:tc>
        <w:tc>
          <w:tcPr>
            <w:tcW w:w="609" w:type="pct"/>
            <w:vAlign w:val="center"/>
          </w:tcPr>
          <w:p w14:paraId="0A1A1FBD">
            <w:pPr>
              <w:pStyle w:val="37"/>
              <w:adjustRightInd w:val="0"/>
              <w:rPr>
                <w:color w:val="auto"/>
                <w:highlight w:val="none"/>
              </w:rPr>
            </w:pPr>
          </w:p>
        </w:tc>
      </w:tr>
      <w:tr w14:paraId="3AD1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6806439A">
            <w:pPr>
              <w:pStyle w:val="37"/>
              <w:adjustRightInd w:val="0"/>
              <w:rPr>
                <w:color w:val="auto"/>
                <w:highlight w:val="none"/>
              </w:rPr>
            </w:pPr>
          </w:p>
        </w:tc>
        <w:tc>
          <w:tcPr>
            <w:tcW w:w="699" w:type="pct"/>
            <w:vAlign w:val="center"/>
          </w:tcPr>
          <w:p w14:paraId="535C5CCC">
            <w:pPr>
              <w:pStyle w:val="37"/>
              <w:adjustRightInd w:val="0"/>
              <w:rPr>
                <w:color w:val="auto"/>
                <w:highlight w:val="none"/>
              </w:rPr>
            </w:pPr>
            <w:r>
              <w:rPr>
                <w:color w:val="auto"/>
                <w:highlight w:val="none"/>
              </w:rPr>
              <w:t>施工扬尘</w:t>
            </w:r>
          </w:p>
        </w:tc>
        <w:tc>
          <w:tcPr>
            <w:tcW w:w="642" w:type="pct"/>
            <w:vAlign w:val="center"/>
          </w:tcPr>
          <w:p w14:paraId="1960EB35">
            <w:pPr>
              <w:pStyle w:val="37"/>
              <w:adjustRightInd w:val="0"/>
              <w:rPr>
                <w:color w:val="auto"/>
                <w:highlight w:val="none"/>
              </w:rPr>
            </w:pPr>
          </w:p>
        </w:tc>
        <w:tc>
          <w:tcPr>
            <w:tcW w:w="731" w:type="pct"/>
            <w:vAlign w:val="center"/>
          </w:tcPr>
          <w:p w14:paraId="362C15B7">
            <w:pPr>
              <w:pStyle w:val="37"/>
              <w:adjustRightInd w:val="0"/>
              <w:rPr>
                <w:color w:val="auto"/>
                <w:highlight w:val="none"/>
              </w:rPr>
            </w:pPr>
          </w:p>
        </w:tc>
        <w:tc>
          <w:tcPr>
            <w:tcW w:w="609" w:type="pct"/>
            <w:vAlign w:val="center"/>
          </w:tcPr>
          <w:p w14:paraId="5449CF91">
            <w:pPr>
              <w:pStyle w:val="37"/>
              <w:adjustRightInd w:val="0"/>
              <w:rPr>
                <w:color w:val="auto"/>
                <w:highlight w:val="none"/>
              </w:rPr>
            </w:pPr>
            <w:r>
              <w:rPr>
                <w:color w:val="auto"/>
                <w:highlight w:val="none"/>
              </w:rPr>
              <w:t>-1D</w:t>
            </w:r>
          </w:p>
        </w:tc>
        <w:tc>
          <w:tcPr>
            <w:tcW w:w="488" w:type="pct"/>
            <w:vAlign w:val="center"/>
          </w:tcPr>
          <w:p w14:paraId="2EACCF75">
            <w:pPr>
              <w:pStyle w:val="37"/>
              <w:adjustRightInd w:val="0"/>
              <w:rPr>
                <w:color w:val="auto"/>
                <w:highlight w:val="none"/>
              </w:rPr>
            </w:pPr>
          </w:p>
        </w:tc>
        <w:tc>
          <w:tcPr>
            <w:tcW w:w="609" w:type="pct"/>
            <w:vAlign w:val="center"/>
          </w:tcPr>
          <w:p w14:paraId="369F96EB">
            <w:pPr>
              <w:pStyle w:val="37"/>
              <w:adjustRightInd w:val="0"/>
              <w:rPr>
                <w:color w:val="auto"/>
                <w:highlight w:val="none"/>
              </w:rPr>
            </w:pPr>
          </w:p>
        </w:tc>
        <w:tc>
          <w:tcPr>
            <w:tcW w:w="609" w:type="pct"/>
            <w:vAlign w:val="center"/>
          </w:tcPr>
          <w:p w14:paraId="236D7FED">
            <w:pPr>
              <w:pStyle w:val="37"/>
              <w:adjustRightInd w:val="0"/>
              <w:rPr>
                <w:color w:val="auto"/>
                <w:highlight w:val="none"/>
              </w:rPr>
            </w:pPr>
          </w:p>
        </w:tc>
      </w:tr>
      <w:tr w14:paraId="5B5D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10C27A95">
            <w:pPr>
              <w:pStyle w:val="37"/>
              <w:adjustRightInd w:val="0"/>
              <w:rPr>
                <w:color w:val="auto"/>
                <w:highlight w:val="none"/>
              </w:rPr>
            </w:pPr>
          </w:p>
        </w:tc>
        <w:tc>
          <w:tcPr>
            <w:tcW w:w="699" w:type="pct"/>
            <w:vAlign w:val="center"/>
          </w:tcPr>
          <w:p w14:paraId="0FE54E4B">
            <w:pPr>
              <w:pStyle w:val="37"/>
              <w:adjustRightInd w:val="0"/>
              <w:rPr>
                <w:color w:val="auto"/>
                <w:highlight w:val="none"/>
              </w:rPr>
            </w:pPr>
            <w:r>
              <w:rPr>
                <w:color w:val="auto"/>
                <w:highlight w:val="none"/>
              </w:rPr>
              <w:t>施工噪声</w:t>
            </w:r>
          </w:p>
        </w:tc>
        <w:tc>
          <w:tcPr>
            <w:tcW w:w="642" w:type="pct"/>
            <w:vAlign w:val="center"/>
          </w:tcPr>
          <w:p w14:paraId="6AF95482">
            <w:pPr>
              <w:pStyle w:val="37"/>
              <w:adjustRightInd w:val="0"/>
              <w:rPr>
                <w:color w:val="auto"/>
                <w:highlight w:val="none"/>
              </w:rPr>
            </w:pPr>
          </w:p>
        </w:tc>
        <w:tc>
          <w:tcPr>
            <w:tcW w:w="731" w:type="pct"/>
            <w:vAlign w:val="center"/>
          </w:tcPr>
          <w:p w14:paraId="7A2BE114">
            <w:pPr>
              <w:pStyle w:val="37"/>
              <w:adjustRightInd w:val="0"/>
              <w:rPr>
                <w:color w:val="auto"/>
                <w:highlight w:val="none"/>
              </w:rPr>
            </w:pPr>
          </w:p>
        </w:tc>
        <w:tc>
          <w:tcPr>
            <w:tcW w:w="609" w:type="pct"/>
            <w:vAlign w:val="center"/>
          </w:tcPr>
          <w:p w14:paraId="0066C52A">
            <w:pPr>
              <w:pStyle w:val="37"/>
              <w:adjustRightInd w:val="0"/>
              <w:rPr>
                <w:color w:val="auto"/>
                <w:highlight w:val="none"/>
              </w:rPr>
            </w:pPr>
          </w:p>
        </w:tc>
        <w:tc>
          <w:tcPr>
            <w:tcW w:w="488" w:type="pct"/>
            <w:vAlign w:val="center"/>
          </w:tcPr>
          <w:p w14:paraId="01A68A58">
            <w:pPr>
              <w:pStyle w:val="37"/>
              <w:adjustRightInd w:val="0"/>
              <w:rPr>
                <w:color w:val="auto"/>
                <w:highlight w:val="none"/>
              </w:rPr>
            </w:pPr>
            <w:r>
              <w:rPr>
                <w:color w:val="auto"/>
                <w:highlight w:val="none"/>
              </w:rPr>
              <w:t>-1D</w:t>
            </w:r>
          </w:p>
        </w:tc>
        <w:tc>
          <w:tcPr>
            <w:tcW w:w="609" w:type="pct"/>
            <w:vAlign w:val="center"/>
          </w:tcPr>
          <w:p w14:paraId="6D15FA47">
            <w:pPr>
              <w:pStyle w:val="37"/>
              <w:adjustRightInd w:val="0"/>
              <w:rPr>
                <w:color w:val="auto"/>
                <w:highlight w:val="none"/>
              </w:rPr>
            </w:pPr>
          </w:p>
        </w:tc>
        <w:tc>
          <w:tcPr>
            <w:tcW w:w="609" w:type="pct"/>
            <w:vAlign w:val="center"/>
          </w:tcPr>
          <w:p w14:paraId="7F2F79BA">
            <w:pPr>
              <w:pStyle w:val="37"/>
              <w:adjustRightInd w:val="0"/>
              <w:rPr>
                <w:color w:val="auto"/>
                <w:highlight w:val="none"/>
              </w:rPr>
            </w:pPr>
          </w:p>
        </w:tc>
      </w:tr>
      <w:tr w14:paraId="5F778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3745DDDF">
            <w:pPr>
              <w:pStyle w:val="37"/>
              <w:adjustRightInd w:val="0"/>
              <w:rPr>
                <w:color w:val="auto"/>
                <w:highlight w:val="none"/>
              </w:rPr>
            </w:pPr>
          </w:p>
        </w:tc>
        <w:tc>
          <w:tcPr>
            <w:tcW w:w="699" w:type="pct"/>
            <w:vAlign w:val="center"/>
          </w:tcPr>
          <w:p w14:paraId="0E5D7E0B">
            <w:pPr>
              <w:pStyle w:val="37"/>
              <w:adjustRightInd w:val="0"/>
              <w:rPr>
                <w:color w:val="auto"/>
                <w:highlight w:val="none"/>
              </w:rPr>
            </w:pPr>
            <w:r>
              <w:rPr>
                <w:color w:val="auto"/>
                <w:highlight w:val="none"/>
              </w:rPr>
              <w:t>施工废渣</w:t>
            </w:r>
          </w:p>
        </w:tc>
        <w:tc>
          <w:tcPr>
            <w:tcW w:w="642" w:type="pct"/>
            <w:vAlign w:val="center"/>
          </w:tcPr>
          <w:p w14:paraId="33B93128">
            <w:pPr>
              <w:pStyle w:val="37"/>
              <w:adjustRightInd w:val="0"/>
              <w:rPr>
                <w:color w:val="auto"/>
                <w:highlight w:val="none"/>
              </w:rPr>
            </w:pPr>
          </w:p>
        </w:tc>
        <w:tc>
          <w:tcPr>
            <w:tcW w:w="731" w:type="pct"/>
            <w:vAlign w:val="center"/>
          </w:tcPr>
          <w:p w14:paraId="629F981B">
            <w:pPr>
              <w:pStyle w:val="37"/>
              <w:adjustRightInd w:val="0"/>
              <w:rPr>
                <w:color w:val="auto"/>
                <w:highlight w:val="none"/>
              </w:rPr>
            </w:pPr>
          </w:p>
        </w:tc>
        <w:tc>
          <w:tcPr>
            <w:tcW w:w="609" w:type="pct"/>
            <w:vAlign w:val="center"/>
          </w:tcPr>
          <w:p w14:paraId="1F9B3614">
            <w:pPr>
              <w:pStyle w:val="37"/>
              <w:adjustRightInd w:val="0"/>
              <w:rPr>
                <w:color w:val="auto"/>
                <w:highlight w:val="none"/>
              </w:rPr>
            </w:pPr>
            <w:r>
              <w:rPr>
                <w:color w:val="auto"/>
                <w:highlight w:val="none"/>
              </w:rPr>
              <w:t>-1D</w:t>
            </w:r>
          </w:p>
        </w:tc>
        <w:tc>
          <w:tcPr>
            <w:tcW w:w="488" w:type="pct"/>
            <w:vAlign w:val="center"/>
          </w:tcPr>
          <w:p w14:paraId="207650D2">
            <w:pPr>
              <w:pStyle w:val="37"/>
              <w:adjustRightInd w:val="0"/>
              <w:rPr>
                <w:color w:val="auto"/>
                <w:highlight w:val="none"/>
              </w:rPr>
            </w:pPr>
          </w:p>
        </w:tc>
        <w:tc>
          <w:tcPr>
            <w:tcW w:w="609" w:type="pct"/>
            <w:vAlign w:val="center"/>
          </w:tcPr>
          <w:p w14:paraId="76073A90">
            <w:pPr>
              <w:pStyle w:val="37"/>
              <w:adjustRightInd w:val="0"/>
              <w:rPr>
                <w:color w:val="auto"/>
                <w:highlight w:val="none"/>
              </w:rPr>
            </w:pPr>
            <w:r>
              <w:rPr>
                <w:color w:val="auto"/>
                <w:highlight w:val="none"/>
              </w:rPr>
              <w:t>-1D</w:t>
            </w:r>
          </w:p>
        </w:tc>
        <w:tc>
          <w:tcPr>
            <w:tcW w:w="609" w:type="pct"/>
            <w:vAlign w:val="center"/>
          </w:tcPr>
          <w:p w14:paraId="0E5EA1F3">
            <w:pPr>
              <w:pStyle w:val="37"/>
              <w:adjustRightInd w:val="0"/>
              <w:rPr>
                <w:color w:val="auto"/>
                <w:highlight w:val="none"/>
              </w:rPr>
            </w:pPr>
          </w:p>
        </w:tc>
      </w:tr>
      <w:tr w14:paraId="4460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08CF42EE">
            <w:pPr>
              <w:pStyle w:val="37"/>
              <w:adjustRightInd w:val="0"/>
              <w:rPr>
                <w:color w:val="auto"/>
                <w:highlight w:val="none"/>
              </w:rPr>
            </w:pPr>
          </w:p>
        </w:tc>
        <w:tc>
          <w:tcPr>
            <w:tcW w:w="699" w:type="pct"/>
            <w:vAlign w:val="center"/>
          </w:tcPr>
          <w:p w14:paraId="12475398">
            <w:pPr>
              <w:pStyle w:val="37"/>
              <w:adjustRightInd w:val="0"/>
              <w:rPr>
                <w:color w:val="auto"/>
                <w:highlight w:val="none"/>
              </w:rPr>
            </w:pPr>
            <w:r>
              <w:rPr>
                <w:color w:val="auto"/>
                <w:highlight w:val="none"/>
              </w:rPr>
              <w:t>生活垃圾</w:t>
            </w:r>
          </w:p>
        </w:tc>
        <w:tc>
          <w:tcPr>
            <w:tcW w:w="642" w:type="pct"/>
            <w:vAlign w:val="center"/>
          </w:tcPr>
          <w:p w14:paraId="555EAB5C">
            <w:pPr>
              <w:pStyle w:val="37"/>
              <w:adjustRightInd w:val="0"/>
              <w:rPr>
                <w:color w:val="auto"/>
                <w:highlight w:val="none"/>
              </w:rPr>
            </w:pPr>
          </w:p>
        </w:tc>
        <w:tc>
          <w:tcPr>
            <w:tcW w:w="731" w:type="pct"/>
            <w:vAlign w:val="center"/>
          </w:tcPr>
          <w:p w14:paraId="2BE0CAA8">
            <w:pPr>
              <w:pStyle w:val="37"/>
              <w:adjustRightInd w:val="0"/>
              <w:rPr>
                <w:color w:val="auto"/>
                <w:highlight w:val="none"/>
              </w:rPr>
            </w:pPr>
          </w:p>
        </w:tc>
        <w:tc>
          <w:tcPr>
            <w:tcW w:w="609" w:type="pct"/>
            <w:vAlign w:val="center"/>
          </w:tcPr>
          <w:p w14:paraId="69CB4786">
            <w:pPr>
              <w:pStyle w:val="37"/>
              <w:adjustRightInd w:val="0"/>
              <w:rPr>
                <w:color w:val="auto"/>
                <w:highlight w:val="none"/>
              </w:rPr>
            </w:pPr>
          </w:p>
        </w:tc>
        <w:tc>
          <w:tcPr>
            <w:tcW w:w="488" w:type="pct"/>
            <w:vAlign w:val="center"/>
          </w:tcPr>
          <w:p w14:paraId="3683DE3C">
            <w:pPr>
              <w:pStyle w:val="37"/>
              <w:adjustRightInd w:val="0"/>
              <w:rPr>
                <w:color w:val="auto"/>
                <w:highlight w:val="none"/>
              </w:rPr>
            </w:pPr>
          </w:p>
        </w:tc>
        <w:tc>
          <w:tcPr>
            <w:tcW w:w="609" w:type="pct"/>
            <w:vAlign w:val="center"/>
          </w:tcPr>
          <w:p w14:paraId="7BF1759E">
            <w:pPr>
              <w:pStyle w:val="37"/>
              <w:adjustRightInd w:val="0"/>
              <w:rPr>
                <w:color w:val="auto"/>
                <w:highlight w:val="none"/>
              </w:rPr>
            </w:pPr>
            <w:r>
              <w:rPr>
                <w:color w:val="auto"/>
                <w:highlight w:val="none"/>
              </w:rPr>
              <w:t>-1D</w:t>
            </w:r>
          </w:p>
        </w:tc>
        <w:tc>
          <w:tcPr>
            <w:tcW w:w="609" w:type="pct"/>
            <w:vAlign w:val="center"/>
          </w:tcPr>
          <w:p w14:paraId="793A15B9">
            <w:pPr>
              <w:pStyle w:val="37"/>
              <w:adjustRightInd w:val="0"/>
              <w:rPr>
                <w:color w:val="auto"/>
                <w:highlight w:val="none"/>
              </w:rPr>
            </w:pPr>
          </w:p>
        </w:tc>
      </w:tr>
      <w:tr w14:paraId="45D4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restart"/>
            <w:vAlign w:val="center"/>
          </w:tcPr>
          <w:p w14:paraId="3C826209">
            <w:pPr>
              <w:pStyle w:val="37"/>
              <w:adjustRightInd w:val="0"/>
              <w:rPr>
                <w:color w:val="auto"/>
                <w:highlight w:val="none"/>
              </w:rPr>
            </w:pPr>
            <w:r>
              <w:rPr>
                <w:color w:val="auto"/>
                <w:highlight w:val="none"/>
              </w:rPr>
              <w:t>运营期</w:t>
            </w:r>
          </w:p>
        </w:tc>
        <w:tc>
          <w:tcPr>
            <w:tcW w:w="699" w:type="pct"/>
            <w:vAlign w:val="center"/>
          </w:tcPr>
          <w:p w14:paraId="70F7BB0C">
            <w:pPr>
              <w:pStyle w:val="37"/>
              <w:adjustRightInd w:val="0"/>
              <w:rPr>
                <w:color w:val="auto"/>
                <w:highlight w:val="none"/>
              </w:rPr>
            </w:pPr>
            <w:r>
              <w:rPr>
                <w:color w:val="auto"/>
                <w:highlight w:val="none"/>
              </w:rPr>
              <w:t>废水排放</w:t>
            </w:r>
          </w:p>
        </w:tc>
        <w:tc>
          <w:tcPr>
            <w:tcW w:w="642" w:type="pct"/>
            <w:vAlign w:val="center"/>
          </w:tcPr>
          <w:p w14:paraId="6ACFBC02">
            <w:pPr>
              <w:pStyle w:val="37"/>
              <w:adjustRightInd w:val="0"/>
              <w:rPr>
                <w:color w:val="auto"/>
                <w:highlight w:val="none"/>
              </w:rPr>
            </w:pPr>
            <w:r>
              <w:rPr>
                <w:color w:val="auto"/>
                <w:highlight w:val="none"/>
              </w:rPr>
              <w:t>-1D</w:t>
            </w:r>
          </w:p>
        </w:tc>
        <w:tc>
          <w:tcPr>
            <w:tcW w:w="731" w:type="pct"/>
            <w:vAlign w:val="center"/>
          </w:tcPr>
          <w:p w14:paraId="3E6C9449">
            <w:pPr>
              <w:pStyle w:val="37"/>
              <w:adjustRightInd w:val="0"/>
              <w:rPr>
                <w:color w:val="auto"/>
                <w:highlight w:val="none"/>
              </w:rPr>
            </w:pPr>
            <w:r>
              <w:rPr>
                <w:color w:val="auto"/>
                <w:highlight w:val="none"/>
              </w:rPr>
              <w:t>-1D</w:t>
            </w:r>
          </w:p>
        </w:tc>
        <w:tc>
          <w:tcPr>
            <w:tcW w:w="609" w:type="pct"/>
            <w:vAlign w:val="center"/>
          </w:tcPr>
          <w:p w14:paraId="66817C39">
            <w:pPr>
              <w:pStyle w:val="37"/>
              <w:adjustRightInd w:val="0"/>
              <w:rPr>
                <w:color w:val="auto"/>
                <w:highlight w:val="none"/>
              </w:rPr>
            </w:pPr>
          </w:p>
        </w:tc>
        <w:tc>
          <w:tcPr>
            <w:tcW w:w="488" w:type="pct"/>
            <w:vAlign w:val="center"/>
          </w:tcPr>
          <w:p w14:paraId="10879065">
            <w:pPr>
              <w:pStyle w:val="37"/>
              <w:adjustRightInd w:val="0"/>
              <w:rPr>
                <w:color w:val="auto"/>
                <w:highlight w:val="none"/>
              </w:rPr>
            </w:pPr>
          </w:p>
        </w:tc>
        <w:tc>
          <w:tcPr>
            <w:tcW w:w="609" w:type="pct"/>
            <w:vAlign w:val="center"/>
          </w:tcPr>
          <w:p w14:paraId="3BBB2591">
            <w:pPr>
              <w:pStyle w:val="37"/>
              <w:adjustRightInd w:val="0"/>
              <w:rPr>
                <w:color w:val="auto"/>
                <w:highlight w:val="none"/>
              </w:rPr>
            </w:pPr>
          </w:p>
        </w:tc>
        <w:tc>
          <w:tcPr>
            <w:tcW w:w="609" w:type="pct"/>
            <w:vAlign w:val="center"/>
          </w:tcPr>
          <w:p w14:paraId="159D1255">
            <w:pPr>
              <w:pStyle w:val="37"/>
              <w:adjustRightInd w:val="0"/>
              <w:rPr>
                <w:color w:val="auto"/>
                <w:highlight w:val="none"/>
              </w:rPr>
            </w:pPr>
          </w:p>
        </w:tc>
      </w:tr>
      <w:tr w14:paraId="17F3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15B510D2">
            <w:pPr>
              <w:pStyle w:val="37"/>
              <w:adjustRightInd w:val="0"/>
              <w:rPr>
                <w:color w:val="auto"/>
                <w:highlight w:val="none"/>
              </w:rPr>
            </w:pPr>
          </w:p>
        </w:tc>
        <w:tc>
          <w:tcPr>
            <w:tcW w:w="699" w:type="pct"/>
            <w:vAlign w:val="center"/>
          </w:tcPr>
          <w:p w14:paraId="5E5309DA">
            <w:pPr>
              <w:pStyle w:val="37"/>
              <w:adjustRightInd w:val="0"/>
              <w:rPr>
                <w:color w:val="auto"/>
                <w:highlight w:val="none"/>
              </w:rPr>
            </w:pPr>
            <w:r>
              <w:rPr>
                <w:color w:val="auto"/>
                <w:highlight w:val="none"/>
              </w:rPr>
              <w:t>废气排放</w:t>
            </w:r>
          </w:p>
        </w:tc>
        <w:tc>
          <w:tcPr>
            <w:tcW w:w="642" w:type="pct"/>
            <w:vAlign w:val="center"/>
          </w:tcPr>
          <w:p w14:paraId="32ADC790">
            <w:pPr>
              <w:pStyle w:val="37"/>
              <w:adjustRightInd w:val="0"/>
              <w:rPr>
                <w:color w:val="auto"/>
                <w:highlight w:val="none"/>
              </w:rPr>
            </w:pPr>
          </w:p>
        </w:tc>
        <w:tc>
          <w:tcPr>
            <w:tcW w:w="731" w:type="pct"/>
            <w:vAlign w:val="center"/>
          </w:tcPr>
          <w:p w14:paraId="4FCDB135">
            <w:pPr>
              <w:pStyle w:val="37"/>
              <w:adjustRightInd w:val="0"/>
              <w:rPr>
                <w:color w:val="auto"/>
                <w:highlight w:val="none"/>
              </w:rPr>
            </w:pPr>
          </w:p>
        </w:tc>
        <w:tc>
          <w:tcPr>
            <w:tcW w:w="609" w:type="pct"/>
            <w:vAlign w:val="center"/>
          </w:tcPr>
          <w:p w14:paraId="21142C8D">
            <w:pPr>
              <w:pStyle w:val="37"/>
              <w:adjustRightInd w:val="0"/>
              <w:rPr>
                <w:color w:val="auto"/>
                <w:highlight w:val="none"/>
              </w:rPr>
            </w:pPr>
            <w:r>
              <w:rPr>
                <w:color w:val="auto"/>
                <w:highlight w:val="none"/>
              </w:rPr>
              <w:t>-1D</w:t>
            </w:r>
          </w:p>
        </w:tc>
        <w:tc>
          <w:tcPr>
            <w:tcW w:w="488" w:type="pct"/>
            <w:vAlign w:val="center"/>
          </w:tcPr>
          <w:p w14:paraId="1DFDDF16">
            <w:pPr>
              <w:pStyle w:val="37"/>
              <w:adjustRightInd w:val="0"/>
              <w:rPr>
                <w:color w:val="auto"/>
                <w:highlight w:val="none"/>
              </w:rPr>
            </w:pPr>
          </w:p>
        </w:tc>
        <w:tc>
          <w:tcPr>
            <w:tcW w:w="609" w:type="pct"/>
            <w:vAlign w:val="center"/>
          </w:tcPr>
          <w:p w14:paraId="2F641BDF">
            <w:pPr>
              <w:pStyle w:val="37"/>
              <w:adjustRightInd w:val="0"/>
              <w:rPr>
                <w:color w:val="auto"/>
                <w:highlight w:val="none"/>
              </w:rPr>
            </w:pPr>
          </w:p>
        </w:tc>
        <w:tc>
          <w:tcPr>
            <w:tcW w:w="609" w:type="pct"/>
            <w:vAlign w:val="center"/>
          </w:tcPr>
          <w:p w14:paraId="2E8DFB6D">
            <w:pPr>
              <w:pStyle w:val="37"/>
              <w:adjustRightInd w:val="0"/>
              <w:rPr>
                <w:color w:val="auto"/>
                <w:highlight w:val="none"/>
              </w:rPr>
            </w:pPr>
            <w:r>
              <w:rPr>
                <w:color w:val="auto"/>
                <w:highlight w:val="none"/>
              </w:rPr>
              <w:t>-1D</w:t>
            </w:r>
          </w:p>
        </w:tc>
      </w:tr>
      <w:tr w14:paraId="7F43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6C053CAE">
            <w:pPr>
              <w:pStyle w:val="37"/>
              <w:adjustRightInd w:val="0"/>
              <w:rPr>
                <w:color w:val="auto"/>
                <w:highlight w:val="none"/>
              </w:rPr>
            </w:pPr>
          </w:p>
        </w:tc>
        <w:tc>
          <w:tcPr>
            <w:tcW w:w="699" w:type="pct"/>
            <w:vAlign w:val="center"/>
          </w:tcPr>
          <w:p w14:paraId="1FF5CCC2">
            <w:pPr>
              <w:pStyle w:val="37"/>
              <w:adjustRightInd w:val="0"/>
              <w:rPr>
                <w:color w:val="auto"/>
                <w:highlight w:val="none"/>
              </w:rPr>
            </w:pPr>
            <w:r>
              <w:rPr>
                <w:color w:val="auto"/>
                <w:highlight w:val="none"/>
              </w:rPr>
              <w:t>噪声排放</w:t>
            </w:r>
          </w:p>
        </w:tc>
        <w:tc>
          <w:tcPr>
            <w:tcW w:w="642" w:type="pct"/>
            <w:vAlign w:val="center"/>
          </w:tcPr>
          <w:p w14:paraId="33BCF788">
            <w:pPr>
              <w:pStyle w:val="37"/>
              <w:adjustRightInd w:val="0"/>
              <w:rPr>
                <w:color w:val="auto"/>
                <w:highlight w:val="none"/>
              </w:rPr>
            </w:pPr>
          </w:p>
        </w:tc>
        <w:tc>
          <w:tcPr>
            <w:tcW w:w="731" w:type="pct"/>
            <w:vAlign w:val="center"/>
          </w:tcPr>
          <w:p w14:paraId="7370FA10">
            <w:pPr>
              <w:pStyle w:val="37"/>
              <w:adjustRightInd w:val="0"/>
              <w:rPr>
                <w:color w:val="auto"/>
                <w:highlight w:val="none"/>
              </w:rPr>
            </w:pPr>
          </w:p>
        </w:tc>
        <w:tc>
          <w:tcPr>
            <w:tcW w:w="609" w:type="pct"/>
            <w:vAlign w:val="center"/>
          </w:tcPr>
          <w:p w14:paraId="503639F6">
            <w:pPr>
              <w:pStyle w:val="37"/>
              <w:adjustRightInd w:val="0"/>
              <w:rPr>
                <w:color w:val="auto"/>
                <w:highlight w:val="none"/>
              </w:rPr>
            </w:pPr>
          </w:p>
        </w:tc>
        <w:tc>
          <w:tcPr>
            <w:tcW w:w="488" w:type="pct"/>
            <w:vAlign w:val="center"/>
          </w:tcPr>
          <w:p w14:paraId="4B5A7FD6">
            <w:pPr>
              <w:pStyle w:val="37"/>
              <w:adjustRightInd w:val="0"/>
              <w:rPr>
                <w:color w:val="auto"/>
                <w:highlight w:val="none"/>
              </w:rPr>
            </w:pPr>
            <w:r>
              <w:rPr>
                <w:color w:val="auto"/>
                <w:highlight w:val="none"/>
              </w:rPr>
              <w:t>-1D</w:t>
            </w:r>
          </w:p>
        </w:tc>
        <w:tc>
          <w:tcPr>
            <w:tcW w:w="609" w:type="pct"/>
            <w:vAlign w:val="center"/>
          </w:tcPr>
          <w:p w14:paraId="69E71D0A">
            <w:pPr>
              <w:pStyle w:val="37"/>
              <w:adjustRightInd w:val="0"/>
              <w:rPr>
                <w:color w:val="auto"/>
                <w:highlight w:val="none"/>
              </w:rPr>
            </w:pPr>
          </w:p>
        </w:tc>
        <w:tc>
          <w:tcPr>
            <w:tcW w:w="609" w:type="pct"/>
            <w:vAlign w:val="center"/>
          </w:tcPr>
          <w:p w14:paraId="625202D7">
            <w:pPr>
              <w:pStyle w:val="37"/>
              <w:adjustRightInd w:val="0"/>
              <w:rPr>
                <w:color w:val="auto"/>
                <w:highlight w:val="none"/>
              </w:rPr>
            </w:pPr>
          </w:p>
        </w:tc>
      </w:tr>
      <w:tr w14:paraId="52BF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686C63A4">
            <w:pPr>
              <w:pStyle w:val="37"/>
              <w:adjustRightInd w:val="0"/>
              <w:rPr>
                <w:color w:val="auto"/>
                <w:highlight w:val="none"/>
              </w:rPr>
            </w:pPr>
          </w:p>
        </w:tc>
        <w:tc>
          <w:tcPr>
            <w:tcW w:w="699" w:type="pct"/>
            <w:vAlign w:val="center"/>
          </w:tcPr>
          <w:p w14:paraId="213787A3">
            <w:pPr>
              <w:pStyle w:val="37"/>
              <w:adjustRightInd w:val="0"/>
              <w:rPr>
                <w:color w:val="auto"/>
                <w:highlight w:val="none"/>
              </w:rPr>
            </w:pPr>
            <w:r>
              <w:rPr>
                <w:color w:val="auto"/>
                <w:highlight w:val="none"/>
              </w:rPr>
              <w:t>固体废物</w:t>
            </w:r>
          </w:p>
        </w:tc>
        <w:tc>
          <w:tcPr>
            <w:tcW w:w="642" w:type="pct"/>
            <w:vAlign w:val="center"/>
          </w:tcPr>
          <w:p w14:paraId="6A5B31C2">
            <w:pPr>
              <w:pStyle w:val="37"/>
              <w:adjustRightInd w:val="0"/>
              <w:rPr>
                <w:color w:val="auto"/>
                <w:highlight w:val="none"/>
              </w:rPr>
            </w:pPr>
          </w:p>
        </w:tc>
        <w:tc>
          <w:tcPr>
            <w:tcW w:w="731" w:type="pct"/>
            <w:vAlign w:val="center"/>
          </w:tcPr>
          <w:p w14:paraId="4790CC7F">
            <w:pPr>
              <w:pStyle w:val="37"/>
              <w:adjustRightInd w:val="0"/>
              <w:rPr>
                <w:color w:val="auto"/>
                <w:highlight w:val="none"/>
              </w:rPr>
            </w:pPr>
            <w:r>
              <w:rPr>
                <w:color w:val="auto"/>
                <w:highlight w:val="none"/>
              </w:rPr>
              <w:t>-1D</w:t>
            </w:r>
          </w:p>
        </w:tc>
        <w:tc>
          <w:tcPr>
            <w:tcW w:w="609" w:type="pct"/>
            <w:vAlign w:val="center"/>
          </w:tcPr>
          <w:p w14:paraId="190208FE">
            <w:pPr>
              <w:pStyle w:val="37"/>
              <w:adjustRightInd w:val="0"/>
              <w:rPr>
                <w:color w:val="auto"/>
                <w:highlight w:val="none"/>
              </w:rPr>
            </w:pPr>
          </w:p>
        </w:tc>
        <w:tc>
          <w:tcPr>
            <w:tcW w:w="488" w:type="pct"/>
            <w:vAlign w:val="center"/>
          </w:tcPr>
          <w:p w14:paraId="7E1FBE7A">
            <w:pPr>
              <w:pStyle w:val="37"/>
              <w:adjustRightInd w:val="0"/>
              <w:rPr>
                <w:color w:val="auto"/>
                <w:highlight w:val="none"/>
              </w:rPr>
            </w:pPr>
          </w:p>
        </w:tc>
        <w:tc>
          <w:tcPr>
            <w:tcW w:w="609" w:type="pct"/>
            <w:vAlign w:val="center"/>
          </w:tcPr>
          <w:p w14:paraId="22DB5618">
            <w:pPr>
              <w:pStyle w:val="37"/>
              <w:adjustRightInd w:val="0"/>
              <w:rPr>
                <w:color w:val="auto"/>
                <w:highlight w:val="none"/>
              </w:rPr>
            </w:pPr>
            <w:r>
              <w:rPr>
                <w:color w:val="auto"/>
                <w:highlight w:val="none"/>
              </w:rPr>
              <w:t>-1D</w:t>
            </w:r>
          </w:p>
        </w:tc>
        <w:tc>
          <w:tcPr>
            <w:tcW w:w="609" w:type="pct"/>
            <w:vAlign w:val="center"/>
          </w:tcPr>
          <w:p w14:paraId="53828F4A">
            <w:pPr>
              <w:pStyle w:val="37"/>
              <w:adjustRightInd w:val="0"/>
              <w:rPr>
                <w:color w:val="auto"/>
                <w:highlight w:val="none"/>
              </w:rPr>
            </w:pPr>
          </w:p>
        </w:tc>
      </w:tr>
      <w:tr w14:paraId="3BAF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09" w:type="pct"/>
            <w:vMerge w:val="continue"/>
            <w:vAlign w:val="center"/>
          </w:tcPr>
          <w:p w14:paraId="275C18B3">
            <w:pPr>
              <w:pStyle w:val="37"/>
              <w:adjustRightInd w:val="0"/>
              <w:rPr>
                <w:color w:val="auto"/>
                <w:highlight w:val="none"/>
              </w:rPr>
            </w:pPr>
          </w:p>
        </w:tc>
        <w:tc>
          <w:tcPr>
            <w:tcW w:w="699" w:type="pct"/>
            <w:vAlign w:val="center"/>
          </w:tcPr>
          <w:p w14:paraId="132C4C5E">
            <w:pPr>
              <w:pStyle w:val="37"/>
              <w:adjustRightInd w:val="0"/>
              <w:rPr>
                <w:color w:val="auto"/>
                <w:highlight w:val="none"/>
              </w:rPr>
            </w:pPr>
            <w:r>
              <w:rPr>
                <w:color w:val="auto"/>
                <w:highlight w:val="none"/>
              </w:rPr>
              <w:t>事故风险</w:t>
            </w:r>
          </w:p>
        </w:tc>
        <w:tc>
          <w:tcPr>
            <w:tcW w:w="642" w:type="pct"/>
            <w:vAlign w:val="center"/>
          </w:tcPr>
          <w:p w14:paraId="257A749D">
            <w:pPr>
              <w:pStyle w:val="37"/>
              <w:adjustRightInd w:val="0"/>
              <w:rPr>
                <w:color w:val="auto"/>
                <w:highlight w:val="none"/>
              </w:rPr>
            </w:pPr>
            <w:r>
              <w:rPr>
                <w:color w:val="auto"/>
                <w:highlight w:val="none"/>
              </w:rPr>
              <w:t>-1D</w:t>
            </w:r>
          </w:p>
        </w:tc>
        <w:tc>
          <w:tcPr>
            <w:tcW w:w="731" w:type="pct"/>
            <w:vAlign w:val="center"/>
          </w:tcPr>
          <w:p w14:paraId="65D862EE">
            <w:pPr>
              <w:pStyle w:val="37"/>
              <w:adjustRightInd w:val="0"/>
              <w:rPr>
                <w:color w:val="auto"/>
                <w:highlight w:val="none"/>
              </w:rPr>
            </w:pPr>
            <w:r>
              <w:rPr>
                <w:color w:val="auto"/>
                <w:highlight w:val="none"/>
              </w:rPr>
              <w:t>-2D</w:t>
            </w:r>
          </w:p>
        </w:tc>
        <w:tc>
          <w:tcPr>
            <w:tcW w:w="609" w:type="pct"/>
            <w:vAlign w:val="center"/>
          </w:tcPr>
          <w:p w14:paraId="395831A2">
            <w:pPr>
              <w:pStyle w:val="37"/>
              <w:adjustRightInd w:val="0"/>
              <w:rPr>
                <w:color w:val="auto"/>
                <w:highlight w:val="none"/>
              </w:rPr>
            </w:pPr>
            <w:r>
              <w:rPr>
                <w:rFonts w:hint="eastAsia"/>
                <w:color w:val="auto"/>
                <w:highlight w:val="none"/>
              </w:rPr>
              <w:t>-1D</w:t>
            </w:r>
          </w:p>
        </w:tc>
        <w:tc>
          <w:tcPr>
            <w:tcW w:w="488" w:type="pct"/>
            <w:vAlign w:val="center"/>
          </w:tcPr>
          <w:p w14:paraId="0774E048">
            <w:pPr>
              <w:pStyle w:val="37"/>
              <w:adjustRightInd w:val="0"/>
              <w:rPr>
                <w:color w:val="auto"/>
                <w:highlight w:val="none"/>
              </w:rPr>
            </w:pPr>
          </w:p>
        </w:tc>
        <w:tc>
          <w:tcPr>
            <w:tcW w:w="609" w:type="pct"/>
            <w:vAlign w:val="center"/>
          </w:tcPr>
          <w:p w14:paraId="29CCE820">
            <w:pPr>
              <w:pStyle w:val="37"/>
              <w:adjustRightInd w:val="0"/>
              <w:rPr>
                <w:color w:val="auto"/>
                <w:highlight w:val="none"/>
              </w:rPr>
            </w:pPr>
            <w:r>
              <w:rPr>
                <w:rFonts w:hint="eastAsia"/>
                <w:color w:val="auto"/>
                <w:highlight w:val="none"/>
              </w:rPr>
              <w:t>-1D</w:t>
            </w:r>
          </w:p>
        </w:tc>
        <w:tc>
          <w:tcPr>
            <w:tcW w:w="609" w:type="pct"/>
            <w:vAlign w:val="center"/>
          </w:tcPr>
          <w:p w14:paraId="34F1CF6B">
            <w:pPr>
              <w:pStyle w:val="37"/>
              <w:adjustRightInd w:val="0"/>
              <w:rPr>
                <w:color w:val="auto"/>
                <w:highlight w:val="none"/>
              </w:rPr>
            </w:pPr>
          </w:p>
        </w:tc>
      </w:tr>
    </w:tbl>
    <w:p w14:paraId="4695FC27">
      <w:pPr>
        <w:overflowPunct w:val="0"/>
        <w:adjustRightInd w:val="0"/>
        <w:spacing w:before="65" w:beforeLines="20" w:after="65" w:afterLines="20" w:line="240" w:lineRule="auto"/>
        <w:ind w:firstLine="422"/>
        <w:rPr>
          <w:rFonts w:cs="Times New Roman"/>
          <w:b/>
          <w:color w:val="auto"/>
          <w:kern w:val="21"/>
          <w:szCs w:val="22"/>
          <w:highlight w:val="none"/>
        </w:rPr>
      </w:pPr>
      <w:r>
        <w:rPr>
          <w:rFonts w:cs="Times New Roman"/>
          <w:b/>
          <w:bCs/>
          <w:color w:val="auto"/>
          <w:kern w:val="21"/>
          <w:sz w:val="21"/>
          <w:highlight w:val="none"/>
        </w:rPr>
        <w:t>注：</w:t>
      </w:r>
      <w:r>
        <w:rPr>
          <w:rFonts w:cs="Times New Roman"/>
          <w:color w:val="auto"/>
          <w:kern w:val="21"/>
          <w:sz w:val="21"/>
          <w:highlight w:val="none"/>
        </w:rPr>
        <w:t>-3——重大影响，-2——中等影响；-1——轻微影响；</w:t>
      </w:r>
      <w:r>
        <w:rPr>
          <w:rFonts w:hint="eastAsia" w:cs="Times New Roman"/>
          <w:color w:val="auto"/>
          <w:kern w:val="21"/>
          <w:sz w:val="21"/>
          <w:highlight w:val="none"/>
        </w:rPr>
        <w:t>“</w:t>
      </w:r>
      <w:r>
        <w:rPr>
          <w:rFonts w:cs="Times New Roman"/>
          <w:color w:val="auto"/>
          <w:kern w:val="21"/>
          <w:sz w:val="21"/>
          <w:highlight w:val="none"/>
        </w:rPr>
        <w:t>+</w:t>
      </w:r>
      <w:r>
        <w:rPr>
          <w:rFonts w:hint="eastAsia" w:cs="Times New Roman"/>
          <w:color w:val="auto"/>
          <w:kern w:val="21"/>
          <w:sz w:val="21"/>
          <w:highlight w:val="none"/>
        </w:rPr>
        <w:t>”</w:t>
      </w:r>
      <w:r>
        <w:rPr>
          <w:rFonts w:cs="Times New Roman"/>
          <w:color w:val="auto"/>
          <w:kern w:val="21"/>
          <w:sz w:val="21"/>
          <w:highlight w:val="none"/>
        </w:rPr>
        <w:t>——表示有利影响；</w:t>
      </w:r>
      <w:r>
        <w:rPr>
          <w:rFonts w:hint="eastAsia" w:cs="Times New Roman"/>
          <w:color w:val="auto"/>
          <w:kern w:val="21"/>
          <w:sz w:val="21"/>
          <w:highlight w:val="none"/>
        </w:rPr>
        <w:t>“</w:t>
      </w:r>
      <w:r>
        <w:rPr>
          <w:rFonts w:cs="Times New Roman"/>
          <w:color w:val="auto"/>
          <w:kern w:val="21"/>
          <w:sz w:val="21"/>
          <w:highlight w:val="none"/>
        </w:rPr>
        <w:t>-</w:t>
      </w:r>
      <w:r>
        <w:rPr>
          <w:rFonts w:hint="eastAsia" w:cs="Times New Roman"/>
          <w:color w:val="auto"/>
          <w:kern w:val="21"/>
          <w:sz w:val="21"/>
          <w:highlight w:val="none"/>
        </w:rPr>
        <w:t>”</w:t>
      </w:r>
      <w:r>
        <w:rPr>
          <w:rFonts w:cs="Times New Roman"/>
          <w:color w:val="auto"/>
          <w:kern w:val="21"/>
          <w:sz w:val="21"/>
          <w:highlight w:val="none"/>
        </w:rPr>
        <w:t>——表示不利影响；</w:t>
      </w:r>
      <w:r>
        <w:rPr>
          <w:rFonts w:hint="eastAsia" w:cs="Times New Roman"/>
          <w:color w:val="auto"/>
          <w:kern w:val="21"/>
          <w:sz w:val="21"/>
          <w:highlight w:val="none"/>
        </w:rPr>
        <w:t>“</w:t>
      </w:r>
      <w:r>
        <w:rPr>
          <w:rFonts w:cs="Times New Roman"/>
          <w:color w:val="auto"/>
          <w:kern w:val="21"/>
          <w:sz w:val="21"/>
          <w:highlight w:val="none"/>
        </w:rPr>
        <w:t>D</w:t>
      </w:r>
      <w:r>
        <w:rPr>
          <w:rFonts w:hint="eastAsia" w:cs="Times New Roman"/>
          <w:color w:val="auto"/>
          <w:kern w:val="21"/>
          <w:sz w:val="21"/>
          <w:highlight w:val="none"/>
        </w:rPr>
        <w:t>”</w:t>
      </w:r>
      <w:r>
        <w:rPr>
          <w:rFonts w:cs="Times New Roman"/>
          <w:color w:val="auto"/>
          <w:kern w:val="21"/>
          <w:sz w:val="21"/>
          <w:highlight w:val="none"/>
        </w:rPr>
        <w:t>表示短期影响，空格为无影响。</w:t>
      </w:r>
    </w:p>
    <w:p w14:paraId="02F7359E">
      <w:pPr>
        <w:pStyle w:val="4"/>
        <w:adjustRightInd w:val="0"/>
        <w:rPr>
          <w:rFonts w:cs="Times New Roman"/>
          <w:color w:val="auto"/>
          <w:highlight w:val="none"/>
        </w:rPr>
      </w:pPr>
      <w:bookmarkStart w:id="34" w:name="_Toc9973"/>
      <w:bookmarkStart w:id="35" w:name="_Toc9789"/>
      <w:bookmarkStart w:id="36" w:name="_Toc6599"/>
      <w:bookmarkStart w:id="37" w:name="_Toc15465"/>
      <w:bookmarkStart w:id="38" w:name="_Toc17363"/>
      <w:bookmarkStart w:id="39" w:name="_Toc23295"/>
      <w:r>
        <w:rPr>
          <w:rFonts w:cs="Times New Roman"/>
          <w:color w:val="auto"/>
          <w:highlight w:val="none"/>
        </w:rPr>
        <w:t>评价因子筛选</w:t>
      </w:r>
      <w:bookmarkEnd w:id="34"/>
      <w:bookmarkEnd w:id="35"/>
      <w:bookmarkEnd w:id="36"/>
      <w:bookmarkEnd w:id="37"/>
      <w:bookmarkEnd w:id="38"/>
      <w:bookmarkEnd w:id="39"/>
    </w:p>
    <w:p w14:paraId="60D0B2E2">
      <w:pPr>
        <w:adjustRightInd w:val="0"/>
        <w:ind w:firstLine="480"/>
        <w:rPr>
          <w:rFonts w:cs="Times New Roman"/>
          <w:color w:val="auto"/>
          <w:highlight w:val="none"/>
        </w:rPr>
      </w:pPr>
      <w:r>
        <w:rPr>
          <w:rFonts w:cs="Times New Roman"/>
          <w:color w:val="auto"/>
          <w:highlight w:val="none"/>
        </w:rPr>
        <w:t>根据初步工程分析，本项目环境影响评价因子见下表。</w:t>
      </w:r>
    </w:p>
    <w:p w14:paraId="416B62B1">
      <w:pPr>
        <w:pStyle w:val="12"/>
        <w:adjustRightInd w:val="0"/>
        <w:rPr>
          <w:rFonts w:cs="Times New Roman"/>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34</w:t>
      </w:r>
      <w:r>
        <w:rPr>
          <w:rFonts w:cs="Times New Roman"/>
          <w:color w:val="auto"/>
          <w:highlight w:val="none"/>
        </w:rPr>
        <w:fldChar w:fldCharType="end"/>
      </w:r>
      <w:r>
        <w:rPr>
          <w:rFonts w:cs="Times New Roman"/>
          <w:bCs/>
          <w:color w:val="auto"/>
          <w:kern w:val="21"/>
          <w:szCs w:val="21"/>
          <w:highlight w:val="none"/>
        </w:rPr>
        <w:t>评价因子一览表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1115"/>
        <w:gridCol w:w="4100"/>
        <w:gridCol w:w="2607"/>
      </w:tblGrid>
      <w:tr w14:paraId="5361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1" w:type="pct"/>
            <w:vAlign w:val="center"/>
          </w:tcPr>
          <w:p w14:paraId="4FB601EF">
            <w:pPr>
              <w:pStyle w:val="37"/>
              <w:adjustRightInd w:val="0"/>
              <w:rPr>
                <w:b/>
                <w:bCs/>
                <w:color w:val="auto"/>
                <w:highlight w:val="none"/>
              </w:rPr>
            </w:pPr>
            <w:r>
              <w:rPr>
                <w:b/>
                <w:bCs/>
                <w:color w:val="auto"/>
                <w:highlight w:val="none"/>
              </w:rPr>
              <w:t>序号</w:t>
            </w:r>
          </w:p>
        </w:tc>
        <w:tc>
          <w:tcPr>
            <w:tcW w:w="654" w:type="pct"/>
            <w:vAlign w:val="center"/>
          </w:tcPr>
          <w:p w14:paraId="1474FB4E">
            <w:pPr>
              <w:pStyle w:val="37"/>
              <w:adjustRightInd w:val="0"/>
              <w:rPr>
                <w:b/>
                <w:bCs/>
                <w:color w:val="auto"/>
                <w:highlight w:val="none"/>
              </w:rPr>
            </w:pPr>
            <w:r>
              <w:rPr>
                <w:b/>
                <w:bCs/>
                <w:color w:val="auto"/>
                <w:highlight w:val="none"/>
              </w:rPr>
              <w:t>类别</w:t>
            </w:r>
          </w:p>
        </w:tc>
        <w:tc>
          <w:tcPr>
            <w:tcW w:w="2405" w:type="pct"/>
            <w:vAlign w:val="center"/>
          </w:tcPr>
          <w:p w14:paraId="66D98BC4">
            <w:pPr>
              <w:pStyle w:val="37"/>
              <w:adjustRightInd w:val="0"/>
              <w:rPr>
                <w:b/>
                <w:bCs/>
                <w:color w:val="auto"/>
                <w:highlight w:val="none"/>
              </w:rPr>
            </w:pPr>
            <w:r>
              <w:rPr>
                <w:b/>
                <w:bCs/>
                <w:color w:val="auto"/>
                <w:highlight w:val="none"/>
              </w:rPr>
              <w:t>现状评价因子</w:t>
            </w:r>
          </w:p>
        </w:tc>
        <w:tc>
          <w:tcPr>
            <w:tcW w:w="1529" w:type="pct"/>
            <w:vAlign w:val="center"/>
          </w:tcPr>
          <w:p w14:paraId="42D3D364">
            <w:pPr>
              <w:pStyle w:val="37"/>
              <w:adjustRightInd w:val="0"/>
              <w:rPr>
                <w:b/>
                <w:bCs/>
                <w:color w:val="auto"/>
                <w:highlight w:val="none"/>
              </w:rPr>
            </w:pPr>
            <w:r>
              <w:rPr>
                <w:b/>
                <w:bCs/>
                <w:color w:val="auto"/>
                <w:highlight w:val="none"/>
              </w:rPr>
              <w:t>影响预测因子</w:t>
            </w:r>
          </w:p>
        </w:tc>
      </w:tr>
      <w:tr w14:paraId="78F33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5E8A269A">
            <w:pPr>
              <w:pStyle w:val="37"/>
              <w:adjustRightInd w:val="0"/>
              <w:rPr>
                <w:color w:val="auto"/>
                <w:highlight w:val="none"/>
              </w:rPr>
            </w:pPr>
            <w:r>
              <w:rPr>
                <w:color w:val="auto"/>
                <w:highlight w:val="none"/>
              </w:rPr>
              <w:t>1</w:t>
            </w:r>
          </w:p>
        </w:tc>
        <w:tc>
          <w:tcPr>
            <w:tcW w:w="654" w:type="pct"/>
            <w:vAlign w:val="center"/>
          </w:tcPr>
          <w:p w14:paraId="74F7C5D2">
            <w:pPr>
              <w:pStyle w:val="37"/>
              <w:adjustRightInd w:val="0"/>
              <w:rPr>
                <w:color w:val="auto"/>
                <w:highlight w:val="none"/>
              </w:rPr>
            </w:pPr>
            <w:r>
              <w:rPr>
                <w:color w:val="auto"/>
                <w:highlight w:val="none"/>
              </w:rPr>
              <w:t>环境空气</w:t>
            </w:r>
          </w:p>
        </w:tc>
        <w:tc>
          <w:tcPr>
            <w:tcW w:w="2405" w:type="pct"/>
            <w:vAlign w:val="center"/>
          </w:tcPr>
          <w:p w14:paraId="606D0E5C">
            <w:pPr>
              <w:pStyle w:val="37"/>
              <w:adjustRightInd w:val="0"/>
              <w:rPr>
                <w:color w:val="auto"/>
                <w:highlight w:val="none"/>
              </w:rPr>
            </w:pPr>
            <w:r>
              <w:rPr>
                <w:color w:val="auto"/>
                <w:highlight w:val="none"/>
              </w:rPr>
              <w:t>基本因子：SO</w:t>
            </w:r>
            <w:r>
              <w:rPr>
                <w:color w:val="auto"/>
                <w:highlight w:val="none"/>
                <w:vertAlign w:val="subscript"/>
              </w:rPr>
              <w:t>2</w:t>
            </w:r>
            <w:r>
              <w:rPr>
                <w:color w:val="auto"/>
                <w:highlight w:val="none"/>
              </w:rPr>
              <w:t>、NO</w:t>
            </w:r>
            <w:r>
              <w:rPr>
                <w:color w:val="auto"/>
                <w:highlight w:val="none"/>
                <w:vertAlign w:val="subscript"/>
              </w:rPr>
              <w:t>2</w:t>
            </w:r>
            <w:r>
              <w:rPr>
                <w:color w:val="auto"/>
                <w:highlight w:val="none"/>
              </w:rPr>
              <w:t>、CO、O</w:t>
            </w:r>
            <w:r>
              <w:rPr>
                <w:color w:val="auto"/>
                <w:highlight w:val="none"/>
                <w:vertAlign w:val="subscript"/>
              </w:rPr>
              <w:t>3</w:t>
            </w:r>
            <w:r>
              <w:rPr>
                <w:color w:val="auto"/>
                <w:highlight w:val="none"/>
              </w:rPr>
              <w:t>、PM</w:t>
            </w:r>
            <w:r>
              <w:rPr>
                <w:color w:val="auto"/>
                <w:highlight w:val="none"/>
                <w:vertAlign w:val="subscript"/>
              </w:rPr>
              <w:t>10</w:t>
            </w:r>
            <w:r>
              <w:rPr>
                <w:color w:val="auto"/>
                <w:highlight w:val="none"/>
              </w:rPr>
              <w:t>、PM</w:t>
            </w:r>
            <w:r>
              <w:rPr>
                <w:color w:val="auto"/>
                <w:highlight w:val="none"/>
                <w:vertAlign w:val="subscript"/>
              </w:rPr>
              <w:t>2.5</w:t>
            </w:r>
            <w:r>
              <w:rPr>
                <w:color w:val="auto"/>
                <w:highlight w:val="none"/>
              </w:rPr>
              <w:t>；</w:t>
            </w:r>
          </w:p>
          <w:p w14:paraId="52CCD00A">
            <w:pPr>
              <w:pStyle w:val="37"/>
              <w:adjustRightInd w:val="0"/>
              <w:rPr>
                <w:color w:val="auto"/>
                <w:highlight w:val="none"/>
              </w:rPr>
            </w:pPr>
            <w:r>
              <w:rPr>
                <w:color w:val="auto"/>
                <w:highlight w:val="none"/>
              </w:rPr>
              <w:t>特征因子：TSP</w:t>
            </w:r>
          </w:p>
        </w:tc>
        <w:tc>
          <w:tcPr>
            <w:tcW w:w="1529" w:type="pct"/>
            <w:vAlign w:val="center"/>
          </w:tcPr>
          <w:p w14:paraId="1655E9B3">
            <w:pPr>
              <w:pStyle w:val="37"/>
              <w:adjustRightInd w:val="0"/>
              <w:rPr>
                <w:color w:val="auto"/>
                <w:highlight w:val="none"/>
              </w:rPr>
            </w:pPr>
            <w:r>
              <w:rPr>
                <w:color w:val="auto"/>
                <w:highlight w:val="none"/>
              </w:rPr>
              <w:t>TSP、PM</w:t>
            </w:r>
            <w:r>
              <w:rPr>
                <w:color w:val="auto"/>
                <w:highlight w:val="none"/>
                <w:vertAlign w:val="subscript"/>
              </w:rPr>
              <w:t>10</w:t>
            </w:r>
            <w:r>
              <w:rPr>
                <w:rStyle w:val="36"/>
                <w:color w:val="auto"/>
                <w:highlight w:val="none"/>
              </w:rPr>
              <w:t>、PM</w:t>
            </w:r>
            <w:r>
              <w:rPr>
                <w:rStyle w:val="36"/>
                <w:color w:val="auto"/>
                <w:highlight w:val="none"/>
                <w:vertAlign w:val="subscript"/>
              </w:rPr>
              <w:t>2.5</w:t>
            </w:r>
          </w:p>
        </w:tc>
      </w:tr>
      <w:tr w14:paraId="5104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11" w:type="pct"/>
            <w:vAlign w:val="center"/>
          </w:tcPr>
          <w:p w14:paraId="25C16F8D">
            <w:pPr>
              <w:pStyle w:val="37"/>
              <w:adjustRightInd w:val="0"/>
              <w:rPr>
                <w:color w:val="auto"/>
                <w:highlight w:val="none"/>
              </w:rPr>
            </w:pPr>
            <w:r>
              <w:rPr>
                <w:color w:val="auto"/>
                <w:highlight w:val="none"/>
              </w:rPr>
              <w:t>2</w:t>
            </w:r>
          </w:p>
        </w:tc>
        <w:tc>
          <w:tcPr>
            <w:tcW w:w="654" w:type="pct"/>
            <w:vAlign w:val="center"/>
          </w:tcPr>
          <w:p w14:paraId="08E14393">
            <w:pPr>
              <w:pStyle w:val="37"/>
              <w:adjustRightInd w:val="0"/>
              <w:rPr>
                <w:color w:val="auto"/>
                <w:highlight w:val="none"/>
              </w:rPr>
            </w:pPr>
            <w:r>
              <w:rPr>
                <w:color w:val="auto"/>
                <w:highlight w:val="none"/>
              </w:rPr>
              <w:t>地表水</w:t>
            </w:r>
          </w:p>
        </w:tc>
        <w:tc>
          <w:tcPr>
            <w:tcW w:w="2405" w:type="pct"/>
            <w:vAlign w:val="center"/>
          </w:tcPr>
          <w:p w14:paraId="44EA1F97">
            <w:pPr>
              <w:pStyle w:val="37"/>
              <w:adjustRightInd w:val="0"/>
              <w:rPr>
                <w:color w:val="auto"/>
                <w:highlight w:val="none"/>
              </w:rPr>
            </w:pPr>
            <w:r>
              <w:rPr>
                <w:color w:val="auto"/>
                <w:highlight w:val="none"/>
              </w:rPr>
              <w:t>pH值、化学需氧量、五日生化需氧量、氨氮、总磷、SS、动植物油</w:t>
            </w:r>
          </w:p>
        </w:tc>
        <w:tc>
          <w:tcPr>
            <w:tcW w:w="1529" w:type="pct"/>
            <w:vAlign w:val="center"/>
          </w:tcPr>
          <w:p w14:paraId="64CABEBE">
            <w:pPr>
              <w:pStyle w:val="37"/>
              <w:adjustRightInd w:val="0"/>
              <w:rPr>
                <w:color w:val="auto"/>
                <w:highlight w:val="none"/>
              </w:rPr>
            </w:pPr>
            <w:r>
              <w:rPr>
                <w:color w:val="auto"/>
                <w:highlight w:val="none"/>
              </w:rPr>
              <w:t>/</w:t>
            </w:r>
          </w:p>
        </w:tc>
      </w:tr>
      <w:tr w14:paraId="5E5C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411" w:type="pct"/>
            <w:vAlign w:val="center"/>
          </w:tcPr>
          <w:p w14:paraId="30B7B21A">
            <w:pPr>
              <w:pStyle w:val="37"/>
              <w:adjustRightInd w:val="0"/>
              <w:rPr>
                <w:color w:val="auto"/>
                <w:highlight w:val="none"/>
              </w:rPr>
            </w:pPr>
            <w:r>
              <w:rPr>
                <w:color w:val="auto"/>
                <w:highlight w:val="none"/>
              </w:rPr>
              <w:t>3</w:t>
            </w:r>
          </w:p>
        </w:tc>
        <w:tc>
          <w:tcPr>
            <w:tcW w:w="654" w:type="pct"/>
            <w:vAlign w:val="center"/>
          </w:tcPr>
          <w:p w14:paraId="123862EB">
            <w:pPr>
              <w:pStyle w:val="37"/>
              <w:adjustRightInd w:val="0"/>
              <w:rPr>
                <w:color w:val="auto"/>
                <w:highlight w:val="none"/>
              </w:rPr>
            </w:pPr>
            <w:r>
              <w:rPr>
                <w:color w:val="auto"/>
                <w:highlight w:val="none"/>
              </w:rPr>
              <w:t>地下水</w:t>
            </w:r>
          </w:p>
        </w:tc>
        <w:tc>
          <w:tcPr>
            <w:tcW w:w="2405" w:type="pct"/>
            <w:vAlign w:val="center"/>
          </w:tcPr>
          <w:p w14:paraId="18379230">
            <w:pPr>
              <w:pStyle w:val="37"/>
              <w:adjustRightInd w:val="0"/>
              <w:rPr>
                <w:color w:val="auto"/>
                <w:highlight w:val="none"/>
              </w:rPr>
            </w:pPr>
            <w:r>
              <w:rPr>
                <w:color w:val="auto"/>
                <w:highlight w:val="none"/>
              </w:rPr>
              <w:t>pH、K</w:t>
            </w:r>
            <w:r>
              <w:rPr>
                <w:color w:val="auto"/>
                <w:highlight w:val="none"/>
                <w:vertAlign w:val="superscript"/>
              </w:rPr>
              <w:t>+</w:t>
            </w:r>
            <w:r>
              <w:rPr>
                <w:color w:val="auto"/>
                <w:highlight w:val="none"/>
              </w:rPr>
              <w:t>、Na</w:t>
            </w:r>
            <w:r>
              <w:rPr>
                <w:color w:val="auto"/>
                <w:highlight w:val="none"/>
                <w:vertAlign w:val="superscript"/>
              </w:rPr>
              <w:t>+</w:t>
            </w:r>
            <w:r>
              <w:rPr>
                <w:color w:val="auto"/>
                <w:highlight w:val="none"/>
              </w:rPr>
              <w:t>、Ca</w:t>
            </w:r>
            <w:r>
              <w:rPr>
                <w:color w:val="auto"/>
                <w:highlight w:val="none"/>
                <w:vertAlign w:val="superscript"/>
              </w:rPr>
              <w:t>2+</w:t>
            </w:r>
            <w:r>
              <w:rPr>
                <w:color w:val="auto"/>
                <w:highlight w:val="none"/>
              </w:rPr>
              <w:t>、Mg</w:t>
            </w:r>
            <w:r>
              <w:rPr>
                <w:color w:val="auto"/>
                <w:highlight w:val="none"/>
                <w:vertAlign w:val="superscript"/>
              </w:rPr>
              <w:t>2+</w:t>
            </w:r>
            <w:r>
              <w:rPr>
                <w:color w:val="auto"/>
                <w:highlight w:val="none"/>
              </w:rPr>
              <w:t>、CO</w:t>
            </w:r>
            <w:r>
              <w:rPr>
                <w:color w:val="auto"/>
                <w:highlight w:val="none"/>
                <w:vertAlign w:val="subscript"/>
              </w:rPr>
              <w:t>3</w:t>
            </w:r>
            <w:r>
              <w:rPr>
                <w:color w:val="auto"/>
                <w:highlight w:val="none"/>
                <w:vertAlign w:val="superscript"/>
              </w:rPr>
              <w:t>2-</w:t>
            </w:r>
            <w:r>
              <w:rPr>
                <w:color w:val="auto"/>
                <w:highlight w:val="none"/>
              </w:rPr>
              <w:t>、Cl</w:t>
            </w:r>
            <w:r>
              <w:rPr>
                <w:color w:val="auto"/>
                <w:highlight w:val="none"/>
                <w:vertAlign w:val="superscript"/>
              </w:rPr>
              <w:t>-</w:t>
            </w:r>
            <w:r>
              <w:rPr>
                <w:color w:val="auto"/>
                <w:highlight w:val="none"/>
              </w:rPr>
              <w:t>、SO</w:t>
            </w:r>
            <w:r>
              <w:rPr>
                <w:color w:val="auto"/>
                <w:highlight w:val="none"/>
                <w:vertAlign w:val="subscript"/>
              </w:rPr>
              <w:t>4</w:t>
            </w:r>
            <w:r>
              <w:rPr>
                <w:color w:val="auto"/>
                <w:highlight w:val="none"/>
                <w:vertAlign w:val="superscript"/>
              </w:rPr>
              <w:t>2-</w:t>
            </w:r>
            <w:r>
              <w:rPr>
                <w:color w:val="auto"/>
                <w:highlight w:val="none"/>
              </w:rPr>
              <w:t>、HCO</w:t>
            </w:r>
            <w:r>
              <w:rPr>
                <w:color w:val="auto"/>
                <w:highlight w:val="none"/>
                <w:vertAlign w:val="subscript"/>
              </w:rPr>
              <w:t>3</w:t>
            </w:r>
            <w:r>
              <w:rPr>
                <w:color w:val="auto"/>
                <w:highlight w:val="none"/>
                <w:vertAlign w:val="superscript"/>
              </w:rPr>
              <w:t>-</w:t>
            </w:r>
            <w:r>
              <w:rPr>
                <w:color w:val="auto"/>
                <w:highlight w:val="none"/>
              </w:rPr>
              <w:t>、氨氮、硝酸盐、亚硝酸盐、总硬度、溶解性总固体、耗氧量、铅、汞、镉、铬、砷、锂</w:t>
            </w:r>
            <w:r>
              <w:rPr>
                <w:rFonts w:hint="eastAsia"/>
                <w:color w:val="auto"/>
                <w:highlight w:val="none"/>
              </w:rPr>
              <w:t>、石油类</w:t>
            </w:r>
          </w:p>
        </w:tc>
        <w:tc>
          <w:tcPr>
            <w:tcW w:w="1529" w:type="pct"/>
            <w:vAlign w:val="center"/>
          </w:tcPr>
          <w:p w14:paraId="26EFF37C">
            <w:pPr>
              <w:pStyle w:val="37"/>
              <w:adjustRightInd w:val="0"/>
              <w:rPr>
                <w:color w:val="auto"/>
                <w:highlight w:val="none"/>
              </w:rPr>
            </w:pPr>
            <w:r>
              <w:rPr>
                <w:color w:val="auto"/>
                <w:highlight w:val="none"/>
              </w:rPr>
              <w:t>锂、耗氧量</w:t>
            </w:r>
          </w:p>
        </w:tc>
      </w:tr>
      <w:tr w14:paraId="56E3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24F71FEF">
            <w:pPr>
              <w:pStyle w:val="37"/>
              <w:adjustRightInd w:val="0"/>
              <w:rPr>
                <w:color w:val="auto"/>
                <w:highlight w:val="none"/>
              </w:rPr>
            </w:pPr>
            <w:r>
              <w:rPr>
                <w:color w:val="auto"/>
                <w:highlight w:val="none"/>
              </w:rPr>
              <w:t>4</w:t>
            </w:r>
          </w:p>
        </w:tc>
        <w:tc>
          <w:tcPr>
            <w:tcW w:w="654" w:type="pct"/>
            <w:vAlign w:val="center"/>
          </w:tcPr>
          <w:p w14:paraId="3790D28A">
            <w:pPr>
              <w:pStyle w:val="37"/>
              <w:adjustRightInd w:val="0"/>
              <w:rPr>
                <w:color w:val="auto"/>
                <w:highlight w:val="none"/>
              </w:rPr>
            </w:pPr>
            <w:r>
              <w:rPr>
                <w:color w:val="auto"/>
                <w:highlight w:val="none"/>
              </w:rPr>
              <w:t>声环境</w:t>
            </w:r>
          </w:p>
        </w:tc>
        <w:tc>
          <w:tcPr>
            <w:tcW w:w="2405" w:type="pct"/>
            <w:vAlign w:val="center"/>
          </w:tcPr>
          <w:p w14:paraId="49E9D33F">
            <w:pPr>
              <w:pStyle w:val="37"/>
              <w:adjustRightInd w:val="0"/>
              <w:rPr>
                <w:color w:val="auto"/>
                <w:highlight w:val="none"/>
              </w:rPr>
            </w:pPr>
            <w:r>
              <w:rPr>
                <w:color w:val="auto"/>
                <w:highlight w:val="none"/>
              </w:rPr>
              <w:t>等效连续A声级</w:t>
            </w:r>
          </w:p>
        </w:tc>
        <w:tc>
          <w:tcPr>
            <w:tcW w:w="1529" w:type="pct"/>
            <w:vAlign w:val="center"/>
          </w:tcPr>
          <w:p w14:paraId="2A59ECEF">
            <w:pPr>
              <w:pStyle w:val="37"/>
              <w:adjustRightInd w:val="0"/>
              <w:rPr>
                <w:color w:val="auto"/>
                <w:highlight w:val="none"/>
              </w:rPr>
            </w:pPr>
            <w:r>
              <w:rPr>
                <w:color w:val="auto"/>
                <w:highlight w:val="none"/>
              </w:rPr>
              <w:t>等效连续A声级</w:t>
            </w:r>
          </w:p>
        </w:tc>
      </w:tr>
      <w:tr w14:paraId="6B74B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681530E9">
            <w:pPr>
              <w:pStyle w:val="37"/>
              <w:adjustRightInd w:val="0"/>
              <w:rPr>
                <w:color w:val="auto"/>
                <w:highlight w:val="none"/>
              </w:rPr>
            </w:pPr>
            <w:r>
              <w:rPr>
                <w:color w:val="auto"/>
                <w:highlight w:val="none"/>
              </w:rPr>
              <w:t>5</w:t>
            </w:r>
          </w:p>
        </w:tc>
        <w:tc>
          <w:tcPr>
            <w:tcW w:w="654" w:type="pct"/>
            <w:vAlign w:val="center"/>
          </w:tcPr>
          <w:p w14:paraId="10023742">
            <w:pPr>
              <w:pStyle w:val="37"/>
              <w:adjustRightInd w:val="0"/>
              <w:rPr>
                <w:color w:val="auto"/>
                <w:highlight w:val="none"/>
              </w:rPr>
            </w:pPr>
            <w:r>
              <w:rPr>
                <w:color w:val="auto"/>
                <w:highlight w:val="none"/>
              </w:rPr>
              <w:t>固体废物</w:t>
            </w:r>
          </w:p>
        </w:tc>
        <w:tc>
          <w:tcPr>
            <w:tcW w:w="2405" w:type="pct"/>
            <w:vAlign w:val="center"/>
          </w:tcPr>
          <w:p w14:paraId="400EA5EF">
            <w:pPr>
              <w:pStyle w:val="37"/>
              <w:adjustRightInd w:val="0"/>
              <w:rPr>
                <w:color w:val="auto"/>
                <w:highlight w:val="none"/>
              </w:rPr>
            </w:pPr>
            <w:r>
              <w:rPr>
                <w:color w:val="auto"/>
                <w:highlight w:val="none"/>
              </w:rPr>
              <w:t>一般固废、危险废物</w:t>
            </w:r>
          </w:p>
        </w:tc>
        <w:tc>
          <w:tcPr>
            <w:tcW w:w="1529" w:type="pct"/>
            <w:vAlign w:val="center"/>
          </w:tcPr>
          <w:p w14:paraId="0D009C31">
            <w:pPr>
              <w:pStyle w:val="37"/>
              <w:adjustRightInd w:val="0"/>
              <w:rPr>
                <w:color w:val="auto"/>
                <w:highlight w:val="none"/>
              </w:rPr>
            </w:pPr>
            <w:r>
              <w:rPr>
                <w:color w:val="auto"/>
                <w:highlight w:val="none"/>
              </w:rPr>
              <w:t>/</w:t>
            </w:r>
          </w:p>
        </w:tc>
      </w:tr>
      <w:tr w14:paraId="1288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77FE2C95">
            <w:pPr>
              <w:pStyle w:val="37"/>
              <w:adjustRightInd w:val="0"/>
              <w:rPr>
                <w:color w:val="auto"/>
                <w:highlight w:val="none"/>
              </w:rPr>
            </w:pPr>
            <w:r>
              <w:rPr>
                <w:color w:val="auto"/>
                <w:highlight w:val="none"/>
              </w:rPr>
              <w:t>6</w:t>
            </w:r>
          </w:p>
        </w:tc>
        <w:tc>
          <w:tcPr>
            <w:tcW w:w="654" w:type="pct"/>
            <w:vAlign w:val="center"/>
          </w:tcPr>
          <w:p w14:paraId="6D014756">
            <w:pPr>
              <w:pStyle w:val="37"/>
              <w:adjustRightInd w:val="0"/>
              <w:rPr>
                <w:color w:val="auto"/>
                <w:highlight w:val="none"/>
              </w:rPr>
            </w:pPr>
            <w:r>
              <w:rPr>
                <w:color w:val="auto"/>
                <w:highlight w:val="none"/>
              </w:rPr>
              <w:t>环境风险</w:t>
            </w:r>
          </w:p>
        </w:tc>
        <w:tc>
          <w:tcPr>
            <w:tcW w:w="2405" w:type="pct"/>
            <w:vAlign w:val="center"/>
          </w:tcPr>
          <w:p w14:paraId="651AAE25">
            <w:pPr>
              <w:pStyle w:val="37"/>
              <w:adjustRightInd w:val="0"/>
              <w:rPr>
                <w:color w:val="auto"/>
                <w:highlight w:val="none"/>
              </w:rPr>
            </w:pPr>
            <w:r>
              <w:rPr>
                <w:color w:val="auto"/>
                <w:highlight w:val="none"/>
              </w:rPr>
              <w:t>机油、废水</w:t>
            </w:r>
          </w:p>
        </w:tc>
        <w:tc>
          <w:tcPr>
            <w:tcW w:w="1529" w:type="pct"/>
            <w:vAlign w:val="center"/>
          </w:tcPr>
          <w:p w14:paraId="4B979DAE">
            <w:pPr>
              <w:pStyle w:val="37"/>
              <w:adjustRightInd w:val="0"/>
              <w:rPr>
                <w:color w:val="auto"/>
                <w:highlight w:val="none"/>
              </w:rPr>
            </w:pPr>
            <w:r>
              <w:rPr>
                <w:color w:val="auto"/>
                <w:highlight w:val="none"/>
              </w:rPr>
              <w:t>机油、废水泄漏</w:t>
            </w:r>
          </w:p>
        </w:tc>
      </w:tr>
    </w:tbl>
    <w:p w14:paraId="2906DCE8">
      <w:pPr>
        <w:pStyle w:val="3"/>
        <w:adjustRightInd w:val="0"/>
        <w:rPr>
          <w:rFonts w:cs="Times New Roman"/>
          <w:color w:val="auto"/>
          <w:highlight w:val="none"/>
        </w:rPr>
      </w:pPr>
      <w:bookmarkStart w:id="40" w:name="_Toc26515"/>
      <w:bookmarkStart w:id="41" w:name="_Toc8711"/>
      <w:bookmarkStart w:id="42" w:name="_Toc21300"/>
      <w:r>
        <w:rPr>
          <w:rFonts w:cs="Times New Roman"/>
          <w:color w:val="auto"/>
          <w:highlight w:val="none"/>
        </w:rPr>
        <w:t>评价标准</w:t>
      </w:r>
      <w:bookmarkEnd w:id="40"/>
      <w:bookmarkEnd w:id="41"/>
      <w:bookmarkEnd w:id="42"/>
    </w:p>
    <w:p w14:paraId="07558A80">
      <w:pPr>
        <w:pStyle w:val="4"/>
        <w:adjustRightInd w:val="0"/>
        <w:rPr>
          <w:rFonts w:cs="Times New Roman"/>
          <w:color w:val="auto"/>
          <w:highlight w:val="none"/>
        </w:rPr>
      </w:pPr>
      <w:bookmarkStart w:id="43" w:name="_Toc24301"/>
      <w:bookmarkStart w:id="44" w:name="_Toc20985"/>
      <w:bookmarkStart w:id="45" w:name="_Toc775"/>
      <w:bookmarkStart w:id="46" w:name="_Toc11311"/>
      <w:bookmarkStart w:id="47" w:name="_Toc18404"/>
      <w:bookmarkStart w:id="48" w:name="_Toc23163"/>
      <w:r>
        <w:rPr>
          <w:rFonts w:cs="Times New Roman"/>
          <w:color w:val="auto"/>
          <w:highlight w:val="none"/>
        </w:rPr>
        <w:t>环境功能区划</w:t>
      </w:r>
      <w:bookmarkEnd w:id="43"/>
      <w:bookmarkEnd w:id="44"/>
      <w:bookmarkEnd w:id="45"/>
      <w:bookmarkEnd w:id="46"/>
      <w:bookmarkEnd w:id="47"/>
      <w:bookmarkEnd w:id="48"/>
    </w:p>
    <w:p w14:paraId="77AEF849">
      <w:pPr>
        <w:adjustRightInd w:val="0"/>
        <w:ind w:firstLine="480"/>
        <w:rPr>
          <w:rFonts w:cs="Times New Roman"/>
          <w:color w:val="auto"/>
          <w:highlight w:val="none"/>
        </w:rPr>
      </w:pPr>
      <w:r>
        <w:rPr>
          <w:rFonts w:cs="Times New Roman"/>
          <w:color w:val="auto"/>
          <w:highlight w:val="none"/>
        </w:rPr>
        <w:t>根据四川省地方有关环境功能区划要求，拟建项目的环境功能区划见下表。</w:t>
      </w:r>
    </w:p>
    <w:p w14:paraId="0E77F3AC">
      <w:pPr>
        <w:pStyle w:val="12"/>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35</w:t>
      </w:r>
      <w:r>
        <w:rPr>
          <w:rFonts w:cs="Times New Roman"/>
          <w:color w:val="auto"/>
          <w:highlight w:val="none"/>
        </w:rPr>
        <w:fldChar w:fldCharType="end"/>
      </w:r>
      <w:r>
        <w:rPr>
          <w:rFonts w:cs="Times New Roman"/>
          <w:bCs/>
          <w:color w:val="auto"/>
          <w:kern w:val="21"/>
          <w:szCs w:val="21"/>
          <w:highlight w:val="none"/>
        </w:rPr>
        <w:t>项目所在区域环境功能区划一览表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8"/>
        <w:gridCol w:w="1074"/>
        <w:gridCol w:w="1386"/>
        <w:gridCol w:w="5454"/>
      </w:tblGrid>
      <w:tr w14:paraId="64A4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7" w:type="pct"/>
            <w:vAlign w:val="center"/>
          </w:tcPr>
          <w:p w14:paraId="2ACBB75F">
            <w:pPr>
              <w:pStyle w:val="37"/>
              <w:adjustRightInd w:val="0"/>
              <w:rPr>
                <w:b/>
                <w:bCs/>
                <w:color w:val="auto"/>
                <w:highlight w:val="none"/>
              </w:rPr>
            </w:pPr>
            <w:r>
              <w:rPr>
                <w:b/>
                <w:bCs/>
                <w:color w:val="auto"/>
                <w:highlight w:val="none"/>
              </w:rPr>
              <w:t>序号</w:t>
            </w:r>
          </w:p>
        </w:tc>
        <w:tc>
          <w:tcPr>
            <w:tcW w:w="630" w:type="pct"/>
            <w:vAlign w:val="center"/>
          </w:tcPr>
          <w:p w14:paraId="64467F97">
            <w:pPr>
              <w:pStyle w:val="37"/>
              <w:adjustRightInd w:val="0"/>
              <w:rPr>
                <w:b/>
                <w:bCs/>
                <w:color w:val="auto"/>
                <w:highlight w:val="none"/>
              </w:rPr>
            </w:pPr>
            <w:r>
              <w:rPr>
                <w:b/>
                <w:bCs/>
                <w:color w:val="auto"/>
                <w:highlight w:val="none"/>
              </w:rPr>
              <w:t>环境要素</w:t>
            </w:r>
          </w:p>
        </w:tc>
        <w:tc>
          <w:tcPr>
            <w:tcW w:w="813" w:type="pct"/>
            <w:vAlign w:val="center"/>
          </w:tcPr>
          <w:p w14:paraId="7F99BA04">
            <w:pPr>
              <w:pStyle w:val="37"/>
              <w:adjustRightInd w:val="0"/>
              <w:rPr>
                <w:b/>
                <w:bCs/>
                <w:color w:val="auto"/>
                <w:highlight w:val="none"/>
              </w:rPr>
            </w:pPr>
            <w:r>
              <w:rPr>
                <w:b/>
                <w:bCs/>
                <w:color w:val="auto"/>
                <w:highlight w:val="none"/>
              </w:rPr>
              <w:t>功能区</w:t>
            </w:r>
          </w:p>
        </w:tc>
        <w:tc>
          <w:tcPr>
            <w:tcW w:w="3199" w:type="pct"/>
            <w:vAlign w:val="center"/>
          </w:tcPr>
          <w:p w14:paraId="47821673">
            <w:pPr>
              <w:pStyle w:val="37"/>
              <w:adjustRightInd w:val="0"/>
              <w:rPr>
                <w:b/>
                <w:bCs/>
                <w:color w:val="auto"/>
                <w:highlight w:val="none"/>
              </w:rPr>
            </w:pPr>
            <w:r>
              <w:rPr>
                <w:b/>
                <w:bCs/>
                <w:color w:val="auto"/>
                <w:highlight w:val="none"/>
              </w:rPr>
              <w:t>质量标准</w:t>
            </w:r>
          </w:p>
        </w:tc>
      </w:tr>
      <w:tr w14:paraId="69595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 w:type="pct"/>
            <w:vAlign w:val="center"/>
          </w:tcPr>
          <w:p w14:paraId="07C4CCBA">
            <w:pPr>
              <w:pStyle w:val="37"/>
              <w:adjustRightInd w:val="0"/>
              <w:rPr>
                <w:color w:val="auto"/>
                <w:highlight w:val="none"/>
              </w:rPr>
            </w:pPr>
            <w:r>
              <w:rPr>
                <w:color w:val="auto"/>
                <w:highlight w:val="none"/>
              </w:rPr>
              <w:t>1</w:t>
            </w:r>
          </w:p>
        </w:tc>
        <w:tc>
          <w:tcPr>
            <w:tcW w:w="630" w:type="pct"/>
            <w:vAlign w:val="center"/>
          </w:tcPr>
          <w:p w14:paraId="23EEAC80">
            <w:pPr>
              <w:pStyle w:val="37"/>
              <w:adjustRightInd w:val="0"/>
              <w:rPr>
                <w:color w:val="auto"/>
                <w:highlight w:val="none"/>
              </w:rPr>
            </w:pPr>
            <w:r>
              <w:rPr>
                <w:color w:val="auto"/>
                <w:highlight w:val="none"/>
              </w:rPr>
              <w:t>空气环境</w:t>
            </w:r>
          </w:p>
        </w:tc>
        <w:tc>
          <w:tcPr>
            <w:tcW w:w="813" w:type="pct"/>
            <w:vAlign w:val="center"/>
          </w:tcPr>
          <w:p w14:paraId="165C756E">
            <w:pPr>
              <w:pStyle w:val="37"/>
              <w:adjustRightInd w:val="0"/>
              <w:rPr>
                <w:color w:val="auto"/>
                <w:highlight w:val="none"/>
              </w:rPr>
            </w:pPr>
            <w:r>
              <w:rPr>
                <w:color w:val="auto"/>
                <w:highlight w:val="none"/>
              </w:rPr>
              <w:t>二类区</w:t>
            </w:r>
          </w:p>
        </w:tc>
        <w:tc>
          <w:tcPr>
            <w:tcW w:w="3199" w:type="pct"/>
            <w:vAlign w:val="center"/>
          </w:tcPr>
          <w:p w14:paraId="7411C903">
            <w:pPr>
              <w:pStyle w:val="37"/>
              <w:adjustRightInd w:val="0"/>
              <w:rPr>
                <w:color w:val="auto"/>
                <w:highlight w:val="none"/>
              </w:rPr>
            </w:pPr>
            <w:r>
              <w:rPr>
                <w:color w:val="auto"/>
                <w:highlight w:val="none"/>
              </w:rPr>
              <w:t>《环境空气质量标准》（GB3095-20</w:t>
            </w:r>
            <w:r>
              <w:rPr>
                <w:rFonts w:hint="eastAsia"/>
                <w:color w:val="auto"/>
                <w:highlight w:val="none"/>
                <w:lang w:val="en-US" w:eastAsia="zh-CN"/>
              </w:rPr>
              <w:t>26</w:t>
            </w:r>
            <w:r>
              <w:rPr>
                <w:color w:val="auto"/>
                <w:highlight w:val="none"/>
              </w:rPr>
              <w:t>）二级</w:t>
            </w:r>
          </w:p>
        </w:tc>
      </w:tr>
      <w:tr w14:paraId="0AF02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 w:type="pct"/>
            <w:vAlign w:val="center"/>
          </w:tcPr>
          <w:p w14:paraId="24C2711A">
            <w:pPr>
              <w:pStyle w:val="37"/>
              <w:adjustRightInd w:val="0"/>
              <w:rPr>
                <w:color w:val="auto"/>
                <w:highlight w:val="none"/>
              </w:rPr>
            </w:pPr>
            <w:r>
              <w:rPr>
                <w:color w:val="auto"/>
                <w:highlight w:val="none"/>
              </w:rPr>
              <w:t>2</w:t>
            </w:r>
          </w:p>
        </w:tc>
        <w:tc>
          <w:tcPr>
            <w:tcW w:w="630" w:type="pct"/>
            <w:vAlign w:val="center"/>
          </w:tcPr>
          <w:p w14:paraId="5279B009">
            <w:pPr>
              <w:pStyle w:val="37"/>
              <w:adjustRightInd w:val="0"/>
              <w:rPr>
                <w:color w:val="auto"/>
                <w:highlight w:val="none"/>
              </w:rPr>
            </w:pPr>
            <w:r>
              <w:rPr>
                <w:color w:val="auto"/>
                <w:highlight w:val="none"/>
              </w:rPr>
              <w:t>水环境</w:t>
            </w:r>
          </w:p>
        </w:tc>
        <w:tc>
          <w:tcPr>
            <w:tcW w:w="813" w:type="pct"/>
            <w:vAlign w:val="center"/>
          </w:tcPr>
          <w:p w14:paraId="21632EF3">
            <w:pPr>
              <w:pStyle w:val="37"/>
              <w:adjustRightInd w:val="0"/>
              <w:rPr>
                <w:color w:val="auto"/>
                <w:highlight w:val="none"/>
              </w:rPr>
            </w:pPr>
            <w:r>
              <w:rPr>
                <w:color w:val="auto"/>
                <w:highlight w:val="none"/>
              </w:rPr>
              <w:t>Ⅲ类</w:t>
            </w:r>
          </w:p>
        </w:tc>
        <w:tc>
          <w:tcPr>
            <w:tcW w:w="3199" w:type="pct"/>
            <w:vAlign w:val="center"/>
          </w:tcPr>
          <w:p w14:paraId="750CE668">
            <w:pPr>
              <w:pStyle w:val="37"/>
              <w:adjustRightInd w:val="0"/>
              <w:rPr>
                <w:color w:val="auto"/>
                <w:highlight w:val="none"/>
              </w:rPr>
            </w:pPr>
            <w:r>
              <w:rPr>
                <w:color w:val="auto"/>
                <w:highlight w:val="none"/>
              </w:rPr>
              <w:t>《地表水环境质量标准》（GB3838-2002）Ⅲ类</w:t>
            </w:r>
          </w:p>
        </w:tc>
      </w:tr>
      <w:tr w14:paraId="13382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jc w:val="center"/>
        </w:trPr>
        <w:tc>
          <w:tcPr>
            <w:tcW w:w="357" w:type="pct"/>
            <w:vAlign w:val="center"/>
          </w:tcPr>
          <w:p w14:paraId="39B84B42">
            <w:pPr>
              <w:pStyle w:val="37"/>
              <w:adjustRightInd w:val="0"/>
              <w:rPr>
                <w:color w:val="auto"/>
                <w:highlight w:val="none"/>
              </w:rPr>
            </w:pPr>
            <w:r>
              <w:rPr>
                <w:color w:val="auto"/>
                <w:highlight w:val="none"/>
              </w:rPr>
              <w:t>3</w:t>
            </w:r>
          </w:p>
        </w:tc>
        <w:tc>
          <w:tcPr>
            <w:tcW w:w="630" w:type="pct"/>
            <w:vAlign w:val="center"/>
          </w:tcPr>
          <w:p w14:paraId="6E2C08BA">
            <w:pPr>
              <w:pStyle w:val="37"/>
              <w:adjustRightInd w:val="0"/>
              <w:rPr>
                <w:color w:val="auto"/>
                <w:highlight w:val="none"/>
              </w:rPr>
            </w:pPr>
            <w:r>
              <w:rPr>
                <w:color w:val="auto"/>
                <w:highlight w:val="none"/>
              </w:rPr>
              <w:t>声环境</w:t>
            </w:r>
          </w:p>
        </w:tc>
        <w:tc>
          <w:tcPr>
            <w:tcW w:w="813" w:type="pct"/>
            <w:vAlign w:val="center"/>
          </w:tcPr>
          <w:p w14:paraId="2A57BB09">
            <w:pPr>
              <w:pStyle w:val="37"/>
              <w:adjustRightInd w:val="0"/>
              <w:rPr>
                <w:color w:val="auto"/>
                <w:highlight w:val="none"/>
              </w:rPr>
            </w:pPr>
            <w:r>
              <w:rPr>
                <w:color w:val="auto"/>
                <w:highlight w:val="none"/>
              </w:rPr>
              <w:t>3类区</w:t>
            </w:r>
          </w:p>
        </w:tc>
        <w:tc>
          <w:tcPr>
            <w:tcW w:w="3199" w:type="pct"/>
            <w:vAlign w:val="center"/>
          </w:tcPr>
          <w:p w14:paraId="02AF1EAA">
            <w:pPr>
              <w:pStyle w:val="37"/>
              <w:adjustRightInd w:val="0"/>
              <w:rPr>
                <w:color w:val="auto"/>
                <w:highlight w:val="none"/>
              </w:rPr>
            </w:pPr>
            <w:r>
              <w:rPr>
                <w:color w:val="auto"/>
                <w:highlight w:val="none"/>
              </w:rPr>
              <w:t>《声环境质量标准》（GB3096-2008）中3类区标准</w:t>
            </w:r>
          </w:p>
        </w:tc>
      </w:tr>
      <w:tr w14:paraId="08402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357" w:type="pct"/>
            <w:vAlign w:val="center"/>
          </w:tcPr>
          <w:p w14:paraId="6BC1F9E3">
            <w:pPr>
              <w:pStyle w:val="37"/>
              <w:adjustRightInd w:val="0"/>
              <w:rPr>
                <w:color w:val="auto"/>
                <w:highlight w:val="none"/>
              </w:rPr>
            </w:pPr>
            <w:r>
              <w:rPr>
                <w:color w:val="auto"/>
                <w:highlight w:val="none"/>
              </w:rPr>
              <w:t>4</w:t>
            </w:r>
          </w:p>
        </w:tc>
        <w:tc>
          <w:tcPr>
            <w:tcW w:w="630" w:type="pct"/>
            <w:vAlign w:val="center"/>
          </w:tcPr>
          <w:p w14:paraId="0B9C73D4">
            <w:pPr>
              <w:pStyle w:val="37"/>
              <w:adjustRightInd w:val="0"/>
              <w:rPr>
                <w:color w:val="auto"/>
                <w:highlight w:val="none"/>
              </w:rPr>
            </w:pPr>
            <w:r>
              <w:rPr>
                <w:color w:val="auto"/>
                <w:highlight w:val="none"/>
              </w:rPr>
              <w:t>土壤</w:t>
            </w:r>
          </w:p>
        </w:tc>
        <w:tc>
          <w:tcPr>
            <w:tcW w:w="813" w:type="pct"/>
            <w:vAlign w:val="center"/>
          </w:tcPr>
          <w:p w14:paraId="0C1430F5">
            <w:pPr>
              <w:pStyle w:val="37"/>
              <w:adjustRightInd w:val="0"/>
              <w:rPr>
                <w:color w:val="auto"/>
                <w:highlight w:val="none"/>
              </w:rPr>
            </w:pPr>
            <w:r>
              <w:rPr>
                <w:color w:val="auto"/>
                <w:highlight w:val="none"/>
              </w:rPr>
              <w:t>项目所在地</w:t>
            </w:r>
          </w:p>
        </w:tc>
        <w:tc>
          <w:tcPr>
            <w:tcW w:w="3199" w:type="pct"/>
            <w:vAlign w:val="center"/>
          </w:tcPr>
          <w:p w14:paraId="7DA6EF88">
            <w:pPr>
              <w:pStyle w:val="37"/>
              <w:adjustRightInd w:val="0"/>
              <w:rPr>
                <w:color w:val="auto"/>
                <w:highlight w:val="none"/>
              </w:rPr>
            </w:pPr>
            <w:r>
              <w:rPr>
                <w:color w:val="auto"/>
                <w:highlight w:val="none"/>
              </w:rPr>
              <w:t>《土壤环境质量 建设用地土壤污染风险管控标准（试行）》（GB 36600-2018）第二类用地风险筛选值</w:t>
            </w:r>
          </w:p>
        </w:tc>
      </w:tr>
      <w:tr w14:paraId="28F1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7" w:type="pct"/>
            <w:vAlign w:val="center"/>
          </w:tcPr>
          <w:p w14:paraId="213221CD">
            <w:pPr>
              <w:pStyle w:val="37"/>
              <w:adjustRightInd w:val="0"/>
              <w:rPr>
                <w:color w:val="auto"/>
                <w:highlight w:val="none"/>
              </w:rPr>
            </w:pPr>
            <w:r>
              <w:rPr>
                <w:color w:val="auto"/>
                <w:highlight w:val="none"/>
              </w:rPr>
              <w:t>5</w:t>
            </w:r>
          </w:p>
        </w:tc>
        <w:tc>
          <w:tcPr>
            <w:tcW w:w="630" w:type="pct"/>
            <w:vAlign w:val="center"/>
          </w:tcPr>
          <w:p w14:paraId="1B4780DA">
            <w:pPr>
              <w:pStyle w:val="37"/>
              <w:adjustRightInd w:val="0"/>
              <w:rPr>
                <w:color w:val="auto"/>
                <w:highlight w:val="none"/>
              </w:rPr>
            </w:pPr>
            <w:r>
              <w:rPr>
                <w:color w:val="auto"/>
                <w:highlight w:val="none"/>
              </w:rPr>
              <w:t>地下水</w:t>
            </w:r>
          </w:p>
        </w:tc>
        <w:tc>
          <w:tcPr>
            <w:tcW w:w="813" w:type="pct"/>
            <w:vAlign w:val="center"/>
          </w:tcPr>
          <w:p w14:paraId="2126FAB2">
            <w:pPr>
              <w:pStyle w:val="37"/>
              <w:adjustRightInd w:val="0"/>
              <w:rPr>
                <w:color w:val="auto"/>
                <w:highlight w:val="none"/>
              </w:rPr>
            </w:pPr>
            <w:r>
              <w:rPr>
                <w:color w:val="auto"/>
                <w:highlight w:val="none"/>
              </w:rPr>
              <w:t>Ⅲ类、Ⅳ类</w:t>
            </w:r>
          </w:p>
        </w:tc>
        <w:tc>
          <w:tcPr>
            <w:tcW w:w="3199" w:type="pct"/>
            <w:vAlign w:val="center"/>
          </w:tcPr>
          <w:p w14:paraId="6F6C4DC9">
            <w:pPr>
              <w:pStyle w:val="37"/>
              <w:adjustRightInd w:val="0"/>
              <w:rPr>
                <w:color w:val="auto"/>
                <w:highlight w:val="none"/>
              </w:rPr>
            </w:pPr>
            <w:r>
              <w:rPr>
                <w:color w:val="auto"/>
                <w:highlight w:val="none"/>
              </w:rPr>
              <w:t>《地下水质量标准》（GB/T14848-2017）Ⅲ类、Ⅳ类</w:t>
            </w:r>
          </w:p>
        </w:tc>
      </w:tr>
    </w:tbl>
    <w:p w14:paraId="432720DF">
      <w:pPr>
        <w:pStyle w:val="4"/>
        <w:adjustRightInd w:val="0"/>
        <w:rPr>
          <w:rFonts w:cs="Times New Roman"/>
          <w:color w:val="auto"/>
          <w:highlight w:val="none"/>
        </w:rPr>
      </w:pPr>
      <w:bookmarkStart w:id="49" w:name="_Toc8149"/>
      <w:bookmarkStart w:id="50" w:name="_Toc22693"/>
      <w:bookmarkStart w:id="51" w:name="_Toc22818"/>
      <w:r>
        <w:rPr>
          <w:rFonts w:cs="Times New Roman"/>
          <w:color w:val="auto"/>
          <w:highlight w:val="none"/>
        </w:rPr>
        <w:t>环境质量标准</w:t>
      </w:r>
      <w:bookmarkEnd w:id="49"/>
      <w:bookmarkEnd w:id="50"/>
      <w:bookmarkEnd w:id="51"/>
    </w:p>
    <w:p w14:paraId="4F24D0FF">
      <w:pPr>
        <w:pStyle w:val="5"/>
        <w:adjustRightInd w:val="0"/>
        <w:rPr>
          <w:rFonts w:cs="Times New Roman"/>
          <w:color w:val="auto"/>
          <w:highlight w:val="none"/>
        </w:rPr>
      </w:pPr>
      <w:r>
        <w:rPr>
          <w:rFonts w:cs="Times New Roman"/>
          <w:color w:val="auto"/>
          <w:highlight w:val="none"/>
        </w:rPr>
        <w:t>地表水</w:t>
      </w:r>
    </w:p>
    <w:p w14:paraId="52729323">
      <w:pPr>
        <w:adjustRightInd w:val="0"/>
        <w:ind w:firstLine="480"/>
        <w:rPr>
          <w:rFonts w:cs="Times New Roman"/>
          <w:color w:val="auto"/>
          <w:highlight w:val="none"/>
        </w:rPr>
      </w:pPr>
      <w:r>
        <w:rPr>
          <w:rFonts w:cs="Times New Roman"/>
          <w:color w:val="auto"/>
          <w:highlight w:val="none"/>
        </w:rPr>
        <w:t>地表水环境质量标准执行《地表水环境质量标准》（GB3838-2002）中的Ⅲ类标准，具体如下表所示。</w:t>
      </w:r>
    </w:p>
    <w:p w14:paraId="10839104">
      <w:pPr>
        <w:pStyle w:val="12"/>
        <w:keepNext w:val="0"/>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36</w:t>
      </w:r>
      <w:r>
        <w:rPr>
          <w:rFonts w:cs="Times New Roman"/>
          <w:color w:val="auto"/>
          <w:highlight w:val="none"/>
        </w:rPr>
        <w:fldChar w:fldCharType="end"/>
      </w:r>
      <w:r>
        <w:rPr>
          <w:rFonts w:cs="Times New Roman"/>
          <w:bCs/>
          <w:color w:val="auto"/>
          <w:kern w:val="21"/>
          <w:szCs w:val="21"/>
          <w:highlight w:val="none"/>
        </w:rPr>
        <w:t>地表水环境质量标准 单位：除pH无量纲，其余mg/L</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407"/>
        <w:gridCol w:w="2519"/>
        <w:gridCol w:w="2894"/>
      </w:tblGrid>
      <w:tr w14:paraId="5E5C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tblHeader/>
          <w:jc w:val="center"/>
        </w:trPr>
        <w:tc>
          <w:tcPr>
            <w:tcW w:w="412" w:type="pct"/>
            <w:vAlign w:val="center"/>
          </w:tcPr>
          <w:p w14:paraId="225EFE21">
            <w:pPr>
              <w:pStyle w:val="37"/>
              <w:adjustRightInd w:val="0"/>
              <w:rPr>
                <w:b/>
                <w:bCs/>
                <w:color w:val="auto"/>
                <w:highlight w:val="none"/>
              </w:rPr>
            </w:pPr>
            <w:r>
              <w:rPr>
                <w:b/>
                <w:bCs/>
                <w:color w:val="auto"/>
                <w:highlight w:val="none"/>
              </w:rPr>
              <w:t>序号</w:t>
            </w:r>
          </w:p>
        </w:tc>
        <w:tc>
          <w:tcPr>
            <w:tcW w:w="1412" w:type="pct"/>
            <w:vAlign w:val="center"/>
          </w:tcPr>
          <w:p w14:paraId="3147E9E4">
            <w:pPr>
              <w:pStyle w:val="37"/>
              <w:adjustRightInd w:val="0"/>
              <w:rPr>
                <w:b/>
                <w:bCs/>
                <w:color w:val="auto"/>
                <w:highlight w:val="none"/>
              </w:rPr>
            </w:pPr>
            <w:r>
              <w:rPr>
                <w:b/>
                <w:bCs/>
                <w:color w:val="auto"/>
                <w:highlight w:val="none"/>
              </w:rPr>
              <w:t>项目</w:t>
            </w:r>
          </w:p>
        </w:tc>
        <w:tc>
          <w:tcPr>
            <w:tcW w:w="1477" w:type="pct"/>
            <w:vAlign w:val="center"/>
          </w:tcPr>
          <w:p w14:paraId="2EE4A89F">
            <w:pPr>
              <w:pStyle w:val="37"/>
              <w:adjustRightInd w:val="0"/>
              <w:rPr>
                <w:b/>
                <w:bCs/>
                <w:color w:val="auto"/>
                <w:highlight w:val="none"/>
              </w:rPr>
            </w:pPr>
            <w:r>
              <w:rPr>
                <w:b/>
                <w:bCs/>
                <w:color w:val="auto"/>
                <w:highlight w:val="none"/>
              </w:rPr>
              <w:t>标准值</w:t>
            </w:r>
          </w:p>
        </w:tc>
        <w:tc>
          <w:tcPr>
            <w:tcW w:w="1697" w:type="pct"/>
            <w:vAlign w:val="center"/>
          </w:tcPr>
          <w:p w14:paraId="1525989B">
            <w:pPr>
              <w:pStyle w:val="37"/>
              <w:adjustRightInd w:val="0"/>
              <w:rPr>
                <w:b/>
                <w:bCs/>
                <w:color w:val="auto"/>
                <w:highlight w:val="none"/>
              </w:rPr>
            </w:pPr>
            <w:r>
              <w:rPr>
                <w:b/>
                <w:bCs/>
                <w:color w:val="auto"/>
                <w:highlight w:val="none"/>
              </w:rPr>
              <w:t>执行标准</w:t>
            </w:r>
          </w:p>
        </w:tc>
      </w:tr>
      <w:tr w14:paraId="60B26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12F6C11B">
            <w:pPr>
              <w:pStyle w:val="37"/>
              <w:adjustRightInd w:val="0"/>
              <w:rPr>
                <w:color w:val="auto"/>
                <w:highlight w:val="none"/>
              </w:rPr>
            </w:pPr>
            <w:r>
              <w:rPr>
                <w:color w:val="auto"/>
                <w:highlight w:val="none"/>
              </w:rPr>
              <w:t>1</w:t>
            </w:r>
          </w:p>
        </w:tc>
        <w:tc>
          <w:tcPr>
            <w:tcW w:w="1412" w:type="pct"/>
            <w:vAlign w:val="center"/>
          </w:tcPr>
          <w:p w14:paraId="1F5AD924">
            <w:pPr>
              <w:pStyle w:val="37"/>
              <w:adjustRightInd w:val="0"/>
              <w:rPr>
                <w:color w:val="auto"/>
                <w:highlight w:val="none"/>
              </w:rPr>
            </w:pPr>
            <w:r>
              <w:rPr>
                <w:color w:val="auto"/>
                <w:highlight w:val="none"/>
              </w:rPr>
              <w:t>pH</w:t>
            </w:r>
          </w:p>
        </w:tc>
        <w:tc>
          <w:tcPr>
            <w:tcW w:w="1477" w:type="pct"/>
            <w:vAlign w:val="center"/>
          </w:tcPr>
          <w:p w14:paraId="7B48F39F">
            <w:pPr>
              <w:pStyle w:val="37"/>
              <w:adjustRightInd w:val="0"/>
              <w:rPr>
                <w:color w:val="auto"/>
                <w:highlight w:val="none"/>
              </w:rPr>
            </w:pPr>
            <w:r>
              <w:rPr>
                <w:color w:val="auto"/>
                <w:highlight w:val="none"/>
              </w:rPr>
              <w:t>6~9</w:t>
            </w:r>
          </w:p>
        </w:tc>
        <w:tc>
          <w:tcPr>
            <w:tcW w:w="1697" w:type="pct"/>
            <w:vMerge w:val="restart"/>
            <w:vAlign w:val="center"/>
          </w:tcPr>
          <w:p w14:paraId="38B707C8">
            <w:pPr>
              <w:pStyle w:val="37"/>
              <w:adjustRightInd w:val="0"/>
              <w:rPr>
                <w:color w:val="auto"/>
                <w:highlight w:val="none"/>
              </w:rPr>
            </w:pPr>
            <w:r>
              <w:rPr>
                <w:color w:val="auto"/>
                <w:highlight w:val="none"/>
              </w:rPr>
              <w:t>《地表水环境质量标准》（GB3838-2002）Ⅲ类标准</w:t>
            </w:r>
          </w:p>
        </w:tc>
      </w:tr>
      <w:tr w14:paraId="0596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37630FAB">
            <w:pPr>
              <w:pStyle w:val="37"/>
              <w:adjustRightInd w:val="0"/>
              <w:rPr>
                <w:color w:val="auto"/>
                <w:highlight w:val="none"/>
              </w:rPr>
            </w:pPr>
            <w:r>
              <w:rPr>
                <w:color w:val="auto"/>
                <w:highlight w:val="none"/>
              </w:rPr>
              <w:t>2</w:t>
            </w:r>
          </w:p>
        </w:tc>
        <w:tc>
          <w:tcPr>
            <w:tcW w:w="1412" w:type="pct"/>
            <w:vAlign w:val="center"/>
          </w:tcPr>
          <w:p w14:paraId="6E5CF068">
            <w:pPr>
              <w:pStyle w:val="37"/>
              <w:adjustRightInd w:val="0"/>
              <w:rPr>
                <w:color w:val="auto"/>
                <w:highlight w:val="none"/>
              </w:rPr>
            </w:pPr>
            <w:r>
              <w:rPr>
                <w:color w:val="auto"/>
                <w:highlight w:val="none"/>
              </w:rPr>
              <w:t>高锰酸盐指数</w:t>
            </w:r>
          </w:p>
        </w:tc>
        <w:tc>
          <w:tcPr>
            <w:tcW w:w="1477" w:type="pct"/>
            <w:vAlign w:val="center"/>
          </w:tcPr>
          <w:p w14:paraId="7E7FA516">
            <w:pPr>
              <w:pStyle w:val="37"/>
              <w:adjustRightInd w:val="0"/>
              <w:rPr>
                <w:color w:val="auto"/>
                <w:highlight w:val="none"/>
              </w:rPr>
            </w:pPr>
            <w:r>
              <w:rPr>
                <w:color w:val="auto"/>
                <w:highlight w:val="none"/>
              </w:rPr>
              <w:t>≤6</w:t>
            </w:r>
          </w:p>
        </w:tc>
        <w:tc>
          <w:tcPr>
            <w:tcW w:w="1697" w:type="pct"/>
            <w:vMerge w:val="continue"/>
            <w:vAlign w:val="center"/>
          </w:tcPr>
          <w:p w14:paraId="01ED3EFF">
            <w:pPr>
              <w:pStyle w:val="37"/>
              <w:adjustRightInd w:val="0"/>
              <w:rPr>
                <w:color w:val="auto"/>
                <w:highlight w:val="none"/>
              </w:rPr>
            </w:pPr>
          </w:p>
        </w:tc>
      </w:tr>
      <w:tr w14:paraId="6A55F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8325061">
            <w:pPr>
              <w:pStyle w:val="37"/>
              <w:adjustRightInd w:val="0"/>
              <w:rPr>
                <w:color w:val="auto"/>
                <w:highlight w:val="none"/>
              </w:rPr>
            </w:pPr>
            <w:r>
              <w:rPr>
                <w:color w:val="auto"/>
                <w:highlight w:val="none"/>
              </w:rPr>
              <w:t>3</w:t>
            </w:r>
          </w:p>
        </w:tc>
        <w:tc>
          <w:tcPr>
            <w:tcW w:w="1412" w:type="pct"/>
            <w:vAlign w:val="center"/>
          </w:tcPr>
          <w:p w14:paraId="3D428354">
            <w:pPr>
              <w:pStyle w:val="37"/>
              <w:adjustRightInd w:val="0"/>
              <w:rPr>
                <w:color w:val="auto"/>
                <w:highlight w:val="none"/>
              </w:rPr>
            </w:pPr>
            <w:r>
              <w:rPr>
                <w:color w:val="auto"/>
                <w:highlight w:val="none"/>
              </w:rPr>
              <w:t>DO</w:t>
            </w:r>
          </w:p>
        </w:tc>
        <w:tc>
          <w:tcPr>
            <w:tcW w:w="1477" w:type="pct"/>
            <w:vAlign w:val="center"/>
          </w:tcPr>
          <w:p w14:paraId="3BB50003">
            <w:pPr>
              <w:pStyle w:val="37"/>
              <w:adjustRightInd w:val="0"/>
              <w:rPr>
                <w:color w:val="auto"/>
                <w:highlight w:val="none"/>
              </w:rPr>
            </w:pPr>
            <w:r>
              <w:rPr>
                <w:color w:val="auto"/>
                <w:highlight w:val="none"/>
              </w:rPr>
              <w:t>≥5</w:t>
            </w:r>
          </w:p>
        </w:tc>
        <w:tc>
          <w:tcPr>
            <w:tcW w:w="1697" w:type="pct"/>
            <w:vMerge w:val="continue"/>
            <w:vAlign w:val="center"/>
          </w:tcPr>
          <w:p w14:paraId="29CE4C68">
            <w:pPr>
              <w:pStyle w:val="37"/>
              <w:adjustRightInd w:val="0"/>
              <w:rPr>
                <w:color w:val="auto"/>
                <w:highlight w:val="none"/>
              </w:rPr>
            </w:pPr>
          </w:p>
        </w:tc>
      </w:tr>
      <w:tr w14:paraId="0FD5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F3FC481">
            <w:pPr>
              <w:pStyle w:val="37"/>
              <w:adjustRightInd w:val="0"/>
              <w:rPr>
                <w:color w:val="auto"/>
                <w:highlight w:val="none"/>
              </w:rPr>
            </w:pPr>
            <w:r>
              <w:rPr>
                <w:color w:val="auto"/>
                <w:highlight w:val="none"/>
              </w:rPr>
              <w:t>4</w:t>
            </w:r>
          </w:p>
        </w:tc>
        <w:tc>
          <w:tcPr>
            <w:tcW w:w="1412" w:type="pct"/>
            <w:vAlign w:val="center"/>
          </w:tcPr>
          <w:p w14:paraId="4C627AD4">
            <w:pPr>
              <w:pStyle w:val="37"/>
              <w:adjustRightInd w:val="0"/>
              <w:rPr>
                <w:color w:val="auto"/>
                <w:highlight w:val="none"/>
              </w:rPr>
            </w:pPr>
            <w:r>
              <w:rPr>
                <w:color w:val="auto"/>
                <w:highlight w:val="none"/>
              </w:rPr>
              <w:t>COD</w:t>
            </w:r>
          </w:p>
        </w:tc>
        <w:tc>
          <w:tcPr>
            <w:tcW w:w="1477" w:type="pct"/>
            <w:vAlign w:val="center"/>
          </w:tcPr>
          <w:p w14:paraId="790EFB7E">
            <w:pPr>
              <w:pStyle w:val="37"/>
              <w:adjustRightInd w:val="0"/>
              <w:rPr>
                <w:color w:val="auto"/>
                <w:highlight w:val="none"/>
              </w:rPr>
            </w:pPr>
            <w:r>
              <w:rPr>
                <w:color w:val="auto"/>
                <w:highlight w:val="none"/>
              </w:rPr>
              <w:t>≤20</w:t>
            </w:r>
          </w:p>
        </w:tc>
        <w:tc>
          <w:tcPr>
            <w:tcW w:w="1697" w:type="pct"/>
            <w:vMerge w:val="continue"/>
            <w:vAlign w:val="center"/>
          </w:tcPr>
          <w:p w14:paraId="4ED300DE">
            <w:pPr>
              <w:pStyle w:val="37"/>
              <w:adjustRightInd w:val="0"/>
              <w:rPr>
                <w:color w:val="auto"/>
                <w:highlight w:val="none"/>
              </w:rPr>
            </w:pPr>
          </w:p>
        </w:tc>
      </w:tr>
      <w:tr w14:paraId="75F5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C7884AB">
            <w:pPr>
              <w:pStyle w:val="37"/>
              <w:adjustRightInd w:val="0"/>
              <w:rPr>
                <w:color w:val="auto"/>
                <w:highlight w:val="none"/>
              </w:rPr>
            </w:pPr>
            <w:r>
              <w:rPr>
                <w:color w:val="auto"/>
                <w:highlight w:val="none"/>
              </w:rPr>
              <w:t>5</w:t>
            </w:r>
          </w:p>
        </w:tc>
        <w:tc>
          <w:tcPr>
            <w:tcW w:w="1412" w:type="pct"/>
            <w:vAlign w:val="center"/>
          </w:tcPr>
          <w:p w14:paraId="368684E4">
            <w:pPr>
              <w:pStyle w:val="37"/>
              <w:adjustRightInd w:val="0"/>
              <w:rPr>
                <w:color w:val="auto"/>
                <w:highlight w:val="none"/>
              </w:rPr>
            </w:pPr>
            <w:r>
              <w:rPr>
                <w:color w:val="auto"/>
                <w:highlight w:val="none"/>
              </w:rPr>
              <w:t>BOD</w:t>
            </w:r>
            <w:r>
              <w:rPr>
                <w:color w:val="auto"/>
                <w:highlight w:val="none"/>
                <w:vertAlign w:val="subscript"/>
              </w:rPr>
              <w:t>5</w:t>
            </w:r>
          </w:p>
        </w:tc>
        <w:tc>
          <w:tcPr>
            <w:tcW w:w="1477" w:type="pct"/>
            <w:vAlign w:val="center"/>
          </w:tcPr>
          <w:p w14:paraId="61A4E08A">
            <w:pPr>
              <w:pStyle w:val="37"/>
              <w:adjustRightInd w:val="0"/>
              <w:rPr>
                <w:color w:val="auto"/>
                <w:highlight w:val="none"/>
              </w:rPr>
            </w:pPr>
            <w:r>
              <w:rPr>
                <w:color w:val="auto"/>
                <w:highlight w:val="none"/>
              </w:rPr>
              <w:t>≤4</w:t>
            </w:r>
          </w:p>
        </w:tc>
        <w:tc>
          <w:tcPr>
            <w:tcW w:w="1697" w:type="pct"/>
            <w:vMerge w:val="continue"/>
            <w:vAlign w:val="center"/>
          </w:tcPr>
          <w:p w14:paraId="0D46F370">
            <w:pPr>
              <w:pStyle w:val="37"/>
              <w:adjustRightInd w:val="0"/>
              <w:rPr>
                <w:color w:val="auto"/>
                <w:highlight w:val="none"/>
              </w:rPr>
            </w:pPr>
          </w:p>
        </w:tc>
      </w:tr>
      <w:tr w14:paraId="08DCE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39FCDA5">
            <w:pPr>
              <w:pStyle w:val="37"/>
              <w:adjustRightInd w:val="0"/>
              <w:rPr>
                <w:color w:val="auto"/>
                <w:highlight w:val="none"/>
              </w:rPr>
            </w:pPr>
            <w:r>
              <w:rPr>
                <w:color w:val="auto"/>
                <w:highlight w:val="none"/>
              </w:rPr>
              <w:t>6</w:t>
            </w:r>
          </w:p>
        </w:tc>
        <w:tc>
          <w:tcPr>
            <w:tcW w:w="1412" w:type="pct"/>
            <w:vAlign w:val="center"/>
          </w:tcPr>
          <w:p w14:paraId="54A13AA3">
            <w:pPr>
              <w:pStyle w:val="37"/>
              <w:adjustRightInd w:val="0"/>
              <w:rPr>
                <w:color w:val="auto"/>
                <w:highlight w:val="none"/>
              </w:rPr>
            </w:pPr>
            <w:r>
              <w:rPr>
                <w:color w:val="auto"/>
                <w:highlight w:val="none"/>
              </w:rPr>
              <w:t>NH</w:t>
            </w:r>
            <w:r>
              <w:rPr>
                <w:color w:val="auto"/>
                <w:highlight w:val="none"/>
                <w:vertAlign w:val="subscript"/>
              </w:rPr>
              <w:t>3</w:t>
            </w:r>
            <w:r>
              <w:rPr>
                <w:color w:val="auto"/>
                <w:highlight w:val="none"/>
              </w:rPr>
              <w:t>-N</w:t>
            </w:r>
          </w:p>
        </w:tc>
        <w:tc>
          <w:tcPr>
            <w:tcW w:w="1477" w:type="pct"/>
            <w:vAlign w:val="center"/>
          </w:tcPr>
          <w:p w14:paraId="48535741">
            <w:pPr>
              <w:pStyle w:val="37"/>
              <w:adjustRightInd w:val="0"/>
              <w:rPr>
                <w:color w:val="auto"/>
                <w:highlight w:val="none"/>
              </w:rPr>
            </w:pPr>
            <w:r>
              <w:rPr>
                <w:color w:val="auto"/>
                <w:highlight w:val="none"/>
              </w:rPr>
              <w:t>≤1.0</w:t>
            </w:r>
          </w:p>
        </w:tc>
        <w:tc>
          <w:tcPr>
            <w:tcW w:w="1697" w:type="pct"/>
            <w:vMerge w:val="continue"/>
            <w:vAlign w:val="center"/>
          </w:tcPr>
          <w:p w14:paraId="404742DD">
            <w:pPr>
              <w:pStyle w:val="37"/>
              <w:adjustRightInd w:val="0"/>
              <w:rPr>
                <w:color w:val="auto"/>
                <w:highlight w:val="none"/>
              </w:rPr>
            </w:pPr>
          </w:p>
        </w:tc>
      </w:tr>
      <w:tr w14:paraId="3CC99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1CC36402">
            <w:pPr>
              <w:pStyle w:val="37"/>
              <w:adjustRightInd w:val="0"/>
              <w:rPr>
                <w:color w:val="auto"/>
                <w:highlight w:val="none"/>
              </w:rPr>
            </w:pPr>
            <w:r>
              <w:rPr>
                <w:color w:val="auto"/>
                <w:highlight w:val="none"/>
              </w:rPr>
              <w:t>7</w:t>
            </w:r>
          </w:p>
        </w:tc>
        <w:tc>
          <w:tcPr>
            <w:tcW w:w="1412" w:type="pct"/>
            <w:vAlign w:val="center"/>
          </w:tcPr>
          <w:p w14:paraId="0EE07446">
            <w:pPr>
              <w:pStyle w:val="37"/>
              <w:adjustRightInd w:val="0"/>
              <w:rPr>
                <w:color w:val="auto"/>
                <w:highlight w:val="none"/>
              </w:rPr>
            </w:pPr>
            <w:r>
              <w:rPr>
                <w:color w:val="auto"/>
                <w:highlight w:val="none"/>
              </w:rPr>
              <w:t>TP</w:t>
            </w:r>
          </w:p>
        </w:tc>
        <w:tc>
          <w:tcPr>
            <w:tcW w:w="1477" w:type="pct"/>
            <w:vAlign w:val="center"/>
          </w:tcPr>
          <w:p w14:paraId="53D96936">
            <w:pPr>
              <w:pStyle w:val="37"/>
              <w:adjustRightInd w:val="0"/>
              <w:rPr>
                <w:color w:val="auto"/>
                <w:highlight w:val="none"/>
              </w:rPr>
            </w:pPr>
            <w:r>
              <w:rPr>
                <w:color w:val="auto"/>
                <w:highlight w:val="none"/>
              </w:rPr>
              <w:t>≤0.2</w:t>
            </w:r>
          </w:p>
        </w:tc>
        <w:tc>
          <w:tcPr>
            <w:tcW w:w="1697" w:type="pct"/>
            <w:vMerge w:val="continue"/>
            <w:vAlign w:val="center"/>
          </w:tcPr>
          <w:p w14:paraId="56A616E8">
            <w:pPr>
              <w:pStyle w:val="37"/>
              <w:adjustRightInd w:val="0"/>
              <w:rPr>
                <w:color w:val="auto"/>
                <w:highlight w:val="none"/>
              </w:rPr>
            </w:pPr>
          </w:p>
        </w:tc>
      </w:tr>
      <w:tr w14:paraId="5D8F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1CC20B15">
            <w:pPr>
              <w:pStyle w:val="37"/>
              <w:adjustRightInd w:val="0"/>
              <w:rPr>
                <w:color w:val="auto"/>
                <w:highlight w:val="none"/>
              </w:rPr>
            </w:pPr>
            <w:r>
              <w:rPr>
                <w:color w:val="auto"/>
                <w:highlight w:val="none"/>
              </w:rPr>
              <w:t>8</w:t>
            </w:r>
          </w:p>
        </w:tc>
        <w:tc>
          <w:tcPr>
            <w:tcW w:w="1412" w:type="pct"/>
            <w:vAlign w:val="center"/>
          </w:tcPr>
          <w:p w14:paraId="5B2FF51A">
            <w:pPr>
              <w:pStyle w:val="37"/>
              <w:adjustRightInd w:val="0"/>
              <w:rPr>
                <w:color w:val="auto"/>
                <w:highlight w:val="none"/>
              </w:rPr>
            </w:pPr>
            <w:r>
              <w:rPr>
                <w:color w:val="auto"/>
                <w:highlight w:val="none"/>
              </w:rPr>
              <w:t>TN</w:t>
            </w:r>
          </w:p>
        </w:tc>
        <w:tc>
          <w:tcPr>
            <w:tcW w:w="1477" w:type="pct"/>
            <w:vAlign w:val="center"/>
          </w:tcPr>
          <w:p w14:paraId="59DAC36E">
            <w:pPr>
              <w:pStyle w:val="37"/>
              <w:adjustRightInd w:val="0"/>
              <w:rPr>
                <w:color w:val="auto"/>
                <w:highlight w:val="none"/>
              </w:rPr>
            </w:pPr>
            <w:r>
              <w:rPr>
                <w:color w:val="auto"/>
                <w:highlight w:val="none"/>
              </w:rPr>
              <w:t>≤1.0</w:t>
            </w:r>
          </w:p>
        </w:tc>
        <w:tc>
          <w:tcPr>
            <w:tcW w:w="1697" w:type="pct"/>
            <w:vMerge w:val="continue"/>
            <w:vAlign w:val="center"/>
          </w:tcPr>
          <w:p w14:paraId="38883CC3">
            <w:pPr>
              <w:pStyle w:val="37"/>
              <w:adjustRightInd w:val="0"/>
              <w:rPr>
                <w:color w:val="auto"/>
                <w:highlight w:val="none"/>
              </w:rPr>
            </w:pPr>
          </w:p>
        </w:tc>
      </w:tr>
      <w:tr w14:paraId="4E914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705C2D8A">
            <w:pPr>
              <w:pStyle w:val="37"/>
              <w:adjustRightInd w:val="0"/>
              <w:rPr>
                <w:color w:val="auto"/>
                <w:highlight w:val="none"/>
              </w:rPr>
            </w:pPr>
            <w:r>
              <w:rPr>
                <w:color w:val="auto"/>
                <w:highlight w:val="none"/>
              </w:rPr>
              <w:t>9</w:t>
            </w:r>
          </w:p>
        </w:tc>
        <w:tc>
          <w:tcPr>
            <w:tcW w:w="1412" w:type="pct"/>
            <w:vAlign w:val="center"/>
          </w:tcPr>
          <w:p w14:paraId="1B4BFECC">
            <w:pPr>
              <w:pStyle w:val="37"/>
              <w:adjustRightInd w:val="0"/>
              <w:rPr>
                <w:color w:val="auto"/>
                <w:highlight w:val="none"/>
              </w:rPr>
            </w:pPr>
            <w:r>
              <w:rPr>
                <w:color w:val="auto"/>
                <w:highlight w:val="none"/>
              </w:rPr>
              <w:t>铜</w:t>
            </w:r>
          </w:p>
        </w:tc>
        <w:tc>
          <w:tcPr>
            <w:tcW w:w="1477" w:type="pct"/>
            <w:vAlign w:val="center"/>
          </w:tcPr>
          <w:p w14:paraId="4D7A8EBB">
            <w:pPr>
              <w:pStyle w:val="37"/>
              <w:adjustRightInd w:val="0"/>
              <w:rPr>
                <w:color w:val="auto"/>
                <w:highlight w:val="none"/>
              </w:rPr>
            </w:pPr>
            <w:r>
              <w:rPr>
                <w:color w:val="auto"/>
                <w:highlight w:val="none"/>
              </w:rPr>
              <w:t>≤1.0</w:t>
            </w:r>
          </w:p>
        </w:tc>
        <w:tc>
          <w:tcPr>
            <w:tcW w:w="1697" w:type="pct"/>
            <w:vMerge w:val="continue"/>
            <w:vAlign w:val="center"/>
          </w:tcPr>
          <w:p w14:paraId="71C285BB">
            <w:pPr>
              <w:pStyle w:val="37"/>
              <w:adjustRightInd w:val="0"/>
              <w:rPr>
                <w:color w:val="auto"/>
                <w:highlight w:val="none"/>
              </w:rPr>
            </w:pPr>
          </w:p>
        </w:tc>
      </w:tr>
      <w:tr w14:paraId="2E442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35C64E1F">
            <w:pPr>
              <w:pStyle w:val="37"/>
              <w:adjustRightInd w:val="0"/>
              <w:rPr>
                <w:color w:val="auto"/>
                <w:highlight w:val="none"/>
              </w:rPr>
            </w:pPr>
            <w:r>
              <w:rPr>
                <w:color w:val="auto"/>
                <w:highlight w:val="none"/>
              </w:rPr>
              <w:t>10</w:t>
            </w:r>
          </w:p>
        </w:tc>
        <w:tc>
          <w:tcPr>
            <w:tcW w:w="1412" w:type="pct"/>
            <w:vAlign w:val="center"/>
          </w:tcPr>
          <w:p w14:paraId="13AFD388">
            <w:pPr>
              <w:pStyle w:val="37"/>
              <w:adjustRightInd w:val="0"/>
              <w:rPr>
                <w:color w:val="auto"/>
                <w:highlight w:val="none"/>
              </w:rPr>
            </w:pPr>
            <w:r>
              <w:rPr>
                <w:color w:val="auto"/>
                <w:highlight w:val="none"/>
              </w:rPr>
              <w:t>锌</w:t>
            </w:r>
          </w:p>
        </w:tc>
        <w:tc>
          <w:tcPr>
            <w:tcW w:w="1477" w:type="pct"/>
            <w:vAlign w:val="center"/>
          </w:tcPr>
          <w:p w14:paraId="5B52BAD5">
            <w:pPr>
              <w:pStyle w:val="37"/>
              <w:adjustRightInd w:val="0"/>
              <w:rPr>
                <w:color w:val="auto"/>
                <w:highlight w:val="none"/>
              </w:rPr>
            </w:pPr>
            <w:r>
              <w:rPr>
                <w:color w:val="auto"/>
                <w:highlight w:val="none"/>
              </w:rPr>
              <w:t>≤1.0</w:t>
            </w:r>
          </w:p>
        </w:tc>
        <w:tc>
          <w:tcPr>
            <w:tcW w:w="1697" w:type="pct"/>
            <w:vMerge w:val="continue"/>
            <w:vAlign w:val="center"/>
          </w:tcPr>
          <w:p w14:paraId="0FD66096">
            <w:pPr>
              <w:pStyle w:val="37"/>
              <w:adjustRightInd w:val="0"/>
              <w:rPr>
                <w:color w:val="auto"/>
                <w:highlight w:val="none"/>
              </w:rPr>
            </w:pPr>
          </w:p>
        </w:tc>
      </w:tr>
      <w:tr w14:paraId="67D8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06AD142E">
            <w:pPr>
              <w:pStyle w:val="37"/>
              <w:adjustRightInd w:val="0"/>
              <w:rPr>
                <w:color w:val="auto"/>
                <w:highlight w:val="none"/>
              </w:rPr>
            </w:pPr>
            <w:r>
              <w:rPr>
                <w:color w:val="auto"/>
                <w:highlight w:val="none"/>
              </w:rPr>
              <w:t>11</w:t>
            </w:r>
          </w:p>
        </w:tc>
        <w:tc>
          <w:tcPr>
            <w:tcW w:w="1412" w:type="pct"/>
            <w:vAlign w:val="center"/>
          </w:tcPr>
          <w:p w14:paraId="38EBD90A">
            <w:pPr>
              <w:pStyle w:val="37"/>
              <w:adjustRightInd w:val="0"/>
              <w:rPr>
                <w:color w:val="auto"/>
                <w:highlight w:val="none"/>
              </w:rPr>
            </w:pPr>
            <w:r>
              <w:rPr>
                <w:color w:val="auto"/>
                <w:highlight w:val="none"/>
              </w:rPr>
              <w:t>氟化物</w:t>
            </w:r>
          </w:p>
        </w:tc>
        <w:tc>
          <w:tcPr>
            <w:tcW w:w="1477" w:type="pct"/>
            <w:vAlign w:val="center"/>
          </w:tcPr>
          <w:p w14:paraId="4AF2348A">
            <w:pPr>
              <w:pStyle w:val="37"/>
              <w:adjustRightInd w:val="0"/>
              <w:rPr>
                <w:color w:val="auto"/>
                <w:highlight w:val="none"/>
              </w:rPr>
            </w:pPr>
            <w:r>
              <w:rPr>
                <w:color w:val="auto"/>
                <w:highlight w:val="none"/>
              </w:rPr>
              <w:t>≤1.0</w:t>
            </w:r>
          </w:p>
        </w:tc>
        <w:tc>
          <w:tcPr>
            <w:tcW w:w="1697" w:type="pct"/>
            <w:vMerge w:val="continue"/>
            <w:vAlign w:val="center"/>
          </w:tcPr>
          <w:p w14:paraId="48D67F27">
            <w:pPr>
              <w:pStyle w:val="37"/>
              <w:adjustRightInd w:val="0"/>
              <w:rPr>
                <w:color w:val="auto"/>
                <w:highlight w:val="none"/>
              </w:rPr>
            </w:pPr>
          </w:p>
        </w:tc>
      </w:tr>
      <w:tr w14:paraId="199B0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06170C64">
            <w:pPr>
              <w:pStyle w:val="37"/>
              <w:adjustRightInd w:val="0"/>
              <w:rPr>
                <w:color w:val="auto"/>
                <w:highlight w:val="none"/>
              </w:rPr>
            </w:pPr>
            <w:r>
              <w:rPr>
                <w:color w:val="auto"/>
                <w:highlight w:val="none"/>
              </w:rPr>
              <w:t>12</w:t>
            </w:r>
          </w:p>
        </w:tc>
        <w:tc>
          <w:tcPr>
            <w:tcW w:w="1412" w:type="pct"/>
            <w:vAlign w:val="center"/>
          </w:tcPr>
          <w:p w14:paraId="3D43135F">
            <w:pPr>
              <w:pStyle w:val="37"/>
              <w:adjustRightInd w:val="0"/>
              <w:rPr>
                <w:color w:val="auto"/>
                <w:highlight w:val="none"/>
              </w:rPr>
            </w:pPr>
            <w:r>
              <w:rPr>
                <w:color w:val="auto"/>
                <w:highlight w:val="none"/>
              </w:rPr>
              <w:t>硒</w:t>
            </w:r>
          </w:p>
        </w:tc>
        <w:tc>
          <w:tcPr>
            <w:tcW w:w="1477" w:type="pct"/>
            <w:vAlign w:val="center"/>
          </w:tcPr>
          <w:p w14:paraId="514B0272">
            <w:pPr>
              <w:pStyle w:val="37"/>
              <w:adjustRightInd w:val="0"/>
              <w:rPr>
                <w:color w:val="auto"/>
                <w:highlight w:val="none"/>
              </w:rPr>
            </w:pPr>
            <w:r>
              <w:rPr>
                <w:color w:val="auto"/>
                <w:highlight w:val="none"/>
              </w:rPr>
              <w:t>≤0.01</w:t>
            </w:r>
          </w:p>
        </w:tc>
        <w:tc>
          <w:tcPr>
            <w:tcW w:w="1697" w:type="pct"/>
            <w:vMerge w:val="continue"/>
            <w:vAlign w:val="center"/>
          </w:tcPr>
          <w:p w14:paraId="45A9AE93">
            <w:pPr>
              <w:pStyle w:val="37"/>
              <w:adjustRightInd w:val="0"/>
              <w:rPr>
                <w:color w:val="auto"/>
                <w:highlight w:val="none"/>
              </w:rPr>
            </w:pPr>
          </w:p>
        </w:tc>
      </w:tr>
      <w:tr w14:paraId="1EB61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6C05CC25">
            <w:pPr>
              <w:pStyle w:val="37"/>
              <w:adjustRightInd w:val="0"/>
              <w:rPr>
                <w:color w:val="auto"/>
                <w:highlight w:val="none"/>
              </w:rPr>
            </w:pPr>
            <w:r>
              <w:rPr>
                <w:color w:val="auto"/>
                <w:highlight w:val="none"/>
              </w:rPr>
              <w:t>13</w:t>
            </w:r>
          </w:p>
        </w:tc>
        <w:tc>
          <w:tcPr>
            <w:tcW w:w="1412" w:type="pct"/>
            <w:vAlign w:val="center"/>
          </w:tcPr>
          <w:p w14:paraId="35759044">
            <w:pPr>
              <w:pStyle w:val="37"/>
              <w:adjustRightInd w:val="0"/>
              <w:rPr>
                <w:color w:val="auto"/>
                <w:highlight w:val="none"/>
              </w:rPr>
            </w:pPr>
            <w:r>
              <w:rPr>
                <w:color w:val="auto"/>
                <w:highlight w:val="none"/>
              </w:rPr>
              <w:t>砷</w:t>
            </w:r>
          </w:p>
        </w:tc>
        <w:tc>
          <w:tcPr>
            <w:tcW w:w="1477" w:type="pct"/>
            <w:vAlign w:val="center"/>
          </w:tcPr>
          <w:p w14:paraId="7A2C5F09">
            <w:pPr>
              <w:pStyle w:val="37"/>
              <w:adjustRightInd w:val="0"/>
              <w:rPr>
                <w:color w:val="auto"/>
                <w:highlight w:val="none"/>
              </w:rPr>
            </w:pPr>
            <w:r>
              <w:rPr>
                <w:color w:val="auto"/>
                <w:highlight w:val="none"/>
              </w:rPr>
              <w:t>≤0.05</w:t>
            </w:r>
          </w:p>
        </w:tc>
        <w:tc>
          <w:tcPr>
            <w:tcW w:w="1697" w:type="pct"/>
            <w:vMerge w:val="continue"/>
            <w:vAlign w:val="center"/>
          </w:tcPr>
          <w:p w14:paraId="1346D069">
            <w:pPr>
              <w:pStyle w:val="37"/>
              <w:adjustRightInd w:val="0"/>
              <w:rPr>
                <w:color w:val="auto"/>
                <w:highlight w:val="none"/>
              </w:rPr>
            </w:pPr>
          </w:p>
        </w:tc>
      </w:tr>
      <w:tr w14:paraId="407D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4A412439">
            <w:pPr>
              <w:pStyle w:val="37"/>
              <w:adjustRightInd w:val="0"/>
              <w:rPr>
                <w:color w:val="auto"/>
                <w:highlight w:val="none"/>
              </w:rPr>
            </w:pPr>
            <w:r>
              <w:rPr>
                <w:color w:val="auto"/>
                <w:highlight w:val="none"/>
              </w:rPr>
              <w:t>14</w:t>
            </w:r>
          </w:p>
        </w:tc>
        <w:tc>
          <w:tcPr>
            <w:tcW w:w="1412" w:type="pct"/>
            <w:vAlign w:val="center"/>
          </w:tcPr>
          <w:p w14:paraId="4017751A">
            <w:pPr>
              <w:pStyle w:val="37"/>
              <w:adjustRightInd w:val="0"/>
              <w:rPr>
                <w:color w:val="auto"/>
                <w:highlight w:val="none"/>
              </w:rPr>
            </w:pPr>
            <w:r>
              <w:rPr>
                <w:color w:val="auto"/>
                <w:highlight w:val="none"/>
              </w:rPr>
              <w:t>汞</w:t>
            </w:r>
          </w:p>
        </w:tc>
        <w:tc>
          <w:tcPr>
            <w:tcW w:w="1477" w:type="pct"/>
            <w:vAlign w:val="center"/>
          </w:tcPr>
          <w:p w14:paraId="5EF42A7B">
            <w:pPr>
              <w:pStyle w:val="37"/>
              <w:adjustRightInd w:val="0"/>
              <w:rPr>
                <w:color w:val="auto"/>
                <w:highlight w:val="none"/>
              </w:rPr>
            </w:pPr>
            <w:r>
              <w:rPr>
                <w:color w:val="auto"/>
                <w:highlight w:val="none"/>
              </w:rPr>
              <w:t>≤0.0001</w:t>
            </w:r>
          </w:p>
        </w:tc>
        <w:tc>
          <w:tcPr>
            <w:tcW w:w="1697" w:type="pct"/>
            <w:vMerge w:val="continue"/>
            <w:vAlign w:val="center"/>
          </w:tcPr>
          <w:p w14:paraId="580E87D3">
            <w:pPr>
              <w:pStyle w:val="37"/>
              <w:adjustRightInd w:val="0"/>
              <w:rPr>
                <w:color w:val="auto"/>
                <w:highlight w:val="none"/>
              </w:rPr>
            </w:pPr>
          </w:p>
        </w:tc>
      </w:tr>
      <w:tr w14:paraId="067E6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2" w:type="pct"/>
            <w:vAlign w:val="center"/>
          </w:tcPr>
          <w:p w14:paraId="2B975A06">
            <w:pPr>
              <w:pStyle w:val="37"/>
              <w:adjustRightInd w:val="0"/>
              <w:rPr>
                <w:color w:val="auto"/>
                <w:highlight w:val="none"/>
              </w:rPr>
            </w:pPr>
            <w:r>
              <w:rPr>
                <w:color w:val="auto"/>
                <w:highlight w:val="none"/>
              </w:rPr>
              <w:t>15</w:t>
            </w:r>
          </w:p>
        </w:tc>
        <w:tc>
          <w:tcPr>
            <w:tcW w:w="1412" w:type="pct"/>
            <w:vAlign w:val="center"/>
          </w:tcPr>
          <w:p w14:paraId="686558EA">
            <w:pPr>
              <w:pStyle w:val="37"/>
              <w:adjustRightInd w:val="0"/>
              <w:rPr>
                <w:color w:val="auto"/>
                <w:highlight w:val="none"/>
              </w:rPr>
            </w:pPr>
            <w:r>
              <w:rPr>
                <w:color w:val="auto"/>
                <w:highlight w:val="none"/>
              </w:rPr>
              <w:t>镉</w:t>
            </w:r>
          </w:p>
        </w:tc>
        <w:tc>
          <w:tcPr>
            <w:tcW w:w="1477" w:type="pct"/>
            <w:vAlign w:val="center"/>
          </w:tcPr>
          <w:p w14:paraId="131106D1">
            <w:pPr>
              <w:pStyle w:val="37"/>
              <w:adjustRightInd w:val="0"/>
              <w:rPr>
                <w:color w:val="auto"/>
                <w:highlight w:val="none"/>
              </w:rPr>
            </w:pPr>
            <w:r>
              <w:rPr>
                <w:color w:val="auto"/>
                <w:highlight w:val="none"/>
              </w:rPr>
              <w:t>≤0.005</w:t>
            </w:r>
          </w:p>
        </w:tc>
        <w:tc>
          <w:tcPr>
            <w:tcW w:w="1697" w:type="pct"/>
            <w:vMerge w:val="continue"/>
            <w:vAlign w:val="center"/>
          </w:tcPr>
          <w:p w14:paraId="0F3F326E">
            <w:pPr>
              <w:pStyle w:val="37"/>
              <w:adjustRightInd w:val="0"/>
              <w:rPr>
                <w:color w:val="auto"/>
                <w:highlight w:val="none"/>
              </w:rPr>
            </w:pPr>
          </w:p>
        </w:tc>
      </w:tr>
      <w:tr w14:paraId="0B37F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3AAC932B">
            <w:pPr>
              <w:pStyle w:val="37"/>
              <w:adjustRightInd w:val="0"/>
              <w:rPr>
                <w:color w:val="auto"/>
                <w:highlight w:val="none"/>
              </w:rPr>
            </w:pPr>
            <w:r>
              <w:rPr>
                <w:color w:val="auto"/>
                <w:highlight w:val="none"/>
              </w:rPr>
              <w:t>16</w:t>
            </w:r>
          </w:p>
        </w:tc>
        <w:tc>
          <w:tcPr>
            <w:tcW w:w="1412" w:type="pct"/>
            <w:vAlign w:val="center"/>
          </w:tcPr>
          <w:p w14:paraId="0996A1FB">
            <w:pPr>
              <w:pStyle w:val="37"/>
              <w:adjustRightInd w:val="0"/>
              <w:rPr>
                <w:color w:val="auto"/>
                <w:highlight w:val="none"/>
              </w:rPr>
            </w:pPr>
            <w:r>
              <w:rPr>
                <w:color w:val="auto"/>
                <w:highlight w:val="none"/>
              </w:rPr>
              <w:t>六价铬</w:t>
            </w:r>
          </w:p>
        </w:tc>
        <w:tc>
          <w:tcPr>
            <w:tcW w:w="1477" w:type="pct"/>
            <w:vAlign w:val="center"/>
          </w:tcPr>
          <w:p w14:paraId="72D0C6FD">
            <w:pPr>
              <w:pStyle w:val="37"/>
              <w:adjustRightInd w:val="0"/>
              <w:rPr>
                <w:color w:val="auto"/>
                <w:highlight w:val="none"/>
              </w:rPr>
            </w:pPr>
            <w:r>
              <w:rPr>
                <w:color w:val="auto"/>
                <w:highlight w:val="none"/>
              </w:rPr>
              <w:t>≤0.05</w:t>
            </w:r>
          </w:p>
        </w:tc>
        <w:tc>
          <w:tcPr>
            <w:tcW w:w="1697" w:type="pct"/>
            <w:vMerge w:val="continue"/>
            <w:vAlign w:val="center"/>
          </w:tcPr>
          <w:p w14:paraId="4E6EC993">
            <w:pPr>
              <w:pStyle w:val="37"/>
              <w:adjustRightInd w:val="0"/>
              <w:rPr>
                <w:color w:val="auto"/>
                <w:highlight w:val="none"/>
              </w:rPr>
            </w:pPr>
          </w:p>
        </w:tc>
      </w:tr>
      <w:tr w14:paraId="3841C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7DB345B9">
            <w:pPr>
              <w:pStyle w:val="37"/>
              <w:adjustRightInd w:val="0"/>
              <w:rPr>
                <w:color w:val="auto"/>
                <w:highlight w:val="none"/>
              </w:rPr>
            </w:pPr>
            <w:r>
              <w:rPr>
                <w:color w:val="auto"/>
                <w:highlight w:val="none"/>
              </w:rPr>
              <w:t>17</w:t>
            </w:r>
          </w:p>
        </w:tc>
        <w:tc>
          <w:tcPr>
            <w:tcW w:w="1412" w:type="pct"/>
            <w:vAlign w:val="center"/>
          </w:tcPr>
          <w:p w14:paraId="6186BEB8">
            <w:pPr>
              <w:pStyle w:val="37"/>
              <w:adjustRightInd w:val="0"/>
              <w:rPr>
                <w:color w:val="auto"/>
                <w:highlight w:val="none"/>
              </w:rPr>
            </w:pPr>
            <w:r>
              <w:rPr>
                <w:color w:val="auto"/>
                <w:highlight w:val="none"/>
              </w:rPr>
              <w:t>铅</w:t>
            </w:r>
          </w:p>
        </w:tc>
        <w:tc>
          <w:tcPr>
            <w:tcW w:w="1477" w:type="pct"/>
            <w:vAlign w:val="center"/>
          </w:tcPr>
          <w:p w14:paraId="094F8412">
            <w:pPr>
              <w:pStyle w:val="37"/>
              <w:adjustRightInd w:val="0"/>
              <w:rPr>
                <w:color w:val="auto"/>
                <w:highlight w:val="none"/>
              </w:rPr>
            </w:pPr>
            <w:r>
              <w:rPr>
                <w:color w:val="auto"/>
                <w:highlight w:val="none"/>
              </w:rPr>
              <w:t>≤0.05</w:t>
            </w:r>
          </w:p>
        </w:tc>
        <w:tc>
          <w:tcPr>
            <w:tcW w:w="1697" w:type="pct"/>
            <w:vMerge w:val="continue"/>
            <w:vAlign w:val="center"/>
          </w:tcPr>
          <w:p w14:paraId="4A8A573E">
            <w:pPr>
              <w:pStyle w:val="37"/>
              <w:adjustRightInd w:val="0"/>
              <w:rPr>
                <w:color w:val="auto"/>
                <w:highlight w:val="none"/>
              </w:rPr>
            </w:pPr>
          </w:p>
        </w:tc>
      </w:tr>
      <w:tr w14:paraId="068D4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4DB8E00F">
            <w:pPr>
              <w:pStyle w:val="37"/>
              <w:adjustRightInd w:val="0"/>
              <w:rPr>
                <w:color w:val="auto"/>
                <w:highlight w:val="none"/>
              </w:rPr>
            </w:pPr>
            <w:r>
              <w:rPr>
                <w:color w:val="auto"/>
                <w:highlight w:val="none"/>
              </w:rPr>
              <w:t>18</w:t>
            </w:r>
          </w:p>
        </w:tc>
        <w:tc>
          <w:tcPr>
            <w:tcW w:w="1412" w:type="pct"/>
            <w:vAlign w:val="center"/>
          </w:tcPr>
          <w:p w14:paraId="4878862D">
            <w:pPr>
              <w:pStyle w:val="37"/>
              <w:adjustRightInd w:val="0"/>
              <w:rPr>
                <w:color w:val="auto"/>
                <w:highlight w:val="none"/>
              </w:rPr>
            </w:pPr>
            <w:r>
              <w:rPr>
                <w:color w:val="auto"/>
                <w:highlight w:val="none"/>
              </w:rPr>
              <w:t>氰化物</w:t>
            </w:r>
          </w:p>
        </w:tc>
        <w:tc>
          <w:tcPr>
            <w:tcW w:w="1477" w:type="pct"/>
            <w:vAlign w:val="center"/>
          </w:tcPr>
          <w:p w14:paraId="52C0474F">
            <w:pPr>
              <w:pStyle w:val="37"/>
              <w:adjustRightInd w:val="0"/>
              <w:rPr>
                <w:color w:val="auto"/>
                <w:highlight w:val="none"/>
              </w:rPr>
            </w:pPr>
            <w:r>
              <w:rPr>
                <w:color w:val="auto"/>
                <w:highlight w:val="none"/>
              </w:rPr>
              <w:t>≤0.2</w:t>
            </w:r>
          </w:p>
        </w:tc>
        <w:tc>
          <w:tcPr>
            <w:tcW w:w="1697" w:type="pct"/>
            <w:vMerge w:val="continue"/>
            <w:vAlign w:val="center"/>
          </w:tcPr>
          <w:p w14:paraId="357C8F2C">
            <w:pPr>
              <w:pStyle w:val="37"/>
              <w:adjustRightInd w:val="0"/>
              <w:rPr>
                <w:color w:val="auto"/>
                <w:highlight w:val="none"/>
              </w:rPr>
            </w:pPr>
          </w:p>
        </w:tc>
      </w:tr>
      <w:tr w14:paraId="03D6B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75CCCD94">
            <w:pPr>
              <w:pStyle w:val="37"/>
              <w:adjustRightInd w:val="0"/>
              <w:rPr>
                <w:color w:val="auto"/>
                <w:highlight w:val="none"/>
              </w:rPr>
            </w:pPr>
            <w:r>
              <w:rPr>
                <w:color w:val="auto"/>
                <w:highlight w:val="none"/>
              </w:rPr>
              <w:t>19</w:t>
            </w:r>
          </w:p>
        </w:tc>
        <w:tc>
          <w:tcPr>
            <w:tcW w:w="1412" w:type="pct"/>
            <w:vAlign w:val="center"/>
          </w:tcPr>
          <w:p w14:paraId="4CF78A6B">
            <w:pPr>
              <w:pStyle w:val="37"/>
              <w:adjustRightInd w:val="0"/>
              <w:rPr>
                <w:color w:val="auto"/>
                <w:highlight w:val="none"/>
              </w:rPr>
            </w:pPr>
            <w:r>
              <w:rPr>
                <w:color w:val="auto"/>
                <w:highlight w:val="none"/>
              </w:rPr>
              <w:t>挥发酚</w:t>
            </w:r>
          </w:p>
        </w:tc>
        <w:tc>
          <w:tcPr>
            <w:tcW w:w="1477" w:type="pct"/>
            <w:vAlign w:val="center"/>
          </w:tcPr>
          <w:p w14:paraId="4F861B30">
            <w:pPr>
              <w:pStyle w:val="37"/>
              <w:adjustRightInd w:val="0"/>
              <w:rPr>
                <w:color w:val="auto"/>
                <w:highlight w:val="none"/>
              </w:rPr>
            </w:pPr>
            <w:r>
              <w:rPr>
                <w:color w:val="auto"/>
                <w:highlight w:val="none"/>
              </w:rPr>
              <w:t>≤0.005</w:t>
            </w:r>
          </w:p>
        </w:tc>
        <w:tc>
          <w:tcPr>
            <w:tcW w:w="1697" w:type="pct"/>
            <w:vMerge w:val="continue"/>
            <w:vAlign w:val="center"/>
          </w:tcPr>
          <w:p w14:paraId="66CDE4FD">
            <w:pPr>
              <w:pStyle w:val="37"/>
              <w:adjustRightInd w:val="0"/>
              <w:rPr>
                <w:color w:val="auto"/>
                <w:highlight w:val="none"/>
              </w:rPr>
            </w:pPr>
          </w:p>
        </w:tc>
      </w:tr>
      <w:tr w14:paraId="32C1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5EE97FFC">
            <w:pPr>
              <w:pStyle w:val="37"/>
              <w:adjustRightInd w:val="0"/>
              <w:rPr>
                <w:color w:val="auto"/>
                <w:highlight w:val="none"/>
              </w:rPr>
            </w:pPr>
            <w:r>
              <w:rPr>
                <w:color w:val="auto"/>
                <w:highlight w:val="none"/>
              </w:rPr>
              <w:t>20</w:t>
            </w:r>
          </w:p>
        </w:tc>
        <w:tc>
          <w:tcPr>
            <w:tcW w:w="1412" w:type="pct"/>
            <w:vAlign w:val="center"/>
          </w:tcPr>
          <w:p w14:paraId="3EDFC3FC">
            <w:pPr>
              <w:pStyle w:val="37"/>
              <w:adjustRightInd w:val="0"/>
              <w:rPr>
                <w:color w:val="auto"/>
                <w:highlight w:val="none"/>
              </w:rPr>
            </w:pPr>
            <w:r>
              <w:rPr>
                <w:color w:val="auto"/>
                <w:highlight w:val="none"/>
              </w:rPr>
              <w:t>石油类</w:t>
            </w:r>
          </w:p>
        </w:tc>
        <w:tc>
          <w:tcPr>
            <w:tcW w:w="1477" w:type="pct"/>
            <w:vAlign w:val="center"/>
          </w:tcPr>
          <w:p w14:paraId="296E616E">
            <w:pPr>
              <w:pStyle w:val="37"/>
              <w:adjustRightInd w:val="0"/>
              <w:rPr>
                <w:color w:val="auto"/>
                <w:highlight w:val="none"/>
              </w:rPr>
            </w:pPr>
            <w:r>
              <w:rPr>
                <w:color w:val="auto"/>
                <w:highlight w:val="none"/>
              </w:rPr>
              <w:t>≤0.05</w:t>
            </w:r>
          </w:p>
        </w:tc>
        <w:tc>
          <w:tcPr>
            <w:tcW w:w="1697" w:type="pct"/>
            <w:vMerge w:val="continue"/>
            <w:vAlign w:val="center"/>
          </w:tcPr>
          <w:p w14:paraId="0A9C8C5C">
            <w:pPr>
              <w:pStyle w:val="37"/>
              <w:adjustRightInd w:val="0"/>
              <w:rPr>
                <w:color w:val="auto"/>
                <w:highlight w:val="none"/>
              </w:rPr>
            </w:pPr>
          </w:p>
        </w:tc>
      </w:tr>
      <w:tr w14:paraId="33EC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3F70963C">
            <w:pPr>
              <w:pStyle w:val="37"/>
              <w:adjustRightInd w:val="0"/>
              <w:rPr>
                <w:color w:val="auto"/>
                <w:highlight w:val="none"/>
              </w:rPr>
            </w:pPr>
            <w:r>
              <w:rPr>
                <w:color w:val="auto"/>
                <w:highlight w:val="none"/>
              </w:rPr>
              <w:t>21</w:t>
            </w:r>
          </w:p>
        </w:tc>
        <w:tc>
          <w:tcPr>
            <w:tcW w:w="1412" w:type="pct"/>
            <w:vAlign w:val="center"/>
          </w:tcPr>
          <w:p w14:paraId="5D40502A">
            <w:pPr>
              <w:pStyle w:val="37"/>
              <w:adjustRightInd w:val="0"/>
              <w:rPr>
                <w:color w:val="auto"/>
                <w:highlight w:val="none"/>
              </w:rPr>
            </w:pPr>
            <w:r>
              <w:rPr>
                <w:color w:val="auto"/>
                <w:highlight w:val="none"/>
              </w:rPr>
              <w:t>阴离子表面活性剂</w:t>
            </w:r>
          </w:p>
        </w:tc>
        <w:tc>
          <w:tcPr>
            <w:tcW w:w="1477" w:type="pct"/>
            <w:vAlign w:val="center"/>
          </w:tcPr>
          <w:p w14:paraId="07504955">
            <w:pPr>
              <w:pStyle w:val="37"/>
              <w:adjustRightInd w:val="0"/>
              <w:rPr>
                <w:color w:val="auto"/>
                <w:highlight w:val="none"/>
              </w:rPr>
            </w:pPr>
            <w:r>
              <w:rPr>
                <w:color w:val="auto"/>
                <w:highlight w:val="none"/>
              </w:rPr>
              <w:t>≤0.2</w:t>
            </w:r>
          </w:p>
        </w:tc>
        <w:tc>
          <w:tcPr>
            <w:tcW w:w="1697" w:type="pct"/>
            <w:vMerge w:val="continue"/>
            <w:vAlign w:val="center"/>
          </w:tcPr>
          <w:p w14:paraId="2E19EED6">
            <w:pPr>
              <w:pStyle w:val="37"/>
              <w:adjustRightInd w:val="0"/>
              <w:rPr>
                <w:color w:val="auto"/>
                <w:highlight w:val="none"/>
              </w:rPr>
            </w:pPr>
          </w:p>
        </w:tc>
      </w:tr>
      <w:tr w14:paraId="6BEF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jc w:val="center"/>
        </w:trPr>
        <w:tc>
          <w:tcPr>
            <w:tcW w:w="412" w:type="pct"/>
            <w:vAlign w:val="center"/>
          </w:tcPr>
          <w:p w14:paraId="0E5163D7">
            <w:pPr>
              <w:pStyle w:val="37"/>
              <w:adjustRightInd w:val="0"/>
              <w:rPr>
                <w:color w:val="auto"/>
                <w:highlight w:val="none"/>
              </w:rPr>
            </w:pPr>
            <w:r>
              <w:rPr>
                <w:color w:val="auto"/>
                <w:highlight w:val="none"/>
              </w:rPr>
              <w:t>22</w:t>
            </w:r>
          </w:p>
        </w:tc>
        <w:tc>
          <w:tcPr>
            <w:tcW w:w="1412" w:type="pct"/>
            <w:vAlign w:val="center"/>
          </w:tcPr>
          <w:p w14:paraId="636FDCBC">
            <w:pPr>
              <w:pStyle w:val="37"/>
              <w:adjustRightInd w:val="0"/>
              <w:rPr>
                <w:color w:val="auto"/>
                <w:highlight w:val="none"/>
              </w:rPr>
            </w:pPr>
            <w:r>
              <w:rPr>
                <w:color w:val="auto"/>
                <w:highlight w:val="none"/>
              </w:rPr>
              <w:t>硫化物</w:t>
            </w:r>
          </w:p>
        </w:tc>
        <w:tc>
          <w:tcPr>
            <w:tcW w:w="1477" w:type="pct"/>
            <w:vAlign w:val="center"/>
          </w:tcPr>
          <w:p w14:paraId="557409E3">
            <w:pPr>
              <w:pStyle w:val="37"/>
              <w:adjustRightInd w:val="0"/>
              <w:rPr>
                <w:color w:val="auto"/>
                <w:highlight w:val="none"/>
              </w:rPr>
            </w:pPr>
            <w:r>
              <w:rPr>
                <w:color w:val="auto"/>
                <w:highlight w:val="none"/>
              </w:rPr>
              <w:t>≤0.2</w:t>
            </w:r>
          </w:p>
        </w:tc>
        <w:tc>
          <w:tcPr>
            <w:tcW w:w="1697" w:type="pct"/>
            <w:vMerge w:val="continue"/>
            <w:vAlign w:val="center"/>
          </w:tcPr>
          <w:p w14:paraId="5FAC3164">
            <w:pPr>
              <w:pStyle w:val="37"/>
              <w:adjustRightInd w:val="0"/>
              <w:rPr>
                <w:color w:val="auto"/>
                <w:highlight w:val="none"/>
              </w:rPr>
            </w:pPr>
          </w:p>
        </w:tc>
      </w:tr>
    </w:tbl>
    <w:p w14:paraId="62F49E8F">
      <w:pPr>
        <w:pStyle w:val="5"/>
        <w:adjustRightInd w:val="0"/>
        <w:rPr>
          <w:rFonts w:cs="Times New Roman"/>
          <w:color w:val="auto"/>
          <w:highlight w:val="none"/>
        </w:rPr>
      </w:pPr>
      <w:r>
        <w:rPr>
          <w:rFonts w:cs="Times New Roman"/>
          <w:color w:val="auto"/>
          <w:highlight w:val="none"/>
        </w:rPr>
        <w:t>环境空气</w:t>
      </w:r>
    </w:p>
    <w:p w14:paraId="5D73C251">
      <w:pPr>
        <w:adjustRightInd w:val="0"/>
        <w:ind w:firstLine="480"/>
        <w:rPr>
          <w:rFonts w:cs="Times New Roman"/>
          <w:color w:val="auto"/>
          <w:highlight w:val="none"/>
        </w:rPr>
      </w:pPr>
      <w:r>
        <w:rPr>
          <w:rFonts w:cs="Times New Roman"/>
          <w:color w:val="auto"/>
          <w:highlight w:val="none"/>
        </w:rPr>
        <w:t>SO</w:t>
      </w:r>
      <w:r>
        <w:rPr>
          <w:rFonts w:cs="Times New Roman"/>
          <w:color w:val="auto"/>
          <w:highlight w:val="none"/>
          <w:vertAlign w:val="subscript"/>
        </w:rPr>
        <w:t>2</w:t>
      </w:r>
      <w:r>
        <w:rPr>
          <w:rFonts w:cs="Times New Roman"/>
          <w:color w:val="auto"/>
          <w:highlight w:val="none"/>
        </w:rPr>
        <w:t>、NO</w:t>
      </w:r>
      <w:r>
        <w:rPr>
          <w:rFonts w:cs="Times New Roman"/>
          <w:color w:val="auto"/>
          <w:highlight w:val="none"/>
          <w:vertAlign w:val="subscript"/>
        </w:rPr>
        <w:t>2</w:t>
      </w:r>
      <w:r>
        <w:rPr>
          <w:rFonts w:cs="Times New Roman"/>
          <w:color w:val="auto"/>
          <w:highlight w:val="none"/>
        </w:rPr>
        <w:t>、PM</w:t>
      </w:r>
      <w:r>
        <w:rPr>
          <w:rFonts w:cs="Times New Roman"/>
          <w:color w:val="auto"/>
          <w:highlight w:val="none"/>
          <w:vertAlign w:val="subscript"/>
        </w:rPr>
        <w:t>10</w:t>
      </w:r>
      <w:r>
        <w:rPr>
          <w:rFonts w:cs="Times New Roman"/>
          <w:color w:val="auto"/>
          <w:highlight w:val="none"/>
        </w:rPr>
        <w:t>、PM</w:t>
      </w:r>
      <w:r>
        <w:rPr>
          <w:rFonts w:cs="Times New Roman"/>
          <w:color w:val="auto"/>
          <w:highlight w:val="none"/>
          <w:vertAlign w:val="subscript"/>
        </w:rPr>
        <w:t>2.5</w:t>
      </w:r>
      <w:r>
        <w:rPr>
          <w:rFonts w:cs="Times New Roman"/>
          <w:color w:val="auto"/>
          <w:highlight w:val="none"/>
        </w:rPr>
        <w:t>、CO、O</w:t>
      </w:r>
      <w:r>
        <w:rPr>
          <w:rFonts w:cs="Times New Roman"/>
          <w:color w:val="auto"/>
          <w:highlight w:val="none"/>
          <w:vertAlign w:val="subscript"/>
        </w:rPr>
        <w:t>3</w:t>
      </w:r>
      <w:r>
        <w:rPr>
          <w:rFonts w:cs="Times New Roman"/>
          <w:color w:val="auto"/>
          <w:highlight w:val="none"/>
        </w:rPr>
        <w:t>、TSP执行《环境空气质量标准》（GB 3095-</w:t>
      </w:r>
      <w:r>
        <w:rPr>
          <w:rFonts w:hint="eastAsia" w:cs="Times New Roman"/>
          <w:color w:val="auto"/>
          <w:highlight w:val="none"/>
          <w:lang w:val="en-US" w:eastAsia="zh-CN"/>
        </w:rPr>
        <w:t>2026</w:t>
      </w:r>
      <w:r>
        <w:rPr>
          <w:rFonts w:cs="Times New Roman"/>
          <w:color w:val="auto"/>
          <w:highlight w:val="none"/>
        </w:rPr>
        <w:t>）二级标准，具体如下表所示。</w:t>
      </w:r>
    </w:p>
    <w:p w14:paraId="3CF28C9F">
      <w:pPr>
        <w:pStyle w:val="12"/>
        <w:keepNext w:val="0"/>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37</w:t>
      </w:r>
      <w:r>
        <w:rPr>
          <w:rFonts w:cs="Times New Roman"/>
          <w:color w:val="auto"/>
          <w:highlight w:val="none"/>
        </w:rPr>
        <w:fldChar w:fldCharType="end"/>
      </w:r>
      <w:r>
        <w:rPr>
          <w:rFonts w:cs="Times New Roman"/>
          <w:bCs/>
          <w:color w:val="auto"/>
          <w:kern w:val="21"/>
          <w:szCs w:val="21"/>
          <w:highlight w:val="none"/>
        </w:rPr>
        <w:t>环境空气质量标准 单位：CO为mg/m</w:t>
      </w:r>
      <w:r>
        <w:rPr>
          <w:rFonts w:cs="Times New Roman"/>
          <w:bCs/>
          <w:color w:val="auto"/>
          <w:kern w:val="21"/>
          <w:szCs w:val="21"/>
          <w:highlight w:val="none"/>
          <w:vertAlign w:val="superscript"/>
        </w:rPr>
        <w:t>3</w:t>
      </w:r>
      <w:r>
        <w:rPr>
          <w:rFonts w:cs="Times New Roman"/>
          <w:bCs/>
          <w:color w:val="auto"/>
          <w:kern w:val="21"/>
          <w:szCs w:val="21"/>
          <w:highlight w:val="none"/>
        </w:rPr>
        <w:t>，其余μg/m</w:t>
      </w:r>
      <w:r>
        <w:rPr>
          <w:rFonts w:cs="Times New Roman"/>
          <w:bCs/>
          <w:color w:val="auto"/>
          <w:kern w:val="21"/>
          <w:szCs w:val="21"/>
          <w:highlight w:val="none"/>
          <w:vertAlign w:val="superscript"/>
        </w:rPr>
        <w:t>3</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332"/>
        <w:gridCol w:w="1916"/>
        <w:gridCol w:w="1490"/>
        <w:gridCol w:w="3058"/>
      </w:tblGrid>
      <w:tr w14:paraId="477A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26" w:type="pct"/>
            <w:vAlign w:val="center"/>
          </w:tcPr>
          <w:p w14:paraId="40097884">
            <w:pPr>
              <w:pStyle w:val="37"/>
              <w:adjustRightInd w:val="0"/>
              <w:rPr>
                <w:b/>
                <w:bCs/>
                <w:color w:val="auto"/>
                <w:highlight w:val="none"/>
              </w:rPr>
            </w:pPr>
            <w:r>
              <w:rPr>
                <w:b/>
                <w:bCs/>
                <w:color w:val="auto"/>
                <w:highlight w:val="none"/>
              </w:rPr>
              <w:t>序号</w:t>
            </w:r>
          </w:p>
        </w:tc>
        <w:tc>
          <w:tcPr>
            <w:tcW w:w="781" w:type="pct"/>
            <w:vAlign w:val="center"/>
          </w:tcPr>
          <w:p w14:paraId="4661481A">
            <w:pPr>
              <w:pStyle w:val="37"/>
              <w:adjustRightInd w:val="0"/>
              <w:rPr>
                <w:b/>
                <w:bCs/>
                <w:color w:val="auto"/>
                <w:highlight w:val="none"/>
              </w:rPr>
            </w:pPr>
            <w:r>
              <w:rPr>
                <w:b/>
                <w:bCs/>
                <w:color w:val="auto"/>
                <w:highlight w:val="none"/>
              </w:rPr>
              <w:t>污染因子</w:t>
            </w:r>
          </w:p>
        </w:tc>
        <w:tc>
          <w:tcPr>
            <w:tcW w:w="1998" w:type="pct"/>
            <w:gridSpan w:val="2"/>
            <w:vAlign w:val="center"/>
          </w:tcPr>
          <w:p w14:paraId="1D17F9B8">
            <w:pPr>
              <w:pStyle w:val="37"/>
              <w:adjustRightInd w:val="0"/>
              <w:rPr>
                <w:b/>
                <w:bCs/>
                <w:color w:val="auto"/>
                <w:highlight w:val="none"/>
              </w:rPr>
            </w:pPr>
            <w:r>
              <w:rPr>
                <w:b/>
                <w:bCs/>
                <w:color w:val="auto"/>
                <w:highlight w:val="none"/>
              </w:rPr>
              <w:t>标准值</w:t>
            </w:r>
          </w:p>
        </w:tc>
        <w:tc>
          <w:tcPr>
            <w:tcW w:w="1793" w:type="pct"/>
            <w:vAlign w:val="center"/>
          </w:tcPr>
          <w:p w14:paraId="3BD3CD61">
            <w:pPr>
              <w:pStyle w:val="37"/>
              <w:adjustRightInd w:val="0"/>
              <w:rPr>
                <w:b/>
                <w:bCs/>
                <w:color w:val="auto"/>
                <w:highlight w:val="none"/>
              </w:rPr>
            </w:pPr>
            <w:r>
              <w:rPr>
                <w:b/>
                <w:bCs/>
                <w:color w:val="auto"/>
                <w:highlight w:val="none"/>
              </w:rPr>
              <w:t>执行标准</w:t>
            </w:r>
          </w:p>
        </w:tc>
      </w:tr>
      <w:tr w14:paraId="0DDEA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4CD5D9E8">
            <w:pPr>
              <w:pStyle w:val="37"/>
              <w:adjustRightInd w:val="0"/>
              <w:rPr>
                <w:color w:val="auto"/>
                <w:highlight w:val="none"/>
              </w:rPr>
            </w:pPr>
            <w:r>
              <w:rPr>
                <w:color w:val="auto"/>
                <w:highlight w:val="none"/>
              </w:rPr>
              <w:t>1</w:t>
            </w:r>
          </w:p>
        </w:tc>
        <w:tc>
          <w:tcPr>
            <w:tcW w:w="781" w:type="pct"/>
            <w:vMerge w:val="restart"/>
            <w:vAlign w:val="center"/>
          </w:tcPr>
          <w:p w14:paraId="43157512">
            <w:pPr>
              <w:pStyle w:val="37"/>
              <w:adjustRightInd w:val="0"/>
              <w:rPr>
                <w:color w:val="auto"/>
                <w:highlight w:val="none"/>
              </w:rPr>
            </w:pPr>
            <w:r>
              <w:rPr>
                <w:color w:val="auto"/>
                <w:highlight w:val="none"/>
              </w:rPr>
              <w:t>SO</w:t>
            </w:r>
            <w:r>
              <w:rPr>
                <w:color w:val="auto"/>
                <w:highlight w:val="none"/>
                <w:vertAlign w:val="subscript"/>
              </w:rPr>
              <w:t>2</w:t>
            </w:r>
          </w:p>
        </w:tc>
        <w:tc>
          <w:tcPr>
            <w:tcW w:w="1124" w:type="pct"/>
            <w:vAlign w:val="center"/>
          </w:tcPr>
          <w:p w14:paraId="2938FA93">
            <w:pPr>
              <w:pStyle w:val="37"/>
              <w:adjustRightInd w:val="0"/>
              <w:rPr>
                <w:color w:val="auto"/>
                <w:highlight w:val="none"/>
              </w:rPr>
            </w:pPr>
            <w:r>
              <w:rPr>
                <w:color w:val="auto"/>
                <w:highlight w:val="none"/>
              </w:rPr>
              <w:t>年平均</w:t>
            </w:r>
          </w:p>
        </w:tc>
        <w:tc>
          <w:tcPr>
            <w:tcW w:w="874" w:type="pct"/>
            <w:vAlign w:val="center"/>
          </w:tcPr>
          <w:p w14:paraId="09F19460">
            <w:pPr>
              <w:pStyle w:val="37"/>
              <w:adjustRightInd w:val="0"/>
              <w:rPr>
                <w:color w:val="auto"/>
                <w:highlight w:val="none"/>
              </w:rPr>
            </w:pPr>
            <w:r>
              <w:rPr>
                <w:color w:val="auto"/>
                <w:highlight w:val="none"/>
              </w:rPr>
              <w:t>60</w:t>
            </w:r>
          </w:p>
        </w:tc>
        <w:tc>
          <w:tcPr>
            <w:tcW w:w="1793" w:type="pct"/>
            <w:vMerge w:val="restart"/>
            <w:vAlign w:val="center"/>
          </w:tcPr>
          <w:p w14:paraId="13D5D87B">
            <w:pPr>
              <w:pStyle w:val="37"/>
              <w:adjustRightInd w:val="0"/>
              <w:rPr>
                <w:color w:val="auto"/>
                <w:highlight w:val="none"/>
              </w:rPr>
            </w:pPr>
            <w:r>
              <w:rPr>
                <w:color w:val="auto"/>
                <w:highlight w:val="none"/>
              </w:rPr>
              <w:t>《环境空气质量标准》（GB3095-20</w:t>
            </w:r>
            <w:r>
              <w:rPr>
                <w:rFonts w:hint="eastAsia"/>
                <w:color w:val="auto"/>
                <w:highlight w:val="none"/>
                <w:lang w:val="en-US" w:eastAsia="zh-CN"/>
              </w:rPr>
              <w:t>26</w:t>
            </w:r>
            <w:r>
              <w:rPr>
                <w:color w:val="auto"/>
                <w:highlight w:val="none"/>
              </w:rPr>
              <w:t>）二级标准</w:t>
            </w:r>
          </w:p>
        </w:tc>
      </w:tr>
      <w:tr w14:paraId="3B54F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31371846">
            <w:pPr>
              <w:pStyle w:val="37"/>
              <w:adjustRightInd w:val="0"/>
              <w:rPr>
                <w:color w:val="auto"/>
                <w:highlight w:val="none"/>
              </w:rPr>
            </w:pPr>
          </w:p>
        </w:tc>
        <w:tc>
          <w:tcPr>
            <w:tcW w:w="781" w:type="pct"/>
            <w:vMerge w:val="continue"/>
            <w:vAlign w:val="center"/>
          </w:tcPr>
          <w:p w14:paraId="29AAFA4A">
            <w:pPr>
              <w:pStyle w:val="37"/>
              <w:adjustRightInd w:val="0"/>
              <w:rPr>
                <w:color w:val="auto"/>
                <w:highlight w:val="none"/>
              </w:rPr>
            </w:pPr>
          </w:p>
        </w:tc>
        <w:tc>
          <w:tcPr>
            <w:tcW w:w="1124" w:type="pct"/>
            <w:vAlign w:val="center"/>
          </w:tcPr>
          <w:p w14:paraId="1F50BFF4">
            <w:pPr>
              <w:pStyle w:val="37"/>
              <w:adjustRightInd w:val="0"/>
              <w:rPr>
                <w:color w:val="auto"/>
                <w:highlight w:val="none"/>
              </w:rPr>
            </w:pPr>
            <w:r>
              <w:rPr>
                <w:color w:val="auto"/>
                <w:highlight w:val="none"/>
              </w:rPr>
              <w:t>24小时平均</w:t>
            </w:r>
          </w:p>
        </w:tc>
        <w:tc>
          <w:tcPr>
            <w:tcW w:w="874" w:type="pct"/>
            <w:vAlign w:val="center"/>
          </w:tcPr>
          <w:p w14:paraId="77E0A9A9">
            <w:pPr>
              <w:pStyle w:val="37"/>
              <w:adjustRightInd w:val="0"/>
              <w:rPr>
                <w:color w:val="auto"/>
                <w:highlight w:val="none"/>
              </w:rPr>
            </w:pPr>
            <w:r>
              <w:rPr>
                <w:color w:val="auto"/>
                <w:highlight w:val="none"/>
              </w:rPr>
              <w:t>150</w:t>
            </w:r>
          </w:p>
        </w:tc>
        <w:tc>
          <w:tcPr>
            <w:tcW w:w="1793" w:type="pct"/>
            <w:vMerge w:val="continue"/>
            <w:vAlign w:val="center"/>
          </w:tcPr>
          <w:p w14:paraId="00D9B72D">
            <w:pPr>
              <w:pStyle w:val="37"/>
              <w:adjustRightInd w:val="0"/>
              <w:rPr>
                <w:color w:val="auto"/>
                <w:highlight w:val="none"/>
              </w:rPr>
            </w:pPr>
          </w:p>
        </w:tc>
      </w:tr>
      <w:tr w14:paraId="4D3A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45FC9615">
            <w:pPr>
              <w:pStyle w:val="37"/>
              <w:adjustRightInd w:val="0"/>
              <w:rPr>
                <w:color w:val="auto"/>
                <w:highlight w:val="none"/>
              </w:rPr>
            </w:pPr>
          </w:p>
        </w:tc>
        <w:tc>
          <w:tcPr>
            <w:tcW w:w="781" w:type="pct"/>
            <w:vMerge w:val="continue"/>
            <w:vAlign w:val="center"/>
          </w:tcPr>
          <w:p w14:paraId="06167634">
            <w:pPr>
              <w:pStyle w:val="37"/>
              <w:adjustRightInd w:val="0"/>
              <w:rPr>
                <w:color w:val="auto"/>
                <w:highlight w:val="none"/>
              </w:rPr>
            </w:pPr>
          </w:p>
        </w:tc>
        <w:tc>
          <w:tcPr>
            <w:tcW w:w="1124" w:type="pct"/>
            <w:vAlign w:val="center"/>
          </w:tcPr>
          <w:p w14:paraId="26C162D0">
            <w:pPr>
              <w:pStyle w:val="37"/>
              <w:adjustRightInd w:val="0"/>
              <w:rPr>
                <w:color w:val="auto"/>
                <w:highlight w:val="none"/>
              </w:rPr>
            </w:pPr>
            <w:r>
              <w:rPr>
                <w:color w:val="auto"/>
                <w:highlight w:val="none"/>
              </w:rPr>
              <w:t>1小时平均</w:t>
            </w:r>
          </w:p>
        </w:tc>
        <w:tc>
          <w:tcPr>
            <w:tcW w:w="874" w:type="pct"/>
            <w:vAlign w:val="center"/>
          </w:tcPr>
          <w:p w14:paraId="63F888B2">
            <w:pPr>
              <w:pStyle w:val="37"/>
              <w:adjustRightInd w:val="0"/>
              <w:rPr>
                <w:color w:val="auto"/>
                <w:highlight w:val="none"/>
              </w:rPr>
            </w:pPr>
            <w:r>
              <w:rPr>
                <w:color w:val="auto"/>
                <w:highlight w:val="none"/>
              </w:rPr>
              <w:t>500</w:t>
            </w:r>
          </w:p>
        </w:tc>
        <w:tc>
          <w:tcPr>
            <w:tcW w:w="1793" w:type="pct"/>
            <w:vMerge w:val="continue"/>
            <w:vAlign w:val="center"/>
          </w:tcPr>
          <w:p w14:paraId="50A10B46">
            <w:pPr>
              <w:pStyle w:val="37"/>
              <w:adjustRightInd w:val="0"/>
              <w:rPr>
                <w:color w:val="auto"/>
                <w:highlight w:val="none"/>
              </w:rPr>
            </w:pPr>
          </w:p>
        </w:tc>
      </w:tr>
      <w:tr w14:paraId="21C0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5522E32C">
            <w:pPr>
              <w:pStyle w:val="37"/>
              <w:adjustRightInd w:val="0"/>
              <w:rPr>
                <w:color w:val="auto"/>
                <w:highlight w:val="none"/>
              </w:rPr>
            </w:pPr>
            <w:r>
              <w:rPr>
                <w:color w:val="auto"/>
                <w:highlight w:val="none"/>
              </w:rPr>
              <w:t>2</w:t>
            </w:r>
          </w:p>
        </w:tc>
        <w:tc>
          <w:tcPr>
            <w:tcW w:w="781" w:type="pct"/>
            <w:vMerge w:val="restart"/>
            <w:vAlign w:val="center"/>
          </w:tcPr>
          <w:p w14:paraId="3671F9FC">
            <w:pPr>
              <w:pStyle w:val="37"/>
              <w:adjustRightInd w:val="0"/>
              <w:rPr>
                <w:color w:val="auto"/>
                <w:highlight w:val="none"/>
              </w:rPr>
            </w:pPr>
            <w:r>
              <w:rPr>
                <w:color w:val="auto"/>
                <w:highlight w:val="none"/>
              </w:rPr>
              <w:t>NO</w:t>
            </w:r>
            <w:r>
              <w:rPr>
                <w:color w:val="auto"/>
                <w:highlight w:val="none"/>
                <w:vertAlign w:val="subscript"/>
              </w:rPr>
              <w:t>2</w:t>
            </w:r>
          </w:p>
        </w:tc>
        <w:tc>
          <w:tcPr>
            <w:tcW w:w="1124" w:type="pct"/>
            <w:vAlign w:val="center"/>
          </w:tcPr>
          <w:p w14:paraId="4D8FFAB5">
            <w:pPr>
              <w:pStyle w:val="37"/>
              <w:adjustRightInd w:val="0"/>
              <w:rPr>
                <w:color w:val="auto"/>
                <w:highlight w:val="none"/>
              </w:rPr>
            </w:pPr>
            <w:r>
              <w:rPr>
                <w:color w:val="auto"/>
                <w:highlight w:val="none"/>
              </w:rPr>
              <w:t>年平均</w:t>
            </w:r>
          </w:p>
        </w:tc>
        <w:tc>
          <w:tcPr>
            <w:tcW w:w="874" w:type="pct"/>
            <w:vAlign w:val="center"/>
          </w:tcPr>
          <w:p w14:paraId="2791DA81">
            <w:pPr>
              <w:pStyle w:val="37"/>
              <w:adjustRightInd w:val="0"/>
              <w:rPr>
                <w:color w:val="auto"/>
                <w:highlight w:val="none"/>
              </w:rPr>
            </w:pPr>
            <w:r>
              <w:rPr>
                <w:color w:val="auto"/>
                <w:highlight w:val="none"/>
              </w:rPr>
              <w:t>40</w:t>
            </w:r>
          </w:p>
        </w:tc>
        <w:tc>
          <w:tcPr>
            <w:tcW w:w="1793" w:type="pct"/>
            <w:vMerge w:val="continue"/>
            <w:vAlign w:val="center"/>
          </w:tcPr>
          <w:p w14:paraId="21785E28">
            <w:pPr>
              <w:pStyle w:val="37"/>
              <w:adjustRightInd w:val="0"/>
              <w:rPr>
                <w:color w:val="auto"/>
                <w:highlight w:val="none"/>
              </w:rPr>
            </w:pPr>
          </w:p>
        </w:tc>
      </w:tr>
      <w:tr w14:paraId="3303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01AF4DEC">
            <w:pPr>
              <w:pStyle w:val="37"/>
              <w:adjustRightInd w:val="0"/>
              <w:rPr>
                <w:color w:val="auto"/>
                <w:highlight w:val="none"/>
              </w:rPr>
            </w:pPr>
          </w:p>
        </w:tc>
        <w:tc>
          <w:tcPr>
            <w:tcW w:w="781" w:type="pct"/>
            <w:vMerge w:val="continue"/>
            <w:vAlign w:val="center"/>
          </w:tcPr>
          <w:p w14:paraId="3D4D1839">
            <w:pPr>
              <w:pStyle w:val="37"/>
              <w:adjustRightInd w:val="0"/>
              <w:rPr>
                <w:color w:val="auto"/>
                <w:highlight w:val="none"/>
              </w:rPr>
            </w:pPr>
          </w:p>
        </w:tc>
        <w:tc>
          <w:tcPr>
            <w:tcW w:w="1124" w:type="pct"/>
            <w:vAlign w:val="center"/>
          </w:tcPr>
          <w:p w14:paraId="51A7131B">
            <w:pPr>
              <w:pStyle w:val="37"/>
              <w:adjustRightInd w:val="0"/>
              <w:rPr>
                <w:color w:val="auto"/>
                <w:highlight w:val="none"/>
              </w:rPr>
            </w:pPr>
            <w:r>
              <w:rPr>
                <w:color w:val="auto"/>
                <w:highlight w:val="none"/>
              </w:rPr>
              <w:t>24小时平均</w:t>
            </w:r>
          </w:p>
        </w:tc>
        <w:tc>
          <w:tcPr>
            <w:tcW w:w="874" w:type="pct"/>
            <w:vAlign w:val="center"/>
          </w:tcPr>
          <w:p w14:paraId="1194DFD5">
            <w:pPr>
              <w:pStyle w:val="37"/>
              <w:adjustRightInd w:val="0"/>
              <w:rPr>
                <w:color w:val="auto"/>
                <w:highlight w:val="none"/>
              </w:rPr>
            </w:pPr>
            <w:r>
              <w:rPr>
                <w:color w:val="auto"/>
                <w:highlight w:val="none"/>
              </w:rPr>
              <w:t>80</w:t>
            </w:r>
          </w:p>
        </w:tc>
        <w:tc>
          <w:tcPr>
            <w:tcW w:w="1793" w:type="pct"/>
            <w:vMerge w:val="continue"/>
            <w:vAlign w:val="center"/>
          </w:tcPr>
          <w:p w14:paraId="175BACDF">
            <w:pPr>
              <w:pStyle w:val="37"/>
              <w:adjustRightInd w:val="0"/>
              <w:rPr>
                <w:color w:val="auto"/>
                <w:highlight w:val="none"/>
              </w:rPr>
            </w:pPr>
          </w:p>
        </w:tc>
      </w:tr>
      <w:tr w14:paraId="02742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pct"/>
            <w:vMerge w:val="continue"/>
            <w:vAlign w:val="center"/>
          </w:tcPr>
          <w:p w14:paraId="2F191EC0">
            <w:pPr>
              <w:pStyle w:val="37"/>
              <w:adjustRightInd w:val="0"/>
              <w:rPr>
                <w:color w:val="auto"/>
                <w:highlight w:val="none"/>
              </w:rPr>
            </w:pPr>
          </w:p>
        </w:tc>
        <w:tc>
          <w:tcPr>
            <w:tcW w:w="781" w:type="pct"/>
            <w:vMerge w:val="continue"/>
            <w:vAlign w:val="center"/>
          </w:tcPr>
          <w:p w14:paraId="71BD8AAE">
            <w:pPr>
              <w:pStyle w:val="37"/>
              <w:adjustRightInd w:val="0"/>
              <w:rPr>
                <w:color w:val="auto"/>
                <w:highlight w:val="none"/>
              </w:rPr>
            </w:pPr>
          </w:p>
        </w:tc>
        <w:tc>
          <w:tcPr>
            <w:tcW w:w="1124" w:type="pct"/>
            <w:vAlign w:val="center"/>
          </w:tcPr>
          <w:p w14:paraId="0F7E3ABD">
            <w:pPr>
              <w:pStyle w:val="37"/>
              <w:adjustRightInd w:val="0"/>
              <w:rPr>
                <w:color w:val="auto"/>
                <w:highlight w:val="none"/>
              </w:rPr>
            </w:pPr>
            <w:r>
              <w:rPr>
                <w:color w:val="auto"/>
                <w:highlight w:val="none"/>
              </w:rPr>
              <w:t>1小时平均</w:t>
            </w:r>
          </w:p>
        </w:tc>
        <w:tc>
          <w:tcPr>
            <w:tcW w:w="874" w:type="pct"/>
            <w:vAlign w:val="center"/>
          </w:tcPr>
          <w:p w14:paraId="78A00C25">
            <w:pPr>
              <w:pStyle w:val="37"/>
              <w:adjustRightInd w:val="0"/>
              <w:rPr>
                <w:color w:val="auto"/>
                <w:highlight w:val="none"/>
              </w:rPr>
            </w:pPr>
            <w:r>
              <w:rPr>
                <w:color w:val="auto"/>
                <w:highlight w:val="none"/>
              </w:rPr>
              <w:t>200</w:t>
            </w:r>
          </w:p>
        </w:tc>
        <w:tc>
          <w:tcPr>
            <w:tcW w:w="1793" w:type="pct"/>
            <w:vMerge w:val="continue"/>
            <w:vAlign w:val="center"/>
          </w:tcPr>
          <w:p w14:paraId="2EFEDD15">
            <w:pPr>
              <w:pStyle w:val="37"/>
              <w:adjustRightInd w:val="0"/>
              <w:rPr>
                <w:color w:val="auto"/>
                <w:highlight w:val="none"/>
              </w:rPr>
            </w:pPr>
          </w:p>
        </w:tc>
      </w:tr>
      <w:tr w14:paraId="30E08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3D55AB95">
            <w:pPr>
              <w:pStyle w:val="37"/>
              <w:adjustRightInd w:val="0"/>
              <w:rPr>
                <w:color w:val="auto"/>
                <w:highlight w:val="none"/>
              </w:rPr>
            </w:pPr>
            <w:r>
              <w:rPr>
                <w:color w:val="auto"/>
                <w:highlight w:val="none"/>
              </w:rPr>
              <w:t>3</w:t>
            </w:r>
          </w:p>
        </w:tc>
        <w:tc>
          <w:tcPr>
            <w:tcW w:w="781" w:type="pct"/>
            <w:vMerge w:val="restart"/>
            <w:vAlign w:val="center"/>
          </w:tcPr>
          <w:p w14:paraId="1AA45105">
            <w:pPr>
              <w:pStyle w:val="37"/>
              <w:adjustRightInd w:val="0"/>
              <w:rPr>
                <w:color w:val="auto"/>
                <w:highlight w:val="none"/>
              </w:rPr>
            </w:pPr>
            <w:r>
              <w:rPr>
                <w:color w:val="auto"/>
                <w:highlight w:val="none"/>
              </w:rPr>
              <w:t>PM</w:t>
            </w:r>
            <w:r>
              <w:rPr>
                <w:color w:val="auto"/>
                <w:highlight w:val="none"/>
                <w:vertAlign w:val="subscript"/>
              </w:rPr>
              <w:t>10</w:t>
            </w:r>
          </w:p>
        </w:tc>
        <w:tc>
          <w:tcPr>
            <w:tcW w:w="1124" w:type="pct"/>
            <w:vAlign w:val="center"/>
          </w:tcPr>
          <w:p w14:paraId="2CC4E7C9">
            <w:pPr>
              <w:pStyle w:val="37"/>
              <w:adjustRightInd w:val="0"/>
              <w:rPr>
                <w:color w:val="auto"/>
                <w:highlight w:val="none"/>
              </w:rPr>
            </w:pPr>
            <w:r>
              <w:rPr>
                <w:color w:val="auto"/>
                <w:highlight w:val="none"/>
              </w:rPr>
              <w:t>年平均</w:t>
            </w:r>
          </w:p>
        </w:tc>
        <w:tc>
          <w:tcPr>
            <w:tcW w:w="874" w:type="pct"/>
            <w:vAlign w:val="center"/>
          </w:tcPr>
          <w:p w14:paraId="18FCE1FD">
            <w:pPr>
              <w:pStyle w:val="37"/>
              <w:adjustRightInd w:val="0"/>
              <w:rPr>
                <w:rFonts w:hint="default" w:eastAsia="宋体"/>
                <w:color w:val="auto"/>
                <w:highlight w:val="none"/>
                <w:lang w:val="en-US" w:eastAsia="zh-CN"/>
              </w:rPr>
            </w:pPr>
            <w:r>
              <w:rPr>
                <w:rFonts w:hint="eastAsia"/>
                <w:color w:val="auto"/>
                <w:highlight w:val="none"/>
                <w:lang w:val="en-US" w:eastAsia="zh-CN"/>
              </w:rPr>
              <w:t>60</w:t>
            </w:r>
          </w:p>
        </w:tc>
        <w:tc>
          <w:tcPr>
            <w:tcW w:w="1793" w:type="pct"/>
            <w:vMerge w:val="continue"/>
            <w:vAlign w:val="center"/>
          </w:tcPr>
          <w:p w14:paraId="387663D4">
            <w:pPr>
              <w:pStyle w:val="37"/>
              <w:adjustRightInd w:val="0"/>
              <w:rPr>
                <w:color w:val="auto"/>
                <w:highlight w:val="none"/>
              </w:rPr>
            </w:pPr>
          </w:p>
        </w:tc>
      </w:tr>
      <w:tr w14:paraId="7FC1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3101B9D4">
            <w:pPr>
              <w:pStyle w:val="37"/>
              <w:adjustRightInd w:val="0"/>
              <w:rPr>
                <w:color w:val="auto"/>
                <w:highlight w:val="none"/>
              </w:rPr>
            </w:pPr>
          </w:p>
        </w:tc>
        <w:tc>
          <w:tcPr>
            <w:tcW w:w="781" w:type="pct"/>
            <w:vMerge w:val="continue"/>
            <w:vAlign w:val="center"/>
          </w:tcPr>
          <w:p w14:paraId="2A42D115">
            <w:pPr>
              <w:pStyle w:val="37"/>
              <w:adjustRightInd w:val="0"/>
              <w:rPr>
                <w:color w:val="auto"/>
                <w:highlight w:val="none"/>
              </w:rPr>
            </w:pPr>
          </w:p>
        </w:tc>
        <w:tc>
          <w:tcPr>
            <w:tcW w:w="1124" w:type="pct"/>
            <w:vAlign w:val="center"/>
          </w:tcPr>
          <w:p w14:paraId="605BEF04">
            <w:pPr>
              <w:pStyle w:val="37"/>
              <w:adjustRightInd w:val="0"/>
              <w:rPr>
                <w:color w:val="auto"/>
                <w:highlight w:val="none"/>
              </w:rPr>
            </w:pPr>
            <w:r>
              <w:rPr>
                <w:color w:val="auto"/>
                <w:highlight w:val="none"/>
              </w:rPr>
              <w:t>24小时平均</w:t>
            </w:r>
          </w:p>
        </w:tc>
        <w:tc>
          <w:tcPr>
            <w:tcW w:w="874" w:type="pct"/>
            <w:vAlign w:val="center"/>
          </w:tcPr>
          <w:p w14:paraId="41ED44DE">
            <w:pPr>
              <w:pStyle w:val="37"/>
              <w:adjustRightInd w:val="0"/>
              <w:rPr>
                <w:rFonts w:hint="default" w:eastAsia="宋体"/>
                <w:color w:val="auto"/>
                <w:highlight w:val="none"/>
                <w:lang w:val="en-US" w:eastAsia="zh-CN"/>
              </w:rPr>
            </w:pPr>
            <w:r>
              <w:rPr>
                <w:rFonts w:hint="eastAsia"/>
                <w:color w:val="auto"/>
                <w:highlight w:val="none"/>
                <w:lang w:val="en-US" w:eastAsia="zh-CN"/>
              </w:rPr>
              <w:t>120</w:t>
            </w:r>
          </w:p>
        </w:tc>
        <w:tc>
          <w:tcPr>
            <w:tcW w:w="1793" w:type="pct"/>
            <w:vMerge w:val="continue"/>
            <w:vAlign w:val="center"/>
          </w:tcPr>
          <w:p w14:paraId="4677DF60">
            <w:pPr>
              <w:pStyle w:val="37"/>
              <w:adjustRightInd w:val="0"/>
              <w:rPr>
                <w:color w:val="auto"/>
                <w:highlight w:val="none"/>
              </w:rPr>
            </w:pPr>
          </w:p>
        </w:tc>
      </w:tr>
      <w:tr w14:paraId="5462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33E13F37">
            <w:pPr>
              <w:pStyle w:val="37"/>
              <w:adjustRightInd w:val="0"/>
              <w:rPr>
                <w:color w:val="auto"/>
                <w:highlight w:val="none"/>
              </w:rPr>
            </w:pPr>
            <w:r>
              <w:rPr>
                <w:color w:val="auto"/>
                <w:highlight w:val="none"/>
              </w:rPr>
              <w:t>4</w:t>
            </w:r>
          </w:p>
        </w:tc>
        <w:tc>
          <w:tcPr>
            <w:tcW w:w="781" w:type="pct"/>
            <w:vMerge w:val="restart"/>
            <w:vAlign w:val="center"/>
          </w:tcPr>
          <w:p w14:paraId="6342E2FE">
            <w:pPr>
              <w:pStyle w:val="37"/>
              <w:adjustRightInd w:val="0"/>
              <w:rPr>
                <w:color w:val="auto"/>
                <w:highlight w:val="none"/>
              </w:rPr>
            </w:pPr>
            <w:r>
              <w:rPr>
                <w:color w:val="auto"/>
                <w:highlight w:val="none"/>
              </w:rPr>
              <w:t>PM</w:t>
            </w:r>
            <w:r>
              <w:rPr>
                <w:color w:val="auto"/>
                <w:highlight w:val="none"/>
                <w:vertAlign w:val="subscript"/>
              </w:rPr>
              <w:t>2.5</w:t>
            </w:r>
          </w:p>
        </w:tc>
        <w:tc>
          <w:tcPr>
            <w:tcW w:w="1124" w:type="pct"/>
            <w:vAlign w:val="center"/>
          </w:tcPr>
          <w:p w14:paraId="180B0517">
            <w:pPr>
              <w:pStyle w:val="37"/>
              <w:adjustRightInd w:val="0"/>
              <w:rPr>
                <w:color w:val="auto"/>
                <w:highlight w:val="none"/>
              </w:rPr>
            </w:pPr>
            <w:r>
              <w:rPr>
                <w:color w:val="auto"/>
                <w:highlight w:val="none"/>
              </w:rPr>
              <w:t>年平均</w:t>
            </w:r>
          </w:p>
        </w:tc>
        <w:tc>
          <w:tcPr>
            <w:tcW w:w="874" w:type="pct"/>
            <w:vAlign w:val="center"/>
          </w:tcPr>
          <w:p w14:paraId="79CEFC86">
            <w:pPr>
              <w:pStyle w:val="37"/>
              <w:adjustRightInd w:val="0"/>
              <w:rPr>
                <w:rFonts w:hint="default" w:eastAsia="宋体"/>
                <w:color w:val="auto"/>
                <w:highlight w:val="none"/>
                <w:lang w:val="en-US" w:eastAsia="zh-CN"/>
              </w:rPr>
            </w:pPr>
            <w:r>
              <w:rPr>
                <w:rFonts w:hint="eastAsia"/>
                <w:color w:val="auto"/>
                <w:highlight w:val="none"/>
                <w:lang w:val="en-US" w:eastAsia="zh-CN"/>
              </w:rPr>
              <w:t>30</w:t>
            </w:r>
          </w:p>
        </w:tc>
        <w:tc>
          <w:tcPr>
            <w:tcW w:w="1793" w:type="pct"/>
            <w:vMerge w:val="continue"/>
            <w:vAlign w:val="center"/>
          </w:tcPr>
          <w:p w14:paraId="14BA913A">
            <w:pPr>
              <w:pStyle w:val="37"/>
              <w:adjustRightInd w:val="0"/>
              <w:rPr>
                <w:color w:val="auto"/>
                <w:highlight w:val="none"/>
              </w:rPr>
            </w:pPr>
          </w:p>
        </w:tc>
      </w:tr>
      <w:tr w14:paraId="7645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504B04E9">
            <w:pPr>
              <w:pStyle w:val="37"/>
              <w:adjustRightInd w:val="0"/>
              <w:rPr>
                <w:color w:val="auto"/>
                <w:highlight w:val="none"/>
              </w:rPr>
            </w:pPr>
          </w:p>
        </w:tc>
        <w:tc>
          <w:tcPr>
            <w:tcW w:w="781" w:type="pct"/>
            <w:vMerge w:val="continue"/>
            <w:vAlign w:val="center"/>
          </w:tcPr>
          <w:p w14:paraId="6908496A">
            <w:pPr>
              <w:pStyle w:val="37"/>
              <w:adjustRightInd w:val="0"/>
              <w:rPr>
                <w:color w:val="auto"/>
                <w:highlight w:val="none"/>
              </w:rPr>
            </w:pPr>
          </w:p>
        </w:tc>
        <w:tc>
          <w:tcPr>
            <w:tcW w:w="1124" w:type="pct"/>
            <w:vAlign w:val="center"/>
          </w:tcPr>
          <w:p w14:paraId="7DF5617D">
            <w:pPr>
              <w:pStyle w:val="37"/>
              <w:adjustRightInd w:val="0"/>
              <w:rPr>
                <w:color w:val="auto"/>
                <w:highlight w:val="none"/>
              </w:rPr>
            </w:pPr>
            <w:r>
              <w:rPr>
                <w:color w:val="auto"/>
                <w:highlight w:val="none"/>
              </w:rPr>
              <w:t>24小时平均</w:t>
            </w:r>
          </w:p>
        </w:tc>
        <w:tc>
          <w:tcPr>
            <w:tcW w:w="874" w:type="pct"/>
            <w:vAlign w:val="center"/>
          </w:tcPr>
          <w:p w14:paraId="49A9ED86">
            <w:pPr>
              <w:pStyle w:val="37"/>
              <w:adjustRightInd w:val="0"/>
              <w:rPr>
                <w:rFonts w:hint="default" w:eastAsia="宋体"/>
                <w:color w:val="auto"/>
                <w:highlight w:val="none"/>
                <w:lang w:val="en-US" w:eastAsia="zh-CN"/>
              </w:rPr>
            </w:pPr>
            <w:r>
              <w:rPr>
                <w:rFonts w:hint="eastAsia"/>
                <w:color w:val="auto"/>
                <w:highlight w:val="none"/>
                <w:lang w:val="en-US" w:eastAsia="zh-CN"/>
              </w:rPr>
              <w:t>60</w:t>
            </w:r>
          </w:p>
        </w:tc>
        <w:tc>
          <w:tcPr>
            <w:tcW w:w="1793" w:type="pct"/>
            <w:vMerge w:val="continue"/>
            <w:vAlign w:val="center"/>
          </w:tcPr>
          <w:p w14:paraId="170A03ED">
            <w:pPr>
              <w:pStyle w:val="37"/>
              <w:adjustRightInd w:val="0"/>
              <w:rPr>
                <w:color w:val="auto"/>
                <w:highlight w:val="none"/>
              </w:rPr>
            </w:pPr>
          </w:p>
        </w:tc>
      </w:tr>
      <w:tr w14:paraId="59454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5C48CA8C">
            <w:pPr>
              <w:pStyle w:val="37"/>
              <w:adjustRightInd w:val="0"/>
              <w:rPr>
                <w:color w:val="auto"/>
                <w:highlight w:val="none"/>
              </w:rPr>
            </w:pPr>
            <w:r>
              <w:rPr>
                <w:color w:val="auto"/>
                <w:highlight w:val="none"/>
              </w:rPr>
              <w:t>5</w:t>
            </w:r>
          </w:p>
        </w:tc>
        <w:tc>
          <w:tcPr>
            <w:tcW w:w="781" w:type="pct"/>
            <w:vMerge w:val="restart"/>
            <w:vAlign w:val="center"/>
          </w:tcPr>
          <w:p w14:paraId="6F8F3F8A">
            <w:pPr>
              <w:pStyle w:val="37"/>
              <w:adjustRightInd w:val="0"/>
              <w:rPr>
                <w:color w:val="auto"/>
                <w:highlight w:val="none"/>
              </w:rPr>
            </w:pPr>
            <w:r>
              <w:rPr>
                <w:color w:val="auto"/>
                <w:highlight w:val="none"/>
              </w:rPr>
              <w:t>CO</w:t>
            </w:r>
          </w:p>
        </w:tc>
        <w:tc>
          <w:tcPr>
            <w:tcW w:w="1124" w:type="pct"/>
            <w:vAlign w:val="center"/>
          </w:tcPr>
          <w:p w14:paraId="65857370">
            <w:pPr>
              <w:pStyle w:val="37"/>
              <w:adjustRightInd w:val="0"/>
              <w:rPr>
                <w:color w:val="auto"/>
                <w:highlight w:val="none"/>
              </w:rPr>
            </w:pPr>
            <w:r>
              <w:rPr>
                <w:color w:val="auto"/>
                <w:highlight w:val="none"/>
              </w:rPr>
              <w:t>1小时平均</w:t>
            </w:r>
          </w:p>
        </w:tc>
        <w:tc>
          <w:tcPr>
            <w:tcW w:w="874" w:type="pct"/>
            <w:vAlign w:val="center"/>
          </w:tcPr>
          <w:p w14:paraId="4BAA7584">
            <w:pPr>
              <w:pStyle w:val="37"/>
              <w:adjustRightInd w:val="0"/>
              <w:rPr>
                <w:color w:val="auto"/>
                <w:highlight w:val="none"/>
              </w:rPr>
            </w:pPr>
            <w:r>
              <w:rPr>
                <w:color w:val="auto"/>
                <w:highlight w:val="none"/>
              </w:rPr>
              <w:t>10</w:t>
            </w:r>
          </w:p>
        </w:tc>
        <w:tc>
          <w:tcPr>
            <w:tcW w:w="1793" w:type="pct"/>
            <w:vMerge w:val="continue"/>
            <w:vAlign w:val="center"/>
          </w:tcPr>
          <w:p w14:paraId="656B1D05">
            <w:pPr>
              <w:pStyle w:val="37"/>
              <w:adjustRightInd w:val="0"/>
              <w:rPr>
                <w:color w:val="auto"/>
                <w:highlight w:val="none"/>
              </w:rPr>
            </w:pPr>
          </w:p>
        </w:tc>
      </w:tr>
      <w:tr w14:paraId="103F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50E9E3AE">
            <w:pPr>
              <w:pStyle w:val="37"/>
              <w:adjustRightInd w:val="0"/>
              <w:rPr>
                <w:color w:val="auto"/>
                <w:highlight w:val="none"/>
              </w:rPr>
            </w:pPr>
          </w:p>
        </w:tc>
        <w:tc>
          <w:tcPr>
            <w:tcW w:w="781" w:type="pct"/>
            <w:vMerge w:val="continue"/>
            <w:vAlign w:val="center"/>
          </w:tcPr>
          <w:p w14:paraId="37D061F4">
            <w:pPr>
              <w:pStyle w:val="37"/>
              <w:adjustRightInd w:val="0"/>
              <w:rPr>
                <w:color w:val="auto"/>
                <w:highlight w:val="none"/>
              </w:rPr>
            </w:pPr>
          </w:p>
        </w:tc>
        <w:tc>
          <w:tcPr>
            <w:tcW w:w="1124" w:type="pct"/>
            <w:vAlign w:val="center"/>
          </w:tcPr>
          <w:p w14:paraId="504A9C04">
            <w:pPr>
              <w:pStyle w:val="37"/>
              <w:adjustRightInd w:val="0"/>
              <w:rPr>
                <w:color w:val="auto"/>
                <w:highlight w:val="none"/>
              </w:rPr>
            </w:pPr>
            <w:r>
              <w:rPr>
                <w:color w:val="auto"/>
                <w:highlight w:val="none"/>
              </w:rPr>
              <w:t>24小时平均</w:t>
            </w:r>
          </w:p>
        </w:tc>
        <w:tc>
          <w:tcPr>
            <w:tcW w:w="874" w:type="pct"/>
            <w:vAlign w:val="center"/>
          </w:tcPr>
          <w:p w14:paraId="59501F24">
            <w:pPr>
              <w:pStyle w:val="37"/>
              <w:adjustRightInd w:val="0"/>
              <w:rPr>
                <w:color w:val="auto"/>
                <w:highlight w:val="none"/>
              </w:rPr>
            </w:pPr>
            <w:r>
              <w:rPr>
                <w:color w:val="auto"/>
                <w:highlight w:val="none"/>
              </w:rPr>
              <w:t>4</w:t>
            </w:r>
          </w:p>
        </w:tc>
        <w:tc>
          <w:tcPr>
            <w:tcW w:w="1793" w:type="pct"/>
            <w:vMerge w:val="continue"/>
            <w:vAlign w:val="center"/>
          </w:tcPr>
          <w:p w14:paraId="71C7922D">
            <w:pPr>
              <w:pStyle w:val="37"/>
              <w:adjustRightInd w:val="0"/>
              <w:rPr>
                <w:color w:val="auto"/>
                <w:highlight w:val="none"/>
              </w:rPr>
            </w:pPr>
          </w:p>
        </w:tc>
      </w:tr>
      <w:tr w14:paraId="482D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7568CFBB">
            <w:pPr>
              <w:pStyle w:val="37"/>
              <w:adjustRightInd w:val="0"/>
              <w:rPr>
                <w:color w:val="auto"/>
                <w:highlight w:val="none"/>
              </w:rPr>
            </w:pPr>
            <w:r>
              <w:rPr>
                <w:color w:val="auto"/>
                <w:highlight w:val="none"/>
              </w:rPr>
              <w:t>6</w:t>
            </w:r>
          </w:p>
        </w:tc>
        <w:tc>
          <w:tcPr>
            <w:tcW w:w="781" w:type="pct"/>
            <w:vMerge w:val="restart"/>
            <w:vAlign w:val="center"/>
          </w:tcPr>
          <w:p w14:paraId="50F6390F">
            <w:pPr>
              <w:pStyle w:val="37"/>
              <w:adjustRightInd w:val="0"/>
              <w:rPr>
                <w:color w:val="auto"/>
                <w:highlight w:val="none"/>
              </w:rPr>
            </w:pPr>
            <w:r>
              <w:rPr>
                <w:color w:val="auto"/>
                <w:highlight w:val="none"/>
              </w:rPr>
              <w:t>O</w:t>
            </w:r>
            <w:r>
              <w:rPr>
                <w:color w:val="auto"/>
                <w:highlight w:val="none"/>
                <w:vertAlign w:val="subscript"/>
              </w:rPr>
              <w:t>3</w:t>
            </w:r>
          </w:p>
        </w:tc>
        <w:tc>
          <w:tcPr>
            <w:tcW w:w="1124" w:type="pct"/>
            <w:vAlign w:val="center"/>
          </w:tcPr>
          <w:p w14:paraId="10F7E5AB">
            <w:pPr>
              <w:pStyle w:val="37"/>
              <w:adjustRightInd w:val="0"/>
              <w:rPr>
                <w:color w:val="auto"/>
                <w:highlight w:val="none"/>
              </w:rPr>
            </w:pPr>
            <w:r>
              <w:rPr>
                <w:color w:val="auto"/>
                <w:highlight w:val="none"/>
              </w:rPr>
              <w:t>日最大8小时平均</w:t>
            </w:r>
          </w:p>
        </w:tc>
        <w:tc>
          <w:tcPr>
            <w:tcW w:w="874" w:type="pct"/>
            <w:vAlign w:val="center"/>
          </w:tcPr>
          <w:p w14:paraId="11329635">
            <w:pPr>
              <w:pStyle w:val="37"/>
              <w:adjustRightInd w:val="0"/>
              <w:rPr>
                <w:color w:val="auto"/>
                <w:highlight w:val="none"/>
              </w:rPr>
            </w:pPr>
            <w:r>
              <w:rPr>
                <w:color w:val="auto"/>
                <w:highlight w:val="none"/>
              </w:rPr>
              <w:t>160</w:t>
            </w:r>
          </w:p>
        </w:tc>
        <w:tc>
          <w:tcPr>
            <w:tcW w:w="1793" w:type="pct"/>
            <w:vMerge w:val="continue"/>
            <w:vAlign w:val="center"/>
          </w:tcPr>
          <w:p w14:paraId="5CB934DC">
            <w:pPr>
              <w:pStyle w:val="37"/>
              <w:adjustRightInd w:val="0"/>
              <w:rPr>
                <w:color w:val="auto"/>
                <w:highlight w:val="none"/>
              </w:rPr>
            </w:pPr>
          </w:p>
        </w:tc>
      </w:tr>
      <w:tr w14:paraId="5C29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20E9FA3E">
            <w:pPr>
              <w:pStyle w:val="37"/>
              <w:adjustRightInd w:val="0"/>
              <w:rPr>
                <w:color w:val="auto"/>
                <w:highlight w:val="none"/>
              </w:rPr>
            </w:pPr>
          </w:p>
        </w:tc>
        <w:tc>
          <w:tcPr>
            <w:tcW w:w="781" w:type="pct"/>
            <w:vMerge w:val="continue"/>
            <w:vAlign w:val="center"/>
          </w:tcPr>
          <w:p w14:paraId="4B31D252">
            <w:pPr>
              <w:pStyle w:val="37"/>
              <w:adjustRightInd w:val="0"/>
              <w:rPr>
                <w:color w:val="auto"/>
                <w:highlight w:val="none"/>
              </w:rPr>
            </w:pPr>
          </w:p>
        </w:tc>
        <w:tc>
          <w:tcPr>
            <w:tcW w:w="1124" w:type="pct"/>
            <w:vAlign w:val="center"/>
          </w:tcPr>
          <w:p w14:paraId="515E7DA9">
            <w:pPr>
              <w:pStyle w:val="37"/>
              <w:adjustRightInd w:val="0"/>
              <w:rPr>
                <w:color w:val="auto"/>
                <w:highlight w:val="none"/>
              </w:rPr>
            </w:pPr>
            <w:r>
              <w:rPr>
                <w:color w:val="auto"/>
                <w:highlight w:val="none"/>
              </w:rPr>
              <w:t>1小时平均</w:t>
            </w:r>
          </w:p>
        </w:tc>
        <w:tc>
          <w:tcPr>
            <w:tcW w:w="874" w:type="pct"/>
            <w:vAlign w:val="center"/>
          </w:tcPr>
          <w:p w14:paraId="3107AF7C">
            <w:pPr>
              <w:pStyle w:val="37"/>
              <w:adjustRightInd w:val="0"/>
              <w:rPr>
                <w:color w:val="auto"/>
                <w:highlight w:val="none"/>
              </w:rPr>
            </w:pPr>
            <w:r>
              <w:rPr>
                <w:color w:val="auto"/>
                <w:highlight w:val="none"/>
              </w:rPr>
              <w:t>200</w:t>
            </w:r>
          </w:p>
        </w:tc>
        <w:tc>
          <w:tcPr>
            <w:tcW w:w="1793" w:type="pct"/>
            <w:vMerge w:val="continue"/>
            <w:vAlign w:val="center"/>
          </w:tcPr>
          <w:p w14:paraId="0EE401E4">
            <w:pPr>
              <w:pStyle w:val="37"/>
              <w:adjustRightInd w:val="0"/>
              <w:rPr>
                <w:color w:val="auto"/>
                <w:highlight w:val="none"/>
              </w:rPr>
            </w:pPr>
          </w:p>
        </w:tc>
      </w:tr>
      <w:tr w14:paraId="2A02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restart"/>
            <w:vAlign w:val="center"/>
          </w:tcPr>
          <w:p w14:paraId="339B9F1B">
            <w:pPr>
              <w:pStyle w:val="37"/>
              <w:adjustRightInd w:val="0"/>
              <w:rPr>
                <w:color w:val="auto"/>
                <w:highlight w:val="none"/>
              </w:rPr>
            </w:pPr>
            <w:r>
              <w:rPr>
                <w:color w:val="auto"/>
                <w:highlight w:val="none"/>
              </w:rPr>
              <w:t>7</w:t>
            </w:r>
          </w:p>
        </w:tc>
        <w:tc>
          <w:tcPr>
            <w:tcW w:w="781" w:type="pct"/>
            <w:vMerge w:val="restart"/>
            <w:vAlign w:val="center"/>
          </w:tcPr>
          <w:p w14:paraId="74339D08">
            <w:pPr>
              <w:pStyle w:val="37"/>
              <w:adjustRightInd w:val="0"/>
              <w:rPr>
                <w:color w:val="auto"/>
                <w:highlight w:val="none"/>
              </w:rPr>
            </w:pPr>
            <w:r>
              <w:rPr>
                <w:color w:val="auto"/>
                <w:highlight w:val="none"/>
              </w:rPr>
              <w:t>TSP</w:t>
            </w:r>
          </w:p>
        </w:tc>
        <w:tc>
          <w:tcPr>
            <w:tcW w:w="1124" w:type="pct"/>
            <w:vAlign w:val="center"/>
          </w:tcPr>
          <w:p w14:paraId="7B1C2E05">
            <w:pPr>
              <w:pStyle w:val="37"/>
              <w:adjustRightInd w:val="0"/>
              <w:rPr>
                <w:color w:val="auto"/>
                <w:highlight w:val="none"/>
              </w:rPr>
            </w:pPr>
            <w:r>
              <w:rPr>
                <w:color w:val="auto"/>
                <w:highlight w:val="none"/>
              </w:rPr>
              <w:t>年平均</w:t>
            </w:r>
          </w:p>
        </w:tc>
        <w:tc>
          <w:tcPr>
            <w:tcW w:w="874" w:type="pct"/>
            <w:vAlign w:val="center"/>
          </w:tcPr>
          <w:p w14:paraId="031E683C">
            <w:pPr>
              <w:pStyle w:val="37"/>
              <w:adjustRightInd w:val="0"/>
              <w:rPr>
                <w:color w:val="auto"/>
                <w:highlight w:val="none"/>
              </w:rPr>
            </w:pPr>
            <w:r>
              <w:rPr>
                <w:color w:val="auto"/>
                <w:highlight w:val="none"/>
              </w:rPr>
              <w:t>200</w:t>
            </w:r>
          </w:p>
        </w:tc>
        <w:tc>
          <w:tcPr>
            <w:tcW w:w="1793" w:type="pct"/>
            <w:vMerge w:val="continue"/>
            <w:vAlign w:val="center"/>
          </w:tcPr>
          <w:p w14:paraId="4091875C">
            <w:pPr>
              <w:pStyle w:val="37"/>
              <w:adjustRightInd w:val="0"/>
              <w:rPr>
                <w:color w:val="auto"/>
                <w:highlight w:val="none"/>
              </w:rPr>
            </w:pPr>
          </w:p>
        </w:tc>
      </w:tr>
      <w:tr w14:paraId="31FD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Merge w:val="continue"/>
            <w:vAlign w:val="center"/>
          </w:tcPr>
          <w:p w14:paraId="43854D48">
            <w:pPr>
              <w:pStyle w:val="37"/>
              <w:adjustRightInd w:val="0"/>
              <w:rPr>
                <w:color w:val="auto"/>
                <w:highlight w:val="none"/>
              </w:rPr>
            </w:pPr>
          </w:p>
        </w:tc>
        <w:tc>
          <w:tcPr>
            <w:tcW w:w="781" w:type="pct"/>
            <w:vMerge w:val="continue"/>
            <w:vAlign w:val="center"/>
          </w:tcPr>
          <w:p w14:paraId="6BF2A862">
            <w:pPr>
              <w:pStyle w:val="37"/>
              <w:adjustRightInd w:val="0"/>
              <w:rPr>
                <w:color w:val="auto"/>
                <w:highlight w:val="none"/>
              </w:rPr>
            </w:pPr>
          </w:p>
        </w:tc>
        <w:tc>
          <w:tcPr>
            <w:tcW w:w="1124" w:type="pct"/>
            <w:vAlign w:val="center"/>
          </w:tcPr>
          <w:p w14:paraId="5732A0A6">
            <w:pPr>
              <w:pStyle w:val="37"/>
              <w:adjustRightInd w:val="0"/>
              <w:rPr>
                <w:color w:val="auto"/>
                <w:highlight w:val="none"/>
              </w:rPr>
            </w:pPr>
            <w:r>
              <w:rPr>
                <w:color w:val="auto"/>
                <w:highlight w:val="none"/>
              </w:rPr>
              <w:t>24小时平均</w:t>
            </w:r>
          </w:p>
        </w:tc>
        <w:tc>
          <w:tcPr>
            <w:tcW w:w="874" w:type="pct"/>
            <w:vAlign w:val="center"/>
          </w:tcPr>
          <w:p w14:paraId="4C49F39E">
            <w:pPr>
              <w:pStyle w:val="37"/>
              <w:adjustRightInd w:val="0"/>
              <w:rPr>
                <w:color w:val="auto"/>
                <w:highlight w:val="none"/>
              </w:rPr>
            </w:pPr>
            <w:r>
              <w:rPr>
                <w:color w:val="auto"/>
                <w:highlight w:val="none"/>
              </w:rPr>
              <w:t>300</w:t>
            </w:r>
          </w:p>
        </w:tc>
        <w:tc>
          <w:tcPr>
            <w:tcW w:w="1793" w:type="pct"/>
            <w:vMerge w:val="continue"/>
            <w:vAlign w:val="center"/>
          </w:tcPr>
          <w:p w14:paraId="4C13E324">
            <w:pPr>
              <w:pStyle w:val="37"/>
              <w:adjustRightInd w:val="0"/>
              <w:rPr>
                <w:color w:val="auto"/>
                <w:highlight w:val="none"/>
              </w:rPr>
            </w:pPr>
          </w:p>
        </w:tc>
      </w:tr>
    </w:tbl>
    <w:p w14:paraId="6FE4EB43">
      <w:pPr>
        <w:pStyle w:val="5"/>
        <w:adjustRightInd w:val="0"/>
        <w:rPr>
          <w:rFonts w:cs="Times New Roman"/>
          <w:color w:val="auto"/>
          <w:highlight w:val="none"/>
        </w:rPr>
      </w:pPr>
      <w:r>
        <w:rPr>
          <w:rFonts w:cs="Times New Roman"/>
          <w:color w:val="auto"/>
          <w:highlight w:val="none"/>
        </w:rPr>
        <w:t>声环境</w:t>
      </w:r>
    </w:p>
    <w:p w14:paraId="3C22535D">
      <w:pPr>
        <w:adjustRightInd w:val="0"/>
        <w:ind w:firstLine="480"/>
        <w:rPr>
          <w:rFonts w:cs="Times New Roman"/>
          <w:color w:val="auto"/>
          <w:highlight w:val="none"/>
        </w:rPr>
      </w:pPr>
      <w:r>
        <w:rPr>
          <w:rFonts w:cs="Times New Roman"/>
          <w:color w:val="auto"/>
          <w:highlight w:val="none"/>
        </w:rPr>
        <w:t>厂界声环境质量标准执行《声环境质量标准》（GB3096-2008）中的3类标准，具体如下表所示。</w:t>
      </w:r>
    </w:p>
    <w:p w14:paraId="0BE4F187">
      <w:pPr>
        <w:pStyle w:val="12"/>
        <w:keepNext w:val="0"/>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38</w:t>
      </w:r>
      <w:r>
        <w:rPr>
          <w:rFonts w:cs="Times New Roman"/>
          <w:color w:val="auto"/>
          <w:highlight w:val="none"/>
        </w:rPr>
        <w:fldChar w:fldCharType="end"/>
      </w:r>
      <w:r>
        <w:rPr>
          <w:rFonts w:cs="Times New Roman"/>
          <w:bCs/>
          <w:color w:val="auto"/>
          <w:kern w:val="21"/>
          <w:szCs w:val="21"/>
          <w:highlight w:val="none"/>
        </w:rPr>
        <w:t>声环境质量标准 单位：dB（A）</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8"/>
        <w:gridCol w:w="2130"/>
        <w:gridCol w:w="2128"/>
        <w:gridCol w:w="2131"/>
      </w:tblGrid>
      <w:tr w14:paraId="26973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49" w:type="pct"/>
            <w:vMerge w:val="restart"/>
            <w:vAlign w:val="center"/>
          </w:tcPr>
          <w:p w14:paraId="69127A3E">
            <w:pPr>
              <w:pStyle w:val="37"/>
              <w:adjustRightInd w:val="0"/>
              <w:rPr>
                <w:b/>
                <w:bCs/>
                <w:color w:val="auto"/>
                <w:highlight w:val="none"/>
              </w:rPr>
            </w:pPr>
            <w:r>
              <w:rPr>
                <w:b/>
                <w:bCs/>
                <w:color w:val="auto"/>
                <w:highlight w:val="none"/>
              </w:rPr>
              <w:t>项目</w:t>
            </w:r>
          </w:p>
        </w:tc>
        <w:tc>
          <w:tcPr>
            <w:tcW w:w="1250" w:type="pct"/>
            <w:vMerge w:val="restart"/>
            <w:vAlign w:val="center"/>
          </w:tcPr>
          <w:p w14:paraId="04E89131">
            <w:pPr>
              <w:pStyle w:val="37"/>
              <w:adjustRightInd w:val="0"/>
              <w:rPr>
                <w:b/>
                <w:bCs/>
                <w:color w:val="auto"/>
                <w:highlight w:val="none"/>
              </w:rPr>
            </w:pPr>
            <w:r>
              <w:rPr>
                <w:b/>
                <w:bCs/>
                <w:color w:val="auto"/>
                <w:highlight w:val="none"/>
              </w:rPr>
              <w:t>执行标准类别</w:t>
            </w:r>
          </w:p>
        </w:tc>
        <w:tc>
          <w:tcPr>
            <w:tcW w:w="2500" w:type="pct"/>
            <w:gridSpan w:val="2"/>
            <w:vAlign w:val="center"/>
          </w:tcPr>
          <w:p w14:paraId="6916B128">
            <w:pPr>
              <w:pStyle w:val="37"/>
              <w:adjustRightInd w:val="0"/>
              <w:rPr>
                <w:b/>
                <w:bCs/>
                <w:color w:val="auto"/>
                <w:highlight w:val="none"/>
              </w:rPr>
            </w:pPr>
            <w:r>
              <w:rPr>
                <w:b/>
                <w:bCs/>
                <w:color w:val="auto"/>
                <w:highlight w:val="none"/>
              </w:rPr>
              <w:t>标准值</w:t>
            </w:r>
          </w:p>
        </w:tc>
      </w:tr>
      <w:tr w14:paraId="08F46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249" w:type="pct"/>
            <w:vMerge w:val="continue"/>
            <w:vAlign w:val="center"/>
          </w:tcPr>
          <w:p w14:paraId="128F5C03">
            <w:pPr>
              <w:pStyle w:val="37"/>
              <w:adjustRightInd w:val="0"/>
              <w:rPr>
                <w:color w:val="auto"/>
                <w:highlight w:val="none"/>
              </w:rPr>
            </w:pPr>
          </w:p>
        </w:tc>
        <w:tc>
          <w:tcPr>
            <w:tcW w:w="1250" w:type="pct"/>
            <w:vMerge w:val="continue"/>
            <w:vAlign w:val="center"/>
          </w:tcPr>
          <w:p w14:paraId="20C989BA">
            <w:pPr>
              <w:pStyle w:val="37"/>
              <w:adjustRightInd w:val="0"/>
              <w:rPr>
                <w:color w:val="auto"/>
                <w:highlight w:val="none"/>
              </w:rPr>
            </w:pPr>
          </w:p>
        </w:tc>
        <w:tc>
          <w:tcPr>
            <w:tcW w:w="1249" w:type="pct"/>
            <w:vAlign w:val="center"/>
          </w:tcPr>
          <w:p w14:paraId="6EB5659B">
            <w:pPr>
              <w:pStyle w:val="37"/>
              <w:adjustRightInd w:val="0"/>
              <w:rPr>
                <w:b/>
                <w:bCs/>
                <w:color w:val="auto"/>
                <w:highlight w:val="none"/>
              </w:rPr>
            </w:pPr>
            <w:r>
              <w:rPr>
                <w:b/>
                <w:bCs/>
                <w:color w:val="auto"/>
                <w:highlight w:val="none"/>
              </w:rPr>
              <w:t>昼间</w:t>
            </w:r>
          </w:p>
        </w:tc>
        <w:tc>
          <w:tcPr>
            <w:tcW w:w="1251" w:type="pct"/>
            <w:vAlign w:val="center"/>
          </w:tcPr>
          <w:p w14:paraId="4007DEA0">
            <w:pPr>
              <w:pStyle w:val="37"/>
              <w:adjustRightInd w:val="0"/>
              <w:rPr>
                <w:b/>
                <w:bCs/>
                <w:color w:val="auto"/>
                <w:highlight w:val="none"/>
              </w:rPr>
            </w:pPr>
            <w:r>
              <w:rPr>
                <w:b/>
                <w:bCs/>
                <w:color w:val="auto"/>
                <w:highlight w:val="none"/>
              </w:rPr>
              <w:t>夜间</w:t>
            </w:r>
          </w:p>
        </w:tc>
      </w:tr>
      <w:tr w14:paraId="3177A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49" w:type="pct"/>
            <w:vAlign w:val="center"/>
          </w:tcPr>
          <w:p w14:paraId="235CE868">
            <w:pPr>
              <w:pStyle w:val="37"/>
              <w:adjustRightInd w:val="0"/>
              <w:rPr>
                <w:color w:val="auto"/>
                <w:highlight w:val="none"/>
              </w:rPr>
            </w:pPr>
            <w:r>
              <w:rPr>
                <w:color w:val="auto"/>
                <w:highlight w:val="none"/>
              </w:rPr>
              <w:t>LAeq</w:t>
            </w:r>
          </w:p>
        </w:tc>
        <w:tc>
          <w:tcPr>
            <w:tcW w:w="1250" w:type="pct"/>
            <w:vAlign w:val="center"/>
          </w:tcPr>
          <w:p w14:paraId="3E4CB42D">
            <w:pPr>
              <w:pStyle w:val="37"/>
              <w:adjustRightInd w:val="0"/>
              <w:rPr>
                <w:color w:val="auto"/>
                <w:highlight w:val="none"/>
              </w:rPr>
            </w:pPr>
            <w:r>
              <w:rPr>
                <w:color w:val="auto"/>
                <w:highlight w:val="none"/>
              </w:rPr>
              <w:t>3类</w:t>
            </w:r>
          </w:p>
        </w:tc>
        <w:tc>
          <w:tcPr>
            <w:tcW w:w="1249" w:type="pct"/>
            <w:vAlign w:val="center"/>
          </w:tcPr>
          <w:p w14:paraId="1FA8E663">
            <w:pPr>
              <w:pStyle w:val="37"/>
              <w:adjustRightInd w:val="0"/>
              <w:rPr>
                <w:color w:val="auto"/>
                <w:highlight w:val="none"/>
              </w:rPr>
            </w:pPr>
            <w:r>
              <w:rPr>
                <w:color w:val="auto"/>
                <w:highlight w:val="none"/>
              </w:rPr>
              <w:t>65</w:t>
            </w:r>
          </w:p>
        </w:tc>
        <w:tc>
          <w:tcPr>
            <w:tcW w:w="1251" w:type="pct"/>
            <w:vAlign w:val="center"/>
          </w:tcPr>
          <w:p w14:paraId="2D9B14BF">
            <w:pPr>
              <w:pStyle w:val="37"/>
              <w:adjustRightInd w:val="0"/>
              <w:rPr>
                <w:color w:val="auto"/>
                <w:highlight w:val="none"/>
              </w:rPr>
            </w:pPr>
            <w:r>
              <w:rPr>
                <w:color w:val="auto"/>
                <w:highlight w:val="none"/>
              </w:rPr>
              <w:t>55</w:t>
            </w:r>
          </w:p>
        </w:tc>
      </w:tr>
    </w:tbl>
    <w:p w14:paraId="55507D88">
      <w:pPr>
        <w:pStyle w:val="5"/>
        <w:adjustRightInd w:val="0"/>
        <w:rPr>
          <w:rFonts w:cs="Times New Roman"/>
          <w:color w:val="auto"/>
          <w:highlight w:val="none"/>
        </w:rPr>
      </w:pPr>
      <w:r>
        <w:rPr>
          <w:rFonts w:cs="Times New Roman"/>
          <w:color w:val="auto"/>
          <w:highlight w:val="none"/>
        </w:rPr>
        <w:t>地下水环境</w:t>
      </w:r>
    </w:p>
    <w:p w14:paraId="0BECB183">
      <w:pPr>
        <w:adjustRightInd w:val="0"/>
        <w:ind w:firstLine="480"/>
        <w:rPr>
          <w:rFonts w:cs="Times New Roman"/>
          <w:color w:val="auto"/>
          <w:highlight w:val="none"/>
        </w:rPr>
      </w:pPr>
      <w:r>
        <w:rPr>
          <w:rFonts w:cs="Times New Roman"/>
          <w:color w:val="auto"/>
          <w:highlight w:val="none"/>
        </w:rPr>
        <w:t>工业企业内的地下水环境质量执行《地下水质量标准》（GB/T 14848-2017）中的Ⅳ类标准，居民区内的地下水环境质量执行《地下水质量标准》（GB/T 14848-2017）中的Ⅲ类标准，具体如下表所示。</w:t>
      </w:r>
    </w:p>
    <w:p w14:paraId="12629FAC">
      <w:pPr>
        <w:pStyle w:val="12"/>
        <w:keepNext w:val="0"/>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39</w:t>
      </w:r>
      <w:r>
        <w:rPr>
          <w:rFonts w:cs="Times New Roman"/>
          <w:color w:val="auto"/>
          <w:highlight w:val="none"/>
        </w:rPr>
        <w:fldChar w:fldCharType="end"/>
      </w:r>
      <w:r>
        <w:rPr>
          <w:rFonts w:cs="Times New Roman"/>
          <w:bCs/>
          <w:color w:val="auto"/>
          <w:kern w:val="21"/>
          <w:szCs w:val="21"/>
          <w:highlight w:val="none"/>
        </w:rPr>
        <w:t>地下水质量标准限值 单位：mg/L</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2328"/>
        <w:gridCol w:w="1725"/>
        <w:gridCol w:w="2062"/>
        <w:gridCol w:w="1744"/>
      </w:tblGrid>
      <w:tr w14:paraId="7AABF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tblHeader/>
          <w:jc w:val="center"/>
        </w:trPr>
        <w:tc>
          <w:tcPr>
            <w:tcW w:w="387" w:type="pct"/>
            <w:vAlign w:val="center"/>
          </w:tcPr>
          <w:p w14:paraId="6C943BFC">
            <w:pPr>
              <w:pStyle w:val="37"/>
              <w:adjustRightInd w:val="0"/>
              <w:rPr>
                <w:b/>
                <w:bCs/>
                <w:color w:val="auto"/>
                <w:highlight w:val="none"/>
              </w:rPr>
            </w:pPr>
            <w:r>
              <w:rPr>
                <w:b/>
                <w:bCs/>
                <w:color w:val="auto"/>
                <w:highlight w:val="none"/>
              </w:rPr>
              <w:t>序号</w:t>
            </w:r>
          </w:p>
        </w:tc>
        <w:tc>
          <w:tcPr>
            <w:tcW w:w="1365" w:type="pct"/>
            <w:vAlign w:val="center"/>
          </w:tcPr>
          <w:p w14:paraId="0DCE1CB9">
            <w:pPr>
              <w:pStyle w:val="37"/>
              <w:adjustRightInd w:val="0"/>
              <w:rPr>
                <w:b/>
                <w:bCs/>
                <w:color w:val="auto"/>
                <w:highlight w:val="none"/>
              </w:rPr>
            </w:pPr>
            <w:r>
              <w:rPr>
                <w:b/>
                <w:bCs/>
                <w:color w:val="auto"/>
                <w:highlight w:val="none"/>
              </w:rPr>
              <w:t>项目</w:t>
            </w:r>
          </w:p>
        </w:tc>
        <w:tc>
          <w:tcPr>
            <w:tcW w:w="1012" w:type="pct"/>
            <w:vAlign w:val="center"/>
          </w:tcPr>
          <w:p w14:paraId="3730A785">
            <w:pPr>
              <w:pStyle w:val="37"/>
              <w:adjustRightInd w:val="0"/>
              <w:rPr>
                <w:b/>
                <w:bCs/>
                <w:color w:val="auto"/>
                <w:highlight w:val="none"/>
              </w:rPr>
            </w:pPr>
            <w:r>
              <w:rPr>
                <w:b/>
                <w:bCs/>
                <w:color w:val="auto"/>
                <w:highlight w:val="none"/>
              </w:rPr>
              <w:t>Ⅲ类标准值</w:t>
            </w:r>
          </w:p>
        </w:tc>
        <w:tc>
          <w:tcPr>
            <w:tcW w:w="1210" w:type="pct"/>
            <w:vAlign w:val="center"/>
          </w:tcPr>
          <w:p w14:paraId="609769A3">
            <w:pPr>
              <w:pStyle w:val="37"/>
              <w:adjustRightInd w:val="0"/>
              <w:rPr>
                <w:b/>
                <w:bCs/>
                <w:color w:val="auto"/>
                <w:highlight w:val="none"/>
              </w:rPr>
            </w:pPr>
            <w:r>
              <w:rPr>
                <w:b/>
                <w:bCs/>
                <w:color w:val="auto"/>
                <w:highlight w:val="none"/>
              </w:rPr>
              <w:t>Ⅳ类标准值</w:t>
            </w:r>
          </w:p>
        </w:tc>
        <w:tc>
          <w:tcPr>
            <w:tcW w:w="1024" w:type="pct"/>
            <w:vAlign w:val="center"/>
          </w:tcPr>
          <w:p w14:paraId="2BBC87A1">
            <w:pPr>
              <w:pStyle w:val="37"/>
              <w:adjustRightInd w:val="0"/>
              <w:rPr>
                <w:b/>
                <w:bCs/>
                <w:color w:val="auto"/>
                <w:highlight w:val="none"/>
              </w:rPr>
            </w:pPr>
            <w:r>
              <w:rPr>
                <w:b/>
                <w:bCs/>
                <w:color w:val="auto"/>
                <w:highlight w:val="none"/>
              </w:rPr>
              <w:t>执行标准</w:t>
            </w:r>
          </w:p>
        </w:tc>
      </w:tr>
      <w:tr w14:paraId="47E6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3235F1A2">
            <w:pPr>
              <w:pStyle w:val="37"/>
              <w:adjustRightInd w:val="0"/>
              <w:rPr>
                <w:color w:val="auto"/>
                <w:highlight w:val="none"/>
              </w:rPr>
            </w:pPr>
            <w:r>
              <w:rPr>
                <w:color w:val="auto"/>
                <w:highlight w:val="none"/>
              </w:rPr>
              <w:t>1</w:t>
            </w:r>
          </w:p>
        </w:tc>
        <w:tc>
          <w:tcPr>
            <w:tcW w:w="1365" w:type="pct"/>
            <w:vAlign w:val="center"/>
          </w:tcPr>
          <w:p w14:paraId="5A839291">
            <w:pPr>
              <w:pStyle w:val="37"/>
              <w:adjustRightInd w:val="0"/>
              <w:rPr>
                <w:color w:val="auto"/>
                <w:highlight w:val="none"/>
              </w:rPr>
            </w:pPr>
            <w:r>
              <w:rPr>
                <w:color w:val="auto"/>
                <w:highlight w:val="none"/>
              </w:rPr>
              <w:t>pH（无量纲）</w:t>
            </w:r>
          </w:p>
        </w:tc>
        <w:tc>
          <w:tcPr>
            <w:tcW w:w="1012" w:type="pct"/>
            <w:vAlign w:val="center"/>
          </w:tcPr>
          <w:p w14:paraId="049A9FCB">
            <w:pPr>
              <w:pStyle w:val="37"/>
              <w:adjustRightInd w:val="0"/>
              <w:rPr>
                <w:color w:val="auto"/>
                <w:highlight w:val="none"/>
              </w:rPr>
            </w:pPr>
            <w:r>
              <w:rPr>
                <w:color w:val="auto"/>
                <w:highlight w:val="none"/>
              </w:rPr>
              <w:t>6.5~8.5</w:t>
            </w:r>
          </w:p>
        </w:tc>
        <w:tc>
          <w:tcPr>
            <w:tcW w:w="1210" w:type="pct"/>
            <w:vAlign w:val="center"/>
          </w:tcPr>
          <w:p w14:paraId="3AF0DD6D">
            <w:pPr>
              <w:pStyle w:val="37"/>
              <w:adjustRightInd w:val="0"/>
              <w:rPr>
                <w:color w:val="auto"/>
                <w:highlight w:val="none"/>
              </w:rPr>
            </w:pPr>
            <w:r>
              <w:rPr>
                <w:color w:val="auto"/>
                <w:highlight w:val="none"/>
              </w:rPr>
              <w:t>5.5-6.5，8.5-9</w:t>
            </w:r>
          </w:p>
        </w:tc>
        <w:tc>
          <w:tcPr>
            <w:tcW w:w="1024" w:type="pct"/>
            <w:vMerge w:val="restart"/>
            <w:vAlign w:val="center"/>
          </w:tcPr>
          <w:p w14:paraId="456B7EA8">
            <w:pPr>
              <w:pStyle w:val="37"/>
              <w:adjustRightInd w:val="0"/>
              <w:rPr>
                <w:color w:val="auto"/>
                <w:highlight w:val="none"/>
              </w:rPr>
            </w:pPr>
            <w:r>
              <w:rPr>
                <w:color w:val="auto"/>
                <w:highlight w:val="none"/>
              </w:rPr>
              <w:t>《地下水质量标准》（GB/T14848-2017）Ⅲ类、Ⅳ类标准</w:t>
            </w:r>
          </w:p>
        </w:tc>
      </w:tr>
      <w:tr w14:paraId="3752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B8521BC">
            <w:pPr>
              <w:pStyle w:val="37"/>
              <w:adjustRightInd w:val="0"/>
              <w:rPr>
                <w:color w:val="auto"/>
                <w:highlight w:val="none"/>
              </w:rPr>
            </w:pPr>
            <w:r>
              <w:rPr>
                <w:color w:val="auto"/>
                <w:highlight w:val="none"/>
              </w:rPr>
              <w:t>2</w:t>
            </w:r>
          </w:p>
        </w:tc>
        <w:tc>
          <w:tcPr>
            <w:tcW w:w="1365" w:type="pct"/>
            <w:vAlign w:val="center"/>
          </w:tcPr>
          <w:p w14:paraId="3D6C169E">
            <w:pPr>
              <w:pStyle w:val="37"/>
              <w:adjustRightInd w:val="0"/>
              <w:rPr>
                <w:color w:val="auto"/>
                <w:highlight w:val="none"/>
              </w:rPr>
            </w:pPr>
            <w:r>
              <w:rPr>
                <w:color w:val="auto"/>
                <w:highlight w:val="none"/>
              </w:rPr>
              <w:t>氨氮</w:t>
            </w:r>
          </w:p>
        </w:tc>
        <w:tc>
          <w:tcPr>
            <w:tcW w:w="1012" w:type="pct"/>
            <w:vAlign w:val="center"/>
          </w:tcPr>
          <w:p w14:paraId="76AC85D5">
            <w:pPr>
              <w:pStyle w:val="37"/>
              <w:adjustRightInd w:val="0"/>
              <w:rPr>
                <w:color w:val="auto"/>
                <w:highlight w:val="none"/>
              </w:rPr>
            </w:pPr>
            <w:r>
              <w:rPr>
                <w:color w:val="auto"/>
                <w:highlight w:val="none"/>
              </w:rPr>
              <w:t>0.5</w:t>
            </w:r>
          </w:p>
        </w:tc>
        <w:tc>
          <w:tcPr>
            <w:tcW w:w="1210" w:type="pct"/>
            <w:vAlign w:val="center"/>
          </w:tcPr>
          <w:p w14:paraId="539745CC">
            <w:pPr>
              <w:pStyle w:val="37"/>
              <w:adjustRightInd w:val="0"/>
              <w:rPr>
                <w:color w:val="auto"/>
                <w:highlight w:val="none"/>
              </w:rPr>
            </w:pPr>
            <w:r>
              <w:rPr>
                <w:color w:val="auto"/>
                <w:highlight w:val="none"/>
              </w:rPr>
              <w:t>1.5</w:t>
            </w:r>
          </w:p>
        </w:tc>
        <w:tc>
          <w:tcPr>
            <w:tcW w:w="1024" w:type="pct"/>
            <w:vMerge w:val="continue"/>
            <w:vAlign w:val="center"/>
          </w:tcPr>
          <w:p w14:paraId="6D5D820B">
            <w:pPr>
              <w:pStyle w:val="37"/>
              <w:adjustRightInd w:val="0"/>
              <w:rPr>
                <w:color w:val="auto"/>
                <w:highlight w:val="none"/>
              </w:rPr>
            </w:pPr>
          </w:p>
        </w:tc>
      </w:tr>
      <w:tr w14:paraId="18397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C7C2F61">
            <w:pPr>
              <w:pStyle w:val="37"/>
              <w:adjustRightInd w:val="0"/>
              <w:rPr>
                <w:color w:val="auto"/>
                <w:highlight w:val="none"/>
              </w:rPr>
            </w:pPr>
            <w:r>
              <w:rPr>
                <w:color w:val="auto"/>
                <w:highlight w:val="none"/>
              </w:rPr>
              <w:t>3</w:t>
            </w:r>
          </w:p>
        </w:tc>
        <w:tc>
          <w:tcPr>
            <w:tcW w:w="1365" w:type="pct"/>
            <w:vAlign w:val="center"/>
          </w:tcPr>
          <w:p w14:paraId="433291E0">
            <w:pPr>
              <w:pStyle w:val="37"/>
              <w:adjustRightInd w:val="0"/>
              <w:rPr>
                <w:color w:val="auto"/>
                <w:highlight w:val="none"/>
              </w:rPr>
            </w:pPr>
            <w:r>
              <w:rPr>
                <w:color w:val="auto"/>
                <w:highlight w:val="none"/>
              </w:rPr>
              <w:t>高锰酸盐指数（耗氧量）</w:t>
            </w:r>
          </w:p>
        </w:tc>
        <w:tc>
          <w:tcPr>
            <w:tcW w:w="1012" w:type="pct"/>
            <w:vAlign w:val="center"/>
          </w:tcPr>
          <w:p w14:paraId="06131F1C">
            <w:pPr>
              <w:pStyle w:val="37"/>
              <w:adjustRightInd w:val="0"/>
              <w:rPr>
                <w:color w:val="auto"/>
                <w:highlight w:val="none"/>
              </w:rPr>
            </w:pPr>
            <w:r>
              <w:rPr>
                <w:color w:val="auto"/>
                <w:highlight w:val="none"/>
              </w:rPr>
              <w:t>3.0</w:t>
            </w:r>
          </w:p>
        </w:tc>
        <w:tc>
          <w:tcPr>
            <w:tcW w:w="1210" w:type="pct"/>
            <w:vAlign w:val="center"/>
          </w:tcPr>
          <w:p w14:paraId="269D3BC2">
            <w:pPr>
              <w:pStyle w:val="37"/>
              <w:adjustRightInd w:val="0"/>
              <w:rPr>
                <w:color w:val="auto"/>
                <w:highlight w:val="none"/>
              </w:rPr>
            </w:pPr>
            <w:r>
              <w:rPr>
                <w:color w:val="auto"/>
                <w:highlight w:val="none"/>
              </w:rPr>
              <w:t>10</w:t>
            </w:r>
          </w:p>
        </w:tc>
        <w:tc>
          <w:tcPr>
            <w:tcW w:w="1024" w:type="pct"/>
            <w:vMerge w:val="continue"/>
            <w:vAlign w:val="center"/>
          </w:tcPr>
          <w:p w14:paraId="790A38FF">
            <w:pPr>
              <w:pStyle w:val="37"/>
              <w:adjustRightInd w:val="0"/>
              <w:rPr>
                <w:color w:val="auto"/>
                <w:highlight w:val="none"/>
              </w:rPr>
            </w:pPr>
          </w:p>
        </w:tc>
      </w:tr>
      <w:tr w14:paraId="464E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0D69A8C">
            <w:pPr>
              <w:pStyle w:val="37"/>
              <w:adjustRightInd w:val="0"/>
              <w:rPr>
                <w:color w:val="auto"/>
                <w:highlight w:val="none"/>
              </w:rPr>
            </w:pPr>
            <w:r>
              <w:rPr>
                <w:color w:val="auto"/>
                <w:highlight w:val="none"/>
              </w:rPr>
              <w:t>4</w:t>
            </w:r>
          </w:p>
        </w:tc>
        <w:tc>
          <w:tcPr>
            <w:tcW w:w="1365" w:type="pct"/>
            <w:vAlign w:val="center"/>
          </w:tcPr>
          <w:p w14:paraId="73F3CF50">
            <w:pPr>
              <w:pStyle w:val="37"/>
              <w:adjustRightInd w:val="0"/>
              <w:rPr>
                <w:color w:val="auto"/>
                <w:highlight w:val="none"/>
              </w:rPr>
            </w:pPr>
            <w:r>
              <w:rPr>
                <w:color w:val="auto"/>
                <w:highlight w:val="none"/>
              </w:rPr>
              <w:t>总硬度</w:t>
            </w:r>
          </w:p>
        </w:tc>
        <w:tc>
          <w:tcPr>
            <w:tcW w:w="1012" w:type="pct"/>
            <w:vAlign w:val="center"/>
          </w:tcPr>
          <w:p w14:paraId="6B6523F9">
            <w:pPr>
              <w:pStyle w:val="37"/>
              <w:adjustRightInd w:val="0"/>
              <w:rPr>
                <w:color w:val="auto"/>
                <w:highlight w:val="none"/>
              </w:rPr>
            </w:pPr>
            <w:r>
              <w:rPr>
                <w:color w:val="auto"/>
                <w:highlight w:val="none"/>
              </w:rPr>
              <w:t>450</w:t>
            </w:r>
          </w:p>
        </w:tc>
        <w:tc>
          <w:tcPr>
            <w:tcW w:w="1210" w:type="pct"/>
            <w:vAlign w:val="center"/>
          </w:tcPr>
          <w:p w14:paraId="222207A9">
            <w:pPr>
              <w:pStyle w:val="37"/>
              <w:adjustRightInd w:val="0"/>
              <w:rPr>
                <w:color w:val="auto"/>
                <w:highlight w:val="none"/>
              </w:rPr>
            </w:pPr>
            <w:r>
              <w:rPr>
                <w:color w:val="auto"/>
                <w:highlight w:val="none"/>
              </w:rPr>
              <w:t>650</w:t>
            </w:r>
          </w:p>
        </w:tc>
        <w:tc>
          <w:tcPr>
            <w:tcW w:w="1024" w:type="pct"/>
            <w:vMerge w:val="continue"/>
            <w:vAlign w:val="center"/>
          </w:tcPr>
          <w:p w14:paraId="0E8CB025">
            <w:pPr>
              <w:pStyle w:val="37"/>
              <w:adjustRightInd w:val="0"/>
              <w:rPr>
                <w:color w:val="auto"/>
                <w:highlight w:val="none"/>
              </w:rPr>
            </w:pPr>
          </w:p>
        </w:tc>
      </w:tr>
      <w:tr w14:paraId="07B8D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4164D3CB">
            <w:pPr>
              <w:pStyle w:val="37"/>
              <w:adjustRightInd w:val="0"/>
              <w:rPr>
                <w:color w:val="auto"/>
                <w:highlight w:val="none"/>
              </w:rPr>
            </w:pPr>
            <w:r>
              <w:rPr>
                <w:color w:val="auto"/>
                <w:highlight w:val="none"/>
              </w:rPr>
              <w:t>5</w:t>
            </w:r>
          </w:p>
        </w:tc>
        <w:tc>
          <w:tcPr>
            <w:tcW w:w="1365" w:type="pct"/>
            <w:vAlign w:val="center"/>
          </w:tcPr>
          <w:p w14:paraId="541DDEDF">
            <w:pPr>
              <w:pStyle w:val="37"/>
              <w:adjustRightInd w:val="0"/>
              <w:rPr>
                <w:color w:val="auto"/>
                <w:highlight w:val="none"/>
              </w:rPr>
            </w:pPr>
            <w:r>
              <w:rPr>
                <w:color w:val="auto"/>
                <w:highlight w:val="none"/>
              </w:rPr>
              <w:t>氯化物</w:t>
            </w:r>
          </w:p>
        </w:tc>
        <w:tc>
          <w:tcPr>
            <w:tcW w:w="1012" w:type="pct"/>
            <w:vAlign w:val="center"/>
          </w:tcPr>
          <w:p w14:paraId="18FBFFD5">
            <w:pPr>
              <w:pStyle w:val="37"/>
              <w:adjustRightInd w:val="0"/>
              <w:rPr>
                <w:color w:val="auto"/>
                <w:highlight w:val="none"/>
              </w:rPr>
            </w:pPr>
            <w:r>
              <w:rPr>
                <w:color w:val="auto"/>
                <w:highlight w:val="none"/>
              </w:rPr>
              <w:t>250</w:t>
            </w:r>
          </w:p>
        </w:tc>
        <w:tc>
          <w:tcPr>
            <w:tcW w:w="1210" w:type="pct"/>
            <w:vAlign w:val="center"/>
          </w:tcPr>
          <w:p w14:paraId="16925AA9">
            <w:pPr>
              <w:pStyle w:val="37"/>
              <w:adjustRightInd w:val="0"/>
              <w:rPr>
                <w:color w:val="auto"/>
                <w:highlight w:val="none"/>
              </w:rPr>
            </w:pPr>
            <w:r>
              <w:rPr>
                <w:color w:val="auto"/>
                <w:highlight w:val="none"/>
              </w:rPr>
              <w:t>350</w:t>
            </w:r>
          </w:p>
        </w:tc>
        <w:tc>
          <w:tcPr>
            <w:tcW w:w="1024" w:type="pct"/>
            <w:vMerge w:val="continue"/>
            <w:vAlign w:val="center"/>
          </w:tcPr>
          <w:p w14:paraId="07ACB56D">
            <w:pPr>
              <w:pStyle w:val="37"/>
              <w:adjustRightInd w:val="0"/>
              <w:rPr>
                <w:color w:val="auto"/>
                <w:highlight w:val="none"/>
              </w:rPr>
            </w:pPr>
          </w:p>
        </w:tc>
      </w:tr>
      <w:tr w14:paraId="71D7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59A84FFE">
            <w:pPr>
              <w:pStyle w:val="37"/>
              <w:adjustRightInd w:val="0"/>
              <w:rPr>
                <w:color w:val="auto"/>
                <w:highlight w:val="none"/>
              </w:rPr>
            </w:pPr>
            <w:r>
              <w:rPr>
                <w:color w:val="auto"/>
                <w:highlight w:val="none"/>
              </w:rPr>
              <w:t>6</w:t>
            </w:r>
          </w:p>
        </w:tc>
        <w:tc>
          <w:tcPr>
            <w:tcW w:w="1365" w:type="pct"/>
            <w:vAlign w:val="center"/>
          </w:tcPr>
          <w:p w14:paraId="2911A6A1">
            <w:pPr>
              <w:pStyle w:val="37"/>
              <w:adjustRightInd w:val="0"/>
              <w:rPr>
                <w:color w:val="auto"/>
                <w:highlight w:val="none"/>
              </w:rPr>
            </w:pPr>
            <w:r>
              <w:rPr>
                <w:color w:val="auto"/>
                <w:highlight w:val="none"/>
              </w:rPr>
              <w:t>硫酸盐</w:t>
            </w:r>
          </w:p>
        </w:tc>
        <w:tc>
          <w:tcPr>
            <w:tcW w:w="1012" w:type="pct"/>
            <w:vAlign w:val="center"/>
          </w:tcPr>
          <w:p w14:paraId="253242C9">
            <w:pPr>
              <w:pStyle w:val="37"/>
              <w:adjustRightInd w:val="0"/>
              <w:rPr>
                <w:color w:val="auto"/>
                <w:highlight w:val="none"/>
              </w:rPr>
            </w:pPr>
            <w:r>
              <w:rPr>
                <w:color w:val="auto"/>
                <w:highlight w:val="none"/>
              </w:rPr>
              <w:t>250</w:t>
            </w:r>
          </w:p>
        </w:tc>
        <w:tc>
          <w:tcPr>
            <w:tcW w:w="1210" w:type="pct"/>
            <w:vAlign w:val="center"/>
          </w:tcPr>
          <w:p w14:paraId="1438D9C3">
            <w:pPr>
              <w:pStyle w:val="37"/>
              <w:adjustRightInd w:val="0"/>
              <w:rPr>
                <w:color w:val="auto"/>
                <w:highlight w:val="none"/>
              </w:rPr>
            </w:pPr>
            <w:r>
              <w:rPr>
                <w:color w:val="auto"/>
                <w:highlight w:val="none"/>
              </w:rPr>
              <w:t>350</w:t>
            </w:r>
          </w:p>
        </w:tc>
        <w:tc>
          <w:tcPr>
            <w:tcW w:w="1024" w:type="pct"/>
            <w:vMerge w:val="continue"/>
            <w:vAlign w:val="center"/>
          </w:tcPr>
          <w:p w14:paraId="6406BEEA">
            <w:pPr>
              <w:pStyle w:val="37"/>
              <w:adjustRightInd w:val="0"/>
              <w:rPr>
                <w:color w:val="auto"/>
                <w:highlight w:val="none"/>
              </w:rPr>
            </w:pPr>
          </w:p>
        </w:tc>
      </w:tr>
      <w:tr w14:paraId="6A514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7" w:type="pct"/>
            <w:vAlign w:val="center"/>
          </w:tcPr>
          <w:p w14:paraId="637CE5F8">
            <w:pPr>
              <w:pStyle w:val="37"/>
              <w:adjustRightInd w:val="0"/>
              <w:rPr>
                <w:color w:val="auto"/>
                <w:highlight w:val="none"/>
              </w:rPr>
            </w:pPr>
            <w:r>
              <w:rPr>
                <w:color w:val="auto"/>
                <w:highlight w:val="none"/>
              </w:rPr>
              <w:t>7</w:t>
            </w:r>
          </w:p>
        </w:tc>
        <w:tc>
          <w:tcPr>
            <w:tcW w:w="1365" w:type="pct"/>
            <w:vAlign w:val="center"/>
          </w:tcPr>
          <w:p w14:paraId="498F43C5">
            <w:pPr>
              <w:pStyle w:val="37"/>
              <w:adjustRightInd w:val="0"/>
              <w:rPr>
                <w:color w:val="auto"/>
                <w:highlight w:val="none"/>
              </w:rPr>
            </w:pPr>
            <w:r>
              <w:rPr>
                <w:color w:val="auto"/>
                <w:highlight w:val="none"/>
              </w:rPr>
              <w:t>碱度（CO</w:t>
            </w:r>
            <w:r>
              <w:rPr>
                <w:color w:val="auto"/>
                <w:highlight w:val="none"/>
                <w:vertAlign w:val="subscript"/>
              </w:rPr>
              <w:t>3</w:t>
            </w:r>
            <w:r>
              <w:rPr>
                <w:color w:val="auto"/>
                <w:highlight w:val="none"/>
                <w:vertAlign w:val="superscript"/>
              </w:rPr>
              <w:t>2-</w:t>
            </w:r>
            <w:r>
              <w:rPr>
                <w:color w:val="auto"/>
                <w:highlight w:val="none"/>
              </w:rPr>
              <w:t>）</w:t>
            </w:r>
          </w:p>
        </w:tc>
        <w:tc>
          <w:tcPr>
            <w:tcW w:w="1012" w:type="pct"/>
            <w:vAlign w:val="center"/>
          </w:tcPr>
          <w:p w14:paraId="1827ACE4">
            <w:pPr>
              <w:pStyle w:val="37"/>
              <w:adjustRightInd w:val="0"/>
              <w:rPr>
                <w:color w:val="auto"/>
                <w:highlight w:val="none"/>
              </w:rPr>
            </w:pPr>
            <w:r>
              <w:rPr>
                <w:color w:val="auto"/>
                <w:highlight w:val="none"/>
              </w:rPr>
              <w:t>/</w:t>
            </w:r>
          </w:p>
        </w:tc>
        <w:tc>
          <w:tcPr>
            <w:tcW w:w="1210" w:type="pct"/>
            <w:vAlign w:val="center"/>
          </w:tcPr>
          <w:p w14:paraId="452075E1">
            <w:pPr>
              <w:pStyle w:val="37"/>
              <w:adjustRightInd w:val="0"/>
              <w:rPr>
                <w:color w:val="auto"/>
                <w:highlight w:val="none"/>
              </w:rPr>
            </w:pPr>
            <w:r>
              <w:rPr>
                <w:color w:val="auto"/>
                <w:highlight w:val="none"/>
              </w:rPr>
              <w:t>/</w:t>
            </w:r>
          </w:p>
        </w:tc>
        <w:tc>
          <w:tcPr>
            <w:tcW w:w="1024" w:type="pct"/>
            <w:vMerge w:val="continue"/>
            <w:vAlign w:val="center"/>
          </w:tcPr>
          <w:p w14:paraId="0957046B">
            <w:pPr>
              <w:pStyle w:val="37"/>
              <w:adjustRightInd w:val="0"/>
              <w:rPr>
                <w:color w:val="auto"/>
                <w:highlight w:val="none"/>
              </w:rPr>
            </w:pPr>
          </w:p>
        </w:tc>
      </w:tr>
      <w:tr w14:paraId="103DB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7" w:type="pct"/>
            <w:vAlign w:val="center"/>
          </w:tcPr>
          <w:p w14:paraId="4A5939BE">
            <w:pPr>
              <w:pStyle w:val="37"/>
              <w:adjustRightInd w:val="0"/>
              <w:rPr>
                <w:color w:val="auto"/>
                <w:highlight w:val="none"/>
              </w:rPr>
            </w:pPr>
            <w:r>
              <w:rPr>
                <w:color w:val="auto"/>
                <w:highlight w:val="none"/>
              </w:rPr>
              <w:t>8</w:t>
            </w:r>
          </w:p>
        </w:tc>
        <w:tc>
          <w:tcPr>
            <w:tcW w:w="1365" w:type="pct"/>
            <w:vAlign w:val="center"/>
          </w:tcPr>
          <w:p w14:paraId="5C09022B">
            <w:pPr>
              <w:pStyle w:val="37"/>
              <w:adjustRightInd w:val="0"/>
              <w:rPr>
                <w:color w:val="auto"/>
                <w:highlight w:val="none"/>
              </w:rPr>
            </w:pPr>
            <w:r>
              <w:rPr>
                <w:color w:val="auto"/>
                <w:highlight w:val="none"/>
              </w:rPr>
              <w:t>碱度（HCO</w:t>
            </w:r>
            <w:r>
              <w:rPr>
                <w:color w:val="auto"/>
                <w:highlight w:val="none"/>
                <w:vertAlign w:val="subscript"/>
              </w:rPr>
              <w:t>3</w:t>
            </w:r>
            <w:r>
              <w:rPr>
                <w:color w:val="auto"/>
                <w:highlight w:val="none"/>
                <w:vertAlign w:val="superscript"/>
              </w:rPr>
              <w:t>-</w:t>
            </w:r>
            <w:r>
              <w:rPr>
                <w:color w:val="auto"/>
                <w:highlight w:val="none"/>
              </w:rPr>
              <w:t>）</w:t>
            </w:r>
          </w:p>
        </w:tc>
        <w:tc>
          <w:tcPr>
            <w:tcW w:w="1012" w:type="pct"/>
            <w:vAlign w:val="center"/>
          </w:tcPr>
          <w:p w14:paraId="60A504C9">
            <w:pPr>
              <w:pStyle w:val="37"/>
              <w:adjustRightInd w:val="0"/>
              <w:rPr>
                <w:color w:val="auto"/>
                <w:highlight w:val="none"/>
              </w:rPr>
            </w:pPr>
            <w:r>
              <w:rPr>
                <w:color w:val="auto"/>
                <w:highlight w:val="none"/>
              </w:rPr>
              <w:t>/</w:t>
            </w:r>
          </w:p>
        </w:tc>
        <w:tc>
          <w:tcPr>
            <w:tcW w:w="1210" w:type="pct"/>
            <w:vAlign w:val="center"/>
          </w:tcPr>
          <w:p w14:paraId="35B572B4">
            <w:pPr>
              <w:pStyle w:val="37"/>
              <w:adjustRightInd w:val="0"/>
              <w:rPr>
                <w:color w:val="auto"/>
                <w:highlight w:val="none"/>
              </w:rPr>
            </w:pPr>
            <w:r>
              <w:rPr>
                <w:color w:val="auto"/>
                <w:highlight w:val="none"/>
              </w:rPr>
              <w:t>/</w:t>
            </w:r>
          </w:p>
        </w:tc>
        <w:tc>
          <w:tcPr>
            <w:tcW w:w="1024" w:type="pct"/>
            <w:vMerge w:val="continue"/>
            <w:vAlign w:val="center"/>
          </w:tcPr>
          <w:p w14:paraId="0CFE3B82">
            <w:pPr>
              <w:pStyle w:val="37"/>
              <w:adjustRightInd w:val="0"/>
              <w:rPr>
                <w:color w:val="auto"/>
                <w:highlight w:val="none"/>
              </w:rPr>
            </w:pPr>
          </w:p>
        </w:tc>
      </w:tr>
      <w:tr w14:paraId="31C7D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2A58ABB7">
            <w:pPr>
              <w:pStyle w:val="37"/>
              <w:adjustRightInd w:val="0"/>
              <w:rPr>
                <w:color w:val="auto"/>
                <w:highlight w:val="none"/>
              </w:rPr>
            </w:pPr>
            <w:r>
              <w:rPr>
                <w:color w:val="auto"/>
                <w:highlight w:val="none"/>
              </w:rPr>
              <w:t>9</w:t>
            </w:r>
          </w:p>
        </w:tc>
        <w:tc>
          <w:tcPr>
            <w:tcW w:w="1365" w:type="pct"/>
            <w:vAlign w:val="center"/>
          </w:tcPr>
          <w:p w14:paraId="26C05117">
            <w:pPr>
              <w:pStyle w:val="37"/>
              <w:adjustRightInd w:val="0"/>
              <w:rPr>
                <w:color w:val="auto"/>
                <w:highlight w:val="none"/>
              </w:rPr>
            </w:pPr>
            <w:r>
              <w:rPr>
                <w:color w:val="auto"/>
                <w:highlight w:val="none"/>
              </w:rPr>
              <w:t>挥发酚</w:t>
            </w:r>
          </w:p>
        </w:tc>
        <w:tc>
          <w:tcPr>
            <w:tcW w:w="1012" w:type="pct"/>
            <w:vAlign w:val="center"/>
          </w:tcPr>
          <w:p w14:paraId="3AF3AF61">
            <w:pPr>
              <w:pStyle w:val="37"/>
              <w:adjustRightInd w:val="0"/>
              <w:rPr>
                <w:color w:val="auto"/>
                <w:highlight w:val="none"/>
              </w:rPr>
            </w:pPr>
            <w:r>
              <w:rPr>
                <w:color w:val="auto"/>
                <w:highlight w:val="none"/>
              </w:rPr>
              <w:t>0.002</w:t>
            </w:r>
          </w:p>
        </w:tc>
        <w:tc>
          <w:tcPr>
            <w:tcW w:w="1210" w:type="pct"/>
            <w:vAlign w:val="center"/>
          </w:tcPr>
          <w:p w14:paraId="319BF5C7">
            <w:pPr>
              <w:pStyle w:val="37"/>
              <w:adjustRightInd w:val="0"/>
              <w:rPr>
                <w:color w:val="auto"/>
                <w:highlight w:val="none"/>
              </w:rPr>
            </w:pPr>
            <w:r>
              <w:rPr>
                <w:color w:val="auto"/>
                <w:highlight w:val="none"/>
              </w:rPr>
              <w:t>0.01</w:t>
            </w:r>
          </w:p>
        </w:tc>
        <w:tc>
          <w:tcPr>
            <w:tcW w:w="1024" w:type="pct"/>
            <w:vMerge w:val="continue"/>
            <w:vAlign w:val="center"/>
          </w:tcPr>
          <w:p w14:paraId="4730AF74">
            <w:pPr>
              <w:pStyle w:val="37"/>
              <w:adjustRightInd w:val="0"/>
              <w:rPr>
                <w:color w:val="auto"/>
                <w:highlight w:val="none"/>
              </w:rPr>
            </w:pPr>
          </w:p>
        </w:tc>
      </w:tr>
      <w:tr w14:paraId="2CCEA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5BC3692E">
            <w:pPr>
              <w:pStyle w:val="37"/>
              <w:adjustRightInd w:val="0"/>
              <w:rPr>
                <w:color w:val="auto"/>
                <w:highlight w:val="none"/>
              </w:rPr>
            </w:pPr>
            <w:r>
              <w:rPr>
                <w:color w:val="auto"/>
                <w:highlight w:val="none"/>
              </w:rPr>
              <w:t>10</w:t>
            </w:r>
          </w:p>
        </w:tc>
        <w:tc>
          <w:tcPr>
            <w:tcW w:w="1365" w:type="pct"/>
            <w:vAlign w:val="center"/>
          </w:tcPr>
          <w:p w14:paraId="72A6E38C">
            <w:pPr>
              <w:pStyle w:val="37"/>
              <w:adjustRightInd w:val="0"/>
              <w:rPr>
                <w:color w:val="auto"/>
                <w:highlight w:val="none"/>
              </w:rPr>
            </w:pPr>
            <w:r>
              <w:rPr>
                <w:color w:val="auto"/>
                <w:highlight w:val="none"/>
              </w:rPr>
              <w:t>钾</w:t>
            </w:r>
          </w:p>
        </w:tc>
        <w:tc>
          <w:tcPr>
            <w:tcW w:w="1012" w:type="pct"/>
            <w:vAlign w:val="center"/>
          </w:tcPr>
          <w:p w14:paraId="077469E6">
            <w:pPr>
              <w:pStyle w:val="37"/>
              <w:adjustRightInd w:val="0"/>
              <w:rPr>
                <w:color w:val="auto"/>
                <w:highlight w:val="none"/>
              </w:rPr>
            </w:pPr>
            <w:r>
              <w:rPr>
                <w:color w:val="auto"/>
                <w:highlight w:val="none"/>
              </w:rPr>
              <w:t>/</w:t>
            </w:r>
          </w:p>
        </w:tc>
        <w:tc>
          <w:tcPr>
            <w:tcW w:w="1210" w:type="pct"/>
            <w:vAlign w:val="center"/>
          </w:tcPr>
          <w:p w14:paraId="180F4FBC">
            <w:pPr>
              <w:pStyle w:val="37"/>
              <w:adjustRightInd w:val="0"/>
              <w:rPr>
                <w:color w:val="auto"/>
                <w:highlight w:val="none"/>
              </w:rPr>
            </w:pPr>
            <w:r>
              <w:rPr>
                <w:color w:val="auto"/>
                <w:highlight w:val="none"/>
              </w:rPr>
              <w:t>/</w:t>
            </w:r>
          </w:p>
        </w:tc>
        <w:tc>
          <w:tcPr>
            <w:tcW w:w="1024" w:type="pct"/>
            <w:vMerge w:val="continue"/>
            <w:vAlign w:val="center"/>
          </w:tcPr>
          <w:p w14:paraId="1E729519">
            <w:pPr>
              <w:pStyle w:val="37"/>
              <w:adjustRightInd w:val="0"/>
              <w:rPr>
                <w:color w:val="auto"/>
                <w:highlight w:val="none"/>
              </w:rPr>
            </w:pPr>
          </w:p>
        </w:tc>
      </w:tr>
      <w:tr w14:paraId="6487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0E66CAF3">
            <w:pPr>
              <w:pStyle w:val="37"/>
              <w:adjustRightInd w:val="0"/>
              <w:rPr>
                <w:color w:val="auto"/>
                <w:highlight w:val="none"/>
              </w:rPr>
            </w:pPr>
            <w:r>
              <w:rPr>
                <w:color w:val="auto"/>
                <w:highlight w:val="none"/>
              </w:rPr>
              <w:t>11</w:t>
            </w:r>
          </w:p>
        </w:tc>
        <w:tc>
          <w:tcPr>
            <w:tcW w:w="1365" w:type="pct"/>
            <w:vAlign w:val="center"/>
          </w:tcPr>
          <w:p w14:paraId="18847FC1">
            <w:pPr>
              <w:pStyle w:val="37"/>
              <w:adjustRightInd w:val="0"/>
              <w:rPr>
                <w:color w:val="auto"/>
                <w:highlight w:val="none"/>
              </w:rPr>
            </w:pPr>
            <w:r>
              <w:rPr>
                <w:color w:val="auto"/>
                <w:highlight w:val="none"/>
              </w:rPr>
              <w:t>钠</w:t>
            </w:r>
          </w:p>
        </w:tc>
        <w:tc>
          <w:tcPr>
            <w:tcW w:w="1012" w:type="pct"/>
            <w:vAlign w:val="center"/>
          </w:tcPr>
          <w:p w14:paraId="2E25E0C9">
            <w:pPr>
              <w:pStyle w:val="37"/>
              <w:adjustRightInd w:val="0"/>
              <w:rPr>
                <w:color w:val="auto"/>
                <w:highlight w:val="none"/>
              </w:rPr>
            </w:pPr>
            <w:r>
              <w:rPr>
                <w:color w:val="auto"/>
                <w:highlight w:val="none"/>
              </w:rPr>
              <w:t>200</w:t>
            </w:r>
          </w:p>
        </w:tc>
        <w:tc>
          <w:tcPr>
            <w:tcW w:w="1210" w:type="pct"/>
            <w:vAlign w:val="center"/>
          </w:tcPr>
          <w:p w14:paraId="7E2D5868">
            <w:pPr>
              <w:pStyle w:val="37"/>
              <w:adjustRightInd w:val="0"/>
              <w:rPr>
                <w:color w:val="auto"/>
                <w:highlight w:val="none"/>
              </w:rPr>
            </w:pPr>
            <w:r>
              <w:rPr>
                <w:color w:val="auto"/>
                <w:highlight w:val="none"/>
              </w:rPr>
              <w:t>400</w:t>
            </w:r>
          </w:p>
        </w:tc>
        <w:tc>
          <w:tcPr>
            <w:tcW w:w="1024" w:type="pct"/>
            <w:vMerge w:val="continue"/>
            <w:vAlign w:val="center"/>
          </w:tcPr>
          <w:p w14:paraId="2CA5825F">
            <w:pPr>
              <w:pStyle w:val="37"/>
              <w:adjustRightInd w:val="0"/>
              <w:rPr>
                <w:color w:val="auto"/>
                <w:highlight w:val="none"/>
              </w:rPr>
            </w:pPr>
          </w:p>
        </w:tc>
      </w:tr>
      <w:tr w14:paraId="01D7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3405F6AE">
            <w:pPr>
              <w:pStyle w:val="37"/>
              <w:adjustRightInd w:val="0"/>
              <w:rPr>
                <w:color w:val="auto"/>
                <w:highlight w:val="none"/>
              </w:rPr>
            </w:pPr>
            <w:r>
              <w:rPr>
                <w:color w:val="auto"/>
                <w:highlight w:val="none"/>
              </w:rPr>
              <w:t>12</w:t>
            </w:r>
          </w:p>
        </w:tc>
        <w:tc>
          <w:tcPr>
            <w:tcW w:w="1365" w:type="pct"/>
            <w:vAlign w:val="center"/>
          </w:tcPr>
          <w:p w14:paraId="63D55217">
            <w:pPr>
              <w:pStyle w:val="37"/>
              <w:adjustRightInd w:val="0"/>
              <w:rPr>
                <w:color w:val="auto"/>
                <w:highlight w:val="none"/>
              </w:rPr>
            </w:pPr>
            <w:r>
              <w:rPr>
                <w:color w:val="auto"/>
                <w:highlight w:val="none"/>
              </w:rPr>
              <w:t>钙</w:t>
            </w:r>
          </w:p>
        </w:tc>
        <w:tc>
          <w:tcPr>
            <w:tcW w:w="1012" w:type="pct"/>
            <w:vAlign w:val="center"/>
          </w:tcPr>
          <w:p w14:paraId="09BB373E">
            <w:pPr>
              <w:pStyle w:val="37"/>
              <w:adjustRightInd w:val="0"/>
              <w:rPr>
                <w:color w:val="auto"/>
                <w:highlight w:val="none"/>
              </w:rPr>
            </w:pPr>
            <w:r>
              <w:rPr>
                <w:color w:val="auto"/>
                <w:highlight w:val="none"/>
              </w:rPr>
              <w:t>/</w:t>
            </w:r>
          </w:p>
        </w:tc>
        <w:tc>
          <w:tcPr>
            <w:tcW w:w="1210" w:type="pct"/>
            <w:vAlign w:val="center"/>
          </w:tcPr>
          <w:p w14:paraId="6E42F4CD">
            <w:pPr>
              <w:pStyle w:val="37"/>
              <w:adjustRightInd w:val="0"/>
              <w:rPr>
                <w:color w:val="auto"/>
                <w:highlight w:val="none"/>
              </w:rPr>
            </w:pPr>
            <w:r>
              <w:rPr>
                <w:color w:val="auto"/>
                <w:highlight w:val="none"/>
              </w:rPr>
              <w:t>/</w:t>
            </w:r>
          </w:p>
        </w:tc>
        <w:tc>
          <w:tcPr>
            <w:tcW w:w="1024" w:type="pct"/>
            <w:vMerge w:val="continue"/>
            <w:vAlign w:val="center"/>
          </w:tcPr>
          <w:p w14:paraId="19B64DEB">
            <w:pPr>
              <w:pStyle w:val="37"/>
              <w:adjustRightInd w:val="0"/>
              <w:rPr>
                <w:color w:val="auto"/>
                <w:highlight w:val="none"/>
              </w:rPr>
            </w:pPr>
          </w:p>
        </w:tc>
      </w:tr>
      <w:tr w14:paraId="6F9C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52584CFC">
            <w:pPr>
              <w:pStyle w:val="37"/>
              <w:adjustRightInd w:val="0"/>
              <w:rPr>
                <w:color w:val="auto"/>
                <w:highlight w:val="none"/>
              </w:rPr>
            </w:pPr>
            <w:r>
              <w:rPr>
                <w:color w:val="auto"/>
                <w:highlight w:val="none"/>
              </w:rPr>
              <w:t>13</w:t>
            </w:r>
          </w:p>
        </w:tc>
        <w:tc>
          <w:tcPr>
            <w:tcW w:w="1365" w:type="pct"/>
            <w:vAlign w:val="center"/>
          </w:tcPr>
          <w:p w14:paraId="208E4ED2">
            <w:pPr>
              <w:pStyle w:val="37"/>
              <w:adjustRightInd w:val="0"/>
              <w:rPr>
                <w:color w:val="auto"/>
                <w:highlight w:val="none"/>
              </w:rPr>
            </w:pPr>
            <w:r>
              <w:rPr>
                <w:color w:val="auto"/>
                <w:highlight w:val="none"/>
              </w:rPr>
              <w:t>镁</w:t>
            </w:r>
          </w:p>
        </w:tc>
        <w:tc>
          <w:tcPr>
            <w:tcW w:w="1012" w:type="pct"/>
            <w:vAlign w:val="center"/>
          </w:tcPr>
          <w:p w14:paraId="0E728EA8">
            <w:pPr>
              <w:pStyle w:val="37"/>
              <w:adjustRightInd w:val="0"/>
              <w:rPr>
                <w:color w:val="auto"/>
                <w:highlight w:val="none"/>
              </w:rPr>
            </w:pPr>
            <w:r>
              <w:rPr>
                <w:color w:val="auto"/>
                <w:highlight w:val="none"/>
              </w:rPr>
              <w:t>/</w:t>
            </w:r>
          </w:p>
        </w:tc>
        <w:tc>
          <w:tcPr>
            <w:tcW w:w="1210" w:type="pct"/>
            <w:vAlign w:val="center"/>
          </w:tcPr>
          <w:p w14:paraId="5BD777A1">
            <w:pPr>
              <w:pStyle w:val="37"/>
              <w:adjustRightInd w:val="0"/>
              <w:rPr>
                <w:color w:val="auto"/>
                <w:highlight w:val="none"/>
              </w:rPr>
            </w:pPr>
            <w:r>
              <w:rPr>
                <w:color w:val="auto"/>
                <w:highlight w:val="none"/>
              </w:rPr>
              <w:t>/</w:t>
            </w:r>
          </w:p>
        </w:tc>
        <w:tc>
          <w:tcPr>
            <w:tcW w:w="1024" w:type="pct"/>
            <w:vMerge w:val="continue"/>
            <w:vAlign w:val="center"/>
          </w:tcPr>
          <w:p w14:paraId="741548F5">
            <w:pPr>
              <w:pStyle w:val="37"/>
              <w:adjustRightInd w:val="0"/>
              <w:rPr>
                <w:color w:val="auto"/>
                <w:highlight w:val="none"/>
              </w:rPr>
            </w:pPr>
          </w:p>
        </w:tc>
      </w:tr>
      <w:tr w14:paraId="5363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6C96CF2E">
            <w:pPr>
              <w:pStyle w:val="37"/>
              <w:adjustRightInd w:val="0"/>
              <w:rPr>
                <w:color w:val="auto"/>
                <w:highlight w:val="none"/>
              </w:rPr>
            </w:pPr>
            <w:r>
              <w:rPr>
                <w:color w:val="auto"/>
                <w:highlight w:val="none"/>
              </w:rPr>
              <w:t>14</w:t>
            </w:r>
          </w:p>
        </w:tc>
        <w:tc>
          <w:tcPr>
            <w:tcW w:w="1365" w:type="pct"/>
            <w:vAlign w:val="center"/>
          </w:tcPr>
          <w:p w14:paraId="7096FB70">
            <w:pPr>
              <w:pStyle w:val="37"/>
              <w:adjustRightInd w:val="0"/>
              <w:rPr>
                <w:color w:val="auto"/>
                <w:highlight w:val="none"/>
              </w:rPr>
            </w:pPr>
            <w:r>
              <w:rPr>
                <w:color w:val="auto"/>
                <w:highlight w:val="none"/>
              </w:rPr>
              <w:t>铁</w:t>
            </w:r>
          </w:p>
        </w:tc>
        <w:tc>
          <w:tcPr>
            <w:tcW w:w="1012" w:type="pct"/>
            <w:vAlign w:val="center"/>
          </w:tcPr>
          <w:p w14:paraId="6B38EEE5">
            <w:pPr>
              <w:pStyle w:val="37"/>
              <w:adjustRightInd w:val="0"/>
              <w:rPr>
                <w:color w:val="auto"/>
                <w:highlight w:val="none"/>
              </w:rPr>
            </w:pPr>
            <w:r>
              <w:rPr>
                <w:color w:val="auto"/>
                <w:highlight w:val="none"/>
              </w:rPr>
              <w:t>0.3</w:t>
            </w:r>
          </w:p>
        </w:tc>
        <w:tc>
          <w:tcPr>
            <w:tcW w:w="1210" w:type="pct"/>
            <w:vAlign w:val="center"/>
          </w:tcPr>
          <w:p w14:paraId="0231C719">
            <w:pPr>
              <w:pStyle w:val="37"/>
              <w:adjustRightInd w:val="0"/>
              <w:rPr>
                <w:color w:val="auto"/>
                <w:highlight w:val="none"/>
              </w:rPr>
            </w:pPr>
            <w:r>
              <w:rPr>
                <w:color w:val="auto"/>
                <w:highlight w:val="none"/>
              </w:rPr>
              <w:t>2</w:t>
            </w:r>
          </w:p>
        </w:tc>
        <w:tc>
          <w:tcPr>
            <w:tcW w:w="1024" w:type="pct"/>
            <w:vMerge w:val="continue"/>
            <w:vAlign w:val="center"/>
          </w:tcPr>
          <w:p w14:paraId="4AAFBFF5">
            <w:pPr>
              <w:pStyle w:val="37"/>
              <w:adjustRightInd w:val="0"/>
              <w:rPr>
                <w:color w:val="auto"/>
                <w:highlight w:val="none"/>
              </w:rPr>
            </w:pPr>
          </w:p>
        </w:tc>
      </w:tr>
      <w:tr w14:paraId="757E8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3A4148A8">
            <w:pPr>
              <w:pStyle w:val="37"/>
              <w:adjustRightInd w:val="0"/>
              <w:rPr>
                <w:color w:val="auto"/>
                <w:highlight w:val="none"/>
              </w:rPr>
            </w:pPr>
            <w:r>
              <w:rPr>
                <w:color w:val="auto"/>
                <w:highlight w:val="none"/>
              </w:rPr>
              <w:t>15</w:t>
            </w:r>
          </w:p>
        </w:tc>
        <w:tc>
          <w:tcPr>
            <w:tcW w:w="1365" w:type="pct"/>
            <w:vAlign w:val="center"/>
          </w:tcPr>
          <w:p w14:paraId="758D262D">
            <w:pPr>
              <w:pStyle w:val="37"/>
              <w:adjustRightInd w:val="0"/>
              <w:rPr>
                <w:color w:val="auto"/>
                <w:highlight w:val="none"/>
              </w:rPr>
            </w:pPr>
            <w:r>
              <w:rPr>
                <w:color w:val="auto"/>
                <w:highlight w:val="none"/>
              </w:rPr>
              <w:t>锰</w:t>
            </w:r>
          </w:p>
        </w:tc>
        <w:tc>
          <w:tcPr>
            <w:tcW w:w="1012" w:type="pct"/>
            <w:vAlign w:val="center"/>
          </w:tcPr>
          <w:p w14:paraId="42FE81AF">
            <w:pPr>
              <w:pStyle w:val="37"/>
              <w:adjustRightInd w:val="0"/>
              <w:rPr>
                <w:color w:val="auto"/>
                <w:highlight w:val="none"/>
              </w:rPr>
            </w:pPr>
            <w:r>
              <w:rPr>
                <w:color w:val="auto"/>
                <w:highlight w:val="none"/>
              </w:rPr>
              <w:t>0.10</w:t>
            </w:r>
          </w:p>
        </w:tc>
        <w:tc>
          <w:tcPr>
            <w:tcW w:w="1210" w:type="pct"/>
            <w:vAlign w:val="center"/>
          </w:tcPr>
          <w:p w14:paraId="38C201CC">
            <w:pPr>
              <w:pStyle w:val="37"/>
              <w:adjustRightInd w:val="0"/>
              <w:rPr>
                <w:color w:val="auto"/>
                <w:highlight w:val="none"/>
              </w:rPr>
            </w:pPr>
            <w:r>
              <w:rPr>
                <w:color w:val="auto"/>
                <w:highlight w:val="none"/>
              </w:rPr>
              <w:t>1.5</w:t>
            </w:r>
          </w:p>
        </w:tc>
        <w:tc>
          <w:tcPr>
            <w:tcW w:w="1024" w:type="pct"/>
            <w:vMerge w:val="continue"/>
            <w:vAlign w:val="center"/>
          </w:tcPr>
          <w:p w14:paraId="05CBC62E">
            <w:pPr>
              <w:pStyle w:val="37"/>
              <w:adjustRightInd w:val="0"/>
              <w:rPr>
                <w:color w:val="auto"/>
                <w:highlight w:val="none"/>
              </w:rPr>
            </w:pPr>
          </w:p>
        </w:tc>
      </w:tr>
      <w:tr w14:paraId="41E6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12506CB7">
            <w:pPr>
              <w:pStyle w:val="37"/>
              <w:adjustRightInd w:val="0"/>
              <w:rPr>
                <w:color w:val="auto"/>
                <w:highlight w:val="none"/>
              </w:rPr>
            </w:pPr>
            <w:r>
              <w:rPr>
                <w:color w:val="auto"/>
                <w:highlight w:val="none"/>
              </w:rPr>
              <w:t>16</w:t>
            </w:r>
          </w:p>
        </w:tc>
        <w:tc>
          <w:tcPr>
            <w:tcW w:w="1365" w:type="pct"/>
            <w:vAlign w:val="center"/>
          </w:tcPr>
          <w:p w14:paraId="326768D8">
            <w:pPr>
              <w:pStyle w:val="37"/>
              <w:adjustRightInd w:val="0"/>
              <w:rPr>
                <w:color w:val="auto"/>
                <w:highlight w:val="none"/>
              </w:rPr>
            </w:pPr>
            <w:r>
              <w:rPr>
                <w:color w:val="auto"/>
                <w:highlight w:val="none"/>
              </w:rPr>
              <w:t>总大肠菌群（MPN/100mL）</w:t>
            </w:r>
          </w:p>
        </w:tc>
        <w:tc>
          <w:tcPr>
            <w:tcW w:w="1012" w:type="pct"/>
            <w:vAlign w:val="center"/>
          </w:tcPr>
          <w:p w14:paraId="442E016F">
            <w:pPr>
              <w:pStyle w:val="37"/>
              <w:adjustRightInd w:val="0"/>
              <w:rPr>
                <w:color w:val="auto"/>
                <w:highlight w:val="none"/>
              </w:rPr>
            </w:pPr>
            <w:r>
              <w:rPr>
                <w:color w:val="auto"/>
                <w:highlight w:val="none"/>
              </w:rPr>
              <w:t>3.0</w:t>
            </w:r>
          </w:p>
        </w:tc>
        <w:tc>
          <w:tcPr>
            <w:tcW w:w="1210" w:type="pct"/>
            <w:vAlign w:val="center"/>
          </w:tcPr>
          <w:p w14:paraId="33F9C66F">
            <w:pPr>
              <w:pStyle w:val="37"/>
              <w:adjustRightInd w:val="0"/>
              <w:rPr>
                <w:color w:val="auto"/>
                <w:highlight w:val="none"/>
              </w:rPr>
            </w:pPr>
            <w:r>
              <w:rPr>
                <w:color w:val="auto"/>
                <w:highlight w:val="none"/>
              </w:rPr>
              <w:t>100</w:t>
            </w:r>
          </w:p>
        </w:tc>
        <w:tc>
          <w:tcPr>
            <w:tcW w:w="1024" w:type="pct"/>
            <w:vMerge w:val="continue"/>
            <w:vAlign w:val="center"/>
          </w:tcPr>
          <w:p w14:paraId="103E5244">
            <w:pPr>
              <w:pStyle w:val="37"/>
              <w:adjustRightInd w:val="0"/>
              <w:rPr>
                <w:color w:val="auto"/>
                <w:highlight w:val="none"/>
              </w:rPr>
            </w:pPr>
          </w:p>
        </w:tc>
      </w:tr>
      <w:tr w14:paraId="3849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48CEF6BB">
            <w:pPr>
              <w:pStyle w:val="37"/>
              <w:adjustRightInd w:val="0"/>
              <w:rPr>
                <w:color w:val="auto"/>
                <w:highlight w:val="none"/>
              </w:rPr>
            </w:pPr>
            <w:r>
              <w:rPr>
                <w:color w:val="auto"/>
                <w:highlight w:val="none"/>
              </w:rPr>
              <w:t>17</w:t>
            </w:r>
          </w:p>
        </w:tc>
        <w:tc>
          <w:tcPr>
            <w:tcW w:w="1365" w:type="pct"/>
            <w:vAlign w:val="center"/>
          </w:tcPr>
          <w:p w14:paraId="46DC2DBD">
            <w:pPr>
              <w:pStyle w:val="37"/>
              <w:adjustRightInd w:val="0"/>
              <w:rPr>
                <w:color w:val="auto"/>
                <w:highlight w:val="none"/>
              </w:rPr>
            </w:pPr>
            <w:r>
              <w:rPr>
                <w:color w:val="auto"/>
                <w:highlight w:val="none"/>
              </w:rPr>
              <w:t>细菌总数（CFU/mL）</w:t>
            </w:r>
          </w:p>
        </w:tc>
        <w:tc>
          <w:tcPr>
            <w:tcW w:w="1012" w:type="pct"/>
            <w:vAlign w:val="center"/>
          </w:tcPr>
          <w:p w14:paraId="07D38248">
            <w:pPr>
              <w:pStyle w:val="37"/>
              <w:adjustRightInd w:val="0"/>
              <w:rPr>
                <w:color w:val="auto"/>
                <w:highlight w:val="none"/>
              </w:rPr>
            </w:pPr>
            <w:r>
              <w:rPr>
                <w:color w:val="auto"/>
                <w:highlight w:val="none"/>
              </w:rPr>
              <w:t>100</w:t>
            </w:r>
          </w:p>
        </w:tc>
        <w:tc>
          <w:tcPr>
            <w:tcW w:w="1210" w:type="pct"/>
            <w:vAlign w:val="center"/>
          </w:tcPr>
          <w:p w14:paraId="5839B6BB">
            <w:pPr>
              <w:pStyle w:val="37"/>
              <w:adjustRightInd w:val="0"/>
              <w:rPr>
                <w:color w:val="auto"/>
                <w:highlight w:val="none"/>
              </w:rPr>
            </w:pPr>
            <w:r>
              <w:rPr>
                <w:color w:val="auto"/>
                <w:highlight w:val="none"/>
              </w:rPr>
              <w:t>1000</w:t>
            </w:r>
          </w:p>
        </w:tc>
        <w:tc>
          <w:tcPr>
            <w:tcW w:w="1024" w:type="pct"/>
            <w:vMerge w:val="continue"/>
            <w:vAlign w:val="center"/>
          </w:tcPr>
          <w:p w14:paraId="39241513">
            <w:pPr>
              <w:pStyle w:val="37"/>
              <w:adjustRightInd w:val="0"/>
              <w:rPr>
                <w:color w:val="auto"/>
                <w:highlight w:val="none"/>
              </w:rPr>
            </w:pPr>
          </w:p>
        </w:tc>
      </w:tr>
      <w:tr w14:paraId="7191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1B69F54">
            <w:pPr>
              <w:pStyle w:val="37"/>
              <w:adjustRightInd w:val="0"/>
              <w:rPr>
                <w:color w:val="auto"/>
                <w:highlight w:val="none"/>
              </w:rPr>
            </w:pPr>
            <w:r>
              <w:rPr>
                <w:color w:val="auto"/>
                <w:highlight w:val="none"/>
              </w:rPr>
              <w:t>18</w:t>
            </w:r>
          </w:p>
        </w:tc>
        <w:tc>
          <w:tcPr>
            <w:tcW w:w="1365" w:type="pct"/>
            <w:vAlign w:val="center"/>
          </w:tcPr>
          <w:p w14:paraId="060B4F88">
            <w:pPr>
              <w:pStyle w:val="37"/>
              <w:adjustRightInd w:val="0"/>
              <w:rPr>
                <w:color w:val="auto"/>
                <w:highlight w:val="none"/>
              </w:rPr>
            </w:pPr>
            <w:r>
              <w:rPr>
                <w:color w:val="auto"/>
                <w:highlight w:val="none"/>
              </w:rPr>
              <w:t>亚硝酸盐</w:t>
            </w:r>
          </w:p>
        </w:tc>
        <w:tc>
          <w:tcPr>
            <w:tcW w:w="1012" w:type="pct"/>
            <w:vAlign w:val="center"/>
          </w:tcPr>
          <w:p w14:paraId="7AF6CB2D">
            <w:pPr>
              <w:pStyle w:val="37"/>
              <w:adjustRightInd w:val="0"/>
              <w:rPr>
                <w:color w:val="auto"/>
                <w:highlight w:val="none"/>
              </w:rPr>
            </w:pPr>
            <w:r>
              <w:rPr>
                <w:color w:val="auto"/>
                <w:highlight w:val="none"/>
              </w:rPr>
              <w:t>1.00</w:t>
            </w:r>
          </w:p>
        </w:tc>
        <w:tc>
          <w:tcPr>
            <w:tcW w:w="1210" w:type="pct"/>
            <w:vAlign w:val="center"/>
          </w:tcPr>
          <w:p w14:paraId="68DD7515">
            <w:pPr>
              <w:pStyle w:val="37"/>
              <w:adjustRightInd w:val="0"/>
              <w:rPr>
                <w:color w:val="auto"/>
                <w:highlight w:val="none"/>
              </w:rPr>
            </w:pPr>
            <w:r>
              <w:rPr>
                <w:color w:val="auto"/>
                <w:highlight w:val="none"/>
              </w:rPr>
              <w:t>1.8</w:t>
            </w:r>
          </w:p>
        </w:tc>
        <w:tc>
          <w:tcPr>
            <w:tcW w:w="1024" w:type="pct"/>
            <w:vMerge w:val="continue"/>
            <w:vAlign w:val="center"/>
          </w:tcPr>
          <w:p w14:paraId="12E18AA9">
            <w:pPr>
              <w:pStyle w:val="37"/>
              <w:adjustRightInd w:val="0"/>
              <w:rPr>
                <w:color w:val="auto"/>
                <w:highlight w:val="none"/>
              </w:rPr>
            </w:pPr>
          </w:p>
        </w:tc>
      </w:tr>
      <w:tr w14:paraId="5B55C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6BAB4438">
            <w:pPr>
              <w:pStyle w:val="37"/>
              <w:adjustRightInd w:val="0"/>
              <w:rPr>
                <w:color w:val="auto"/>
                <w:highlight w:val="none"/>
              </w:rPr>
            </w:pPr>
            <w:r>
              <w:rPr>
                <w:color w:val="auto"/>
                <w:highlight w:val="none"/>
              </w:rPr>
              <w:t>19</w:t>
            </w:r>
          </w:p>
        </w:tc>
        <w:tc>
          <w:tcPr>
            <w:tcW w:w="1365" w:type="pct"/>
            <w:vAlign w:val="center"/>
          </w:tcPr>
          <w:p w14:paraId="24651999">
            <w:pPr>
              <w:pStyle w:val="37"/>
              <w:adjustRightInd w:val="0"/>
              <w:rPr>
                <w:color w:val="auto"/>
                <w:highlight w:val="none"/>
              </w:rPr>
            </w:pPr>
            <w:r>
              <w:rPr>
                <w:color w:val="auto"/>
                <w:highlight w:val="none"/>
              </w:rPr>
              <w:t>硝酸盐</w:t>
            </w:r>
          </w:p>
        </w:tc>
        <w:tc>
          <w:tcPr>
            <w:tcW w:w="1012" w:type="pct"/>
            <w:vAlign w:val="center"/>
          </w:tcPr>
          <w:p w14:paraId="5593C2CB">
            <w:pPr>
              <w:pStyle w:val="37"/>
              <w:adjustRightInd w:val="0"/>
              <w:rPr>
                <w:color w:val="auto"/>
                <w:highlight w:val="none"/>
              </w:rPr>
            </w:pPr>
            <w:r>
              <w:rPr>
                <w:color w:val="auto"/>
                <w:highlight w:val="none"/>
              </w:rPr>
              <w:t>20.0</w:t>
            </w:r>
          </w:p>
        </w:tc>
        <w:tc>
          <w:tcPr>
            <w:tcW w:w="1210" w:type="pct"/>
            <w:vAlign w:val="center"/>
          </w:tcPr>
          <w:p w14:paraId="20A4D923">
            <w:pPr>
              <w:pStyle w:val="37"/>
              <w:adjustRightInd w:val="0"/>
              <w:rPr>
                <w:color w:val="auto"/>
                <w:highlight w:val="none"/>
              </w:rPr>
            </w:pPr>
            <w:r>
              <w:rPr>
                <w:color w:val="auto"/>
                <w:highlight w:val="none"/>
              </w:rPr>
              <w:t>30</w:t>
            </w:r>
          </w:p>
        </w:tc>
        <w:tc>
          <w:tcPr>
            <w:tcW w:w="1024" w:type="pct"/>
            <w:vMerge w:val="continue"/>
            <w:vAlign w:val="center"/>
          </w:tcPr>
          <w:p w14:paraId="6F2AE310">
            <w:pPr>
              <w:pStyle w:val="37"/>
              <w:adjustRightInd w:val="0"/>
              <w:rPr>
                <w:color w:val="auto"/>
                <w:highlight w:val="none"/>
              </w:rPr>
            </w:pPr>
          </w:p>
        </w:tc>
      </w:tr>
      <w:tr w14:paraId="40FE7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045AFED4">
            <w:pPr>
              <w:pStyle w:val="37"/>
              <w:adjustRightInd w:val="0"/>
              <w:rPr>
                <w:color w:val="auto"/>
                <w:highlight w:val="none"/>
              </w:rPr>
            </w:pPr>
            <w:r>
              <w:rPr>
                <w:color w:val="auto"/>
                <w:highlight w:val="none"/>
              </w:rPr>
              <w:t>20</w:t>
            </w:r>
          </w:p>
        </w:tc>
        <w:tc>
          <w:tcPr>
            <w:tcW w:w="1365" w:type="pct"/>
            <w:vAlign w:val="center"/>
          </w:tcPr>
          <w:p w14:paraId="31EEB2BB">
            <w:pPr>
              <w:pStyle w:val="37"/>
              <w:adjustRightInd w:val="0"/>
              <w:rPr>
                <w:color w:val="auto"/>
                <w:highlight w:val="none"/>
              </w:rPr>
            </w:pPr>
            <w:r>
              <w:rPr>
                <w:color w:val="auto"/>
                <w:highlight w:val="none"/>
              </w:rPr>
              <w:t>氰化物</w:t>
            </w:r>
          </w:p>
        </w:tc>
        <w:tc>
          <w:tcPr>
            <w:tcW w:w="1012" w:type="pct"/>
            <w:vAlign w:val="center"/>
          </w:tcPr>
          <w:p w14:paraId="2D4B6DC0">
            <w:pPr>
              <w:pStyle w:val="37"/>
              <w:adjustRightInd w:val="0"/>
              <w:rPr>
                <w:color w:val="auto"/>
                <w:highlight w:val="none"/>
              </w:rPr>
            </w:pPr>
            <w:r>
              <w:rPr>
                <w:color w:val="auto"/>
                <w:highlight w:val="none"/>
              </w:rPr>
              <w:t>0.05</w:t>
            </w:r>
          </w:p>
        </w:tc>
        <w:tc>
          <w:tcPr>
            <w:tcW w:w="1210" w:type="pct"/>
            <w:vAlign w:val="center"/>
          </w:tcPr>
          <w:p w14:paraId="41BE32F8">
            <w:pPr>
              <w:pStyle w:val="37"/>
              <w:adjustRightInd w:val="0"/>
              <w:rPr>
                <w:color w:val="auto"/>
                <w:highlight w:val="none"/>
              </w:rPr>
            </w:pPr>
            <w:r>
              <w:rPr>
                <w:color w:val="auto"/>
                <w:highlight w:val="none"/>
              </w:rPr>
              <w:t>0.1</w:t>
            </w:r>
          </w:p>
        </w:tc>
        <w:tc>
          <w:tcPr>
            <w:tcW w:w="1024" w:type="pct"/>
            <w:vMerge w:val="continue"/>
            <w:vAlign w:val="center"/>
          </w:tcPr>
          <w:p w14:paraId="38B6343A">
            <w:pPr>
              <w:pStyle w:val="37"/>
              <w:adjustRightInd w:val="0"/>
              <w:rPr>
                <w:color w:val="auto"/>
                <w:highlight w:val="none"/>
              </w:rPr>
            </w:pPr>
          </w:p>
        </w:tc>
      </w:tr>
      <w:tr w14:paraId="18B3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C33CF57">
            <w:pPr>
              <w:pStyle w:val="37"/>
              <w:adjustRightInd w:val="0"/>
              <w:rPr>
                <w:color w:val="auto"/>
                <w:highlight w:val="none"/>
              </w:rPr>
            </w:pPr>
            <w:r>
              <w:rPr>
                <w:color w:val="auto"/>
                <w:highlight w:val="none"/>
              </w:rPr>
              <w:t>21</w:t>
            </w:r>
          </w:p>
        </w:tc>
        <w:tc>
          <w:tcPr>
            <w:tcW w:w="1365" w:type="pct"/>
            <w:vAlign w:val="center"/>
          </w:tcPr>
          <w:p w14:paraId="6AA62A4C">
            <w:pPr>
              <w:pStyle w:val="37"/>
              <w:adjustRightInd w:val="0"/>
              <w:rPr>
                <w:color w:val="auto"/>
                <w:highlight w:val="none"/>
              </w:rPr>
            </w:pPr>
            <w:r>
              <w:rPr>
                <w:color w:val="auto"/>
                <w:highlight w:val="none"/>
              </w:rPr>
              <w:t>氟化物</w:t>
            </w:r>
          </w:p>
        </w:tc>
        <w:tc>
          <w:tcPr>
            <w:tcW w:w="1012" w:type="pct"/>
            <w:vAlign w:val="center"/>
          </w:tcPr>
          <w:p w14:paraId="03B1A2D2">
            <w:pPr>
              <w:pStyle w:val="37"/>
              <w:adjustRightInd w:val="0"/>
              <w:rPr>
                <w:color w:val="auto"/>
                <w:highlight w:val="none"/>
              </w:rPr>
            </w:pPr>
            <w:r>
              <w:rPr>
                <w:color w:val="auto"/>
                <w:highlight w:val="none"/>
              </w:rPr>
              <w:t>1.0</w:t>
            </w:r>
          </w:p>
        </w:tc>
        <w:tc>
          <w:tcPr>
            <w:tcW w:w="1210" w:type="pct"/>
            <w:vAlign w:val="center"/>
          </w:tcPr>
          <w:p w14:paraId="50BFF368">
            <w:pPr>
              <w:pStyle w:val="37"/>
              <w:adjustRightInd w:val="0"/>
              <w:rPr>
                <w:color w:val="auto"/>
                <w:highlight w:val="none"/>
              </w:rPr>
            </w:pPr>
            <w:r>
              <w:rPr>
                <w:color w:val="auto"/>
                <w:highlight w:val="none"/>
              </w:rPr>
              <w:t>2.0</w:t>
            </w:r>
          </w:p>
        </w:tc>
        <w:tc>
          <w:tcPr>
            <w:tcW w:w="1024" w:type="pct"/>
            <w:vMerge w:val="continue"/>
            <w:vAlign w:val="center"/>
          </w:tcPr>
          <w:p w14:paraId="6EE9C18F">
            <w:pPr>
              <w:pStyle w:val="37"/>
              <w:adjustRightInd w:val="0"/>
              <w:rPr>
                <w:color w:val="auto"/>
                <w:highlight w:val="none"/>
              </w:rPr>
            </w:pPr>
          </w:p>
        </w:tc>
      </w:tr>
      <w:tr w14:paraId="162E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36F1B6C0">
            <w:pPr>
              <w:pStyle w:val="37"/>
              <w:adjustRightInd w:val="0"/>
              <w:rPr>
                <w:color w:val="auto"/>
                <w:highlight w:val="none"/>
              </w:rPr>
            </w:pPr>
            <w:r>
              <w:rPr>
                <w:color w:val="auto"/>
                <w:highlight w:val="none"/>
              </w:rPr>
              <w:t>22</w:t>
            </w:r>
          </w:p>
        </w:tc>
        <w:tc>
          <w:tcPr>
            <w:tcW w:w="1365" w:type="pct"/>
            <w:vAlign w:val="center"/>
          </w:tcPr>
          <w:p w14:paraId="71FCC24F">
            <w:pPr>
              <w:pStyle w:val="37"/>
              <w:adjustRightInd w:val="0"/>
              <w:rPr>
                <w:color w:val="auto"/>
                <w:highlight w:val="none"/>
              </w:rPr>
            </w:pPr>
            <w:r>
              <w:rPr>
                <w:color w:val="auto"/>
                <w:highlight w:val="none"/>
              </w:rPr>
              <w:t>石油类</w:t>
            </w:r>
          </w:p>
        </w:tc>
        <w:tc>
          <w:tcPr>
            <w:tcW w:w="1012" w:type="pct"/>
            <w:vAlign w:val="center"/>
          </w:tcPr>
          <w:p w14:paraId="08B73362">
            <w:pPr>
              <w:pStyle w:val="37"/>
              <w:adjustRightInd w:val="0"/>
              <w:rPr>
                <w:color w:val="auto"/>
                <w:highlight w:val="none"/>
              </w:rPr>
            </w:pPr>
            <w:r>
              <w:rPr>
                <w:color w:val="auto"/>
                <w:highlight w:val="none"/>
              </w:rPr>
              <w:t>0.05</w:t>
            </w:r>
          </w:p>
        </w:tc>
        <w:tc>
          <w:tcPr>
            <w:tcW w:w="1210" w:type="pct"/>
            <w:vAlign w:val="center"/>
          </w:tcPr>
          <w:p w14:paraId="773AF29E">
            <w:pPr>
              <w:pStyle w:val="37"/>
              <w:adjustRightInd w:val="0"/>
              <w:rPr>
                <w:color w:val="auto"/>
                <w:highlight w:val="none"/>
              </w:rPr>
            </w:pPr>
            <w:r>
              <w:rPr>
                <w:color w:val="auto"/>
                <w:highlight w:val="none"/>
              </w:rPr>
              <w:t>0.5</w:t>
            </w:r>
          </w:p>
        </w:tc>
        <w:tc>
          <w:tcPr>
            <w:tcW w:w="1024" w:type="pct"/>
            <w:vMerge w:val="continue"/>
            <w:vAlign w:val="center"/>
          </w:tcPr>
          <w:p w14:paraId="2B7A8432">
            <w:pPr>
              <w:pStyle w:val="37"/>
              <w:adjustRightInd w:val="0"/>
              <w:rPr>
                <w:color w:val="auto"/>
                <w:highlight w:val="none"/>
              </w:rPr>
            </w:pPr>
          </w:p>
        </w:tc>
      </w:tr>
      <w:tr w14:paraId="45EE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07AB251C">
            <w:pPr>
              <w:pStyle w:val="37"/>
              <w:adjustRightInd w:val="0"/>
              <w:rPr>
                <w:color w:val="auto"/>
                <w:highlight w:val="none"/>
              </w:rPr>
            </w:pPr>
            <w:r>
              <w:rPr>
                <w:color w:val="auto"/>
                <w:highlight w:val="none"/>
              </w:rPr>
              <w:t>23</w:t>
            </w:r>
          </w:p>
        </w:tc>
        <w:tc>
          <w:tcPr>
            <w:tcW w:w="1365" w:type="pct"/>
            <w:vAlign w:val="center"/>
          </w:tcPr>
          <w:p w14:paraId="4BBB5D17">
            <w:pPr>
              <w:pStyle w:val="37"/>
              <w:adjustRightInd w:val="0"/>
              <w:rPr>
                <w:color w:val="auto"/>
                <w:highlight w:val="none"/>
              </w:rPr>
            </w:pPr>
            <w:r>
              <w:rPr>
                <w:color w:val="auto"/>
                <w:highlight w:val="none"/>
              </w:rPr>
              <w:t>汞</w:t>
            </w:r>
          </w:p>
        </w:tc>
        <w:tc>
          <w:tcPr>
            <w:tcW w:w="1012" w:type="pct"/>
            <w:vAlign w:val="center"/>
          </w:tcPr>
          <w:p w14:paraId="6DEF24DA">
            <w:pPr>
              <w:pStyle w:val="37"/>
              <w:adjustRightInd w:val="0"/>
              <w:rPr>
                <w:color w:val="auto"/>
                <w:highlight w:val="none"/>
              </w:rPr>
            </w:pPr>
            <w:r>
              <w:rPr>
                <w:color w:val="auto"/>
                <w:highlight w:val="none"/>
              </w:rPr>
              <w:t>0.001</w:t>
            </w:r>
          </w:p>
        </w:tc>
        <w:tc>
          <w:tcPr>
            <w:tcW w:w="1210" w:type="pct"/>
            <w:vAlign w:val="center"/>
          </w:tcPr>
          <w:p w14:paraId="0A65B5CF">
            <w:pPr>
              <w:pStyle w:val="37"/>
              <w:adjustRightInd w:val="0"/>
              <w:rPr>
                <w:color w:val="auto"/>
                <w:highlight w:val="none"/>
              </w:rPr>
            </w:pPr>
            <w:r>
              <w:rPr>
                <w:color w:val="auto"/>
                <w:highlight w:val="none"/>
              </w:rPr>
              <w:t>0.002</w:t>
            </w:r>
          </w:p>
        </w:tc>
        <w:tc>
          <w:tcPr>
            <w:tcW w:w="1024" w:type="pct"/>
            <w:vMerge w:val="continue"/>
            <w:vAlign w:val="center"/>
          </w:tcPr>
          <w:p w14:paraId="7AFC8E5A">
            <w:pPr>
              <w:pStyle w:val="37"/>
              <w:adjustRightInd w:val="0"/>
              <w:rPr>
                <w:color w:val="auto"/>
                <w:highlight w:val="none"/>
              </w:rPr>
            </w:pPr>
          </w:p>
        </w:tc>
      </w:tr>
      <w:tr w14:paraId="51AB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58E1F8AD">
            <w:pPr>
              <w:pStyle w:val="37"/>
              <w:adjustRightInd w:val="0"/>
              <w:rPr>
                <w:color w:val="auto"/>
                <w:highlight w:val="none"/>
              </w:rPr>
            </w:pPr>
            <w:r>
              <w:rPr>
                <w:color w:val="auto"/>
                <w:highlight w:val="none"/>
              </w:rPr>
              <w:t>24</w:t>
            </w:r>
          </w:p>
        </w:tc>
        <w:tc>
          <w:tcPr>
            <w:tcW w:w="1365" w:type="pct"/>
            <w:vAlign w:val="center"/>
          </w:tcPr>
          <w:p w14:paraId="700DFBAE">
            <w:pPr>
              <w:pStyle w:val="37"/>
              <w:adjustRightInd w:val="0"/>
              <w:rPr>
                <w:color w:val="auto"/>
                <w:highlight w:val="none"/>
              </w:rPr>
            </w:pPr>
            <w:r>
              <w:rPr>
                <w:color w:val="auto"/>
                <w:highlight w:val="none"/>
              </w:rPr>
              <w:t>砷</w:t>
            </w:r>
          </w:p>
        </w:tc>
        <w:tc>
          <w:tcPr>
            <w:tcW w:w="1012" w:type="pct"/>
            <w:vAlign w:val="center"/>
          </w:tcPr>
          <w:p w14:paraId="637D458F">
            <w:pPr>
              <w:pStyle w:val="37"/>
              <w:adjustRightInd w:val="0"/>
              <w:rPr>
                <w:color w:val="auto"/>
                <w:highlight w:val="none"/>
              </w:rPr>
            </w:pPr>
            <w:r>
              <w:rPr>
                <w:color w:val="auto"/>
                <w:highlight w:val="none"/>
              </w:rPr>
              <w:t>0.01</w:t>
            </w:r>
          </w:p>
        </w:tc>
        <w:tc>
          <w:tcPr>
            <w:tcW w:w="1210" w:type="pct"/>
            <w:vAlign w:val="center"/>
          </w:tcPr>
          <w:p w14:paraId="57E268D2">
            <w:pPr>
              <w:pStyle w:val="37"/>
              <w:adjustRightInd w:val="0"/>
              <w:rPr>
                <w:color w:val="auto"/>
                <w:highlight w:val="none"/>
              </w:rPr>
            </w:pPr>
            <w:r>
              <w:rPr>
                <w:color w:val="auto"/>
                <w:highlight w:val="none"/>
              </w:rPr>
              <w:t>0.05</w:t>
            </w:r>
          </w:p>
        </w:tc>
        <w:tc>
          <w:tcPr>
            <w:tcW w:w="1024" w:type="pct"/>
            <w:vMerge w:val="continue"/>
            <w:vAlign w:val="center"/>
          </w:tcPr>
          <w:p w14:paraId="23DC3362">
            <w:pPr>
              <w:pStyle w:val="37"/>
              <w:adjustRightInd w:val="0"/>
              <w:rPr>
                <w:color w:val="auto"/>
                <w:highlight w:val="none"/>
              </w:rPr>
            </w:pPr>
          </w:p>
        </w:tc>
      </w:tr>
      <w:tr w14:paraId="6031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4B3FD2F0">
            <w:pPr>
              <w:pStyle w:val="37"/>
              <w:adjustRightInd w:val="0"/>
              <w:rPr>
                <w:color w:val="auto"/>
                <w:highlight w:val="none"/>
              </w:rPr>
            </w:pPr>
            <w:r>
              <w:rPr>
                <w:color w:val="auto"/>
                <w:highlight w:val="none"/>
              </w:rPr>
              <w:t>25</w:t>
            </w:r>
          </w:p>
        </w:tc>
        <w:tc>
          <w:tcPr>
            <w:tcW w:w="1365" w:type="pct"/>
            <w:vAlign w:val="center"/>
          </w:tcPr>
          <w:p w14:paraId="6A8C1A93">
            <w:pPr>
              <w:pStyle w:val="37"/>
              <w:adjustRightInd w:val="0"/>
              <w:rPr>
                <w:color w:val="auto"/>
                <w:highlight w:val="none"/>
              </w:rPr>
            </w:pPr>
            <w:r>
              <w:rPr>
                <w:color w:val="auto"/>
                <w:highlight w:val="none"/>
              </w:rPr>
              <w:t>溶解性总固体</w:t>
            </w:r>
          </w:p>
        </w:tc>
        <w:tc>
          <w:tcPr>
            <w:tcW w:w="1012" w:type="pct"/>
            <w:vAlign w:val="center"/>
          </w:tcPr>
          <w:p w14:paraId="1BE46DFE">
            <w:pPr>
              <w:pStyle w:val="37"/>
              <w:adjustRightInd w:val="0"/>
              <w:rPr>
                <w:color w:val="auto"/>
                <w:highlight w:val="none"/>
              </w:rPr>
            </w:pPr>
            <w:r>
              <w:rPr>
                <w:color w:val="auto"/>
                <w:highlight w:val="none"/>
              </w:rPr>
              <w:t>1000</w:t>
            </w:r>
          </w:p>
        </w:tc>
        <w:tc>
          <w:tcPr>
            <w:tcW w:w="1210" w:type="pct"/>
            <w:vAlign w:val="center"/>
          </w:tcPr>
          <w:p w14:paraId="255C7507">
            <w:pPr>
              <w:pStyle w:val="37"/>
              <w:adjustRightInd w:val="0"/>
              <w:rPr>
                <w:color w:val="auto"/>
                <w:highlight w:val="none"/>
              </w:rPr>
            </w:pPr>
            <w:r>
              <w:rPr>
                <w:color w:val="auto"/>
                <w:highlight w:val="none"/>
              </w:rPr>
              <w:t>2000</w:t>
            </w:r>
          </w:p>
        </w:tc>
        <w:tc>
          <w:tcPr>
            <w:tcW w:w="1024" w:type="pct"/>
            <w:vMerge w:val="continue"/>
            <w:vAlign w:val="center"/>
          </w:tcPr>
          <w:p w14:paraId="67025985">
            <w:pPr>
              <w:pStyle w:val="37"/>
              <w:adjustRightInd w:val="0"/>
              <w:rPr>
                <w:color w:val="auto"/>
                <w:highlight w:val="none"/>
              </w:rPr>
            </w:pPr>
          </w:p>
        </w:tc>
      </w:tr>
      <w:tr w14:paraId="2FB5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58468D0C">
            <w:pPr>
              <w:pStyle w:val="37"/>
              <w:adjustRightInd w:val="0"/>
              <w:rPr>
                <w:color w:val="auto"/>
                <w:highlight w:val="none"/>
              </w:rPr>
            </w:pPr>
            <w:r>
              <w:rPr>
                <w:color w:val="auto"/>
                <w:highlight w:val="none"/>
              </w:rPr>
              <w:t>26</w:t>
            </w:r>
          </w:p>
        </w:tc>
        <w:tc>
          <w:tcPr>
            <w:tcW w:w="1365" w:type="pct"/>
            <w:vAlign w:val="center"/>
          </w:tcPr>
          <w:p w14:paraId="259DDB01">
            <w:pPr>
              <w:pStyle w:val="37"/>
              <w:adjustRightInd w:val="0"/>
              <w:rPr>
                <w:color w:val="auto"/>
                <w:highlight w:val="none"/>
              </w:rPr>
            </w:pPr>
            <w:r>
              <w:rPr>
                <w:color w:val="auto"/>
                <w:highlight w:val="none"/>
              </w:rPr>
              <w:t>镉</w:t>
            </w:r>
          </w:p>
        </w:tc>
        <w:tc>
          <w:tcPr>
            <w:tcW w:w="1012" w:type="pct"/>
            <w:vAlign w:val="center"/>
          </w:tcPr>
          <w:p w14:paraId="33E78071">
            <w:pPr>
              <w:pStyle w:val="37"/>
              <w:adjustRightInd w:val="0"/>
              <w:rPr>
                <w:color w:val="auto"/>
                <w:highlight w:val="none"/>
              </w:rPr>
            </w:pPr>
            <w:r>
              <w:rPr>
                <w:color w:val="auto"/>
                <w:highlight w:val="none"/>
              </w:rPr>
              <w:t>0.005</w:t>
            </w:r>
          </w:p>
        </w:tc>
        <w:tc>
          <w:tcPr>
            <w:tcW w:w="1210" w:type="pct"/>
            <w:vAlign w:val="center"/>
          </w:tcPr>
          <w:p w14:paraId="5337490A">
            <w:pPr>
              <w:pStyle w:val="37"/>
              <w:adjustRightInd w:val="0"/>
              <w:rPr>
                <w:color w:val="auto"/>
                <w:highlight w:val="none"/>
              </w:rPr>
            </w:pPr>
            <w:r>
              <w:rPr>
                <w:color w:val="auto"/>
                <w:highlight w:val="none"/>
              </w:rPr>
              <w:t>0.01</w:t>
            </w:r>
          </w:p>
        </w:tc>
        <w:tc>
          <w:tcPr>
            <w:tcW w:w="1024" w:type="pct"/>
            <w:vMerge w:val="continue"/>
            <w:vAlign w:val="center"/>
          </w:tcPr>
          <w:p w14:paraId="0AF9E43F">
            <w:pPr>
              <w:pStyle w:val="37"/>
              <w:adjustRightInd w:val="0"/>
              <w:rPr>
                <w:color w:val="auto"/>
                <w:highlight w:val="none"/>
              </w:rPr>
            </w:pPr>
          </w:p>
        </w:tc>
      </w:tr>
      <w:tr w14:paraId="109A2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71B86875">
            <w:pPr>
              <w:pStyle w:val="37"/>
              <w:adjustRightInd w:val="0"/>
              <w:rPr>
                <w:color w:val="auto"/>
                <w:highlight w:val="none"/>
              </w:rPr>
            </w:pPr>
            <w:r>
              <w:rPr>
                <w:color w:val="auto"/>
                <w:highlight w:val="none"/>
              </w:rPr>
              <w:t>27</w:t>
            </w:r>
          </w:p>
        </w:tc>
        <w:tc>
          <w:tcPr>
            <w:tcW w:w="1365" w:type="pct"/>
            <w:vAlign w:val="center"/>
          </w:tcPr>
          <w:p w14:paraId="4A8C3B93">
            <w:pPr>
              <w:pStyle w:val="37"/>
              <w:adjustRightInd w:val="0"/>
              <w:rPr>
                <w:color w:val="auto"/>
                <w:highlight w:val="none"/>
              </w:rPr>
            </w:pPr>
            <w:r>
              <w:rPr>
                <w:color w:val="auto"/>
                <w:highlight w:val="none"/>
              </w:rPr>
              <w:t>六价铬</w:t>
            </w:r>
          </w:p>
        </w:tc>
        <w:tc>
          <w:tcPr>
            <w:tcW w:w="1012" w:type="pct"/>
            <w:vAlign w:val="center"/>
          </w:tcPr>
          <w:p w14:paraId="00D665FA">
            <w:pPr>
              <w:pStyle w:val="37"/>
              <w:adjustRightInd w:val="0"/>
              <w:rPr>
                <w:color w:val="auto"/>
                <w:highlight w:val="none"/>
              </w:rPr>
            </w:pPr>
            <w:r>
              <w:rPr>
                <w:color w:val="auto"/>
                <w:highlight w:val="none"/>
              </w:rPr>
              <w:t>0.05</w:t>
            </w:r>
          </w:p>
        </w:tc>
        <w:tc>
          <w:tcPr>
            <w:tcW w:w="1210" w:type="pct"/>
            <w:vAlign w:val="center"/>
          </w:tcPr>
          <w:p w14:paraId="3C12C6B1">
            <w:pPr>
              <w:pStyle w:val="37"/>
              <w:adjustRightInd w:val="0"/>
              <w:rPr>
                <w:color w:val="auto"/>
                <w:highlight w:val="none"/>
              </w:rPr>
            </w:pPr>
            <w:r>
              <w:rPr>
                <w:color w:val="auto"/>
                <w:highlight w:val="none"/>
              </w:rPr>
              <w:t>0.1</w:t>
            </w:r>
          </w:p>
        </w:tc>
        <w:tc>
          <w:tcPr>
            <w:tcW w:w="1024" w:type="pct"/>
            <w:vMerge w:val="continue"/>
            <w:vAlign w:val="center"/>
          </w:tcPr>
          <w:p w14:paraId="375D47D9">
            <w:pPr>
              <w:pStyle w:val="37"/>
              <w:adjustRightInd w:val="0"/>
              <w:rPr>
                <w:color w:val="auto"/>
                <w:highlight w:val="none"/>
              </w:rPr>
            </w:pPr>
          </w:p>
        </w:tc>
      </w:tr>
      <w:tr w14:paraId="73F6C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0440888A">
            <w:pPr>
              <w:pStyle w:val="37"/>
              <w:adjustRightInd w:val="0"/>
              <w:rPr>
                <w:color w:val="auto"/>
                <w:highlight w:val="none"/>
              </w:rPr>
            </w:pPr>
            <w:r>
              <w:rPr>
                <w:color w:val="auto"/>
                <w:highlight w:val="none"/>
              </w:rPr>
              <w:t>28</w:t>
            </w:r>
          </w:p>
        </w:tc>
        <w:tc>
          <w:tcPr>
            <w:tcW w:w="1365" w:type="pct"/>
            <w:vAlign w:val="center"/>
          </w:tcPr>
          <w:p w14:paraId="3AC2DA8B">
            <w:pPr>
              <w:pStyle w:val="37"/>
              <w:adjustRightInd w:val="0"/>
              <w:rPr>
                <w:color w:val="auto"/>
                <w:highlight w:val="none"/>
              </w:rPr>
            </w:pPr>
            <w:r>
              <w:rPr>
                <w:color w:val="auto"/>
                <w:highlight w:val="none"/>
              </w:rPr>
              <w:t>铅</w:t>
            </w:r>
          </w:p>
        </w:tc>
        <w:tc>
          <w:tcPr>
            <w:tcW w:w="1012" w:type="pct"/>
            <w:vAlign w:val="center"/>
          </w:tcPr>
          <w:p w14:paraId="6046DA1D">
            <w:pPr>
              <w:pStyle w:val="37"/>
              <w:adjustRightInd w:val="0"/>
              <w:rPr>
                <w:color w:val="auto"/>
                <w:highlight w:val="none"/>
              </w:rPr>
            </w:pPr>
            <w:r>
              <w:rPr>
                <w:color w:val="auto"/>
                <w:highlight w:val="none"/>
              </w:rPr>
              <w:t>0.01</w:t>
            </w:r>
          </w:p>
        </w:tc>
        <w:tc>
          <w:tcPr>
            <w:tcW w:w="1210" w:type="pct"/>
            <w:vAlign w:val="center"/>
          </w:tcPr>
          <w:p w14:paraId="192A7FA7">
            <w:pPr>
              <w:pStyle w:val="37"/>
              <w:adjustRightInd w:val="0"/>
              <w:rPr>
                <w:color w:val="auto"/>
                <w:highlight w:val="none"/>
              </w:rPr>
            </w:pPr>
            <w:r>
              <w:rPr>
                <w:color w:val="auto"/>
                <w:highlight w:val="none"/>
              </w:rPr>
              <w:t>0.1</w:t>
            </w:r>
          </w:p>
        </w:tc>
        <w:tc>
          <w:tcPr>
            <w:tcW w:w="1024" w:type="pct"/>
            <w:vMerge w:val="continue"/>
            <w:vAlign w:val="center"/>
          </w:tcPr>
          <w:p w14:paraId="0E6FD97A">
            <w:pPr>
              <w:pStyle w:val="37"/>
              <w:adjustRightInd w:val="0"/>
              <w:rPr>
                <w:color w:val="auto"/>
                <w:highlight w:val="none"/>
              </w:rPr>
            </w:pPr>
          </w:p>
        </w:tc>
      </w:tr>
    </w:tbl>
    <w:p w14:paraId="5E0E3B48">
      <w:pPr>
        <w:pStyle w:val="5"/>
        <w:adjustRightInd w:val="0"/>
        <w:rPr>
          <w:rFonts w:cs="Times New Roman"/>
          <w:color w:val="auto"/>
          <w:highlight w:val="none"/>
        </w:rPr>
      </w:pPr>
      <w:r>
        <w:rPr>
          <w:rFonts w:cs="Times New Roman"/>
          <w:color w:val="auto"/>
          <w:highlight w:val="none"/>
        </w:rPr>
        <w:t>土壤环境</w:t>
      </w:r>
    </w:p>
    <w:p w14:paraId="63051B63">
      <w:pPr>
        <w:adjustRightInd w:val="0"/>
        <w:ind w:firstLine="480"/>
        <w:rPr>
          <w:rFonts w:cs="Times New Roman"/>
          <w:color w:val="auto"/>
          <w:highlight w:val="none"/>
        </w:rPr>
      </w:pPr>
      <w:r>
        <w:rPr>
          <w:rFonts w:cs="Times New Roman"/>
          <w:color w:val="auto"/>
          <w:highlight w:val="none"/>
        </w:rPr>
        <w:t>土壤环境质量执行《土壤环境质量 建设用地土壤污染风险管控标准（试行）》（GB36600-2018）第二类用地筛选值，具体标准值详见下表。</w:t>
      </w:r>
    </w:p>
    <w:p w14:paraId="55F883D3">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40</w:t>
      </w:r>
      <w:r>
        <w:rPr>
          <w:rFonts w:cs="Times New Roman"/>
          <w:color w:val="auto"/>
          <w:highlight w:val="none"/>
        </w:rPr>
        <w:fldChar w:fldCharType="end"/>
      </w:r>
      <w:r>
        <w:rPr>
          <w:rFonts w:cs="Times New Roman"/>
          <w:color w:val="auto"/>
          <w:highlight w:val="none"/>
        </w:rPr>
        <w:t>土壤环境质量标准 单位：mg/kg</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7"/>
        <w:gridCol w:w="1617"/>
        <w:gridCol w:w="1790"/>
        <w:gridCol w:w="644"/>
        <w:gridCol w:w="1998"/>
        <w:gridCol w:w="1861"/>
      </w:tblGrid>
      <w:tr w14:paraId="208E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56" w:type="pct"/>
            <w:vAlign w:val="center"/>
          </w:tcPr>
          <w:p w14:paraId="39E60DD8">
            <w:pPr>
              <w:pStyle w:val="37"/>
              <w:adjustRightInd w:val="0"/>
              <w:rPr>
                <w:b/>
                <w:bCs/>
                <w:color w:val="auto"/>
                <w:highlight w:val="none"/>
              </w:rPr>
            </w:pPr>
            <w:r>
              <w:rPr>
                <w:b/>
                <w:bCs/>
                <w:color w:val="auto"/>
                <w:highlight w:val="none"/>
              </w:rPr>
              <w:t>序号</w:t>
            </w:r>
          </w:p>
        </w:tc>
        <w:tc>
          <w:tcPr>
            <w:tcW w:w="949" w:type="pct"/>
            <w:vAlign w:val="center"/>
          </w:tcPr>
          <w:p w14:paraId="49ADE94A">
            <w:pPr>
              <w:pStyle w:val="37"/>
              <w:adjustRightInd w:val="0"/>
              <w:rPr>
                <w:b/>
                <w:bCs/>
                <w:color w:val="auto"/>
                <w:highlight w:val="none"/>
              </w:rPr>
            </w:pPr>
            <w:r>
              <w:rPr>
                <w:b/>
                <w:bCs/>
                <w:color w:val="auto"/>
                <w:highlight w:val="none"/>
              </w:rPr>
              <w:t>污染物项目</w:t>
            </w:r>
          </w:p>
        </w:tc>
        <w:tc>
          <w:tcPr>
            <w:tcW w:w="1050" w:type="pct"/>
            <w:vAlign w:val="center"/>
          </w:tcPr>
          <w:p w14:paraId="2FDBA336">
            <w:pPr>
              <w:pStyle w:val="37"/>
              <w:adjustRightInd w:val="0"/>
              <w:rPr>
                <w:b/>
                <w:bCs/>
                <w:color w:val="auto"/>
                <w:highlight w:val="none"/>
              </w:rPr>
            </w:pPr>
            <w:r>
              <w:rPr>
                <w:b/>
                <w:bCs/>
                <w:color w:val="auto"/>
                <w:highlight w:val="none"/>
              </w:rPr>
              <w:t>第二类用地筛选值</w:t>
            </w:r>
          </w:p>
        </w:tc>
        <w:tc>
          <w:tcPr>
            <w:tcW w:w="378" w:type="pct"/>
            <w:vAlign w:val="center"/>
          </w:tcPr>
          <w:p w14:paraId="1811149A">
            <w:pPr>
              <w:pStyle w:val="37"/>
              <w:adjustRightInd w:val="0"/>
              <w:rPr>
                <w:b/>
                <w:bCs/>
                <w:color w:val="auto"/>
                <w:highlight w:val="none"/>
              </w:rPr>
            </w:pPr>
            <w:r>
              <w:rPr>
                <w:b/>
                <w:bCs/>
                <w:color w:val="auto"/>
                <w:highlight w:val="none"/>
              </w:rPr>
              <w:t>序号</w:t>
            </w:r>
          </w:p>
        </w:tc>
        <w:tc>
          <w:tcPr>
            <w:tcW w:w="1172" w:type="pct"/>
            <w:vAlign w:val="center"/>
          </w:tcPr>
          <w:p w14:paraId="62502472">
            <w:pPr>
              <w:pStyle w:val="37"/>
              <w:adjustRightInd w:val="0"/>
              <w:rPr>
                <w:b/>
                <w:bCs/>
                <w:color w:val="auto"/>
                <w:highlight w:val="none"/>
              </w:rPr>
            </w:pPr>
            <w:r>
              <w:rPr>
                <w:b/>
                <w:bCs/>
                <w:color w:val="auto"/>
                <w:highlight w:val="none"/>
              </w:rPr>
              <w:t>污染物项目</w:t>
            </w:r>
          </w:p>
        </w:tc>
        <w:tc>
          <w:tcPr>
            <w:tcW w:w="1092" w:type="pct"/>
            <w:vAlign w:val="center"/>
          </w:tcPr>
          <w:p w14:paraId="379314B6">
            <w:pPr>
              <w:pStyle w:val="37"/>
              <w:adjustRightInd w:val="0"/>
              <w:rPr>
                <w:b/>
                <w:bCs/>
                <w:color w:val="auto"/>
                <w:highlight w:val="none"/>
              </w:rPr>
            </w:pPr>
            <w:r>
              <w:rPr>
                <w:b/>
                <w:bCs/>
                <w:color w:val="auto"/>
                <w:highlight w:val="none"/>
              </w:rPr>
              <w:t>第二类用地筛选值</w:t>
            </w:r>
          </w:p>
        </w:tc>
      </w:tr>
      <w:tr w14:paraId="017A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 w:hRule="atLeast"/>
          <w:jc w:val="center"/>
        </w:trPr>
        <w:tc>
          <w:tcPr>
            <w:tcW w:w="356" w:type="pct"/>
            <w:vAlign w:val="center"/>
          </w:tcPr>
          <w:p w14:paraId="123E7870">
            <w:pPr>
              <w:pStyle w:val="37"/>
              <w:adjustRightInd w:val="0"/>
              <w:rPr>
                <w:color w:val="auto"/>
                <w:highlight w:val="none"/>
              </w:rPr>
            </w:pPr>
            <w:r>
              <w:rPr>
                <w:color w:val="auto"/>
                <w:highlight w:val="none"/>
              </w:rPr>
              <w:t>1</w:t>
            </w:r>
          </w:p>
        </w:tc>
        <w:tc>
          <w:tcPr>
            <w:tcW w:w="949" w:type="pct"/>
            <w:vAlign w:val="center"/>
          </w:tcPr>
          <w:p w14:paraId="019F131E">
            <w:pPr>
              <w:pStyle w:val="37"/>
              <w:adjustRightInd w:val="0"/>
              <w:rPr>
                <w:color w:val="auto"/>
                <w:highlight w:val="none"/>
              </w:rPr>
            </w:pPr>
            <w:r>
              <w:rPr>
                <w:color w:val="auto"/>
                <w:highlight w:val="none"/>
              </w:rPr>
              <w:t>砷</w:t>
            </w:r>
          </w:p>
        </w:tc>
        <w:tc>
          <w:tcPr>
            <w:tcW w:w="1050" w:type="pct"/>
            <w:vAlign w:val="center"/>
          </w:tcPr>
          <w:p w14:paraId="4EAD22BD">
            <w:pPr>
              <w:pStyle w:val="37"/>
              <w:adjustRightInd w:val="0"/>
              <w:rPr>
                <w:color w:val="auto"/>
                <w:highlight w:val="none"/>
              </w:rPr>
            </w:pPr>
            <w:r>
              <w:rPr>
                <w:color w:val="auto"/>
                <w:highlight w:val="none"/>
              </w:rPr>
              <w:t>60</w:t>
            </w:r>
          </w:p>
        </w:tc>
        <w:tc>
          <w:tcPr>
            <w:tcW w:w="378" w:type="pct"/>
            <w:vAlign w:val="center"/>
          </w:tcPr>
          <w:p w14:paraId="631A9961">
            <w:pPr>
              <w:pStyle w:val="37"/>
              <w:adjustRightInd w:val="0"/>
              <w:rPr>
                <w:color w:val="auto"/>
                <w:highlight w:val="none"/>
              </w:rPr>
            </w:pPr>
            <w:r>
              <w:rPr>
                <w:color w:val="auto"/>
                <w:highlight w:val="none"/>
              </w:rPr>
              <w:t>24</w:t>
            </w:r>
          </w:p>
        </w:tc>
        <w:tc>
          <w:tcPr>
            <w:tcW w:w="1172" w:type="pct"/>
            <w:vAlign w:val="center"/>
          </w:tcPr>
          <w:p w14:paraId="0E7B190D">
            <w:pPr>
              <w:pStyle w:val="37"/>
              <w:adjustRightInd w:val="0"/>
              <w:rPr>
                <w:color w:val="auto"/>
                <w:highlight w:val="none"/>
              </w:rPr>
            </w:pPr>
            <w:r>
              <w:rPr>
                <w:color w:val="auto"/>
                <w:highlight w:val="none"/>
              </w:rPr>
              <w:t>1,2,3-三氯丙烷</w:t>
            </w:r>
          </w:p>
        </w:tc>
        <w:tc>
          <w:tcPr>
            <w:tcW w:w="1092" w:type="pct"/>
            <w:vAlign w:val="center"/>
          </w:tcPr>
          <w:p w14:paraId="237CB009">
            <w:pPr>
              <w:pStyle w:val="37"/>
              <w:adjustRightInd w:val="0"/>
              <w:rPr>
                <w:color w:val="auto"/>
                <w:highlight w:val="none"/>
              </w:rPr>
            </w:pPr>
            <w:r>
              <w:rPr>
                <w:color w:val="auto"/>
                <w:highlight w:val="none"/>
              </w:rPr>
              <w:t>0.5</w:t>
            </w:r>
          </w:p>
        </w:tc>
      </w:tr>
      <w:tr w14:paraId="07397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44098D35">
            <w:pPr>
              <w:pStyle w:val="37"/>
              <w:adjustRightInd w:val="0"/>
              <w:rPr>
                <w:color w:val="auto"/>
                <w:highlight w:val="none"/>
              </w:rPr>
            </w:pPr>
            <w:r>
              <w:rPr>
                <w:color w:val="auto"/>
                <w:highlight w:val="none"/>
              </w:rPr>
              <w:t>2</w:t>
            </w:r>
          </w:p>
        </w:tc>
        <w:tc>
          <w:tcPr>
            <w:tcW w:w="949" w:type="pct"/>
            <w:vAlign w:val="center"/>
          </w:tcPr>
          <w:p w14:paraId="3D7B0D63">
            <w:pPr>
              <w:pStyle w:val="37"/>
              <w:adjustRightInd w:val="0"/>
              <w:rPr>
                <w:color w:val="auto"/>
                <w:highlight w:val="none"/>
              </w:rPr>
            </w:pPr>
            <w:r>
              <w:rPr>
                <w:color w:val="auto"/>
                <w:highlight w:val="none"/>
              </w:rPr>
              <w:t>镉</w:t>
            </w:r>
          </w:p>
        </w:tc>
        <w:tc>
          <w:tcPr>
            <w:tcW w:w="1050" w:type="pct"/>
            <w:vAlign w:val="center"/>
          </w:tcPr>
          <w:p w14:paraId="34BD59D2">
            <w:pPr>
              <w:pStyle w:val="37"/>
              <w:adjustRightInd w:val="0"/>
              <w:rPr>
                <w:color w:val="auto"/>
                <w:highlight w:val="none"/>
              </w:rPr>
            </w:pPr>
            <w:r>
              <w:rPr>
                <w:color w:val="auto"/>
                <w:highlight w:val="none"/>
              </w:rPr>
              <w:t>65</w:t>
            </w:r>
          </w:p>
        </w:tc>
        <w:tc>
          <w:tcPr>
            <w:tcW w:w="378" w:type="pct"/>
            <w:vAlign w:val="center"/>
          </w:tcPr>
          <w:p w14:paraId="5F2B925F">
            <w:pPr>
              <w:pStyle w:val="37"/>
              <w:adjustRightInd w:val="0"/>
              <w:rPr>
                <w:color w:val="auto"/>
                <w:highlight w:val="none"/>
              </w:rPr>
            </w:pPr>
            <w:r>
              <w:rPr>
                <w:color w:val="auto"/>
                <w:highlight w:val="none"/>
              </w:rPr>
              <w:t>25</w:t>
            </w:r>
          </w:p>
        </w:tc>
        <w:tc>
          <w:tcPr>
            <w:tcW w:w="1172" w:type="pct"/>
            <w:vAlign w:val="center"/>
          </w:tcPr>
          <w:p w14:paraId="259B327C">
            <w:pPr>
              <w:pStyle w:val="37"/>
              <w:adjustRightInd w:val="0"/>
              <w:rPr>
                <w:color w:val="auto"/>
                <w:highlight w:val="none"/>
              </w:rPr>
            </w:pPr>
            <w:r>
              <w:rPr>
                <w:color w:val="auto"/>
                <w:highlight w:val="none"/>
              </w:rPr>
              <w:t>氯乙烯</w:t>
            </w:r>
          </w:p>
        </w:tc>
        <w:tc>
          <w:tcPr>
            <w:tcW w:w="1092" w:type="pct"/>
            <w:vAlign w:val="center"/>
          </w:tcPr>
          <w:p w14:paraId="4DEC8F12">
            <w:pPr>
              <w:pStyle w:val="37"/>
              <w:adjustRightInd w:val="0"/>
              <w:rPr>
                <w:color w:val="auto"/>
                <w:highlight w:val="none"/>
              </w:rPr>
            </w:pPr>
            <w:r>
              <w:rPr>
                <w:color w:val="auto"/>
                <w:highlight w:val="none"/>
              </w:rPr>
              <w:t>0.43</w:t>
            </w:r>
          </w:p>
        </w:tc>
      </w:tr>
      <w:tr w14:paraId="3D37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43CCFE6D">
            <w:pPr>
              <w:pStyle w:val="37"/>
              <w:adjustRightInd w:val="0"/>
              <w:rPr>
                <w:color w:val="auto"/>
                <w:highlight w:val="none"/>
              </w:rPr>
            </w:pPr>
            <w:r>
              <w:rPr>
                <w:color w:val="auto"/>
                <w:highlight w:val="none"/>
              </w:rPr>
              <w:t>3</w:t>
            </w:r>
          </w:p>
        </w:tc>
        <w:tc>
          <w:tcPr>
            <w:tcW w:w="949" w:type="pct"/>
            <w:vAlign w:val="center"/>
          </w:tcPr>
          <w:p w14:paraId="2A498579">
            <w:pPr>
              <w:pStyle w:val="37"/>
              <w:adjustRightInd w:val="0"/>
              <w:rPr>
                <w:color w:val="auto"/>
                <w:highlight w:val="none"/>
              </w:rPr>
            </w:pPr>
            <w:r>
              <w:rPr>
                <w:color w:val="auto"/>
                <w:highlight w:val="none"/>
              </w:rPr>
              <w:t>铬（六价）</w:t>
            </w:r>
          </w:p>
        </w:tc>
        <w:tc>
          <w:tcPr>
            <w:tcW w:w="1050" w:type="pct"/>
            <w:vAlign w:val="center"/>
          </w:tcPr>
          <w:p w14:paraId="61923FAF">
            <w:pPr>
              <w:pStyle w:val="37"/>
              <w:adjustRightInd w:val="0"/>
              <w:rPr>
                <w:color w:val="auto"/>
                <w:highlight w:val="none"/>
              </w:rPr>
            </w:pPr>
            <w:r>
              <w:rPr>
                <w:color w:val="auto"/>
                <w:highlight w:val="none"/>
              </w:rPr>
              <w:t>5.7</w:t>
            </w:r>
          </w:p>
        </w:tc>
        <w:tc>
          <w:tcPr>
            <w:tcW w:w="378" w:type="pct"/>
            <w:vAlign w:val="center"/>
          </w:tcPr>
          <w:p w14:paraId="42A1F66A">
            <w:pPr>
              <w:pStyle w:val="37"/>
              <w:adjustRightInd w:val="0"/>
              <w:rPr>
                <w:color w:val="auto"/>
                <w:highlight w:val="none"/>
              </w:rPr>
            </w:pPr>
            <w:r>
              <w:rPr>
                <w:color w:val="auto"/>
                <w:highlight w:val="none"/>
              </w:rPr>
              <w:t>26</w:t>
            </w:r>
          </w:p>
        </w:tc>
        <w:tc>
          <w:tcPr>
            <w:tcW w:w="1172" w:type="pct"/>
            <w:vAlign w:val="center"/>
          </w:tcPr>
          <w:p w14:paraId="5A77122E">
            <w:pPr>
              <w:pStyle w:val="37"/>
              <w:adjustRightInd w:val="0"/>
              <w:rPr>
                <w:color w:val="auto"/>
                <w:highlight w:val="none"/>
              </w:rPr>
            </w:pPr>
            <w:r>
              <w:rPr>
                <w:color w:val="auto"/>
                <w:highlight w:val="none"/>
              </w:rPr>
              <w:t>苯</w:t>
            </w:r>
          </w:p>
        </w:tc>
        <w:tc>
          <w:tcPr>
            <w:tcW w:w="1092" w:type="pct"/>
            <w:vAlign w:val="center"/>
          </w:tcPr>
          <w:p w14:paraId="2501481A">
            <w:pPr>
              <w:pStyle w:val="37"/>
              <w:adjustRightInd w:val="0"/>
              <w:rPr>
                <w:color w:val="auto"/>
                <w:highlight w:val="none"/>
              </w:rPr>
            </w:pPr>
            <w:r>
              <w:rPr>
                <w:color w:val="auto"/>
                <w:highlight w:val="none"/>
              </w:rPr>
              <w:t>4</w:t>
            </w:r>
          </w:p>
        </w:tc>
      </w:tr>
      <w:tr w14:paraId="02EAD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22F3213D">
            <w:pPr>
              <w:pStyle w:val="37"/>
              <w:adjustRightInd w:val="0"/>
              <w:rPr>
                <w:color w:val="auto"/>
                <w:highlight w:val="none"/>
              </w:rPr>
            </w:pPr>
            <w:r>
              <w:rPr>
                <w:color w:val="auto"/>
                <w:highlight w:val="none"/>
              </w:rPr>
              <w:t>4</w:t>
            </w:r>
          </w:p>
        </w:tc>
        <w:tc>
          <w:tcPr>
            <w:tcW w:w="949" w:type="pct"/>
            <w:vAlign w:val="center"/>
          </w:tcPr>
          <w:p w14:paraId="644EED23">
            <w:pPr>
              <w:pStyle w:val="37"/>
              <w:adjustRightInd w:val="0"/>
              <w:rPr>
                <w:color w:val="auto"/>
                <w:highlight w:val="none"/>
              </w:rPr>
            </w:pPr>
            <w:r>
              <w:rPr>
                <w:color w:val="auto"/>
                <w:highlight w:val="none"/>
              </w:rPr>
              <w:t>铜</w:t>
            </w:r>
          </w:p>
        </w:tc>
        <w:tc>
          <w:tcPr>
            <w:tcW w:w="1050" w:type="pct"/>
            <w:vAlign w:val="center"/>
          </w:tcPr>
          <w:p w14:paraId="42EC3899">
            <w:pPr>
              <w:pStyle w:val="37"/>
              <w:adjustRightInd w:val="0"/>
              <w:rPr>
                <w:color w:val="auto"/>
                <w:highlight w:val="none"/>
              </w:rPr>
            </w:pPr>
            <w:r>
              <w:rPr>
                <w:color w:val="auto"/>
                <w:highlight w:val="none"/>
              </w:rPr>
              <w:t>18000</w:t>
            </w:r>
          </w:p>
        </w:tc>
        <w:tc>
          <w:tcPr>
            <w:tcW w:w="378" w:type="pct"/>
            <w:vAlign w:val="center"/>
          </w:tcPr>
          <w:p w14:paraId="7B441A19">
            <w:pPr>
              <w:pStyle w:val="37"/>
              <w:adjustRightInd w:val="0"/>
              <w:rPr>
                <w:color w:val="auto"/>
                <w:highlight w:val="none"/>
              </w:rPr>
            </w:pPr>
            <w:r>
              <w:rPr>
                <w:color w:val="auto"/>
                <w:highlight w:val="none"/>
              </w:rPr>
              <w:t>27</w:t>
            </w:r>
          </w:p>
        </w:tc>
        <w:tc>
          <w:tcPr>
            <w:tcW w:w="1172" w:type="pct"/>
            <w:vAlign w:val="center"/>
          </w:tcPr>
          <w:p w14:paraId="7EAA2D16">
            <w:pPr>
              <w:pStyle w:val="37"/>
              <w:adjustRightInd w:val="0"/>
              <w:rPr>
                <w:color w:val="auto"/>
                <w:highlight w:val="none"/>
              </w:rPr>
            </w:pPr>
            <w:r>
              <w:rPr>
                <w:color w:val="auto"/>
                <w:highlight w:val="none"/>
              </w:rPr>
              <w:t>氯苯</w:t>
            </w:r>
          </w:p>
        </w:tc>
        <w:tc>
          <w:tcPr>
            <w:tcW w:w="1092" w:type="pct"/>
            <w:vAlign w:val="center"/>
          </w:tcPr>
          <w:p w14:paraId="61909682">
            <w:pPr>
              <w:pStyle w:val="37"/>
              <w:adjustRightInd w:val="0"/>
              <w:rPr>
                <w:color w:val="auto"/>
                <w:highlight w:val="none"/>
              </w:rPr>
            </w:pPr>
            <w:r>
              <w:rPr>
                <w:color w:val="auto"/>
                <w:highlight w:val="none"/>
              </w:rPr>
              <w:t>270</w:t>
            </w:r>
          </w:p>
        </w:tc>
      </w:tr>
      <w:tr w14:paraId="0F517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06C3F870">
            <w:pPr>
              <w:pStyle w:val="37"/>
              <w:adjustRightInd w:val="0"/>
              <w:rPr>
                <w:color w:val="auto"/>
                <w:highlight w:val="none"/>
              </w:rPr>
            </w:pPr>
            <w:r>
              <w:rPr>
                <w:color w:val="auto"/>
                <w:highlight w:val="none"/>
              </w:rPr>
              <w:t>5</w:t>
            </w:r>
          </w:p>
        </w:tc>
        <w:tc>
          <w:tcPr>
            <w:tcW w:w="949" w:type="pct"/>
            <w:vAlign w:val="center"/>
          </w:tcPr>
          <w:p w14:paraId="271E87BB">
            <w:pPr>
              <w:pStyle w:val="37"/>
              <w:adjustRightInd w:val="0"/>
              <w:rPr>
                <w:color w:val="auto"/>
                <w:highlight w:val="none"/>
              </w:rPr>
            </w:pPr>
            <w:r>
              <w:rPr>
                <w:color w:val="auto"/>
                <w:highlight w:val="none"/>
              </w:rPr>
              <w:t>铅</w:t>
            </w:r>
          </w:p>
        </w:tc>
        <w:tc>
          <w:tcPr>
            <w:tcW w:w="1050" w:type="pct"/>
            <w:vAlign w:val="center"/>
          </w:tcPr>
          <w:p w14:paraId="5949CD64">
            <w:pPr>
              <w:pStyle w:val="37"/>
              <w:adjustRightInd w:val="0"/>
              <w:rPr>
                <w:color w:val="auto"/>
                <w:highlight w:val="none"/>
              </w:rPr>
            </w:pPr>
            <w:r>
              <w:rPr>
                <w:color w:val="auto"/>
                <w:highlight w:val="none"/>
              </w:rPr>
              <w:t>800</w:t>
            </w:r>
          </w:p>
        </w:tc>
        <w:tc>
          <w:tcPr>
            <w:tcW w:w="378" w:type="pct"/>
            <w:vAlign w:val="center"/>
          </w:tcPr>
          <w:p w14:paraId="7F595652">
            <w:pPr>
              <w:pStyle w:val="37"/>
              <w:adjustRightInd w:val="0"/>
              <w:rPr>
                <w:color w:val="auto"/>
                <w:highlight w:val="none"/>
              </w:rPr>
            </w:pPr>
            <w:r>
              <w:rPr>
                <w:color w:val="auto"/>
                <w:highlight w:val="none"/>
              </w:rPr>
              <w:t>28</w:t>
            </w:r>
          </w:p>
        </w:tc>
        <w:tc>
          <w:tcPr>
            <w:tcW w:w="1172" w:type="pct"/>
            <w:vAlign w:val="center"/>
          </w:tcPr>
          <w:p w14:paraId="215179FB">
            <w:pPr>
              <w:pStyle w:val="37"/>
              <w:adjustRightInd w:val="0"/>
              <w:rPr>
                <w:color w:val="auto"/>
                <w:highlight w:val="none"/>
              </w:rPr>
            </w:pPr>
            <w:r>
              <w:rPr>
                <w:color w:val="auto"/>
                <w:highlight w:val="none"/>
              </w:rPr>
              <w:t>1,2-二氯苯</w:t>
            </w:r>
          </w:p>
        </w:tc>
        <w:tc>
          <w:tcPr>
            <w:tcW w:w="1092" w:type="pct"/>
            <w:vAlign w:val="center"/>
          </w:tcPr>
          <w:p w14:paraId="4DC16521">
            <w:pPr>
              <w:pStyle w:val="37"/>
              <w:adjustRightInd w:val="0"/>
              <w:rPr>
                <w:color w:val="auto"/>
                <w:highlight w:val="none"/>
              </w:rPr>
            </w:pPr>
            <w:r>
              <w:rPr>
                <w:color w:val="auto"/>
                <w:highlight w:val="none"/>
              </w:rPr>
              <w:t>560</w:t>
            </w:r>
          </w:p>
        </w:tc>
      </w:tr>
      <w:tr w14:paraId="0E8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449EBDA5">
            <w:pPr>
              <w:pStyle w:val="37"/>
              <w:adjustRightInd w:val="0"/>
              <w:rPr>
                <w:color w:val="auto"/>
                <w:highlight w:val="none"/>
              </w:rPr>
            </w:pPr>
            <w:r>
              <w:rPr>
                <w:color w:val="auto"/>
                <w:highlight w:val="none"/>
              </w:rPr>
              <w:t>6</w:t>
            </w:r>
          </w:p>
        </w:tc>
        <w:tc>
          <w:tcPr>
            <w:tcW w:w="949" w:type="pct"/>
            <w:vAlign w:val="center"/>
          </w:tcPr>
          <w:p w14:paraId="18DE3511">
            <w:pPr>
              <w:pStyle w:val="37"/>
              <w:adjustRightInd w:val="0"/>
              <w:rPr>
                <w:color w:val="auto"/>
                <w:highlight w:val="none"/>
              </w:rPr>
            </w:pPr>
            <w:r>
              <w:rPr>
                <w:color w:val="auto"/>
                <w:highlight w:val="none"/>
              </w:rPr>
              <w:t>汞</w:t>
            </w:r>
          </w:p>
        </w:tc>
        <w:tc>
          <w:tcPr>
            <w:tcW w:w="1050" w:type="pct"/>
            <w:vAlign w:val="center"/>
          </w:tcPr>
          <w:p w14:paraId="1FA683A7">
            <w:pPr>
              <w:pStyle w:val="37"/>
              <w:adjustRightInd w:val="0"/>
              <w:rPr>
                <w:color w:val="auto"/>
                <w:highlight w:val="none"/>
              </w:rPr>
            </w:pPr>
            <w:r>
              <w:rPr>
                <w:color w:val="auto"/>
                <w:highlight w:val="none"/>
              </w:rPr>
              <w:t>38</w:t>
            </w:r>
          </w:p>
        </w:tc>
        <w:tc>
          <w:tcPr>
            <w:tcW w:w="378" w:type="pct"/>
            <w:vAlign w:val="center"/>
          </w:tcPr>
          <w:p w14:paraId="5215532A">
            <w:pPr>
              <w:pStyle w:val="37"/>
              <w:adjustRightInd w:val="0"/>
              <w:rPr>
                <w:color w:val="auto"/>
                <w:highlight w:val="none"/>
              </w:rPr>
            </w:pPr>
            <w:r>
              <w:rPr>
                <w:color w:val="auto"/>
                <w:highlight w:val="none"/>
              </w:rPr>
              <w:t>29</w:t>
            </w:r>
          </w:p>
        </w:tc>
        <w:tc>
          <w:tcPr>
            <w:tcW w:w="1172" w:type="pct"/>
            <w:vAlign w:val="center"/>
          </w:tcPr>
          <w:p w14:paraId="172466A0">
            <w:pPr>
              <w:pStyle w:val="37"/>
              <w:adjustRightInd w:val="0"/>
              <w:rPr>
                <w:color w:val="auto"/>
                <w:highlight w:val="none"/>
              </w:rPr>
            </w:pPr>
            <w:r>
              <w:rPr>
                <w:color w:val="auto"/>
                <w:highlight w:val="none"/>
              </w:rPr>
              <w:t>1,4-二氯苯</w:t>
            </w:r>
          </w:p>
        </w:tc>
        <w:tc>
          <w:tcPr>
            <w:tcW w:w="1092" w:type="pct"/>
            <w:vAlign w:val="center"/>
          </w:tcPr>
          <w:p w14:paraId="6A81BEF8">
            <w:pPr>
              <w:pStyle w:val="37"/>
              <w:adjustRightInd w:val="0"/>
              <w:rPr>
                <w:color w:val="auto"/>
                <w:highlight w:val="none"/>
              </w:rPr>
            </w:pPr>
            <w:r>
              <w:rPr>
                <w:color w:val="auto"/>
                <w:highlight w:val="none"/>
              </w:rPr>
              <w:t>20</w:t>
            </w:r>
          </w:p>
        </w:tc>
      </w:tr>
      <w:tr w14:paraId="06CA1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197827DF">
            <w:pPr>
              <w:pStyle w:val="37"/>
              <w:adjustRightInd w:val="0"/>
              <w:rPr>
                <w:color w:val="auto"/>
                <w:highlight w:val="none"/>
              </w:rPr>
            </w:pPr>
            <w:r>
              <w:rPr>
                <w:color w:val="auto"/>
                <w:highlight w:val="none"/>
              </w:rPr>
              <w:t>7</w:t>
            </w:r>
          </w:p>
        </w:tc>
        <w:tc>
          <w:tcPr>
            <w:tcW w:w="949" w:type="pct"/>
            <w:vAlign w:val="center"/>
          </w:tcPr>
          <w:p w14:paraId="319E4EBC">
            <w:pPr>
              <w:pStyle w:val="37"/>
              <w:adjustRightInd w:val="0"/>
              <w:rPr>
                <w:color w:val="auto"/>
                <w:highlight w:val="none"/>
              </w:rPr>
            </w:pPr>
            <w:r>
              <w:rPr>
                <w:color w:val="auto"/>
                <w:highlight w:val="none"/>
              </w:rPr>
              <w:t>镍</w:t>
            </w:r>
          </w:p>
        </w:tc>
        <w:tc>
          <w:tcPr>
            <w:tcW w:w="1050" w:type="pct"/>
            <w:vAlign w:val="center"/>
          </w:tcPr>
          <w:p w14:paraId="213F4908">
            <w:pPr>
              <w:pStyle w:val="37"/>
              <w:adjustRightInd w:val="0"/>
              <w:rPr>
                <w:color w:val="auto"/>
                <w:highlight w:val="none"/>
              </w:rPr>
            </w:pPr>
            <w:r>
              <w:rPr>
                <w:color w:val="auto"/>
                <w:highlight w:val="none"/>
              </w:rPr>
              <w:t>900</w:t>
            </w:r>
          </w:p>
        </w:tc>
        <w:tc>
          <w:tcPr>
            <w:tcW w:w="378" w:type="pct"/>
            <w:vAlign w:val="center"/>
          </w:tcPr>
          <w:p w14:paraId="13E17D5E">
            <w:pPr>
              <w:pStyle w:val="37"/>
              <w:adjustRightInd w:val="0"/>
              <w:rPr>
                <w:color w:val="auto"/>
                <w:highlight w:val="none"/>
              </w:rPr>
            </w:pPr>
            <w:r>
              <w:rPr>
                <w:color w:val="auto"/>
                <w:highlight w:val="none"/>
              </w:rPr>
              <w:t>30</w:t>
            </w:r>
          </w:p>
        </w:tc>
        <w:tc>
          <w:tcPr>
            <w:tcW w:w="1172" w:type="pct"/>
            <w:vAlign w:val="center"/>
          </w:tcPr>
          <w:p w14:paraId="4C93413C">
            <w:pPr>
              <w:pStyle w:val="37"/>
              <w:adjustRightInd w:val="0"/>
              <w:rPr>
                <w:color w:val="auto"/>
                <w:highlight w:val="none"/>
              </w:rPr>
            </w:pPr>
            <w:r>
              <w:rPr>
                <w:color w:val="auto"/>
                <w:highlight w:val="none"/>
              </w:rPr>
              <w:t>乙苯</w:t>
            </w:r>
          </w:p>
        </w:tc>
        <w:tc>
          <w:tcPr>
            <w:tcW w:w="1092" w:type="pct"/>
            <w:vAlign w:val="center"/>
          </w:tcPr>
          <w:p w14:paraId="483A7C94">
            <w:pPr>
              <w:pStyle w:val="37"/>
              <w:adjustRightInd w:val="0"/>
              <w:rPr>
                <w:color w:val="auto"/>
                <w:highlight w:val="none"/>
              </w:rPr>
            </w:pPr>
            <w:r>
              <w:rPr>
                <w:color w:val="auto"/>
                <w:highlight w:val="none"/>
              </w:rPr>
              <w:t>28</w:t>
            </w:r>
          </w:p>
        </w:tc>
      </w:tr>
      <w:tr w14:paraId="0D59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119B5045">
            <w:pPr>
              <w:pStyle w:val="37"/>
              <w:adjustRightInd w:val="0"/>
              <w:rPr>
                <w:color w:val="auto"/>
                <w:highlight w:val="none"/>
              </w:rPr>
            </w:pPr>
            <w:r>
              <w:rPr>
                <w:color w:val="auto"/>
                <w:highlight w:val="none"/>
              </w:rPr>
              <w:t>8</w:t>
            </w:r>
          </w:p>
        </w:tc>
        <w:tc>
          <w:tcPr>
            <w:tcW w:w="949" w:type="pct"/>
            <w:vAlign w:val="center"/>
          </w:tcPr>
          <w:p w14:paraId="0E631048">
            <w:pPr>
              <w:pStyle w:val="37"/>
              <w:adjustRightInd w:val="0"/>
              <w:rPr>
                <w:color w:val="auto"/>
                <w:highlight w:val="none"/>
              </w:rPr>
            </w:pPr>
            <w:r>
              <w:rPr>
                <w:color w:val="auto"/>
                <w:highlight w:val="none"/>
              </w:rPr>
              <w:t>四氯化碳</w:t>
            </w:r>
          </w:p>
        </w:tc>
        <w:tc>
          <w:tcPr>
            <w:tcW w:w="1050" w:type="pct"/>
            <w:vAlign w:val="center"/>
          </w:tcPr>
          <w:p w14:paraId="097449E4">
            <w:pPr>
              <w:pStyle w:val="37"/>
              <w:adjustRightInd w:val="0"/>
              <w:rPr>
                <w:color w:val="auto"/>
                <w:highlight w:val="none"/>
              </w:rPr>
            </w:pPr>
            <w:r>
              <w:rPr>
                <w:color w:val="auto"/>
                <w:highlight w:val="none"/>
              </w:rPr>
              <w:t>2.8</w:t>
            </w:r>
          </w:p>
        </w:tc>
        <w:tc>
          <w:tcPr>
            <w:tcW w:w="378" w:type="pct"/>
            <w:vAlign w:val="center"/>
          </w:tcPr>
          <w:p w14:paraId="4D4357FD">
            <w:pPr>
              <w:pStyle w:val="37"/>
              <w:adjustRightInd w:val="0"/>
              <w:rPr>
                <w:color w:val="auto"/>
                <w:highlight w:val="none"/>
              </w:rPr>
            </w:pPr>
            <w:r>
              <w:rPr>
                <w:color w:val="auto"/>
                <w:highlight w:val="none"/>
              </w:rPr>
              <w:t>31</w:t>
            </w:r>
          </w:p>
        </w:tc>
        <w:tc>
          <w:tcPr>
            <w:tcW w:w="1172" w:type="pct"/>
            <w:vAlign w:val="center"/>
          </w:tcPr>
          <w:p w14:paraId="2B936C8A">
            <w:pPr>
              <w:pStyle w:val="37"/>
              <w:adjustRightInd w:val="0"/>
              <w:rPr>
                <w:color w:val="auto"/>
                <w:highlight w:val="none"/>
              </w:rPr>
            </w:pPr>
            <w:r>
              <w:rPr>
                <w:color w:val="auto"/>
                <w:highlight w:val="none"/>
              </w:rPr>
              <w:t>苯乙烯</w:t>
            </w:r>
          </w:p>
        </w:tc>
        <w:tc>
          <w:tcPr>
            <w:tcW w:w="1092" w:type="pct"/>
            <w:vAlign w:val="center"/>
          </w:tcPr>
          <w:p w14:paraId="51B7A5A0">
            <w:pPr>
              <w:pStyle w:val="37"/>
              <w:adjustRightInd w:val="0"/>
              <w:rPr>
                <w:color w:val="auto"/>
                <w:highlight w:val="none"/>
              </w:rPr>
            </w:pPr>
            <w:r>
              <w:rPr>
                <w:color w:val="auto"/>
                <w:highlight w:val="none"/>
              </w:rPr>
              <w:t>1290</w:t>
            </w:r>
          </w:p>
        </w:tc>
      </w:tr>
      <w:tr w14:paraId="2429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492DBAA9">
            <w:pPr>
              <w:pStyle w:val="37"/>
              <w:adjustRightInd w:val="0"/>
              <w:rPr>
                <w:color w:val="auto"/>
                <w:highlight w:val="none"/>
              </w:rPr>
            </w:pPr>
            <w:r>
              <w:rPr>
                <w:color w:val="auto"/>
                <w:highlight w:val="none"/>
              </w:rPr>
              <w:t>9</w:t>
            </w:r>
          </w:p>
        </w:tc>
        <w:tc>
          <w:tcPr>
            <w:tcW w:w="949" w:type="pct"/>
            <w:vAlign w:val="center"/>
          </w:tcPr>
          <w:p w14:paraId="7A5EB557">
            <w:pPr>
              <w:pStyle w:val="37"/>
              <w:adjustRightInd w:val="0"/>
              <w:rPr>
                <w:color w:val="auto"/>
                <w:highlight w:val="none"/>
              </w:rPr>
            </w:pPr>
            <w:r>
              <w:rPr>
                <w:color w:val="auto"/>
                <w:highlight w:val="none"/>
              </w:rPr>
              <w:t>氯仿</w:t>
            </w:r>
          </w:p>
        </w:tc>
        <w:tc>
          <w:tcPr>
            <w:tcW w:w="1050" w:type="pct"/>
            <w:vAlign w:val="center"/>
          </w:tcPr>
          <w:p w14:paraId="1E5FC38B">
            <w:pPr>
              <w:pStyle w:val="37"/>
              <w:adjustRightInd w:val="0"/>
              <w:rPr>
                <w:color w:val="auto"/>
                <w:highlight w:val="none"/>
              </w:rPr>
            </w:pPr>
            <w:r>
              <w:rPr>
                <w:color w:val="auto"/>
                <w:highlight w:val="none"/>
              </w:rPr>
              <w:t>0.9</w:t>
            </w:r>
          </w:p>
        </w:tc>
        <w:tc>
          <w:tcPr>
            <w:tcW w:w="378" w:type="pct"/>
            <w:vAlign w:val="center"/>
          </w:tcPr>
          <w:p w14:paraId="5ADD6590">
            <w:pPr>
              <w:pStyle w:val="37"/>
              <w:adjustRightInd w:val="0"/>
              <w:rPr>
                <w:color w:val="auto"/>
                <w:highlight w:val="none"/>
              </w:rPr>
            </w:pPr>
            <w:r>
              <w:rPr>
                <w:color w:val="auto"/>
                <w:highlight w:val="none"/>
              </w:rPr>
              <w:t>32</w:t>
            </w:r>
          </w:p>
        </w:tc>
        <w:tc>
          <w:tcPr>
            <w:tcW w:w="1172" w:type="pct"/>
            <w:vAlign w:val="center"/>
          </w:tcPr>
          <w:p w14:paraId="7A8E3CBF">
            <w:pPr>
              <w:pStyle w:val="37"/>
              <w:adjustRightInd w:val="0"/>
              <w:rPr>
                <w:color w:val="auto"/>
                <w:highlight w:val="none"/>
              </w:rPr>
            </w:pPr>
            <w:r>
              <w:rPr>
                <w:color w:val="auto"/>
                <w:highlight w:val="none"/>
              </w:rPr>
              <w:t>甲苯</w:t>
            </w:r>
          </w:p>
        </w:tc>
        <w:tc>
          <w:tcPr>
            <w:tcW w:w="1092" w:type="pct"/>
            <w:vAlign w:val="center"/>
          </w:tcPr>
          <w:p w14:paraId="3DBD59C2">
            <w:pPr>
              <w:pStyle w:val="37"/>
              <w:adjustRightInd w:val="0"/>
              <w:rPr>
                <w:color w:val="auto"/>
                <w:highlight w:val="none"/>
              </w:rPr>
            </w:pPr>
            <w:r>
              <w:rPr>
                <w:color w:val="auto"/>
                <w:highlight w:val="none"/>
              </w:rPr>
              <w:t>1200</w:t>
            </w:r>
          </w:p>
        </w:tc>
      </w:tr>
      <w:tr w14:paraId="586A4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5B31EF53">
            <w:pPr>
              <w:pStyle w:val="37"/>
              <w:adjustRightInd w:val="0"/>
              <w:rPr>
                <w:color w:val="auto"/>
                <w:highlight w:val="none"/>
              </w:rPr>
            </w:pPr>
            <w:r>
              <w:rPr>
                <w:color w:val="auto"/>
                <w:highlight w:val="none"/>
              </w:rPr>
              <w:t>10</w:t>
            </w:r>
          </w:p>
        </w:tc>
        <w:tc>
          <w:tcPr>
            <w:tcW w:w="949" w:type="pct"/>
            <w:vAlign w:val="center"/>
          </w:tcPr>
          <w:p w14:paraId="25B7272F">
            <w:pPr>
              <w:pStyle w:val="37"/>
              <w:adjustRightInd w:val="0"/>
              <w:rPr>
                <w:color w:val="auto"/>
                <w:highlight w:val="none"/>
              </w:rPr>
            </w:pPr>
            <w:r>
              <w:rPr>
                <w:color w:val="auto"/>
                <w:highlight w:val="none"/>
              </w:rPr>
              <w:t>氯甲烷</w:t>
            </w:r>
          </w:p>
        </w:tc>
        <w:tc>
          <w:tcPr>
            <w:tcW w:w="1050" w:type="pct"/>
            <w:vAlign w:val="center"/>
          </w:tcPr>
          <w:p w14:paraId="7E66FC5A">
            <w:pPr>
              <w:pStyle w:val="37"/>
              <w:adjustRightInd w:val="0"/>
              <w:rPr>
                <w:color w:val="auto"/>
                <w:highlight w:val="none"/>
              </w:rPr>
            </w:pPr>
            <w:r>
              <w:rPr>
                <w:color w:val="auto"/>
                <w:highlight w:val="none"/>
              </w:rPr>
              <w:t>37</w:t>
            </w:r>
          </w:p>
        </w:tc>
        <w:tc>
          <w:tcPr>
            <w:tcW w:w="378" w:type="pct"/>
            <w:vAlign w:val="center"/>
          </w:tcPr>
          <w:p w14:paraId="4FEC176F">
            <w:pPr>
              <w:pStyle w:val="37"/>
              <w:adjustRightInd w:val="0"/>
              <w:rPr>
                <w:color w:val="auto"/>
                <w:highlight w:val="none"/>
              </w:rPr>
            </w:pPr>
            <w:r>
              <w:rPr>
                <w:color w:val="auto"/>
                <w:highlight w:val="none"/>
              </w:rPr>
              <w:t>33</w:t>
            </w:r>
          </w:p>
        </w:tc>
        <w:tc>
          <w:tcPr>
            <w:tcW w:w="1172" w:type="pct"/>
            <w:vAlign w:val="center"/>
          </w:tcPr>
          <w:p w14:paraId="2F4BD837">
            <w:pPr>
              <w:pStyle w:val="37"/>
              <w:adjustRightInd w:val="0"/>
              <w:rPr>
                <w:color w:val="auto"/>
                <w:highlight w:val="none"/>
              </w:rPr>
            </w:pPr>
            <w:r>
              <w:rPr>
                <w:color w:val="auto"/>
                <w:highlight w:val="none"/>
              </w:rPr>
              <w:t>间二甲苯+对二甲苯</w:t>
            </w:r>
          </w:p>
        </w:tc>
        <w:tc>
          <w:tcPr>
            <w:tcW w:w="1092" w:type="pct"/>
            <w:vAlign w:val="center"/>
          </w:tcPr>
          <w:p w14:paraId="0BB2761F">
            <w:pPr>
              <w:pStyle w:val="37"/>
              <w:adjustRightInd w:val="0"/>
              <w:rPr>
                <w:color w:val="auto"/>
                <w:highlight w:val="none"/>
              </w:rPr>
            </w:pPr>
            <w:r>
              <w:rPr>
                <w:color w:val="auto"/>
                <w:highlight w:val="none"/>
              </w:rPr>
              <w:t>570</w:t>
            </w:r>
          </w:p>
        </w:tc>
      </w:tr>
      <w:tr w14:paraId="2D9FC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008BA243">
            <w:pPr>
              <w:pStyle w:val="37"/>
              <w:adjustRightInd w:val="0"/>
              <w:rPr>
                <w:color w:val="auto"/>
                <w:highlight w:val="none"/>
              </w:rPr>
            </w:pPr>
            <w:r>
              <w:rPr>
                <w:color w:val="auto"/>
                <w:highlight w:val="none"/>
              </w:rPr>
              <w:t>11</w:t>
            </w:r>
          </w:p>
        </w:tc>
        <w:tc>
          <w:tcPr>
            <w:tcW w:w="949" w:type="pct"/>
            <w:vAlign w:val="center"/>
          </w:tcPr>
          <w:p w14:paraId="07DCA528">
            <w:pPr>
              <w:pStyle w:val="37"/>
              <w:adjustRightInd w:val="0"/>
              <w:rPr>
                <w:color w:val="auto"/>
                <w:highlight w:val="none"/>
              </w:rPr>
            </w:pPr>
            <w:r>
              <w:rPr>
                <w:color w:val="auto"/>
                <w:highlight w:val="none"/>
              </w:rPr>
              <w:t>1,1-二氯乙烷</w:t>
            </w:r>
          </w:p>
        </w:tc>
        <w:tc>
          <w:tcPr>
            <w:tcW w:w="1050" w:type="pct"/>
            <w:vAlign w:val="center"/>
          </w:tcPr>
          <w:p w14:paraId="36B8A794">
            <w:pPr>
              <w:pStyle w:val="37"/>
              <w:adjustRightInd w:val="0"/>
              <w:rPr>
                <w:color w:val="auto"/>
                <w:highlight w:val="none"/>
              </w:rPr>
            </w:pPr>
            <w:r>
              <w:rPr>
                <w:color w:val="auto"/>
                <w:highlight w:val="none"/>
              </w:rPr>
              <w:t>9</w:t>
            </w:r>
          </w:p>
        </w:tc>
        <w:tc>
          <w:tcPr>
            <w:tcW w:w="378" w:type="pct"/>
            <w:vAlign w:val="center"/>
          </w:tcPr>
          <w:p w14:paraId="6501B902">
            <w:pPr>
              <w:pStyle w:val="37"/>
              <w:adjustRightInd w:val="0"/>
              <w:rPr>
                <w:color w:val="auto"/>
                <w:highlight w:val="none"/>
              </w:rPr>
            </w:pPr>
            <w:r>
              <w:rPr>
                <w:color w:val="auto"/>
                <w:highlight w:val="none"/>
              </w:rPr>
              <w:t>34</w:t>
            </w:r>
          </w:p>
        </w:tc>
        <w:tc>
          <w:tcPr>
            <w:tcW w:w="1172" w:type="pct"/>
            <w:vAlign w:val="center"/>
          </w:tcPr>
          <w:p w14:paraId="0E237AF7">
            <w:pPr>
              <w:pStyle w:val="37"/>
              <w:adjustRightInd w:val="0"/>
              <w:rPr>
                <w:color w:val="auto"/>
                <w:highlight w:val="none"/>
              </w:rPr>
            </w:pPr>
            <w:r>
              <w:rPr>
                <w:color w:val="auto"/>
                <w:highlight w:val="none"/>
              </w:rPr>
              <w:t>邻二甲苯</w:t>
            </w:r>
          </w:p>
        </w:tc>
        <w:tc>
          <w:tcPr>
            <w:tcW w:w="1092" w:type="pct"/>
            <w:vAlign w:val="center"/>
          </w:tcPr>
          <w:p w14:paraId="0231052A">
            <w:pPr>
              <w:pStyle w:val="37"/>
              <w:adjustRightInd w:val="0"/>
              <w:rPr>
                <w:color w:val="auto"/>
                <w:highlight w:val="none"/>
              </w:rPr>
            </w:pPr>
            <w:r>
              <w:rPr>
                <w:color w:val="auto"/>
                <w:highlight w:val="none"/>
              </w:rPr>
              <w:t>640</w:t>
            </w:r>
          </w:p>
        </w:tc>
      </w:tr>
      <w:tr w14:paraId="6A63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66D19264">
            <w:pPr>
              <w:pStyle w:val="37"/>
              <w:adjustRightInd w:val="0"/>
              <w:rPr>
                <w:color w:val="auto"/>
                <w:highlight w:val="none"/>
              </w:rPr>
            </w:pPr>
            <w:r>
              <w:rPr>
                <w:color w:val="auto"/>
                <w:highlight w:val="none"/>
              </w:rPr>
              <w:t>12</w:t>
            </w:r>
          </w:p>
        </w:tc>
        <w:tc>
          <w:tcPr>
            <w:tcW w:w="949" w:type="pct"/>
            <w:vAlign w:val="center"/>
          </w:tcPr>
          <w:p w14:paraId="10E9FDB1">
            <w:pPr>
              <w:pStyle w:val="37"/>
              <w:adjustRightInd w:val="0"/>
              <w:rPr>
                <w:color w:val="auto"/>
                <w:highlight w:val="none"/>
              </w:rPr>
            </w:pPr>
            <w:r>
              <w:rPr>
                <w:color w:val="auto"/>
                <w:highlight w:val="none"/>
              </w:rPr>
              <w:t>1,2-二氯乙烷</w:t>
            </w:r>
          </w:p>
        </w:tc>
        <w:tc>
          <w:tcPr>
            <w:tcW w:w="1050" w:type="pct"/>
            <w:vAlign w:val="center"/>
          </w:tcPr>
          <w:p w14:paraId="7BB63056">
            <w:pPr>
              <w:pStyle w:val="37"/>
              <w:adjustRightInd w:val="0"/>
              <w:rPr>
                <w:color w:val="auto"/>
                <w:highlight w:val="none"/>
              </w:rPr>
            </w:pPr>
            <w:r>
              <w:rPr>
                <w:color w:val="auto"/>
                <w:highlight w:val="none"/>
              </w:rPr>
              <w:t>5</w:t>
            </w:r>
          </w:p>
        </w:tc>
        <w:tc>
          <w:tcPr>
            <w:tcW w:w="378" w:type="pct"/>
            <w:vAlign w:val="center"/>
          </w:tcPr>
          <w:p w14:paraId="1769468F">
            <w:pPr>
              <w:pStyle w:val="37"/>
              <w:adjustRightInd w:val="0"/>
              <w:rPr>
                <w:color w:val="auto"/>
                <w:highlight w:val="none"/>
              </w:rPr>
            </w:pPr>
            <w:r>
              <w:rPr>
                <w:color w:val="auto"/>
                <w:highlight w:val="none"/>
              </w:rPr>
              <w:t>35</w:t>
            </w:r>
          </w:p>
        </w:tc>
        <w:tc>
          <w:tcPr>
            <w:tcW w:w="1172" w:type="pct"/>
            <w:vAlign w:val="center"/>
          </w:tcPr>
          <w:p w14:paraId="3CC4A468">
            <w:pPr>
              <w:pStyle w:val="37"/>
              <w:adjustRightInd w:val="0"/>
              <w:rPr>
                <w:color w:val="auto"/>
                <w:highlight w:val="none"/>
              </w:rPr>
            </w:pPr>
            <w:r>
              <w:rPr>
                <w:color w:val="auto"/>
                <w:highlight w:val="none"/>
              </w:rPr>
              <w:t>硝基苯</w:t>
            </w:r>
          </w:p>
        </w:tc>
        <w:tc>
          <w:tcPr>
            <w:tcW w:w="1092" w:type="pct"/>
            <w:vAlign w:val="center"/>
          </w:tcPr>
          <w:p w14:paraId="5EE3F60F">
            <w:pPr>
              <w:pStyle w:val="37"/>
              <w:adjustRightInd w:val="0"/>
              <w:rPr>
                <w:color w:val="auto"/>
                <w:highlight w:val="none"/>
              </w:rPr>
            </w:pPr>
            <w:r>
              <w:rPr>
                <w:color w:val="auto"/>
                <w:highlight w:val="none"/>
              </w:rPr>
              <w:t>76</w:t>
            </w:r>
          </w:p>
        </w:tc>
      </w:tr>
      <w:tr w14:paraId="4EB05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045FE982">
            <w:pPr>
              <w:pStyle w:val="37"/>
              <w:adjustRightInd w:val="0"/>
              <w:rPr>
                <w:color w:val="auto"/>
                <w:highlight w:val="none"/>
              </w:rPr>
            </w:pPr>
            <w:r>
              <w:rPr>
                <w:color w:val="auto"/>
                <w:highlight w:val="none"/>
              </w:rPr>
              <w:t>13</w:t>
            </w:r>
          </w:p>
        </w:tc>
        <w:tc>
          <w:tcPr>
            <w:tcW w:w="949" w:type="pct"/>
            <w:vAlign w:val="center"/>
          </w:tcPr>
          <w:p w14:paraId="6E8DD101">
            <w:pPr>
              <w:pStyle w:val="37"/>
              <w:adjustRightInd w:val="0"/>
              <w:rPr>
                <w:color w:val="auto"/>
                <w:highlight w:val="none"/>
              </w:rPr>
            </w:pPr>
            <w:r>
              <w:rPr>
                <w:color w:val="auto"/>
                <w:highlight w:val="none"/>
              </w:rPr>
              <w:t>1,1-二氯乙烯</w:t>
            </w:r>
          </w:p>
        </w:tc>
        <w:tc>
          <w:tcPr>
            <w:tcW w:w="1050" w:type="pct"/>
            <w:vAlign w:val="center"/>
          </w:tcPr>
          <w:p w14:paraId="5197F6B8">
            <w:pPr>
              <w:pStyle w:val="37"/>
              <w:adjustRightInd w:val="0"/>
              <w:rPr>
                <w:color w:val="auto"/>
                <w:highlight w:val="none"/>
              </w:rPr>
            </w:pPr>
            <w:r>
              <w:rPr>
                <w:color w:val="auto"/>
                <w:highlight w:val="none"/>
              </w:rPr>
              <w:t>66</w:t>
            </w:r>
          </w:p>
        </w:tc>
        <w:tc>
          <w:tcPr>
            <w:tcW w:w="378" w:type="pct"/>
            <w:vAlign w:val="center"/>
          </w:tcPr>
          <w:p w14:paraId="4DE0C54A">
            <w:pPr>
              <w:pStyle w:val="37"/>
              <w:adjustRightInd w:val="0"/>
              <w:rPr>
                <w:color w:val="auto"/>
                <w:highlight w:val="none"/>
              </w:rPr>
            </w:pPr>
            <w:r>
              <w:rPr>
                <w:color w:val="auto"/>
                <w:highlight w:val="none"/>
              </w:rPr>
              <w:t>36</w:t>
            </w:r>
          </w:p>
        </w:tc>
        <w:tc>
          <w:tcPr>
            <w:tcW w:w="1172" w:type="pct"/>
            <w:vAlign w:val="center"/>
          </w:tcPr>
          <w:p w14:paraId="42FD768F">
            <w:pPr>
              <w:pStyle w:val="37"/>
              <w:adjustRightInd w:val="0"/>
              <w:rPr>
                <w:color w:val="auto"/>
                <w:highlight w:val="none"/>
              </w:rPr>
            </w:pPr>
            <w:r>
              <w:rPr>
                <w:color w:val="auto"/>
                <w:highlight w:val="none"/>
              </w:rPr>
              <w:t>苯胺</w:t>
            </w:r>
          </w:p>
        </w:tc>
        <w:tc>
          <w:tcPr>
            <w:tcW w:w="1092" w:type="pct"/>
            <w:vAlign w:val="center"/>
          </w:tcPr>
          <w:p w14:paraId="10BA1B27">
            <w:pPr>
              <w:pStyle w:val="37"/>
              <w:adjustRightInd w:val="0"/>
              <w:rPr>
                <w:color w:val="auto"/>
                <w:highlight w:val="none"/>
              </w:rPr>
            </w:pPr>
            <w:r>
              <w:rPr>
                <w:color w:val="auto"/>
                <w:highlight w:val="none"/>
              </w:rPr>
              <w:t>260</w:t>
            </w:r>
          </w:p>
        </w:tc>
      </w:tr>
      <w:tr w14:paraId="18B1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5E899E00">
            <w:pPr>
              <w:pStyle w:val="37"/>
              <w:adjustRightInd w:val="0"/>
              <w:rPr>
                <w:color w:val="auto"/>
                <w:highlight w:val="none"/>
              </w:rPr>
            </w:pPr>
            <w:r>
              <w:rPr>
                <w:color w:val="auto"/>
                <w:highlight w:val="none"/>
              </w:rPr>
              <w:t>14</w:t>
            </w:r>
          </w:p>
        </w:tc>
        <w:tc>
          <w:tcPr>
            <w:tcW w:w="949" w:type="pct"/>
            <w:vAlign w:val="center"/>
          </w:tcPr>
          <w:p w14:paraId="607F4BC0">
            <w:pPr>
              <w:pStyle w:val="37"/>
              <w:adjustRightInd w:val="0"/>
              <w:rPr>
                <w:color w:val="auto"/>
                <w:highlight w:val="none"/>
              </w:rPr>
            </w:pPr>
            <w:r>
              <w:rPr>
                <w:color w:val="auto"/>
                <w:highlight w:val="none"/>
              </w:rPr>
              <w:t>顺-1,2-二氯乙烯</w:t>
            </w:r>
          </w:p>
        </w:tc>
        <w:tc>
          <w:tcPr>
            <w:tcW w:w="1050" w:type="pct"/>
            <w:vAlign w:val="center"/>
          </w:tcPr>
          <w:p w14:paraId="0E89F838">
            <w:pPr>
              <w:pStyle w:val="37"/>
              <w:adjustRightInd w:val="0"/>
              <w:rPr>
                <w:color w:val="auto"/>
                <w:highlight w:val="none"/>
              </w:rPr>
            </w:pPr>
            <w:r>
              <w:rPr>
                <w:color w:val="auto"/>
                <w:highlight w:val="none"/>
              </w:rPr>
              <w:t>596</w:t>
            </w:r>
          </w:p>
        </w:tc>
        <w:tc>
          <w:tcPr>
            <w:tcW w:w="378" w:type="pct"/>
            <w:vAlign w:val="center"/>
          </w:tcPr>
          <w:p w14:paraId="5E042C4C">
            <w:pPr>
              <w:pStyle w:val="37"/>
              <w:adjustRightInd w:val="0"/>
              <w:rPr>
                <w:color w:val="auto"/>
                <w:highlight w:val="none"/>
              </w:rPr>
            </w:pPr>
            <w:r>
              <w:rPr>
                <w:color w:val="auto"/>
                <w:highlight w:val="none"/>
              </w:rPr>
              <w:t>37</w:t>
            </w:r>
          </w:p>
        </w:tc>
        <w:tc>
          <w:tcPr>
            <w:tcW w:w="1172" w:type="pct"/>
            <w:vAlign w:val="center"/>
          </w:tcPr>
          <w:p w14:paraId="6124430A">
            <w:pPr>
              <w:pStyle w:val="37"/>
              <w:adjustRightInd w:val="0"/>
              <w:rPr>
                <w:color w:val="auto"/>
                <w:highlight w:val="none"/>
              </w:rPr>
            </w:pPr>
            <w:r>
              <w:rPr>
                <w:color w:val="auto"/>
                <w:highlight w:val="none"/>
              </w:rPr>
              <w:t>2-氯酚</w:t>
            </w:r>
          </w:p>
        </w:tc>
        <w:tc>
          <w:tcPr>
            <w:tcW w:w="1092" w:type="pct"/>
            <w:vAlign w:val="center"/>
          </w:tcPr>
          <w:p w14:paraId="472CB1E5">
            <w:pPr>
              <w:pStyle w:val="37"/>
              <w:adjustRightInd w:val="0"/>
              <w:rPr>
                <w:color w:val="auto"/>
                <w:highlight w:val="none"/>
              </w:rPr>
            </w:pPr>
            <w:r>
              <w:rPr>
                <w:color w:val="auto"/>
                <w:highlight w:val="none"/>
              </w:rPr>
              <w:t>2256</w:t>
            </w:r>
          </w:p>
        </w:tc>
      </w:tr>
      <w:tr w14:paraId="7B13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6CB54CCC">
            <w:pPr>
              <w:pStyle w:val="37"/>
              <w:adjustRightInd w:val="0"/>
              <w:rPr>
                <w:color w:val="auto"/>
                <w:highlight w:val="none"/>
              </w:rPr>
            </w:pPr>
            <w:r>
              <w:rPr>
                <w:color w:val="auto"/>
                <w:highlight w:val="none"/>
              </w:rPr>
              <w:t>15</w:t>
            </w:r>
          </w:p>
        </w:tc>
        <w:tc>
          <w:tcPr>
            <w:tcW w:w="949" w:type="pct"/>
            <w:vAlign w:val="center"/>
          </w:tcPr>
          <w:p w14:paraId="025029D2">
            <w:pPr>
              <w:pStyle w:val="37"/>
              <w:adjustRightInd w:val="0"/>
              <w:rPr>
                <w:color w:val="auto"/>
                <w:highlight w:val="none"/>
              </w:rPr>
            </w:pPr>
            <w:r>
              <w:rPr>
                <w:color w:val="auto"/>
                <w:highlight w:val="none"/>
              </w:rPr>
              <w:t>反-1,2-二氯乙烯</w:t>
            </w:r>
          </w:p>
        </w:tc>
        <w:tc>
          <w:tcPr>
            <w:tcW w:w="1050" w:type="pct"/>
            <w:vAlign w:val="center"/>
          </w:tcPr>
          <w:p w14:paraId="58610C91">
            <w:pPr>
              <w:pStyle w:val="37"/>
              <w:adjustRightInd w:val="0"/>
              <w:rPr>
                <w:color w:val="auto"/>
                <w:highlight w:val="none"/>
              </w:rPr>
            </w:pPr>
            <w:r>
              <w:rPr>
                <w:color w:val="auto"/>
                <w:highlight w:val="none"/>
              </w:rPr>
              <w:t>54</w:t>
            </w:r>
          </w:p>
        </w:tc>
        <w:tc>
          <w:tcPr>
            <w:tcW w:w="378" w:type="pct"/>
            <w:vAlign w:val="center"/>
          </w:tcPr>
          <w:p w14:paraId="1E2C081F">
            <w:pPr>
              <w:pStyle w:val="37"/>
              <w:adjustRightInd w:val="0"/>
              <w:rPr>
                <w:color w:val="auto"/>
                <w:highlight w:val="none"/>
              </w:rPr>
            </w:pPr>
            <w:r>
              <w:rPr>
                <w:color w:val="auto"/>
                <w:highlight w:val="none"/>
              </w:rPr>
              <w:t>38</w:t>
            </w:r>
          </w:p>
        </w:tc>
        <w:tc>
          <w:tcPr>
            <w:tcW w:w="1172" w:type="pct"/>
            <w:vAlign w:val="center"/>
          </w:tcPr>
          <w:p w14:paraId="1A4057E5">
            <w:pPr>
              <w:pStyle w:val="37"/>
              <w:adjustRightInd w:val="0"/>
              <w:rPr>
                <w:color w:val="auto"/>
                <w:highlight w:val="none"/>
              </w:rPr>
            </w:pPr>
            <w:r>
              <w:rPr>
                <w:color w:val="auto"/>
                <w:highlight w:val="none"/>
              </w:rPr>
              <w:t>苯并[a]蒽</w:t>
            </w:r>
          </w:p>
        </w:tc>
        <w:tc>
          <w:tcPr>
            <w:tcW w:w="1092" w:type="pct"/>
            <w:vAlign w:val="center"/>
          </w:tcPr>
          <w:p w14:paraId="31789C5F">
            <w:pPr>
              <w:pStyle w:val="37"/>
              <w:adjustRightInd w:val="0"/>
              <w:rPr>
                <w:color w:val="auto"/>
                <w:highlight w:val="none"/>
              </w:rPr>
            </w:pPr>
            <w:r>
              <w:rPr>
                <w:color w:val="auto"/>
                <w:highlight w:val="none"/>
              </w:rPr>
              <w:t>15</w:t>
            </w:r>
          </w:p>
        </w:tc>
      </w:tr>
      <w:tr w14:paraId="2181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3EE5F5F2">
            <w:pPr>
              <w:pStyle w:val="37"/>
              <w:adjustRightInd w:val="0"/>
              <w:rPr>
                <w:color w:val="auto"/>
                <w:highlight w:val="none"/>
              </w:rPr>
            </w:pPr>
            <w:r>
              <w:rPr>
                <w:color w:val="auto"/>
                <w:highlight w:val="none"/>
              </w:rPr>
              <w:t>16</w:t>
            </w:r>
          </w:p>
        </w:tc>
        <w:tc>
          <w:tcPr>
            <w:tcW w:w="949" w:type="pct"/>
            <w:vAlign w:val="center"/>
          </w:tcPr>
          <w:p w14:paraId="17192919">
            <w:pPr>
              <w:pStyle w:val="37"/>
              <w:adjustRightInd w:val="0"/>
              <w:rPr>
                <w:color w:val="auto"/>
                <w:highlight w:val="none"/>
              </w:rPr>
            </w:pPr>
            <w:r>
              <w:rPr>
                <w:color w:val="auto"/>
                <w:highlight w:val="none"/>
              </w:rPr>
              <w:t>二氯甲烷</w:t>
            </w:r>
          </w:p>
        </w:tc>
        <w:tc>
          <w:tcPr>
            <w:tcW w:w="1050" w:type="pct"/>
            <w:vAlign w:val="center"/>
          </w:tcPr>
          <w:p w14:paraId="3B4A51F0">
            <w:pPr>
              <w:pStyle w:val="37"/>
              <w:adjustRightInd w:val="0"/>
              <w:rPr>
                <w:color w:val="auto"/>
                <w:highlight w:val="none"/>
              </w:rPr>
            </w:pPr>
            <w:r>
              <w:rPr>
                <w:color w:val="auto"/>
                <w:highlight w:val="none"/>
              </w:rPr>
              <w:t>616</w:t>
            </w:r>
          </w:p>
        </w:tc>
        <w:tc>
          <w:tcPr>
            <w:tcW w:w="378" w:type="pct"/>
            <w:vAlign w:val="center"/>
          </w:tcPr>
          <w:p w14:paraId="2D364452">
            <w:pPr>
              <w:pStyle w:val="37"/>
              <w:adjustRightInd w:val="0"/>
              <w:rPr>
                <w:color w:val="auto"/>
                <w:highlight w:val="none"/>
              </w:rPr>
            </w:pPr>
            <w:r>
              <w:rPr>
                <w:color w:val="auto"/>
                <w:highlight w:val="none"/>
              </w:rPr>
              <w:t>39</w:t>
            </w:r>
          </w:p>
        </w:tc>
        <w:tc>
          <w:tcPr>
            <w:tcW w:w="1172" w:type="pct"/>
            <w:vAlign w:val="center"/>
          </w:tcPr>
          <w:p w14:paraId="15E7D95B">
            <w:pPr>
              <w:pStyle w:val="37"/>
              <w:adjustRightInd w:val="0"/>
              <w:rPr>
                <w:color w:val="auto"/>
                <w:highlight w:val="none"/>
              </w:rPr>
            </w:pPr>
            <w:r>
              <w:rPr>
                <w:color w:val="auto"/>
                <w:highlight w:val="none"/>
              </w:rPr>
              <w:t>苯并[a]芘</w:t>
            </w:r>
          </w:p>
        </w:tc>
        <w:tc>
          <w:tcPr>
            <w:tcW w:w="1092" w:type="pct"/>
            <w:vAlign w:val="center"/>
          </w:tcPr>
          <w:p w14:paraId="7A8A2A2F">
            <w:pPr>
              <w:pStyle w:val="37"/>
              <w:adjustRightInd w:val="0"/>
              <w:rPr>
                <w:color w:val="auto"/>
                <w:highlight w:val="none"/>
              </w:rPr>
            </w:pPr>
            <w:r>
              <w:rPr>
                <w:color w:val="auto"/>
                <w:highlight w:val="none"/>
              </w:rPr>
              <w:t>1.5</w:t>
            </w:r>
          </w:p>
        </w:tc>
      </w:tr>
      <w:tr w14:paraId="2406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75B86E68">
            <w:pPr>
              <w:pStyle w:val="37"/>
              <w:adjustRightInd w:val="0"/>
              <w:rPr>
                <w:color w:val="auto"/>
                <w:highlight w:val="none"/>
              </w:rPr>
            </w:pPr>
            <w:r>
              <w:rPr>
                <w:color w:val="auto"/>
                <w:highlight w:val="none"/>
              </w:rPr>
              <w:t>17</w:t>
            </w:r>
          </w:p>
        </w:tc>
        <w:tc>
          <w:tcPr>
            <w:tcW w:w="949" w:type="pct"/>
            <w:vAlign w:val="center"/>
          </w:tcPr>
          <w:p w14:paraId="3F7079A0">
            <w:pPr>
              <w:pStyle w:val="37"/>
              <w:adjustRightInd w:val="0"/>
              <w:rPr>
                <w:color w:val="auto"/>
                <w:highlight w:val="none"/>
              </w:rPr>
            </w:pPr>
            <w:r>
              <w:rPr>
                <w:color w:val="auto"/>
                <w:highlight w:val="none"/>
              </w:rPr>
              <w:t>1,2-二氯甲烷</w:t>
            </w:r>
          </w:p>
        </w:tc>
        <w:tc>
          <w:tcPr>
            <w:tcW w:w="1050" w:type="pct"/>
            <w:vAlign w:val="center"/>
          </w:tcPr>
          <w:p w14:paraId="58F6D40D">
            <w:pPr>
              <w:pStyle w:val="37"/>
              <w:adjustRightInd w:val="0"/>
              <w:rPr>
                <w:color w:val="auto"/>
                <w:highlight w:val="none"/>
              </w:rPr>
            </w:pPr>
            <w:r>
              <w:rPr>
                <w:color w:val="auto"/>
                <w:highlight w:val="none"/>
              </w:rPr>
              <w:t>5</w:t>
            </w:r>
          </w:p>
        </w:tc>
        <w:tc>
          <w:tcPr>
            <w:tcW w:w="378" w:type="pct"/>
            <w:vAlign w:val="center"/>
          </w:tcPr>
          <w:p w14:paraId="1031EA44">
            <w:pPr>
              <w:pStyle w:val="37"/>
              <w:adjustRightInd w:val="0"/>
              <w:rPr>
                <w:color w:val="auto"/>
                <w:highlight w:val="none"/>
              </w:rPr>
            </w:pPr>
            <w:r>
              <w:rPr>
                <w:color w:val="auto"/>
                <w:highlight w:val="none"/>
              </w:rPr>
              <w:t>40</w:t>
            </w:r>
          </w:p>
        </w:tc>
        <w:tc>
          <w:tcPr>
            <w:tcW w:w="1172" w:type="pct"/>
            <w:vAlign w:val="center"/>
          </w:tcPr>
          <w:p w14:paraId="65F4E9A0">
            <w:pPr>
              <w:pStyle w:val="37"/>
              <w:adjustRightInd w:val="0"/>
              <w:rPr>
                <w:color w:val="auto"/>
                <w:highlight w:val="none"/>
              </w:rPr>
            </w:pPr>
            <w:r>
              <w:rPr>
                <w:color w:val="auto"/>
                <w:highlight w:val="none"/>
              </w:rPr>
              <w:t>苯并[b]荧蒽</w:t>
            </w:r>
          </w:p>
        </w:tc>
        <w:tc>
          <w:tcPr>
            <w:tcW w:w="1092" w:type="pct"/>
            <w:vAlign w:val="center"/>
          </w:tcPr>
          <w:p w14:paraId="7FB37E6E">
            <w:pPr>
              <w:pStyle w:val="37"/>
              <w:adjustRightInd w:val="0"/>
              <w:rPr>
                <w:color w:val="auto"/>
                <w:highlight w:val="none"/>
              </w:rPr>
            </w:pPr>
            <w:r>
              <w:rPr>
                <w:color w:val="auto"/>
                <w:highlight w:val="none"/>
              </w:rPr>
              <w:t>15</w:t>
            </w:r>
          </w:p>
        </w:tc>
      </w:tr>
      <w:tr w14:paraId="106E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1F6A13E7">
            <w:pPr>
              <w:pStyle w:val="37"/>
              <w:adjustRightInd w:val="0"/>
              <w:rPr>
                <w:color w:val="auto"/>
                <w:highlight w:val="none"/>
              </w:rPr>
            </w:pPr>
            <w:r>
              <w:rPr>
                <w:color w:val="auto"/>
                <w:highlight w:val="none"/>
              </w:rPr>
              <w:t>18</w:t>
            </w:r>
          </w:p>
        </w:tc>
        <w:tc>
          <w:tcPr>
            <w:tcW w:w="949" w:type="pct"/>
            <w:vAlign w:val="center"/>
          </w:tcPr>
          <w:p w14:paraId="438A4F19">
            <w:pPr>
              <w:pStyle w:val="37"/>
              <w:adjustRightInd w:val="0"/>
              <w:rPr>
                <w:color w:val="auto"/>
                <w:highlight w:val="none"/>
              </w:rPr>
            </w:pPr>
            <w:r>
              <w:rPr>
                <w:color w:val="auto"/>
                <w:highlight w:val="none"/>
              </w:rPr>
              <w:t>1,1,1,2-四氯乙烷</w:t>
            </w:r>
          </w:p>
        </w:tc>
        <w:tc>
          <w:tcPr>
            <w:tcW w:w="1050" w:type="pct"/>
            <w:vAlign w:val="center"/>
          </w:tcPr>
          <w:p w14:paraId="2C09452E">
            <w:pPr>
              <w:pStyle w:val="37"/>
              <w:adjustRightInd w:val="0"/>
              <w:rPr>
                <w:color w:val="auto"/>
                <w:highlight w:val="none"/>
              </w:rPr>
            </w:pPr>
            <w:r>
              <w:rPr>
                <w:color w:val="auto"/>
                <w:highlight w:val="none"/>
              </w:rPr>
              <w:t>10</w:t>
            </w:r>
          </w:p>
        </w:tc>
        <w:tc>
          <w:tcPr>
            <w:tcW w:w="378" w:type="pct"/>
            <w:vAlign w:val="center"/>
          </w:tcPr>
          <w:p w14:paraId="7AAFBA0B">
            <w:pPr>
              <w:pStyle w:val="37"/>
              <w:adjustRightInd w:val="0"/>
              <w:rPr>
                <w:color w:val="auto"/>
                <w:highlight w:val="none"/>
              </w:rPr>
            </w:pPr>
            <w:r>
              <w:rPr>
                <w:color w:val="auto"/>
                <w:highlight w:val="none"/>
              </w:rPr>
              <w:t>41</w:t>
            </w:r>
          </w:p>
        </w:tc>
        <w:tc>
          <w:tcPr>
            <w:tcW w:w="1172" w:type="pct"/>
            <w:vAlign w:val="center"/>
          </w:tcPr>
          <w:p w14:paraId="42812B03">
            <w:pPr>
              <w:pStyle w:val="37"/>
              <w:adjustRightInd w:val="0"/>
              <w:rPr>
                <w:color w:val="auto"/>
                <w:highlight w:val="none"/>
              </w:rPr>
            </w:pPr>
            <w:r>
              <w:rPr>
                <w:color w:val="auto"/>
                <w:highlight w:val="none"/>
              </w:rPr>
              <w:t>苯并[k]荧蒽</w:t>
            </w:r>
          </w:p>
        </w:tc>
        <w:tc>
          <w:tcPr>
            <w:tcW w:w="1092" w:type="pct"/>
            <w:vAlign w:val="center"/>
          </w:tcPr>
          <w:p w14:paraId="705BE508">
            <w:pPr>
              <w:pStyle w:val="37"/>
              <w:adjustRightInd w:val="0"/>
              <w:rPr>
                <w:color w:val="auto"/>
                <w:highlight w:val="none"/>
              </w:rPr>
            </w:pPr>
            <w:r>
              <w:rPr>
                <w:color w:val="auto"/>
                <w:highlight w:val="none"/>
              </w:rPr>
              <w:t>151</w:t>
            </w:r>
          </w:p>
        </w:tc>
      </w:tr>
      <w:tr w14:paraId="40B18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767372F2">
            <w:pPr>
              <w:pStyle w:val="37"/>
              <w:adjustRightInd w:val="0"/>
              <w:rPr>
                <w:color w:val="auto"/>
                <w:highlight w:val="none"/>
              </w:rPr>
            </w:pPr>
            <w:r>
              <w:rPr>
                <w:color w:val="auto"/>
                <w:highlight w:val="none"/>
              </w:rPr>
              <w:t>19</w:t>
            </w:r>
          </w:p>
        </w:tc>
        <w:tc>
          <w:tcPr>
            <w:tcW w:w="949" w:type="pct"/>
            <w:vAlign w:val="center"/>
          </w:tcPr>
          <w:p w14:paraId="460DB456">
            <w:pPr>
              <w:pStyle w:val="37"/>
              <w:adjustRightInd w:val="0"/>
              <w:rPr>
                <w:color w:val="auto"/>
                <w:highlight w:val="none"/>
              </w:rPr>
            </w:pPr>
            <w:r>
              <w:rPr>
                <w:color w:val="auto"/>
                <w:highlight w:val="none"/>
              </w:rPr>
              <w:t>1,1,2,2-四氯乙烷</w:t>
            </w:r>
          </w:p>
        </w:tc>
        <w:tc>
          <w:tcPr>
            <w:tcW w:w="1050" w:type="pct"/>
            <w:vAlign w:val="center"/>
          </w:tcPr>
          <w:p w14:paraId="16CC1BFD">
            <w:pPr>
              <w:pStyle w:val="37"/>
              <w:adjustRightInd w:val="0"/>
              <w:rPr>
                <w:color w:val="auto"/>
                <w:highlight w:val="none"/>
              </w:rPr>
            </w:pPr>
            <w:r>
              <w:rPr>
                <w:color w:val="auto"/>
                <w:highlight w:val="none"/>
              </w:rPr>
              <w:t>6.8</w:t>
            </w:r>
          </w:p>
        </w:tc>
        <w:tc>
          <w:tcPr>
            <w:tcW w:w="378" w:type="pct"/>
            <w:vAlign w:val="center"/>
          </w:tcPr>
          <w:p w14:paraId="2F5A7D19">
            <w:pPr>
              <w:pStyle w:val="37"/>
              <w:adjustRightInd w:val="0"/>
              <w:rPr>
                <w:color w:val="auto"/>
                <w:highlight w:val="none"/>
              </w:rPr>
            </w:pPr>
            <w:r>
              <w:rPr>
                <w:color w:val="auto"/>
                <w:highlight w:val="none"/>
              </w:rPr>
              <w:t>42</w:t>
            </w:r>
          </w:p>
        </w:tc>
        <w:tc>
          <w:tcPr>
            <w:tcW w:w="1172" w:type="pct"/>
            <w:vAlign w:val="center"/>
          </w:tcPr>
          <w:p w14:paraId="3D7DE6CC">
            <w:pPr>
              <w:pStyle w:val="37"/>
              <w:adjustRightInd w:val="0"/>
              <w:rPr>
                <w:color w:val="auto"/>
                <w:highlight w:val="none"/>
              </w:rPr>
            </w:pPr>
            <w:r>
              <w:rPr>
                <w:color w:val="auto"/>
                <w:highlight w:val="none"/>
              </w:rPr>
              <w:t>䓛</w:t>
            </w:r>
          </w:p>
        </w:tc>
        <w:tc>
          <w:tcPr>
            <w:tcW w:w="1092" w:type="pct"/>
            <w:vAlign w:val="center"/>
          </w:tcPr>
          <w:p w14:paraId="220BFB39">
            <w:pPr>
              <w:pStyle w:val="37"/>
              <w:adjustRightInd w:val="0"/>
              <w:rPr>
                <w:color w:val="auto"/>
                <w:highlight w:val="none"/>
              </w:rPr>
            </w:pPr>
            <w:r>
              <w:rPr>
                <w:color w:val="auto"/>
                <w:highlight w:val="none"/>
              </w:rPr>
              <w:t>1293</w:t>
            </w:r>
          </w:p>
        </w:tc>
      </w:tr>
      <w:tr w14:paraId="6D0B6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76BE3BCE">
            <w:pPr>
              <w:pStyle w:val="37"/>
              <w:adjustRightInd w:val="0"/>
              <w:rPr>
                <w:color w:val="auto"/>
                <w:highlight w:val="none"/>
              </w:rPr>
            </w:pPr>
            <w:r>
              <w:rPr>
                <w:color w:val="auto"/>
                <w:highlight w:val="none"/>
              </w:rPr>
              <w:t>20</w:t>
            </w:r>
          </w:p>
        </w:tc>
        <w:tc>
          <w:tcPr>
            <w:tcW w:w="949" w:type="pct"/>
            <w:vAlign w:val="center"/>
          </w:tcPr>
          <w:p w14:paraId="7B0948CA">
            <w:pPr>
              <w:pStyle w:val="37"/>
              <w:adjustRightInd w:val="0"/>
              <w:rPr>
                <w:color w:val="auto"/>
                <w:highlight w:val="none"/>
              </w:rPr>
            </w:pPr>
            <w:r>
              <w:rPr>
                <w:color w:val="auto"/>
                <w:highlight w:val="none"/>
              </w:rPr>
              <w:t>四氯乙烯</w:t>
            </w:r>
          </w:p>
        </w:tc>
        <w:tc>
          <w:tcPr>
            <w:tcW w:w="1050" w:type="pct"/>
            <w:vAlign w:val="center"/>
          </w:tcPr>
          <w:p w14:paraId="2E3A706F">
            <w:pPr>
              <w:pStyle w:val="37"/>
              <w:adjustRightInd w:val="0"/>
              <w:rPr>
                <w:color w:val="auto"/>
                <w:highlight w:val="none"/>
              </w:rPr>
            </w:pPr>
            <w:r>
              <w:rPr>
                <w:color w:val="auto"/>
                <w:highlight w:val="none"/>
              </w:rPr>
              <w:t>53</w:t>
            </w:r>
          </w:p>
        </w:tc>
        <w:tc>
          <w:tcPr>
            <w:tcW w:w="378" w:type="pct"/>
            <w:vAlign w:val="center"/>
          </w:tcPr>
          <w:p w14:paraId="12F82054">
            <w:pPr>
              <w:pStyle w:val="37"/>
              <w:adjustRightInd w:val="0"/>
              <w:rPr>
                <w:color w:val="auto"/>
                <w:highlight w:val="none"/>
              </w:rPr>
            </w:pPr>
            <w:r>
              <w:rPr>
                <w:color w:val="auto"/>
                <w:highlight w:val="none"/>
              </w:rPr>
              <w:t>43</w:t>
            </w:r>
          </w:p>
        </w:tc>
        <w:tc>
          <w:tcPr>
            <w:tcW w:w="1172" w:type="pct"/>
            <w:vAlign w:val="center"/>
          </w:tcPr>
          <w:p w14:paraId="53FCED5D">
            <w:pPr>
              <w:pStyle w:val="37"/>
              <w:adjustRightInd w:val="0"/>
              <w:rPr>
                <w:color w:val="auto"/>
                <w:highlight w:val="none"/>
              </w:rPr>
            </w:pPr>
            <w:r>
              <w:rPr>
                <w:color w:val="auto"/>
                <w:highlight w:val="none"/>
              </w:rPr>
              <w:t>二苯并[a,h]蒽</w:t>
            </w:r>
          </w:p>
        </w:tc>
        <w:tc>
          <w:tcPr>
            <w:tcW w:w="1092" w:type="pct"/>
            <w:vAlign w:val="center"/>
          </w:tcPr>
          <w:p w14:paraId="292AE121">
            <w:pPr>
              <w:pStyle w:val="37"/>
              <w:adjustRightInd w:val="0"/>
              <w:rPr>
                <w:color w:val="auto"/>
                <w:highlight w:val="none"/>
              </w:rPr>
            </w:pPr>
            <w:r>
              <w:rPr>
                <w:color w:val="auto"/>
                <w:highlight w:val="none"/>
              </w:rPr>
              <w:t>1.5</w:t>
            </w:r>
          </w:p>
        </w:tc>
      </w:tr>
      <w:tr w14:paraId="0BFE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69B056AF">
            <w:pPr>
              <w:pStyle w:val="37"/>
              <w:adjustRightInd w:val="0"/>
              <w:rPr>
                <w:color w:val="auto"/>
                <w:highlight w:val="none"/>
              </w:rPr>
            </w:pPr>
            <w:r>
              <w:rPr>
                <w:color w:val="auto"/>
                <w:highlight w:val="none"/>
              </w:rPr>
              <w:t>21</w:t>
            </w:r>
          </w:p>
        </w:tc>
        <w:tc>
          <w:tcPr>
            <w:tcW w:w="949" w:type="pct"/>
            <w:vAlign w:val="center"/>
          </w:tcPr>
          <w:p w14:paraId="2CFA64BF">
            <w:pPr>
              <w:pStyle w:val="37"/>
              <w:adjustRightInd w:val="0"/>
              <w:rPr>
                <w:color w:val="auto"/>
                <w:highlight w:val="none"/>
              </w:rPr>
            </w:pPr>
            <w:r>
              <w:rPr>
                <w:color w:val="auto"/>
                <w:highlight w:val="none"/>
              </w:rPr>
              <w:t>1,1,1-三氯乙烷</w:t>
            </w:r>
          </w:p>
        </w:tc>
        <w:tc>
          <w:tcPr>
            <w:tcW w:w="1050" w:type="pct"/>
            <w:vAlign w:val="center"/>
          </w:tcPr>
          <w:p w14:paraId="1CF7BFD1">
            <w:pPr>
              <w:pStyle w:val="37"/>
              <w:adjustRightInd w:val="0"/>
              <w:rPr>
                <w:color w:val="auto"/>
                <w:highlight w:val="none"/>
              </w:rPr>
            </w:pPr>
            <w:r>
              <w:rPr>
                <w:color w:val="auto"/>
                <w:highlight w:val="none"/>
              </w:rPr>
              <w:t>840</w:t>
            </w:r>
          </w:p>
        </w:tc>
        <w:tc>
          <w:tcPr>
            <w:tcW w:w="378" w:type="pct"/>
            <w:vAlign w:val="center"/>
          </w:tcPr>
          <w:p w14:paraId="678672E4">
            <w:pPr>
              <w:pStyle w:val="37"/>
              <w:adjustRightInd w:val="0"/>
              <w:rPr>
                <w:color w:val="auto"/>
                <w:highlight w:val="none"/>
              </w:rPr>
            </w:pPr>
            <w:r>
              <w:rPr>
                <w:color w:val="auto"/>
                <w:highlight w:val="none"/>
              </w:rPr>
              <w:t>44</w:t>
            </w:r>
          </w:p>
        </w:tc>
        <w:tc>
          <w:tcPr>
            <w:tcW w:w="1172" w:type="pct"/>
            <w:vAlign w:val="center"/>
          </w:tcPr>
          <w:p w14:paraId="2BF276FC">
            <w:pPr>
              <w:pStyle w:val="37"/>
              <w:adjustRightInd w:val="0"/>
              <w:rPr>
                <w:color w:val="auto"/>
                <w:highlight w:val="none"/>
              </w:rPr>
            </w:pPr>
            <w:r>
              <w:rPr>
                <w:color w:val="auto"/>
                <w:highlight w:val="none"/>
              </w:rPr>
              <w:t>茚并[1,2,3-cd]芘</w:t>
            </w:r>
          </w:p>
        </w:tc>
        <w:tc>
          <w:tcPr>
            <w:tcW w:w="1092" w:type="pct"/>
            <w:vAlign w:val="center"/>
          </w:tcPr>
          <w:p w14:paraId="0FCB7971">
            <w:pPr>
              <w:pStyle w:val="37"/>
              <w:adjustRightInd w:val="0"/>
              <w:rPr>
                <w:color w:val="auto"/>
                <w:highlight w:val="none"/>
              </w:rPr>
            </w:pPr>
            <w:r>
              <w:rPr>
                <w:color w:val="auto"/>
                <w:highlight w:val="none"/>
              </w:rPr>
              <w:t>15</w:t>
            </w:r>
          </w:p>
        </w:tc>
      </w:tr>
      <w:tr w14:paraId="761A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4166C373">
            <w:pPr>
              <w:pStyle w:val="37"/>
              <w:adjustRightInd w:val="0"/>
              <w:rPr>
                <w:color w:val="auto"/>
                <w:highlight w:val="none"/>
              </w:rPr>
            </w:pPr>
            <w:r>
              <w:rPr>
                <w:color w:val="auto"/>
                <w:highlight w:val="none"/>
              </w:rPr>
              <w:t>22</w:t>
            </w:r>
          </w:p>
        </w:tc>
        <w:tc>
          <w:tcPr>
            <w:tcW w:w="949" w:type="pct"/>
            <w:vAlign w:val="center"/>
          </w:tcPr>
          <w:p w14:paraId="1E64D744">
            <w:pPr>
              <w:pStyle w:val="37"/>
              <w:adjustRightInd w:val="0"/>
              <w:rPr>
                <w:color w:val="auto"/>
                <w:highlight w:val="none"/>
              </w:rPr>
            </w:pPr>
            <w:r>
              <w:rPr>
                <w:color w:val="auto"/>
                <w:highlight w:val="none"/>
              </w:rPr>
              <w:t>1,1,2-三氯乙烷</w:t>
            </w:r>
          </w:p>
        </w:tc>
        <w:tc>
          <w:tcPr>
            <w:tcW w:w="1050" w:type="pct"/>
            <w:vAlign w:val="center"/>
          </w:tcPr>
          <w:p w14:paraId="1DA2FFEE">
            <w:pPr>
              <w:pStyle w:val="37"/>
              <w:adjustRightInd w:val="0"/>
              <w:rPr>
                <w:color w:val="auto"/>
                <w:highlight w:val="none"/>
              </w:rPr>
            </w:pPr>
            <w:r>
              <w:rPr>
                <w:color w:val="auto"/>
                <w:highlight w:val="none"/>
              </w:rPr>
              <w:t>2.8</w:t>
            </w:r>
          </w:p>
        </w:tc>
        <w:tc>
          <w:tcPr>
            <w:tcW w:w="378" w:type="pct"/>
            <w:vAlign w:val="center"/>
          </w:tcPr>
          <w:p w14:paraId="11411818">
            <w:pPr>
              <w:pStyle w:val="37"/>
              <w:adjustRightInd w:val="0"/>
              <w:rPr>
                <w:color w:val="auto"/>
                <w:highlight w:val="none"/>
              </w:rPr>
            </w:pPr>
            <w:r>
              <w:rPr>
                <w:color w:val="auto"/>
                <w:highlight w:val="none"/>
              </w:rPr>
              <w:t>45</w:t>
            </w:r>
          </w:p>
        </w:tc>
        <w:tc>
          <w:tcPr>
            <w:tcW w:w="1172" w:type="pct"/>
            <w:vAlign w:val="center"/>
          </w:tcPr>
          <w:p w14:paraId="094600E7">
            <w:pPr>
              <w:pStyle w:val="37"/>
              <w:adjustRightInd w:val="0"/>
              <w:rPr>
                <w:color w:val="auto"/>
                <w:highlight w:val="none"/>
              </w:rPr>
            </w:pPr>
            <w:r>
              <w:rPr>
                <w:color w:val="auto"/>
                <w:highlight w:val="none"/>
              </w:rPr>
              <w:t>萘</w:t>
            </w:r>
          </w:p>
        </w:tc>
        <w:tc>
          <w:tcPr>
            <w:tcW w:w="1092" w:type="pct"/>
            <w:vAlign w:val="center"/>
          </w:tcPr>
          <w:p w14:paraId="5D9D4986">
            <w:pPr>
              <w:pStyle w:val="37"/>
              <w:adjustRightInd w:val="0"/>
              <w:rPr>
                <w:color w:val="auto"/>
                <w:highlight w:val="none"/>
              </w:rPr>
            </w:pPr>
            <w:r>
              <w:rPr>
                <w:color w:val="auto"/>
                <w:highlight w:val="none"/>
              </w:rPr>
              <w:t>70</w:t>
            </w:r>
          </w:p>
        </w:tc>
      </w:tr>
      <w:tr w14:paraId="76D8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 w:hRule="atLeast"/>
          <w:jc w:val="center"/>
        </w:trPr>
        <w:tc>
          <w:tcPr>
            <w:tcW w:w="356" w:type="pct"/>
            <w:vAlign w:val="center"/>
          </w:tcPr>
          <w:p w14:paraId="73EA97A7">
            <w:pPr>
              <w:pStyle w:val="37"/>
              <w:adjustRightInd w:val="0"/>
              <w:rPr>
                <w:color w:val="auto"/>
                <w:highlight w:val="none"/>
              </w:rPr>
            </w:pPr>
            <w:r>
              <w:rPr>
                <w:color w:val="auto"/>
                <w:highlight w:val="none"/>
              </w:rPr>
              <w:t>23</w:t>
            </w:r>
          </w:p>
        </w:tc>
        <w:tc>
          <w:tcPr>
            <w:tcW w:w="949" w:type="pct"/>
            <w:vAlign w:val="center"/>
          </w:tcPr>
          <w:p w14:paraId="09C8D549">
            <w:pPr>
              <w:pStyle w:val="37"/>
              <w:adjustRightInd w:val="0"/>
              <w:rPr>
                <w:color w:val="auto"/>
                <w:highlight w:val="none"/>
              </w:rPr>
            </w:pPr>
            <w:r>
              <w:rPr>
                <w:color w:val="auto"/>
                <w:highlight w:val="none"/>
              </w:rPr>
              <w:t>三氯乙烷</w:t>
            </w:r>
          </w:p>
        </w:tc>
        <w:tc>
          <w:tcPr>
            <w:tcW w:w="1050" w:type="pct"/>
            <w:vAlign w:val="center"/>
          </w:tcPr>
          <w:p w14:paraId="78AB0F7B">
            <w:pPr>
              <w:pStyle w:val="37"/>
              <w:adjustRightInd w:val="0"/>
              <w:rPr>
                <w:color w:val="auto"/>
                <w:highlight w:val="none"/>
              </w:rPr>
            </w:pPr>
            <w:r>
              <w:rPr>
                <w:color w:val="auto"/>
                <w:highlight w:val="none"/>
              </w:rPr>
              <w:t>2.8</w:t>
            </w:r>
          </w:p>
        </w:tc>
        <w:tc>
          <w:tcPr>
            <w:tcW w:w="378" w:type="pct"/>
            <w:vAlign w:val="center"/>
          </w:tcPr>
          <w:p w14:paraId="557DEA34">
            <w:pPr>
              <w:pStyle w:val="37"/>
              <w:adjustRightInd w:val="0"/>
              <w:rPr>
                <w:color w:val="auto"/>
                <w:highlight w:val="none"/>
              </w:rPr>
            </w:pPr>
            <w:r>
              <w:rPr>
                <w:color w:val="auto"/>
                <w:highlight w:val="none"/>
              </w:rPr>
              <w:t>46</w:t>
            </w:r>
          </w:p>
        </w:tc>
        <w:tc>
          <w:tcPr>
            <w:tcW w:w="1172" w:type="pct"/>
            <w:vAlign w:val="center"/>
          </w:tcPr>
          <w:p w14:paraId="5A8EA4EE">
            <w:pPr>
              <w:pStyle w:val="37"/>
              <w:adjustRightInd w:val="0"/>
              <w:rPr>
                <w:color w:val="auto"/>
                <w:highlight w:val="none"/>
              </w:rPr>
            </w:pPr>
            <w:r>
              <w:rPr>
                <w:color w:val="auto"/>
                <w:highlight w:val="none"/>
              </w:rPr>
              <w:t>石油烃（C</w:t>
            </w:r>
            <w:r>
              <w:rPr>
                <w:color w:val="auto"/>
                <w:highlight w:val="none"/>
                <w:vertAlign w:val="subscript"/>
              </w:rPr>
              <w:t>10</w:t>
            </w:r>
            <w:r>
              <w:rPr>
                <w:color w:val="auto"/>
                <w:highlight w:val="none"/>
              </w:rPr>
              <w:t>-C</w:t>
            </w:r>
            <w:r>
              <w:rPr>
                <w:color w:val="auto"/>
                <w:highlight w:val="none"/>
                <w:vertAlign w:val="subscript"/>
              </w:rPr>
              <w:t>40</w:t>
            </w:r>
            <w:r>
              <w:rPr>
                <w:color w:val="auto"/>
                <w:highlight w:val="none"/>
              </w:rPr>
              <w:t>）</w:t>
            </w:r>
          </w:p>
        </w:tc>
        <w:tc>
          <w:tcPr>
            <w:tcW w:w="1092" w:type="pct"/>
            <w:vAlign w:val="center"/>
          </w:tcPr>
          <w:p w14:paraId="2D5A28B6">
            <w:pPr>
              <w:pStyle w:val="37"/>
              <w:adjustRightInd w:val="0"/>
              <w:rPr>
                <w:color w:val="auto"/>
                <w:highlight w:val="none"/>
              </w:rPr>
            </w:pPr>
            <w:r>
              <w:rPr>
                <w:color w:val="auto"/>
                <w:highlight w:val="none"/>
              </w:rPr>
              <w:t>4500</w:t>
            </w:r>
          </w:p>
        </w:tc>
      </w:tr>
    </w:tbl>
    <w:p w14:paraId="6E321062">
      <w:pPr>
        <w:pStyle w:val="4"/>
        <w:adjustRightInd w:val="0"/>
        <w:rPr>
          <w:rFonts w:cs="Times New Roman"/>
          <w:color w:val="auto"/>
          <w:highlight w:val="none"/>
        </w:rPr>
      </w:pPr>
      <w:bookmarkStart w:id="52" w:name="_Toc14103"/>
      <w:bookmarkStart w:id="53" w:name="_Toc30217"/>
      <w:bookmarkStart w:id="54" w:name="_Toc17529"/>
      <w:r>
        <w:rPr>
          <w:rFonts w:cs="Times New Roman"/>
          <w:color w:val="auto"/>
          <w:highlight w:val="none"/>
        </w:rPr>
        <w:t>污染物排放标准</w:t>
      </w:r>
      <w:bookmarkEnd w:id="52"/>
      <w:bookmarkEnd w:id="53"/>
      <w:bookmarkEnd w:id="54"/>
    </w:p>
    <w:p w14:paraId="11AB7983">
      <w:pPr>
        <w:pStyle w:val="5"/>
        <w:adjustRightInd w:val="0"/>
        <w:rPr>
          <w:rFonts w:cs="Times New Roman"/>
          <w:color w:val="auto"/>
          <w:highlight w:val="none"/>
        </w:rPr>
      </w:pPr>
      <w:r>
        <w:rPr>
          <w:rFonts w:cs="Times New Roman"/>
          <w:color w:val="auto"/>
          <w:highlight w:val="none"/>
        </w:rPr>
        <w:t>废水</w:t>
      </w:r>
    </w:p>
    <w:p w14:paraId="7A615E71">
      <w:pPr>
        <w:adjustRightInd w:val="0"/>
        <w:ind w:firstLine="480"/>
        <w:rPr>
          <w:rFonts w:cs="Times New Roman"/>
          <w:color w:val="auto"/>
          <w:highlight w:val="none"/>
        </w:rPr>
      </w:pPr>
      <w:r>
        <w:rPr>
          <w:rFonts w:cs="Times New Roman"/>
          <w:color w:val="auto"/>
          <w:highlight w:val="none"/>
        </w:rPr>
        <w:t>本项目生产废水经废水处理设施处理后回用于选矿，不外排；初期雨水经</w:t>
      </w:r>
      <w:r>
        <w:rPr>
          <w:rFonts w:hint="eastAsia" w:cs="Times New Roman"/>
          <w:color w:val="auto"/>
          <w:highlight w:val="none"/>
        </w:rPr>
        <w:t>依托的乐山市沙湾区豪沐科技有限公司</w:t>
      </w:r>
      <w:r>
        <w:rPr>
          <w:rFonts w:cs="Times New Roman"/>
          <w:color w:val="auto"/>
          <w:highlight w:val="none"/>
        </w:rPr>
        <w:t>初期雨水池沉淀处理后回用于喷雾降尘，不外排；</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p>
    <w:p w14:paraId="04711CAD">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41</w:t>
      </w:r>
      <w:r>
        <w:rPr>
          <w:rFonts w:cs="Times New Roman"/>
          <w:color w:val="auto"/>
          <w:highlight w:val="none"/>
        </w:rPr>
        <w:fldChar w:fldCharType="end"/>
      </w:r>
      <w:r>
        <w:rPr>
          <w:rFonts w:cs="Times New Roman"/>
          <w:color w:val="auto"/>
          <w:highlight w:val="none"/>
        </w:rPr>
        <w:t>本项目废水排放标准限值 单位：除pH无量纲，其余mg/L</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1937"/>
        <w:gridCol w:w="1707"/>
        <w:gridCol w:w="3777"/>
      </w:tblGrid>
      <w:tr w14:paraId="09166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3" w:type="pct"/>
            <w:vAlign w:val="center"/>
          </w:tcPr>
          <w:p w14:paraId="0265C3A3">
            <w:pPr>
              <w:pStyle w:val="37"/>
              <w:adjustRightInd w:val="0"/>
              <w:rPr>
                <w:b/>
                <w:bCs/>
                <w:color w:val="auto"/>
                <w:highlight w:val="none"/>
              </w:rPr>
            </w:pPr>
            <w:r>
              <w:rPr>
                <w:b/>
                <w:bCs/>
                <w:color w:val="auto"/>
                <w:highlight w:val="none"/>
              </w:rPr>
              <w:t>序号</w:t>
            </w:r>
          </w:p>
        </w:tc>
        <w:tc>
          <w:tcPr>
            <w:tcW w:w="1137" w:type="pct"/>
            <w:vAlign w:val="center"/>
          </w:tcPr>
          <w:p w14:paraId="150EECD4">
            <w:pPr>
              <w:pStyle w:val="37"/>
              <w:adjustRightInd w:val="0"/>
              <w:rPr>
                <w:b/>
                <w:bCs/>
                <w:color w:val="auto"/>
                <w:highlight w:val="none"/>
              </w:rPr>
            </w:pPr>
            <w:r>
              <w:rPr>
                <w:b/>
                <w:bCs/>
                <w:color w:val="auto"/>
                <w:highlight w:val="none"/>
              </w:rPr>
              <w:t>污染因子</w:t>
            </w:r>
          </w:p>
        </w:tc>
        <w:tc>
          <w:tcPr>
            <w:tcW w:w="1002" w:type="pct"/>
            <w:vAlign w:val="center"/>
          </w:tcPr>
          <w:p w14:paraId="78A045B9">
            <w:pPr>
              <w:pStyle w:val="37"/>
              <w:adjustRightInd w:val="0"/>
              <w:rPr>
                <w:b/>
                <w:bCs/>
                <w:color w:val="auto"/>
                <w:highlight w:val="none"/>
              </w:rPr>
            </w:pPr>
            <w:r>
              <w:rPr>
                <w:b/>
                <w:bCs/>
                <w:color w:val="auto"/>
                <w:highlight w:val="none"/>
              </w:rPr>
              <w:t>标准值</w:t>
            </w:r>
          </w:p>
        </w:tc>
        <w:tc>
          <w:tcPr>
            <w:tcW w:w="2217" w:type="pct"/>
            <w:vAlign w:val="center"/>
          </w:tcPr>
          <w:p w14:paraId="379FD0B4">
            <w:pPr>
              <w:pStyle w:val="37"/>
              <w:adjustRightInd w:val="0"/>
              <w:rPr>
                <w:b/>
                <w:bCs/>
                <w:color w:val="auto"/>
                <w:highlight w:val="none"/>
              </w:rPr>
            </w:pPr>
            <w:r>
              <w:rPr>
                <w:b/>
                <w:bCs/>
                <w:color w:val="auto"/>
                <w:highlight w:val="none"/>
              </w:rPr>
              <w:t>执行标准</w:t>
            </w:r>
          </w:p>
        </w:tc>
      </w:tr>
      <w:tr w14:paraId="6EA5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pct"/>
            <w:vAlign w:val="center"/>
          </w:tcPr>
          <w:p w14:paraId="3B2E9D01">
            <w:pPr>
              <w:pStyle w:val="37"/>
              <w:adjustRightInd w:val="0"/>
              <w:rPr>
                <w:color w:val="auto"/>
                <w:highlight w:val="none"/>
              </w:rPr>
            </w:pPr>
            <w:r>
              <w:rPr>
                <w:color w:val="auto"/>
                <w:highlight w:val="none"/>
              </w:rPr>
              <w:t>1</w:t>
            </w:r>
          </w:p>
        </w:tc>
        <w:tc>
          <w:tcPr>
            <w:tcW w:w="1137" w:type="pct"/>
            <w:vAlign w:val="center"/>
          </w:tcPr>
          <w:p w14:paraId="0649F294">
            <w:pPr>
              <w:pStyle w:val="37"/>
              <w:adjustRightInd w:val="0"/>
              <w:rPr>
                <w:color w:val="auto"/>
                <w:highlight w:val="none"/>
              </w:rPr>
            </w:pPr>
            <w:r>
              <w:rPr>
                <w:color w:val="auto"/>
                <w:highlight w:val="none"/>
              </w:rPr>
              <w:t>pH</w:t>
            </w:r>
          </w:p>
        </w:tc>
        <w:tc>
          <w:tcPr>
            <w:tcW w:w="1002" w:type="pct"/>
            <w:vAlign w:val="center"/>
          </w:tcPr>
          <w:p w14:paraId="5DEBC89E">
            <w:pPr>
              <w:pStyle w:val="37"/>
              <w:adjustRightInd w:val="0"/>
              <w:rPr>
                <w:color w:val="auto"/>
                <w:highlight w:val="none"/>
              </w:rPr>
            </w:pPr>
            <w:r>
              <w:rPr>
                <w:color w:val="auto"/>
                <w:highlight w:val="none"/>
              </w:rPr>
              <w:t>6~9</w:t>
            </w:r>
          </w:p>
        </w:tc>
        <w:tc>
          <w:tcPr>
            <w:tcW w:w="2217" w:type="pct"/>
            <w:vMerge w:val="restart"/>
            <w:vAlign w:val="center"/>
          </w:tcPr>
          <w:p w14:paraId="397C3FB9">
            <w:pPr>
              <w:pStyle w:val="37"/>
              <w:adjustRightInd w:val="0"/>
              <w:rPr>
                <w:color w:val="auto"/>
                <w:highlight w:val="none"/>
              </w:rPr>
            </w:pPr>
            <w:r>
              <w:rPr>
                <w:color w:val="auto"/>
                <w:highlight w:val="none"/>
              </w:rPr>
              <w:t>乐山沙湾经济开发区污水处理厂设计进水水质</w:t>
            </w:r>
          </w:p>
        </w:tc>
      </w:tr>
      <w:tr w14:paraId="1F27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pct"/>
            <w:vAlign w:val="center"/>
          </w:tcPr>
          <w:p w14:paraId="5B3BACB7">
            <w:pPr>
              <w:pStyle w:val="37"/>
              <w:adjustRightInd w:val="0"/>
              <w:rPr>
                <w:color w:val="auto"/>
                <w:highlight w:val="none"/>
              </w:rPr>
            </w:pPr>
            <w:r>
              <w:rPr>
                <w:color w:val="auto"/>
                <w:highlight w:val="none"/>
              </w:rPr>
              <w:t>2</w:t>
            </w:r>
          </w:p>
        </w:tc>
        <w:tc>
          <w:tcPr>
            <w:tcW w:w="1137" w:type="pct"/>
            <w:vAlign w:val="center"/>
          </w:tcPr>
          <w:p w14:paraId="1B5DBC7A">
            <w:pPr>
              <w:pStyle w:val="37"/>
              <w:adjustRightInd w:val="0"/>
              <w:rPr>
                <w:color w:val="auto"/>
                <w:highlight w:val="none"/>
              </w:rPr>
            </w:pPr>
            <w:r>
              <w:rPr>
                <w:color w:val="auto"/>
                <w:highlight w:val="none"/>
              </w:rPr>
              <w:t>COD</w:t>
            </w:r>
          </w:p>
        </w:tc>
        <w:tc>
          <w:tcPr>
            <w:tcW w:w="1002" w:type="pct"/>
            <w:vAlign w:val="center"/>
          </w:tcPr>
          <w:p w14:paraId="76145F8C">
            <w:pPr>
              <w:pStyle w:val="37"/>
              <w:adjustRightInd w:val="0"/>
              <w:rPr>
                <w:color w:val="auto"/>
                <w:highlight w:val="none"/>
              </w:rPr>
            </w:pPr>
            <w:r>
              <w:rPr>
                <w:color w:val="auto"/>
                <w:highlight w:val="none"/>
              </w:rPr>
              <w:t>350</w:t>
            </w:r>
          </w:p>
        </w:tc>
        <w:tc>
          <w:tcPr>
            <w:tcW w:w="2217" w:type="pct"/>
            <w:vMerge w:val="continue"/>
            <w:vAlign w:val="center"/>
          </w:tcPr>
          <w:p w14:paraId="06A265CA">
            <w:pPr>
              <w:pStyle w:val="37"/>
              <w:adjustRightInd w:val="0"/>
              <w:rPr>
                <w:color w:val="auto"/>
                <w:highlight w:val="none"/>
              </w:rPr>
            </w:pPr>
          </w:p>
        </w:tc>
      </w:tr>
      <w:tr w14:paraId="1891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3" w:type="pct"/>
            <w:vAlign w:val="center"/>
          </w:tcPr>
          <w:p w14:paraId="4F5032BB">
            <w:pPr>
              <w:pStyle w:val="37"/>
              <w:adjustRightInd w:val="0"/>
              <w:rPr>
                <w:color w:val="auto"/>
                <w:highlight w:val="none"/>
              </w:rPr>
            </w:pPr>
            <w:r>
              <w:rPr>
                <w:color w:val="auto"/>
                <w:highlight w:val="none"/>
              </w:rPr>
              <w:t>3</w:t>
            </w:r>
          </w:p>
        </w:tc>
        <w:tc>
          <w:tcPr>
            <w:tcW w:w="1137" w:type="pct"/>
            <w:vAlign w:val="center"/>
          </w:tcPr>
          <w:p w14:paraId="52B71A1B">
            <w:pPr>
              <w:pStyle w:val="37"/>
              <w:adjustRightInd w:val="0"/>
              <w:rPr>
                <w:color w:val="auto"/>
                <w:highlight w:val="none"/>
              </w:rPr>
            </w:pPr>
            <w:r>
              <w:rPr>
                <w:color w:val="auto"/>
                <w:highlight w:val="none"/>
              </w:rPr>
              <w:t>BOD</w:t>
            </w:r>
            <w:r>
              <w:rPr>
                <w:color w:val="auto"/>
                <w:highlight w:val="none"/>
                <w:vertAlign w:val="subscript"/>
              </w:rPr>
              <w:t>5</w:t>
            </w:r>
          </w:p>
        </w:tc>
        <w:tc>
          <w:tcPr>
            <w:tcW w:w="1002" w:type="pct"/>
            <w:vAlign w:val="center"/>
          </w:tcPr>
          <w:p w14:paraId="55716668">
            <w:pPr>
              <w:pStyle w:val="37"/>
              <w:adjustRightInd w:val="0"/>
              <w:rPr>
                <w:color w:val="auto"/>
                <w:highlight w:val="none"/>
              </w:rPr>
            </w:pPr>
            <w:r>
              <w:rPr>
                <w:color w:val="auto"/>
                <w:highlight w:val="none"/>
              </w:rPr>
              <w:t>160</w:t>
            </w:r>
          </w:p>
        </w:tc>
        <w:tc>
          <w:tcPr>
            <w:tcW w:w="2217" w:type="pct"/>
            <w:vMerge w:val="continue"/>
            <w:vAlign w:val="center"/>
          </w:tcPr>
          <w:p w14:paraId="7A72937F">
            <w:pPr>
              <w:pStyle w:val="37"/>
              <w:adjustRightInd w:val="0"/>
              <w:rPr>
                <w:color w:val="auto"/>
                <w:highlight w:val="none"/>
              </w:rPr>
            </w:pPr>
          </w:p>
        </w:tc>
      </w:tr>
      <w:tr w14:paraId="0F9D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jc w:val="center"/>
        </w:trPr>
        <w:tc>
          <w:tcPr>
            <w:tcW w:w="643" w:type="pct"/>
            <w:vAlign w:val="center"/>
          </w:tcPr>
          <w:p w14:paraId="1D6959F1">
            <w:pPr>
              <w:pStyle w:val="37"/>
              <w:adjustRightInd w:val="0"/>
              <w:rPr>
                <w:color w:val="auto"/>
                <w:highlight w:val="none"/>
              </w:rPr>
            </w:pPr>
            <w:r>
              <w:rPr>
                <w:color w:val="auto"/>
                <w:highlight w:val="none"/>
              </w:rPr>
              <w:t>4</w:t>
            </w:r>
          </w:p>
        </w:tc>
        <w:tc>
          <w:tcPr>
            <w:tcW w:w="1137" w:type="pct"/>
            <w:vAlign w:val="center"/>
          </w:tcPr>
          <w:p w14:paraId="6DAC22A7">
            <w:pPr>
              <w:pStyle w:val="37"/>
              <w:adjustRightInd w:val="0"/>
              <w:rPr>
                <w:color w:val="auto"/>
                <w:highlight w:val="none"/>
              </w:rPr>
            </w:pPr>
            <w:r>
              <w:rPr>
                <w:color w:val="auto"/>
                <w:highlight w:val="none"/>
              </w:rPr>
              <w:t>SS</w:t>
            </w:r>
          </w:p>
        </w:tc>
        <w:tc>
          <w:tcPr>
            <w:tcW w:w="1002" w:type="pct"/>
            <w:vAlign w:val="center"/>
          </w:tcPr>
          <w:p w14:paraId="7FBA5208">
            <w:pPr>
              <w:pStyle w:val="37"/>
              <w:adjustRightInd w:val="0"/>
              <w:rPr>
                <w:color w:val="auto"/>
                <w:highlight w:val="none"/>
              </w:rPr>
            </w:pPr>
            <w:r>
              <w:rPr>
                <w:color w:val="auto"/>
                <w:highlight w:val="none"/>
              </w:rPr>
              <w:t>200</w:t>
            </w:r>
          </w:p>
        </w:tc>
        <w:tc>
          <w:tcPr>
            <w:tcW w:w="2217" w:type="pct"/>
            <w:vMerge w:val="continue"/>
            <w:vAlign w:val="center"/>
          </w:tcPr>
          <w:p w14:paraId="29E9F65E">
            <w:pPr>
              <w:pStyle w:val="37"/>
              <w:adjustRightInd w:val="0"/>
              <w:rPr>
                <w:color w:val="auto"/>
                <w:highlight w:val="none"/>
              </w:rPr>
            </w:pPr>
          </w:p>
        </w:tc>
      </w:tr>
      <w:tr w14:paraId="33FA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pct"/>
            <w:vAlign w:val="center"/>
          </w:tcPr>
          <w:p w14:paraId="1D8F9992">
            <w:pPr>
              <w:pStyle w:val="37"/>
              <w:adjustRightInd w:val="0"/>
              <w:rPr>
                <w:color w:val="auto"/>
                <w:highlight w:val="none"/>
              </w:rPr>
            </w:pPr>
            <w:r>
              <w:rPr>
                <w:color w:val="auto"/>
                <w:highlight w:val="none"/>
              </w:rPr>
              <w:t>5</w:t>
            </w:r>
          </w:p>
        </w:tc>
        <w:tc>
          <w:tcPr>
            <w:tcW w:w="1137" w:type="pct"/>
            <w:vAlign w:val="center"/>
          </w:tcPr>
          <w:p w14:paraId="290344CA">
            <w:pPr>
              <w:pStyle w:val="37"/>
              <w:adjustRightInd w:val="0"/>
              <w:rPr>
                <w:color w:val="auto"/>
                <w:highlight w:val="none"/>
              </w:rPr>
            </w:pPr>
            <w:r>
              <w:rPr>
                <w:color w:val="auto"/>
                <w:highlight w:val="none"/>
              </w:rPr>
              <w:t>氨氮</w:t>
            </w:r>
          </w:p>
        </w:tc>
        <w:tc>
          <w:tcPr>
            <w:tcW w:w="1002" w:type="pct"/>
            <w:vAlign w:val="center"/>
          </w:tcPr>
          <w:p w14:paraId="7D72CF8C">
            <w:pPr>
              <w:pStyle w:val="37"/>
              <w:adjustRightInd w:val="0"/>
              <w:rPr>
                <w:color w:val="auto"/>
                <w:highlight w:val="none"/>
              </w:rPr>
            </w:pPr>
            <w:r>
              <w:rPr>
                <w:color w:val="auto"/>
                <w:highlight w:val="none"/>
              </w:rPr>
              <w:t>30</w:t>
            </w:r>
          </w:p>
        </w:tc>
        <w:tc>
          <w:tcPr>
            <w:tcW w:w="2217" w:type="pct"/>
            <w:vMerge w:val="continue"/>
            <w:vAlign w:val="center"/>
          </w:tcPr>
          <w:p w14:paraId="389129B7">
            <w:pPr>
              <w:pStyle w:val="37"/>
              <w:adjustRightInd w:val="0"/>
              <w:rPr>
                <w:color w:val="auto"/>
                <w:highlight w:val="none"/>
              </w:rPr>
            </w:pPr>
          </w:p>
        </w:tc>
      </w:tr>
      <w:tr w14:paraId="3B704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3" w:type="pct"/>
            <w:vAlign w:val="center"/>
          </w:tcPr>
          <w:p w14:paraId="20D269A7">
            <w:pPr>
              <w:pStyle w:val="37"/>
              <w:adjustRightInd w:val="0"/>
              <w:rPr>
                <w:color w:val="auto"/>
                <w:highlight w:val="none"/>
              </w:rPr>
            </w:pPr>
            <w:r>
              <w:rPr>
                <w:color w:val="auto"/>
                <w:highlight w:val="none"/>
              </w:rPr>
              <w:t>6</w:t>
            </w:r>
          </w:p>
        </w:tc>
        <w:tc>
          <w:tcPr>
            <w:tcW w:w="1137" w:type="pct"/>
            <w:vAlign w:val="center"/>
          </w:tcPr>
          <w:p w14:paraId="432BE00B">
            <w:pPr>
              <w:pStyle w:val="37"/>
              <w:adjustRightInd w:val="0"/>
              <w:rPr>
                <w:color w:val="auto"/>
                <w:highlight w:val="none"/>
              </w:rPr>
            </w:pPr>
            <w:r>
              <w:rPr>
                <w:color w:val="auto"/>
                <w:highlight w:val="none"/>
              </w:rPr>
              <w:t>TP</w:t>
            </w:r>
          </w:p>
        </w:tc>
        <w:tc>
          <w:tcPr>
            <w:tcW w:w="1002" w:type="pct"/>
            <w:vAlign w:val="center"/>
          </w:tcPr>
          <w:p w14:paraId="053EDE91">
            <w:pPr>
              <w:pStyle w:val="37"/>
              <w:adjustRightInd w:val="0"/>
              <w:rPr>
                <w:color w:val="auto"/>
                <w:highlight w:val="none"/>
              </w:rPr>
            </w:pPr>
            <w:r>
              <w:rPr>
                <w:color w:val="auto"/>
                <w:highlight w:val="none"/>
              </w:rPr>
              <w:t>8</w:t>
            </w:r>
          </w:p>
        </w:tc>
        <w:tc>
          <w:tcPr>
            <w:tcW w:w="2217" w:type="pct"/>
            <w:vMerge w:val="continue"/>
            <w:vAlign w:val="center"/>
          </w:tcPr>
          <w:p w14:paraId="57ED089D">
            <w:pPr>
              <w:pStyle w:val="37"/>
              <w:adjustRightInd w:val="0"/>
              <w:rPr>
                <w:color w:val="auto"/>
                <w:highlight w:val="none"/>
              </w:rPr>
            </w:pPr>
          </w:p>
        </w:tc>
      </w:tr>
    </w:tbl>
    <w:p w14:paraId="5C977755">
      <w:pPr>
        <w:pStyle w:val="5"/>
        <w:adjustRightInd w:val="0"/>
        <w:rPr>
          <w:rFonts w:cs="Times New Roman"/>
          <w:color w:val="auto"/>
          <w:highlight w:val="none"/>
        </w:rPr>
      </w:pPr>
      <w:r>
        <w:rPr>
          <w:rFonts w:cs="Times New Roman"/>
          <w:color w:val="auto"/>
          <w:highlight w:val="none"/>
        </w:rPr>
        <w:t>废气</w:t>
      </w:r>
    </w:p>
    <w:p w14:paraId="39C9D923">
      <w:pPr>
        <w:adjustRightInd w:val="0"/>
        <w:ind w:firstLine="482"/>
        <w:rPr>
          <w:rFonts w:cs="Times New Roman"/>
          <w:color w:val="auto"/>
          <w:highlight w:val="none"/>
        </w:rPr>
      </w:pPr>
      <w:r>
        <w:rPr>
          <w:rFonts w:cs="Times New Roman"/>
          <w:b/>
          <w:bCs/>
          <w:color w:val="auto"/>
          <w:highlight w:val="none"/>
        </w:rPr>
        <w:t>施工期</w:t>
      </w:r>
      <w:r>
        <w:rPr>
          <w:rFonts w:cs="Times New Roman"/>
          <w:color w:val="auto"/>
          <w:highlight w:val="none"/>
        </w:rPr>
        <w:t>：扬尘执行《四川省施工场地扬尘排放标准》（DB 51/2682-2020）表1中有关限值标准。</w:t>
      </w:r>
    </w:p>
    <w:p w14:paraId="0F9BE4B7">
      <w:pPr>
        <w:pStyle w:val="12"/>
        <w:overflowPunct w:val="0"/>
        <w:adjustRightInd w:val="0"/>
        <w:spacing w:before="65" w:beforeLines="20" w:after="65" w:afterLines="20"/>
        <w:rPr>
          <w:rFonts w:cs="Times New Roman"/>
          <w:bCs/>
          <w:color w:val="auto"/>
          <w:kern w:val="21"/>
          <w:szCs w:val="21"/>
          <w:highlight w:val="none"/>
          <w:lang w:val="zh-CN"/>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42</w:t>
      </w:r>
      <w:r>
        <w:rPr>
          <w:rFonts w:cs="Times New Roman"/>
          <w:color w:val="auto"/>
          <w:highlight w:val="none"/>
        </w:rPr>
        <w:fldChar w:fldCharType="end"/>
      </w:r>
      <w:r>
        <w:rPr>
          <w:rFonts w:cs="Times New Roman"/>
          <w:bCs/>
          <w:color w:val="auto"/>
          <w:kern w:val="21"/>
          <w:szCs w:val="21"/>
          <w:highlight w:val="none"/>
          <w:lang w:val="zh-CN"/>
        </w:rPr>
        <w:t>四川省施工场地扬尘排放限值</w:t>
      </w:r>
      <w:r>
        <w:rPr>
          <w:rFonts w:cs="Times New Roman"/>
          <w:bCs/>
          <w:color w:val="auto"/>
          <w:kern w:val="21"/>
          <w:szCs w:val="21"/>
          <w:highlight w:val="none"/>
        </w:rPr>
        <w:t xml:space="preserve"> </w:t>
      </w:r>
      <w:r>
        <w:rPr>
          <w:rFonts w:cs="Times New Roman"/>
          <w:bCs/>
          <w:color w:val="auto"/>
          <w:kern w:val="21"/>
          <w:szCs w:val="21"/>
          <w:highlight w:val="none"/>
          <w:lang w:val="zh-CN"/>
        </w:rPr>
        <w:t>单位：μg/m</w:t>
      </w:r>
      <w:r>
        <w:rPr>
          <w:rFonts w:cs="Times New Roman"/>
          <w:bCs/>
          <w:color w:val="auto"/>
          <w:kern w:val="21"/>
          <w:szCs w:val="21"/>
          <w:highlight w:val="none"/>
          <w:vertAlign w:val="superscript"/>
        </w:rPr>
        <w:t>3</w:t>
      </w:r>
    </w:p>
    <w:tbl>
      <w:tblPr>
        <w:tblStyle w:val="7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1657"/>
        <w:gridCol w:w="3161"/>
        <w:gridCol w:w="1614"/>
      </w:tblGrid>
      <w:tr w14:paraId="788C5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226" w:type="pct"/>
            <w:vAlign w:val="center"/>
          </w:tcPr>
          <w:p w14:paraId="6AA20184">
            <w:pPr>
              <w:pStyle w:val="37"/>
              <w:adjustRightInd w:val="0"/>
              <w:rPr>
                <w:b/>
                <w:bCs/>
                <w:color w:val="auto"/>
                <w:highlight w:val="none"/>
              </w:rPr>
            </w:pPr>
            <w:r>
              <w:rPr>
                <w:b/>
                <w:bCs/>
                <w:color w:val="auto"/>
                <w:highlight w:val="none"/>
              </w:rPr>
              <w:t>污染物</w:t>
            </w:r>
          </w:p>
        </w:tc>
        <w:tc>
          <w:tcPr>
            <w:tcW w:w="972" w:type="pct"/>
            <w:vAlign w:val="center"/>
          </w:tcPr>
          <w:p w14:paraId="64211844">
            <w:pPr>
              <w:pStyle w:val="37"/>
              <w:adjustRightInd w:val="0"/>
              <w:rPr>
                <w:b/>
                <w:bCs/>
                <w:color w:val="auto"/>
                <w:highlight w:val="none"/>
              </w:rPr>
            </w:pPr>
            <w:r>
              <w:rPr>
                <w:b/>
                <w:bCs/>
                <w:color w:val="auto"/>
                <w:highlight w:val="none"/>
              </w:rPr>
              <w:t>区域</w:t>
            </w:r>
          </w:p>
        </w:tc>
        <w:tc>
          <w:tcPr>
            <w:tcW w:w="1854" w:type="pct"/>
            <w:vAlign w:val="center"/>
          </w:tcPr>
          <w:p w14:paraId="64ACD772">
            <w:pPr>
              <w:pStyle w:val="37"/>
              <w:adjustRightInd w:val="0"/>
              <w:rPr>
                <w:b/>
                <w:bCs/>
                <w:color w:val="auto"/>
                <w:highlight w:val="none"/>
              </w:rPr>
            </w:pPr>
            <w:r>
              <w:rPr>
                <w:b/>
                <w:bCs/>
                <w:color w:val="auto"/>
                <w:highlight w:val="none"/>
              </w:rPr>
              <w:t>施工阶段</w:t>
            </w:r>
          </w:p>
        </w:tc>
        <w:tc>
          <w:tcPr>
            <w:tcW w:w="946" w:type="pct"/>
            <w:vAlign w:val="center"/>
          </w:tcPr>
          <w:p w14:paraId="55D21C16">
            <w:pPr>
              <w:pStyle w:val="37"/>
              <w:adjustRightInd w:val="0"/>
              <w:rPr>
                <w:b/>
                <w:bCs/>
                <w:color w:val="auto"/>
                <w:highlight w:val="none"/>
              </w:rPr>
            </w:pPr>
            <w:r>
              <w:rPr>
                <w:b/>
                <w:bCs/>
                <w:color w:val="auto"/>
                <w:highlight w:val="none"/>
              </w:rPr>
              <w:t>最高排放限值</w:t>
            </w:r>
          </w:p>
        </w:tc>
      </w:tr>
      <w:tr w14:paraId="4606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1226" w:type="pct"/>
            <w:vMerge w:val="restart"/>
            <w:vAlign w:val="center"/>
          </w:tcPr>
          <w:p w14:paraId="3A4608E3">
            <w:pPr>
              <w:pStyle w:val="37"/>
              <w:adjustRightInd w:val="0"/>
              <w:rPr>
                <w:color w:val="auto"/>
                <w:highlight w:val="none"/>
              </w:rPr>
            </w:pPr>
            <w:r>
              <w:rPr>
                <w:color w:val="auto"/>
                <w:highlight w:val="none"/>
              </w:rPr>
              <w:t>总悬浮颗粒物（TSP）</w:t>
            </w:r>
          </w:p>
        </w:tc>
        <w:tc>
          <w:tcPr>
            <w:tcW w:w="972" w:type="pct"/>
            <w:vMerge w:val="restart"/>
            <w:vAlign w:val="center"/>
          </w:tcPr>
          <w:p w14:paraId="2BCFC734">
            <w:pPr>
              <w:pStyle w:val="37"/>
              <w:adjustRightInd w:val="0"/>
              <w:rPr>
                <w:color w:val="auto"/>
                <w:highlight w:val="none"/>
              </w:rPr>
            </w:pPr>
            <w:r>
              <w:rPr>
                <w:color w:val="auto"/>
                <w:highlight w:val="none"/>
              </w:rPr>
              <w:t>乐山市</w:t>
            </w:r>
          </w:p>
        </w:tc>
        <w:tc>
          <w:tcPr>
            <w:tcW w:w="1854" w:type="pct"/>
            <w:vAlign w:val="center"/>
          </w:tcPr>
          <w:p w14:paraId="5D19EE74">
            <w:pPr>
              <w:pStyle w:val="37"/>
              <w:adjustRightInd w:val="0"/>
              <w:rPr>
                <w:color w:val="auto"/>
                <w:highlight w:val="none"/>
              </w:rPr>
            </w:pPr>
            <w:r>
              <w:rPr>
                <w:color w:val="auto"/>
                <w:highlight w:val="none"/>
              </w:rPr>
              <w:t>拆除工程/土方开挖/土方回填阶段</w:t>
            </w:r>
          </w:p>
        </w:tc>
        <w:tc>
          <w:tcPr>
            <w:tcW w:w="946" w:type="pct"/>
            <w:vAlign w:val="center"/>
          </w:tcPr>
          <w:p w14:paraId="46DDCCCE">
            <w:pPr>
              <w:pStyle w:val="37"/>
              <w:adjustRightInd w:val="0"/>
              <w:rPr>
                <w:color w:val="auto"/>
                <w:highlight w:val="none"/>
              </w:rPr>
            </w:pPr>
            <w:r>
              <w:rPr>
                <w:color w:val="auto"/>
                <w:highlight w:val="none"/>
              </w:rPr>
              <w:t>600</w:t>
            </w:r>
          </w:p>
        </w:tc>
      </w:tr>
      <w:tr w14:paraId="5283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6" w:type="pct"/>
            <w:vMerge w:val="continue"/>
            <w:vAlign w:val="center"/>
          </w:tcPr>
          <w:p w14:paraId="0E08AECF">
            <w:pPr>
              <w:pStyle w:val="37"/>
              <w:adjustRightInd w:val="0"/>
              <w:rPr>
                <w:color w:val="auto"/>
                <w:highlight w:val="none"/>
              </w:rPr>
            </w:pPr>
          </w:p>
        </w:tc>
        <w:tc>
          <w:tcPr>
            <w:tcW w:w="972" w:type="pct"/>
            <w:vMerge w:val="continue"/>
            <w:vAlign w:val="center"/>
          </w:tcPr>
          <w:p w14:paraId="7E26F617">
            <w:pPr>
              <w:pStyle w:val="37"/>
              <w:adjustRightInd w:val="0"/>
              <w:rPr>
                <w:color w:val="auto"/>
                <w:highlight w:val="none"/>
              </w:rPr>
            </w:pPr>
          </w:p>
        </w:tc>
        <w:tc>
          <w:tcPr>
            <w:tcW w:w="1854" w:type="pct"/>
            <w:vAlign w:val="center"/>
          </w:tcPr>
          <w:p w14:paraId="37BBC7B8">
            <w:pPr>
              <w:pStyle w:val="37"/>
              <w:adjustRightInd w:val="0"/>
              <w:rPr>
                <w:color w:val="auto"/>
                <w:highlight w:val="none"/>
              </w:rPr>
            </w:pPr>
            <w:r>
              <w:rPr>
                <w:color w:val="auto"/>
                <w:highlight w:val="none"/>
              </w:rPr>
              <w:t>其他工程阶段</w:t>
            </w:r>
          </w:p>
        </w:tc>
        <w:tc>
          <w:tcPr>
            <w:tcW w:w="946" w:type="pct"/>
            <w:vAlign w:val="center"/>
          </w:tcPr>
          <w:p w14:paraId="39E99EF5">
            <w:pPr>
              <w:pStyle w:val="37"/>
              <w:adjustRightInd w:val="0"/>
              <w:rPr>
                <w:color w:val="auto"/>
                <w:highlight w:val="none"/>
              </w:rPr>
            </w:pPr>
            <w:r>
              <w:rPr>
                <w:color w:val="auto"/>
                <w:highlight w:val="none"/>
              </w:rPr>
              <w:t>250</w:t>
            </w:r>
          </w:p>
        </w:tc>
      </w:tr>
    </w:tbl>
    <w:p w14:paraId="2ABE785C">
      <w:pPr>
        <w:adjustRightInd w:val="0"/>
        <w:ind w:firstLine="482"/>
        <w:rPr>
          <w:rFonts w:cs="Times New Roman"/>
          <w:color w:val="auto"/>
          <w:highlight w:val="none"/>
        </w:rPr>
      </w:pPr>
      <w:r>
        <w:rPr>
          <w:rFonts w:cs="Times New Roman"/>
          <w:b/>
          <w:bCs/>
          <w:color w:val="auto"/>
          <w:highlight w:val="none"/>
        </w:rPr>
        <w:t>运营期</w:t>
      </w:r>
      <w:r>
        <w:rPr>
          <w:rFonts w:cs="Times New Roman"/>
          <w:color w:val="auto"/>
          <w:highlight w:val="none"/>
        </w:rPr>
        <w:t>：本项目颗粒物有组织排放</w:t>
      </w:r>
      <w:r>
        <w:rPr>
          <w:rFonts w:hint="eastAsia" w:cs="Times New Roman"/>
          <w:color w:val="auto"/>
          <w:highlight w:val="none"/>
        </w:rPr>
        <w:t>速率</w:t>
      </w:r>
      <w:r>
        <w:rPr>
          <w:rFonts w:cs="Times New Roman"/>
          <w:color w:val="auto"/>
          <w:highlight w:val="none"/>
        </w:rPr>
        <w:t>执行《大气污染物综合排放标准》（GB16297-1996）二级标准要求。本项目颗粒物有组织排放浓度参照执行《乐山市打赢蓝天保卫战实施方案》要求和《四川省重污染天气金属表面处理及热处理加工等10个行业应急减排措施制定技术指南》</w:t>
      </w:r>
      <w:r>
        <w:rPr>
          <w:rFonts w:hint="eastAsia" w:cs="Times New Roman"/>
          <w:color w:val="auto"/>
          <w:highlight w:val="none"/>
        </w:rPr>
        <w:t>（2024年修订版）</w:t>
      </w:r>
      <w:r>
        <w:rPr>
          <w:rFonts w:cs="Times New Roman"/>
          <w:color w:val="auto"/>
          <w:highlight w:val="none"/>
        </w:rPr>
        <w:t>中</w:t>
      </w:r>
      <w:r>
        <w:rPr>
          <w:rFonts w:hint="eastAsia" w:cs="Times New Roman"/>
          <w:color w:val="auto"/>
          <w:highlight w:val="none"/>
        </w:rPr>
        <w:t>“</w:t>
      </w:r>
      <w:r>
        <w:rPr>
          <w:rFonts w:cs="Times New Roman"/>
          <w:color w:val="auto"/>
          <w:highlight w:val="none"/>
        </w:rPr>
        <w:t>二、矿石采选与石材加工</w:t>
      </w:r>
      <w:r>
        <w:rPr>
          <w:rFonts w:hint="eastAsia" w:cs="Times New Roman"/>
          <w:color w:val="auto"/>
          <w:highlight w:val="none"/>
        </w:rPr>
        <w:t>”</w:t>
      </w:r>
      <w:r>
        <w:rPr>
          <w:rFonts w:cs="Times New Roman"/>
          <w:color w:val="auto"/>
          <w:highlight w:val="none"/>
        </w:rPr>
        <w:t>的B级要求（排放浓度＜10mg/m</w:t>
      </w:r>
      <w:r>
        <w:rPr>
          <w:rFonts w:cs="Times New Roman"/>
          <w:color w:val="auto"/>
          <w:highlight w:val="none"/>
          <w:vertAlign w:val="superscript"/>
        </w:rPr>
        <w:t>3</w:t>
      </w:r>
      <w:r>
        <w:rPr>
          <w:rFonts w:cs="Times New Roman"/>
          <w:color w:val="auto"/>
          <w:highlight w:val="none"/>
        </w:rPr>
        <w:t>）。</w:t>
      </w:r>
    </w:p>
    <w:p w14:paraId="681C271A">
      <w:pPr>
        <w:pStyle w:val="12"/>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43</w:t>
      </w:r>
      <w:r>
        <w:rPr>
          <w:rFonts w:cs="Times New Roman"/>
          <w:color w:val="auto"/>
          <w:highlight w:val="none"/>
        </w:rPr>
        <w:fldChar w:fldCharType="end"/>
      </w:r>
      <w:r>
        <w:rPr>
          <w:rFonts w:cs="Times New Roman"/>
          <w:bCs/>
          <w:color w:val="auto"/>
          <w:kern w:val="21"/>
          <w:szCs w:val="21"/>
          <w:highlight w:val="none"/>
        </w:rPr>
        <w:t>本项目运营期大气污染物有组织排放标准</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9"/>
        <w:gridCol w:w="800"/>
        <w:gridCol w:w="1458"/>
        <w:gridCol w:w="1505"/>
        <w:gridCol w:w="1142"/>
        <w:gridCol w:w="3248"/>
      </w:tblGrid>
      <w:tr w14:paraId="741ED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blHeader/>
          <w:jc w:val="center"/>
        </w:trPr>
        <w:tc>
          <w:tcPr>
            <w:tcW w:w="216" w:type="pct"/>
            <w:vAlign w:val="center"/>
          </w:tcPr>
          <w:p w14:paraId="1B150DCE">
            <w:pPr>
              <w:pStyle w:val="37"/>
              <w:adjustRightInd w:val="0"/>
              <w:rPr>
                <w:b/>
                <w:bCs/>
                <w:color w:val="auto"/>
                <w:highlight w:val="none"/>
              </w:rPr>
            </w:pPr>
            <w:r>
              <w:rPr>
                <w:b/>
                <w:bCs/>
                <w:color w:val="auto"/>
                <w:highlight w:val="none"/>
              </w:rPr>
              <w:t>序号</w:t>
            </w:r>
          </w:p>
        </w:tc>
        <w:tc>
          <w:tcPr>
            <w:tcW w:w="469" w:type="pct"/>
            <w:vAlign w:val="center"/>
          </w:tcPr>
          <w:p w14:paraId="11BF46E5">
            <w:pPr>
              <w:pStyle w:val="37"/>
              <w:adjustRightInd w:val="0"/>
              <w:rPr>
                <w:b/>
                <w:bCs/>
                <w:color w:val="auto"/>
                <w:highlight w:val="none"/>
              </w:rPr>
            </w:pPr>
            <w:r>
              <w:rPr>
                <w:b/>
                <w:bCs/>
                <w:color w:val="auto"/>
                <w:highlight w:val="none"/>
              </w:rPr>
              <w:t>污染物</w:t>
            </w:r>
          </w:p>
        </w:tc>
        <w:tc>
          <w:tcPr>
            <w:tcW w:w="855" w:type="pct"/>
            <w:vAlign w:val="center"/>
          </w:tcPr>
          <w:p w14:paraId="720F755D">
            <w:pPr>
              <w:pStyle w:val="37"/>
              <w:adjustRightInd w:val="0"/>
              <w:rPr>
                <w:b/>
                <w:bCs/>
                <w:color w:val="auto"/>
                <w:highlight w:val="none"/>
              </w:rPr>
            </w:pPr>
            <w:r>
              <w:rPr>
                <w:b/>
                <w:bCs/>
                <w:color w:val="auto"/>
                <w:highlight w:val="none"/>
              </w:rPr>
              <w:t>最高允许排放浓度（mg/m</w:t>
            </w:r>
            <w:r>
              <w:rPr>
                <w:b/>
                <w:bCs/>
                <w:color w:val="auto"/>
                <w:highlight w:val="none"/>
                <w:vertAlign w:val="superscript"/>
              </w:rPr>
              <w:t>3</w:t>
            </w:r>
            <w:r>
              <w:rPr>
                <w:b/>
                <w:bCs/>
                <w:color w:val="auto"/>
                <w:highlight w:val="none"/>
              </w:rPr>
              <w:t>）</w:t>
            </w:r>
          </w:p>
        </w:tc>
        <w:tc>
          <w:tcPr>
            <w:tcW w:w="883" w:type="pct"/>
            <w:vAlign w:val="center"/>
          </w:tcPr>
          <w:p w14:paraId="56165723">
            <w:pPr>
              <w:pStyle w:val="37"/>
              <w:adjustRightInd w:val="0"/>
              <w:rPr>
                <w:b/>
                <w:bCs/>
                <w:color w:val="auto"/>
                <w:highlight w:val="none"/>
              </w:rPr>
            </w:pPr>
            <w:r>
              <w:rPr>
                <w:b/>
                <w:bCs/>
                <w:color w:val="auto"/>
                <w:highlight w:val="none"/>
              </w:rPr>
              <w:t>最高允许排放速率（kg/h）</w:t>
            </w:r>
          </w:p>
        </w:tc>
        <w:tc>
          <w:tcPr>
            <w:tcW w:w="670" w:type="pct"/>
            <w:vAlign w:val="center"/>
          </w:tcPr>
          <w:p w14:paraId="3219B85A">
            <w:pPr>
              <w:pStyle w:val="37"/>
              <w:adjustRightInd w:val="0"/>
              <w:rPr>
                <w:b/>
                <w:bCs/>
                <w:color w:val="auto"/>
                <w:highlight w:val="none"/>
              </w:rPr>
            </w:pPr>
            <w:r>
              <w:rPr>
                <w:b/>
                <w:bCs/>
                <w:color w:val="auto"/>
                <w:highlight w:val="none"/>
              </w:rPr>
              <w:t>监测位置</w:t>
            </w:r>
          </w:p>
        </w:tc>
        <w:tc>
          <w:tcPr>
            <w:tcW w:w="1905" w:type="pct"/>
            <w:vAlign w:val="center"/>
          </w:tcPr>
          <w:p w14:paraId="1FC217FC">
            <w:pPr>
              <w:pStyle w:val="37"/>
              <w:adjustRightInd w:val="0"/>
              <w:rPr>
                <w:b/>
                <w:bCs/>
                <w:color w:val="auto"/>
                <w:highlight w:val="none"/>
              </w:rPr>
            </w:pPr>
            <w:r>
              <w:rPr>
                <w:b/>
                <w:bCs/>
                <w:color w:val="auto"/>
                <w:highlight w:val="none"/>
              </w:rPr>
              <w:t>执行标准</w:t>
            </w:r>
          </w:p>
        </w:tc>
      </w:tr>
      <w:tr w14:paraId="5DD4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 w:type="pct"/>
            <w:vAlign w:val="center"/>
          </w:tcPr>
          <w:p w14:paraId="5E12BA59">
            <w:pPr>
              <w:pStyle w:val="37"/>
              <w:adjustRightInd w:val="0"/>
              <w:rPr>
                <w:color w:val="auto"/>
                <w:highlight w:val="none"/>
              </w:rPr>
            </w:pPr>
            <w:r>
              <w:rPr>
                <w:color w:val="auto"/>
                <w:highlight w:val="none"/>
              </w:rPr>
              <w:t>1</w:t>
            </w:r>
          </w:p>
        </w:tc>
        <w:tc>
          <w:tcPr>
            <w:tcW w:w="469" w:type="pct"/>
            <w:vAlign w:val="center"/>
          </w:tcPr>
          <w:p w14:paraId="0F83DF3F">
            <w:pPr>
              <w:pStyle w:val="37"/>
              <w:adjustRightInd w:val="0"/>
              <w:rPr>
                <w:color w:val="auto"/>
                <w:highlight w:val="none"/>
              </w:rPr>
            </w:pPr>
            <w:r>
              <w:rPr>
                <w:color w:val="auto"/>
                <w:highlight w:val="none"/>
              </w:rPr>
              <w:t>颗粒物</w:t>
            </w:r>
          </w:p>
        </w:tc>
        <w:tc>
          <w:tcPr>
            <w:tcW w:w="855" w:type="pct"/>
            <w:vAlign w:val="center"/>
          </w:tcPr>
          <w:p w14:paraId="5118317A">
            <w:pPr>
              <w:pStyle w:val="37"/>
              <w:adjustRightInd w:val="0"/>
              <w:rPr>
                <w:color w:val="auto"/>
                <w:highlight w:val="none"/>
              </w:rPr>
            </w:pPr>
            <w:r>
              <w:rPr>
                <w:rFonts w:hint="eastAsia"/>
                <w:color w:val="auto"/>
                <w:highlight w:val="none"/>
              </w:rPr>
              <w:t>120</w:t>
            </w:r>
          </w:p>
        </w:tc>
        <w:tc>
          <w:tcPr>
            <w:tcW w:w="883" w:type="pct"/>
            <w:vAlign w:val="center"/>
          </w:tcPr>
          <w:p w14:paraId="282EFB00">
            <w:pPr>
              <w:pStyle w:val="37"/>
              <w:adjustRightInd w:val="0"/>
              <w:rPr>
                <w:color w:val="auto"/>
                <w:highlight w:val="none"/>
              </w:rPr>
            </w:pPr>
            <w:r>
              <w:rPr>
                <w:rFonts w:hint="eastAsia"/>
                <w:color w:val="auto"/>
                <w:highlight w:val="none"/>
              </w:rPr>
              <w:t>3.5</w:t>
            </w:r>
          </w:p>
        </w:tc>
        <w:tc>
          <w:tcPr>
            <w:tcW w:w="670" w:type="pct"/>
            <w:vAlign w:val="center"/>
          </w:tcPr>
          <w:p w14:paraId="2D5FF522">
            <w:pPr>
              <w:pStyle w:val="37"/>
              <w:adjustRightInd w:val="0"/>
              <w:rPr>
                <w:color w:val="auto"/>
                <w:highlight w:val="none"/>
              </w:rPr>
            </w:pPr>
            <w:r>
              <w:rPr>
                <w:color w:val="auto"/>
                <w:highlight w:val="none"/>
              </w:rPr>
              <w:t>DA001（H=15m）</w:t>
            </w:r>
          </w:p>
        </w:tc>
        <w:tc>
          <w:tcPr>
            <w:tcW w:w="1905" w:type="pct"/>
            <w:vAlign w:val="center"/>
          </w:tcPr>
          <w:p w14:paraId="554BF3CA">
            <w:pPr>
              <w:pStyle w:val="37"/>
              <w:adjustRightInd w:val="0"/>
              <w:rPr>
                <w:color w:val="auto"/>
                <w:highlight w:val="none"/>
              </w:rPr>
            </w:pPr>
            <w:r>
              <w:rPr>
                <w:color w:val="auto"/>
                <w:highlight w:val="none"/>
              </w:rPr>
              <w:t>《大气污染物综合排放标准》（GB 16297-1996）表2</w:t>
            </w:r>
          </w:p>
        </w:tc>
      </w:tr>
    </w:tbl>
    <w:p w14:paraId="39C3FA79">
      <w:pPr>
        <w:adjustRightInd w:val="0"/>
        <w:ind w:firstLine="480"/>
        <w:rPr>
          <w:rFonts w:cs="Times New Roman"/>
          <w:color w:val="auto"/>
          <w:highlight w:val="none"/>
        </w:rPr>
      </w:pPr>
      <w:r>
        <w:rPr>
          <w:rFonts w:cs="Times New Roman"/>
          <w:color w:val="auto"/>
          <w:highlight w:val="none"/>
        </w:rPr>
        <w:t>本项目颗粒物无组织排放</w:t>
      </w:r>
      <w:r>
        <w:rPr>
          <w:rFonts w:hint="eastAsia" w:cs="Times New Roman"/>
          <w:color w:val="auto"/>
          <w:highlight w:val="none"/>
        </w:rPr>
        <w:t>参照执行《四川省重污染天气金属表面处理及热处理加工等10个行业应急减排措施制定技术指南》（2024年修订版）中“二、矿石采选与石材加工”的B级要求和《乐山市打赢蓝天保卫战实施方案》，最高允许排放浓度为10mg/m</w:t>
      </w:r>
      <w:r>
        <w:rPr>
          <w:rFonts w:hint="eastAsia" w:cs="Times New Roman"/>
          <w:color w:val="auto"/>
          <w:highlight w:val="none"/>
          <w:vertAlign w:val="superscript"/>
        </w:rPr>
        <w:t>3</w:t>
      </w:r>
      <w:r>
        <w:rPr>
          <w:rFonts w:hint="eastAsia" w:cs="Times New Roman"/>
          <w:color w:val="auto"/>
          <w:highlight w:val="none"/>
        </w:rPr>
        <w:t>。</w:t>
      </w:r>
    </w:p>
    <w:p w14:paraId="2E6CC52E">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44</w:t>
      </w:r>
      <w:r>
        <w:rPr>
          <w:rFonts w:cs="Times New Roman"/>
          <w:color w:val="auto"/>
          <w:highlight w:val="none"/>
        </w:rPr>
        <w:fldChar w:fldCharType="end"/>
      </w:r>
      <w:r>
        <w:rPr>
          <w:rFonts w:cs="Times New Roman"/>
          <w:color w:val="auto"/>
          <w:highlight w:val="none"/>
        </w:rPr>
        <w:t>本项目大气污染物无组织排放标准 单位：mg/m</w:t>
      </w:r>
      <w:r>
        <w:rPr>
          <w:rFonts w:cs="Times New Roman"/>
          <w:color w:val="auto"/>
          <w:highlight w:val="none"/>
          <w:vertAlign w:val="superscript"/>
        </w:rPr>
        <w:t>3</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581"/>
        <w:gridCol w:w="996"/>
        <w:gridCol w:w="1337"/>
        <w:gridCol w:w="3842"/>
      </w:tblGrid>
      <w:tr w14:paraId="4C528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blHeader/>
          <w:jc w:val="center"/>
        </w:trPr>
        <w:tc>
          <w:tcPr>
            <w:tcW w:w="447" w:type="pct"/>
            <w:vAlign w:val="center"/>
          </w:tcPr>
          <w:p w14:paraId="1DD54BA8">
            <w:pPr>
              <w:pStyle w:val="37"/>
              <w:adjustRightInd w:val="0"/>
              <w:rPr>
                <w:b/>
                <w:bCs/>
                <w:color w:val="auto"/>
                <w:highlight w:val="none"/>
              </w:rPr>
            </w:pPr>
            <w:r>
              <w:rPr>
                <w:b/>
                <w:bCs/>
                <w:color w:val="auto"/>
                <w:highlight w:val="none"/>
              </w:rPr>
              <w:t>序号</w:t>
            </w:r>
          </w:p>
        </w:tc>
        <w:tc>
          <w:tcPr>
            <w:tcW w:w="927" w:type="pct"/>
            <w:vAlign w:val="center"/>
          </w:tcPr>
          <w:p w14:paraId="1AC42C9F">
            <w:pPr>
              <w:pStyle w:val="37"/>
              <w:adjustRightInd w:val="0"/>
              <w:rPr>
                <w:b/>
                <w:bCs/>
                <w:color w:val="auto"/>
                <w:highlight w:val="none"/>
              </w:rPr>
            </w:pPr>
            <w:r>
              <w:rPr>
                <w:b/>
                <w:bCs/>
                <w:color w:val="auto"/>
                <w:highlight w:val="none"/>
              </w:rPr>
              <w:t>污染物</w:t>
            </w:r>
          </w:p>
        </w:tc>
        <w:tc>
          <w:tcPr>
            <w:tcW w:w="585" w:type="pct"/>
            <w:vAlign w:val="center"/>
          </w:tcPr>
          <w:p w14:paraId="72F09943">
            <w:pPr>
              <w:pStyle w:val="37"/>
              <w:adjustRightInd w:val="0"/>
              <w:rPr>
                <w:b/>
                <w:bCs/>
                <w:color w:val="auto"/>
                <w:highlight w:val="none"/>
              </w:rPr>
            </w:pPr>
            <w:r>
              <w:rPr>
                <w:b/>
                <w:bCs/>
                <w:color w:val="auto"/>
                <w:highlight w:val="none"/>
              </w:rPr>
              <w:t>浓度</w:t>
            </w:r>
          </w:p>
        </w:tc>
        <w:tc>
          <w:tcPr>
            <w:tcW w:w="785" w:type="pct"/>
            <w:vAlign w:val="center"/>
          </w:tcPr>
          <w:p w14:paraId="1334A6D0">
            <w:pPr>
              <w:pStyle w:val="37"/>
              <w:adjustRightInd w:val="0"/>
              <w:rPr>
                <w:b/>
                <w:bCs/>
                <w:color w:val="auto"/>
                <w:highlight w:val="none"/>
              </w:rPr>
            </w:pPr>
            <w:r>
              <w:rPr>
                <w:b/>
                <w:bCs/>
                <w:color w:val="auto"/>
                <w:highlight w:val="none"/>
              </w:rPr>
              <w:t>监测位置</w:t>
            </w:r>
          </w:p>
        </w:tc>
        <w:tc>
          <w:tcPr>
            <w:tcW w:w="2254" w:type="pct"/>
            <w:vAlign w:val="center"/>
          </w:tcPr>
          <w:p w14:paraId="65F03C9F">
            <w:pPr>
              <w:pStyle w:val="37"/>
              <w:adjustRightInd w:val="0"/>
              <w:rPr>
                <w:b/>
                <w:bCs/>
                <w:color w:val="auto"/>
                <w:highlight w:val="none"/>
              </w:rPr>
            </w:pPr>
            <w:r>
              <w:rPr>
                <w:b/>
                <w:bCs/>
                <w:color w:val="auto"/>
                <w:highlight w:val="none"/>
              </w:rPr>
              <w:t>执行标准</w:t>
            </w:r>
          </w:p>
        </w:tc>
      </w:tr>
      <w:tr w14:paraId="704C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7" w:type="pct"/>
            <w:vAlign w:val="center"/>
          </w:tcPr>
          <w:p w14:paraId="165454FC">
            <w:pPr>
              <w:pStyle w:val="37"/>
              <w:adjustRightInd w:val="0"/>
              <w:rPr>
                <w:color w:val="auto"/>
                <w:highlight w:val="none"/>
              </w:rPr>
            </w:pPr>
            <w:r>
              <w:rPr>
                <w:color w:val="auto"/>
                <w:highlight w:val="none"/>
              </w:rPr>
              <w:t>1</w:t>
            </w:r>
          </w:p>
        </w:tc>
        <w:tc>
          <w:tcPr>
            <w:tcW w:w="927" w:type="pct"/>
            <w:vAlign w:val="center"/>
          </w:tcPr>
          <w:p w14:paraId="3C4D16F9">
            <w:pPr>
              <w:pStyle w:val="37"/>
              <w:adjustRightInd w:val="0"/>
              <w:rPr>
                <w:color w:val="auto"/>
                <w:highlight w:val="none"/>
              </w:rPr>
            </w:pPr>
            <w:r>
              <w:rPr>
                <w:color w:val="auto"/>
                <w:highlight w:val="none"/>
              </w:rPr>
              <w:t>颗粒物</w:t>
            </w:r>
          </w:p>
        </w:tc>
        <w:tc>
          <w:tcPr>
            <w:tcW w:w="585" w:type="pct"/>
            <w:vAlign w:val="center"/>
          </w:tcPr>
          <w:p w14:paraId="7477169C">
            <w:pPr>
              <w:pStyle w:val="37"/>
              <w:adjustRightInd w:val="0"/>
              <w:rPr>
                <w:color w:val="auto"/>
                <w:highlight w:val="none"/>
              </w:rPr>
            </w:pPr>
            <w:r>
              <w:rPr>
                <w:rFonts w:hint="eastAsia"/>
                <w:color w:val="auto"/>
                <w:highlight w:val="none"/>
              </w:rPr>
              <w:t>1.0</w:t>
            </w:r>
          </w:p>
        </w:tc>
        <w:tc>
          <w:tcPr>
            <w:tcW w:w="785" w:type="pct"/>
            <w:vAlign w:val="center"/>
          </w:tcPr>
          <w:p w14:paraId="17AB5BCE">
            <w:pPr>
              <w:pStyle w:val="37"/>
              <w:adjustRightInd w:val="0"/>
              <w:rPr>
                <w:color w:val="auto"/>
                <w:highlight w:val="none"/>
              </w:rPr>
            </w:pPr>
            <w:r>
              <w:rPr>
                <w:color w:val="auto"/>
                <w:highlight w:val="none"/>
              </w:rPr>
              <w:t>周界外最高浓度点</w:t>
            </w:r>
          </w:p>
        </w:tc>
        <w:tc>
          <w:tcPr>
            <w:tcW w:w="2254" w:type="pct"/>
            <w:vAlign w:val="center"/>
          </w:tcPr>
          <w:p w14:paraId="23EDAE80">
            <w:pPr>
              <w:pStyle w:val="37"/>
              <w:adjustRightInd w:val="0"/>
              <w:rPr>
                <w:color w:val="auto"/>
                <w:highlight w:val="none"/>
              </w:rPr>
            </w:pPr>
            <w:r>
              <w:rPr>
                <w:color w:val="auto"/>
                <w:highlight w:val="none"/>
              </w:rPr>
              <w:t>《大气污染物综合排放标准》（GB 16297-1996）表2无组织排放浓度限值</w:t>
            </w:r>
          </w:p>
        </w:tc>
      </w:tr>
    </w:tbl>
    <w:p w14:paraId="36991172">
      <w:pPr>
        <w:ind w:firstLine="480"/>
        <w:rPr>
          <w:rFonts w:cs="Times New Roman"/>
          <w:color w:val="auto"/>
          <w:szCs w:val="24"/>
          <w:highlight w:val="none"/>
        </w:rPr>
      </w:pPr>
      <w:r>
        <w:rPr>
          <w:rFonts w:hint="eastAsia"/>
          <w:color w:val="auto"/>
          <w:highlight w:val="none"/>
        </w:rPr>
        <w:t>本项目</w:t>
      </w:r>
      <w:r>
        <w:rPr>
          <w:color w:val="auto"/>
          <w:highlight w:val="none"/>
        </w:rPr>
        <w:t>食堂</w:t>
      </w:r>
      <w:r>
        <w:rPr>
          <w:rFonts w:hint="eastAsia"/>
          <w:color w:val="auto"/>
          <w:highlight w:val="none"/>
        </w:rPr>
        <w:t>设置2个灶头，</w:t>
      </w:r>
      <w:r>
        <w:rPr>
          <w:color w:val="auto"/>
          <w:highlight w:val="none"/>
        </w:rPr>
        <w:t>油烟执行《饮食业油烟排放标准（试行）》（GB18483-2001）中的</w:t>
      </w:r>
      <w:r>
        <w:rPr>
          <w:rFonts w:hint="eastAsia"/>
          <w:color w:val="auto"/>
          <w:highlight w:val="none"/>
        </w:rPr>
        <w:t>小</w:t>
      </w:r>
      <w:r>
        <w:rPr>
          <w:color w:val="auto"/>
          <w:highlight w:val="none"/>
        </w:rPr>
        <w:t>型规模标准，详见下表所示。</w:t>
      </w:r>
    </w:p>
    <w:p w14:paraId="293F05ED">
      <w:pPr>
        <w:pStyle w:val="12"/>
        <w:rPr>
          <w:rFonts w:eastAsia="黑体" w:cs="Times New Roman"/>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45</w:t>
      </w:r>
      <w:r>
        <w:rPr>
          <w:color w:val="auto"/>
          <w:highlight w:val="none"/>
        </w:rPr>
        <w:fldChar w:fldCharType="end"/>
      </w:r>
      <w:r>
        <w:rPr>
          <w:rFonts w:eastAsia="黑体" w:cs="Times New Roman"/>
          <w:color w:val="auto"/>
          <w:highlight w:val="none"/>
        </w:rPr>
        <w:t>《饮食业油烟排放标准（试行）》（GB18483-2001）</w:t>
      </w:r>
    </w:p>
    <w:tbl>
      <w:tblPr>
        <w:tblStyle w:val="94"/>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78"/>
        <w:gridCol w:w="4944"/>
      </w:tblGrid>
      <w:tr w14:paraId="713934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99"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1D321D2">
            <w:pPr>
              <w:pStyle w:val="37"/>
              <w:adjustRightInd w:val="0"/>
              <w:rPr>
                <w:rFonts w:eastAsia="黑体"/>
                <w:b/>
                <w:bCs/>
                <w:color w:val="auto"/>
                <w:highlight w:val="none"/>
              </w:rPr>
            </w:pPr>
            <w:r>
              <w:rPr>
                <w:rFonts w:eastAsia="黑体"/>
                <w:b/>
                <w:bCs/>
                <w:color w:val="auto"/>
                <w:highlight w:val="none"/>
              </w:rPr>
              <w:t>规模</w:t>
            </w:r>
          </w:p>
        </w:tc>
        <w:tc>
          <w:tcPr>
            <w:tcW w:w="29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C5757E">
            <w:pPr>
              <w:pStyle w:val="37"/>
              <w:adjustRightInd w:val="0"/>
              <w:rPr>
                <w:rFonts w:eastAsia="黑体"/>
                <w:b/>
                <w:bCs/>
                <w:color w:val="auto"/>
                <w:highlight w:val="none"/>
              </w:rPr>
            </w:pPr>
            <w:r>
              <w:rPr>
                <w:rFonts w:eastAsia="黑体"/>
                <w:b/>
                <w:bCs/>
                <w:color w:val="auto"/>
                <w:highlight w:val="none"/>
              </w:rPr>
              <w:t>小型</w:t>
            </w:r>
          </w:p>
        </w:tc>
      </w:tr>
      <w:tr w14:paraId="30E0FC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A0B2AD">
            <w:pPr>
              <w:pStyle w:val="37"/>
              <w:adjustRightInd w:val="0"/>
              <w:rPr>
                <w:color w:val="auto"/>
                <w:highlight w:val="none"/>
              </w:rPr>
            </w:pPr>
            <w:r>
              <w:rPr>
                <w:color w:val="auto"/>
                <w:highlight w:val="none"/>
              </w:rPr>
              <w:t>最高允许排放浓度/mg/m</w:t>
            </w:r>
            <w:r>
              <w:rPr>
                <w:color w:val="auto"/>
                <w:highlight w:val="none"/>
                <w:vertAlign w:val="superscript"/>
              </w:rPr>
              <w:t>3</w:t>
            </w:r>
          </w:p>
        </w:tc>
        <w:tc>
          <w:tcPr>
            <w:tcW w:w="29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3611A">
            <w:pPr>
              <w:pStyle w:val="37"/>
              <w:adjustRightInd w:val="0"/>
              <w:rPr>
                <w:color w:val="auto"/>
                <w:highlight w:val="none"/>
              </w:rPr>
            </w:pPr>
            <w:r>
              <w:rPr>
                <w:color w:val="auto"/>
                <w:highlight w:val="none"/>
              </w:rPr>
              <w:t>2.0</w:t>
            </w:r>
          </w:p>
        </w:tc>
      </w:tr>
      <w:tr w14:paraId="75BB21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0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43EDCE">
            <w:pPr>
              <w:pStyle w:val="37"/>
              <w:adjustRightInd w:val="0"/>
              <w:rPr>
                <w:color w:val="auto"/>
                <w:highlight w:val="none"/>
              </w:rPr>
            </w:pPr>
            <w:r>
              <w:rPr>
                <w:color w:val="auto"/>
                <w:highlight w:val="none"/>
              </w:rPr>
              <w:t>净化设施最低去除效率/%</w:t>
            </w:r>
          </w:p>
        </w:tc>
        <w:tc>
          <w:tcPr>
            <w:tcW w:w="290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06C4DD">
            <w:pPr>
              <w:pStyle w:val="37"/>
              <w:adjustRightInd w:val="0"/>
              <w:rPr>
                <w:color w:val="auto"/>
                <w:highlight w:val="none"/>
              </w:rPr>
            </w:pPr>
            <w:r>
              <w:rPr>
                <w:rFonts w:hint="eastAsia"/>
                <w:color w:val="auto"/>
                <w:highlight w:val="none"/>
              </w:rPr>
              <w:t>60</w:t>
            </w:r>
          </w:p>
        </w:tc>
      </w:tr>
    </w:tbl>
    <w:p w14:paraId="27062B68">
      <w:pPr>
        <w:pStyle w:val="5"/>
        <w:adjustRightInd w:val="0"/>
        <w:rPr>
          <w:rFonts w:cs="Times New Roman"/>
          <w:color w:val="auto"/>
          <w:highlight w:val="none"/>
        </w:rPr>
      </w:pPr>
      <w:r>
        <w:rPr>
          <w:rFonts w:cs="Times New Roman"/>
          <w:color w:val="auto"/>
          <w:highlight w:val="none"/>
        </w:rPr>
        <w:t>噪声</w:t>
      </w:r>
    </w:p>
    <w:p w14:paraId="32BBE975">
      <w:pPr>
        <w:adjustRightInd w:val="0"/>
        <w:ind w:firstLine="482"/>
        <w:rPr>
          <w:rFonts w:cs="Times New Roman"/>
          <w:color w:val="auto"/>
          <w:highlight w:val="none"/>
        </w:rPr>
      </w:pPr>
      <w:r>
        <w:rPr>
          <w:rFonts w:cs="Times New Roman"/>
          <w:b/>
          <w:bCs/>
          <w:color w:val="auto"/>
          <w:highlight w:val="none"/>
        </w:rPr>
        <w:t>施工期</w:t>
      </w:r>
      <w:r>
        <w:rPr>
          <w:rFonts w:cs="Times New Roman"/>
          <w:color w:val="auto"/>
          <w:highlight w:val="none"/>
        </w:rPr>
        <w:t>：执行《建筑施工场界环境噪声排放标准》（GB 12523-20</w:t>
      </w:r>
      <w:r>
        <w:rPr>
          <w:rFonts w:hint="eastAsia" w:cs="Times New Roman"/>
          <w:color w:val="auto"/>
          <w:highlight w:val="none"/>
        </w:rPr>
        <w:t>25</w:t>
      </w:r>
      <w:r>
        <w:rPr>
          <w:rFonts w:cs="Times New Roman"/>
          <w:color w:val="auto"/>
          <w:highlight w:val="none"/>
        </w:rPr>
        <w:t>），见下表。</w:t>
      </w:r>
    </w:p>
    <w:p w14:paraId="6DF7FB9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46</w:t>
      </w:r>
      <w:r>
        <w:rPr>
          <w:rFonts w:cs="Times New Roman"/>
          <w:color w:val="auto"/>
          <w:highlight w:val="none"/>
        </w:rPr>
        <w:fldChar w:fldCharType="end"/>
      </w:r>
      <w:r>
        <w:rPr>
          <w:rFonts w:cs="Times New Roman"/>
          <w:color w:val="auto"/>
          <w:highlight w:val="none"/>
        </w:rPr>
        <w:t>建筑施工场界环境噪声排放标准 单位：dB（A）</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880"/>
        <w:gridCol w:w="1884"/>
        <w:gridCol w:w="3357"/>
      </w:tblGrid>
      <w:tr w14:paraId="6769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2" w:type="pct"/>
            <w:vAlign w:val="center"/>
          </w:tcPr>
          <w:p w14:paraId="5D7B40F1">
            <w:pPr>
              <w:pStyle w:val="37"/>
              <w:adjustRightInd w:val="0"/>
              <w:rPr>
                <w:b/>
                <w:bCs/>
                <w:color w:val="auto"/>
                <w:highlight w:val="none"/>
              </w:rPr>
            </w:pPr>
            <w:r>
              <w:rPr>
                <w:b/>
                <w:bCs/>
                <w:color w:val="auto"/>
                <w:highlight w:val="none"/>
              </w:rPr>
              <w:t>位置</w:t>
            </w:r>
          </w:p>
        </w:tc>
        <w:tc>
          <w:tcPr>
            <w:tcW w:w="2207" w:type="pct"/>
            <w:gridSpan w:val="2"/>
            <w:vAlign w:val="center"/>
          </w:tcPr>
          <w:p w14:paraId="5C775835">
            <w:pPr>
              <w:pStyle w:val="37"/>
              <w:adjustRightInd w:val="0"/>
              <w:rPr>
                <w:b/>
                <w:bCs/>
                <w:color w:val="auto"/>
                <w:highlight w:val="none"/>
              </w:rPr>
            </w:pPr>
            <w:r>
              <w:rPr>
                <w:b/>
                <w:bCs/>
                <w:color w:val="auto"/>
                <w:highlight w:val="none"/>
              </w:rPr>
              <w:t>噪声级：dB（A）</w:t>
            </w:r>
          </w:p>
        </w:tc>
        <w:tc>
          <w:tcPr>
            <w:tcW w:w="1969" w:type="pct"/>
            <w:vAlign w:val="center"/>
          </w:tcPr>
          <w:p w14:paraId="697FD05A">
            <w:pPr>
              <w:pStyle w:val="37"/>
              <w:adjustRightInd w:val="0"/>
              <w:rPr>
                <w:b/>
                <w:bCs/>
                <w:color w:val="auto"/>
                <w:highlight w:val="none"/>
              </w:rPr>
            </w:pPr>
            <w:r>
              <w:rPr>
                <w:b/>
                <w:bCs/>
                <w:color w:val="auto"/>
                <w:highlight w:val="none"/>
              </w:rPr>
              <w:t>标准</w:t>
            </w:r>
          </w:p>
        </w:tc>
      </w:tr>
      <w:tr w14:paraId="5CA1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pct"/>
            <w:vMerge w:val="restart"/>
            <w:vAlign w:val="center"/>
          </w:tcPr>
          <w:p w14:paraId="43C4A95D">
            <w:pPr>
              <w:pStyle w:val="37"/>
              <w:adjustRightInd w:val="0"/>
              <w:rPr>
                <w:color w:val="auto"/>
                <w:highlight w:val="none"/>
              </w:rPr>
            </w:pPr>
            <w:r>
              <w:rPr>
                <w:color w:val="auto"/>
                <w:highlight w:val="none"/>
              </w:rPr>
              <w:t>厂界</w:t>
            </w:r>
          </w:p>
        </w:tc>
        <w:tc>
          <w:tcPr>
            <w:tcW w:w="1103" w:type="pct"/>
            <w:vAlign w:val="center"/>
          </w:tcPr>
          <w:p w14:paraId="6AA23EF5">
            <w:pPr>
              <w:pStyle w:val="37"/>
              <w:adjustRightInd w:val="0"/>
              <w:rPr>
                <w:color w:val="auto"/>
                <w:highlight w:val="none"/>
              </w:rPr>
            </w:pPr>
            <w:r>
              <w:rPr>
                <w:color w:val="auto"/>
                <w:highlight w:val="none"/>
              </w:rPr>
              <w:t>昼间</w:t>
            </w:r>
          </w:p>
        </w:tc>
        <w:tc>
          <w:tcPr>
            <w:tcW w:w="1103" w:type="pct"/>
            <w:vAlign w:val="center"/>
          </w:tcPr>
          <w:p w14:paraId="6D56259A">
            <w:pPr>
              <w:pStyle w:val="37"/>
              <w:adjustRightInd w:val="0"/>
              <w:rPr>
                <w:color w:val="auto"/>
                <w:highlight w:val="none"/>
              </w:rPr>
            </w:pPr>
            <w:r>
              <w:rPr>
                <w:color w:val="auto"/>
                <w:highlight w:val="none"/>
              </w:rPr>
              <w:t>夜间</w:t>
            </w:r>
          </w:p>
        </w:tc>
        <w:tc>
          <w:tcPr>
            <w:tcW w:w="1969" w:type="pct"/>
            <w:vMerge w:val="restart"/>
            <w:vAlign w:val="center"/>
          </w:tcPr>
          <w:p w14:paraId="1CED74AA">
            <w:pPr>
              <w:pStyle w:val="37"/>
              <w:adjustRightInd w:val="0"/>
              <w:rPr>
                <w:color w:val="auto"/>
                <w:highlight w:val="none"/>
              </w:rPr>
            </w:pPr>
            <w:r>
              <w:rPr>
                <w:color w:val="auto"/>
                <w:highlight w:val="none"/>
              </w:rPr>
              <w:t>《建筑施工场界环境噪声排放标准》（GB12523-20</w:t>
            </w:r>
            <w:r>
              <w:rPr>
                <w:rFonts w:hint="eastAsia"/>
                <w:color w:val="auto"/>
                <w:highlight w:val="none"/>
              </w:rPr>
              <w:t>25</w:t>
            </w:r>
            <w:r>
              <w:rPr>
                <w:color w:val="auto"/>
                <w:highlight w:val="none"/>
              </w:rPr>
              <w:t>）</w:t>
            </w:r>
          </w:p>
        </w:tc>
      </w:tr>
      <w:tr w14:paraId="72830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2" w:type="pct"/>
            <w:vMerge w:val="continue"/>
            <w:vAlign w:val="center"/>
          </w:tcPr>
          <w:p w14:paraId="387905A3">
            <w:pPr>
              <w:pStyle w:val="37"/>
              <w:adjustRightInd w:val="0"/>
              <w:rPr>
                <w:color w:val="auto"/>
                <w:highlight w:val="none"/>
              </w:rPr>
            </w:pPr>
          </w:p>
        </w:tc>
        <w:tc>
          <w:tcPr>
            <w:tcW w:w="1103" w:type="pct"/>
            <w:vAlign w:val="center"/>
          </w:tcPr>
          <w:p w14:paraId="15DA02A1">
            <w:pPr>
              <w:pStyle w:val="37"/>
              <w:adjustRightInd w:val="0"/>
              <w:rPr>
                <w:color w:val="auto"/>
                <w:highlight w:val="none"/>
              </w:rPr>
            </w:pPr>
            <w:r>
              <w:rPr>
                <w:color w:val="auto"/>
                <w:highlight w:val="none"/>
              </w:rPr>
              <w:t>70</w:t>
            </w:r>
          </w:p>
        </w:tc>
        <w:tc>
          <w:tcPr>
            <w:tcW w:w="1103" w:type="pct"/>
            <w:vAlign w:val="center"/>
          </w:tcPr>
          <w:p w14:paraId="67A387BE">
            <w:pPr>
              <w:pStyle w:val="37"/>
              <w:adjustRightInd w:val="0"/>
              <w:rPr>
                <w:color w:val="auto"/>
                <w:highlight w:val="none"/>
              </w:rPr>
            </w:pPr>
            <w:r>
              <w:rPr>
                <w:color w:val="auto"/>
                <w:highlight w:val="none"/>
              </w:rPr>
              <w:t>55</w:t>
            </w:r>
          </w:p>
        </w:tc>
        <w:tc>
          <w:tcPr>
            <w:tcW w:w="1969" w:type="pct"/>
            <w:vMerge w:val="continue"/>
            <w:vAlign w:val="center"/>
          </w:tcPr>
          <w:p w14:paraId="079B7924">
            <w:pPr>
              <w:pStyle w:val="37"/>
              <w:adjustRightInd w:val="0"/>
              <w:rPr>
                <w:color w:val="auto"/>
                <w:highlight w:val="none"/>
              </w:rPr>
            </w:pPr>
          </w:p>
        </w:tc>
      </w:tr>
      <w:tr w14:paraId="27C4F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0" w:type="pct"/>
            <w:gridSpan w:val="3"/>
            <w:vAlign w:val="center"/>
          </w:tcPr>
          <w:p w14:paraId="281EF899">
            <w:pPr>
              <w:pStyle w:val="37"/>
              <w:adjustRightInd w:val="0"/>
              <w:rPr>
                <w:color w:val="auto"/>
                <w:highlight w:val="none"/>
              </w:rPr>
            </w:pPr>
            <w:r>
              <w:rPr>
                <w:color w:val="auto"/>
                <w:highlight w:val="none"/>
              </w:rPr>
              <w:t>夜间最大声级超过限值的幅度不得高于15dB（A）</w:t>
            </w:r>
          </w:p>
        </w:tc>
        <w:tc>
          <w:tcPr>
            <w:tcW w:w="1969" w:type="pct"/>
            <w:vMerge w:val="continue"/>
            <w:vAlign w:val="center"/>
          </w:tcPr>
          <w:p w14:paraId="4733C2CC">
            <w:pPr>
              <w:pStyle w:val="37"/>
              <w:adjustRightInd w:val="0"/>
              <w:rPr>
                <w:color w:val="auto"/>
                <w:highlight w:val="none"/>
              </w:rPr>
            </w:pPr>
          </w:p>
        </w:tc>
      </w:tr>
    </w:tbl>
    <w:p w14:paraId="4A03B270">
      <w:pPr>
        <w:adjustRightInd w:val="0"/>
        <w:ind w:firstLine="482"/>
        <w:rPr>
          <w:rFonts w:cs="Times New Roman"/>
          <w:color w:val="auto"/>
          <w:highlight w:val="none"/>
        </w:rPr>
      </w:pPr>
      <w:r>
        <w:rPr>
          <w:rFonts w:cs="Times New Roman"/>
          <w:b/>
          <w:bCs/>
          <w:color w:val="auto"/>
          <w:highlight w:val="none"/>
        </w:rPr>
        <w:t>运营期</w:t>
      </w:r>
      <w:r>
        <w:rPr>
          <w:rFonts w:cs="Times New Roman"/>
          <w:color w:val="auto"/>
          <w:highlight w:val="none"/>
        </w:rPr>
        <w:t>：执行《工业企业厂界环境噪声排放标准》（GB12348-2008）3类标准，见下表。</w:t>
      </w:r>
    </w:p>
    <w:p w14:paraId="0AE14B42">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47</w:t>
      </w:r>
      <w:r>
        <w:rPr>
          <w:rFonts w:cs="Times New Roman"/>
          <w:color w:val="auto"/>
          <w:highlight w:val="none"/>
        </w:rPr>
        <w:fldChar w:fldCharType="end"/>
      </w:r>
      <w:r>
        <w:rPr>
          <w:rFonts w:cs="Times New Roman"/>
          <w:color w:val="auto"/>
          <w:highlight w:val="none"/>
        </w:rPr>
        <w:t>工业企业厂界环境噪声排放标准 单位：dB（A）</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8"/>
        <w:gridCol w:w="1425"/>
        <w:gridCol w:w="1667"/>
        <w:gridCol w:w="2682"/>
      </w:tblGrid>
      <w:tr w14:paraId="33BFD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612" w:type="pct"/>
            <w:vMerge w:val="restart"/>
            <w:vAlign w:val="center"/>
          </w:tcPr>
          <w:p w14:paraId="0010CAEB">
            <w:pPr>
              <w:pStyle w:val="37"/>
              <w:adjustRightInd w:val="0"/>
              <w:rPr>
                <w:b/>
                <w:bCs/>
                <w:color w:val="auto"/>
                <w:highlight w:val="none"/>
              </w:rPr>
            </w:pPr>
            <w:r>
              <w:rPr>
                <w:b/>
                <w:bCs/>
                <w:color w:val="auto"/>
                <w:highlight w:val="none"/>
              </w:rPr>
              <w:t>厂界外声环境功能区类别</w:t>
            </w:r>
          </w:p>
        </w:tc>
        <w:tc>
          <w:tcPr>
            <w:tcW w:w="1814" w:type="pct"/>
            <w:gridSpan w:val="2"/>
            <w:vAlign w:val="center"/>
          </w:tcPr>
          <w:p w14:paraId="1F4545BB">
            <w:pPr>
              <w:pStyle w:val="37"/>
              <w:adjustRightInd w:val="0"/>
              <w:rPr>
                <w:b/>
                <w:bCs/>
                <w:color w:val="auto"/>
                <w:highlight w:val="none"/>
              </w:rPr>
            </w:pPr>
            <w:r>
              <w:rPr>
                <w:b/>
                <w:bCs/>
                <w:color w:val="auto"/>
                <w:highlight w:val="none"/>
              </w:rPr>
              <w:t>时段</w:t>
            </w:r>
          </w:p>
        </w:tc>
        <w:tc>
          <w:tcPr>
            <w:tcW w:w="1573" w:type="pct"/>
            <w:vMerge w:val="restart"/>
            <w:vAlign w:val="center"/>
          </w:tcPr>
          <w:p w14:paraId="3F90DECB">
            <w:pPr>
              <w:pStyle w:val="37"/>
              <w:adjustRightInd w:val="0"/>
              <w:rPr>
                <w:b/>
                <w:bCs/>
                <w:color w:val="auto"/>
                <w:highlight w:val="none"/>
              </w:rPr>
            </w:pPr>
            <w:r>
              <w:rPr>
                <w:b/>
                <w:bCs/>
                <w:color w:val="auto"/>
                <w:highlight w:val="none"/>
              </w:rPr>
              <w:t>标准</w:t>
            </w:r>
          </w:p>
        </w:tc>
      </w:tr>
      <w:tr w14:paraId="18B8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blHeader/>
          <w:jc w:val="center"/>
        </w:trPr>
        <w:tc>
          <w:tcPr>
            <w:tcW w:w="1612" w:type="pct"/>
            <w:vMerge w:val="continue"/>
            <w:vAlign w:val="center"/>
          </w:tcPr>
          <w:p w14:paraId="6225A909">
            <w:pPr>
              <w:pStyle w:val="37"/>
              <w:adjustRightInd w:val="0"/>
              <w:rPr>
                <w:color w:val="auto"/>
                <w:highlight w:val="none"/>
              </w:rPr>
            </w:pPr>
          </w:p>
        </w:tc>
        <w:tc>
          <w:tcPr>
            <w:tcW w:w="836" w:type="pct"/>
            <w:vAlign w:val="center"/>
          </w:tcPr>
          <w:p w14:paraId="59D2B6E7">
            <w:pPr>
              <w:pStyle w:val="37"/>
              <w:adjustRightInd w:val="0"/>
              <w:rPr>
                <w:b/>
                <w:bCs/>
                <w:color w:val="auto"/>
                <w:highlight w:val="none"/>
              </w:rPr>
            </w:pPr>
            <w:r>
              <w:rPr>
                <w:b/>
                <w:bCs/>
                <w:color w:val="auto"/>
                <w:highlight w:val="none"/>
              </w:rPr>
              <w:t>昼间</w:t>
            </w:r>
          </w:p>
        </w:tc>
        <w:tc>
          <w:tcPr>
            <w:tcW w:w="977" w:type="pct"/>
            <w:vAlign w:val="center"/>
          </w:tcPr>
          <w:p w14:paraId="03BFA6B2">
            <w:pPr>
              <w:pStyle w:val="37"/>
              <w:adjustRightInd w:val="0"/>
              <w:rPr>
                <w:b/>
                <w:bCs/>
                <w:color w:val="auto"/>
                <w:highlight w:val="none"/>
              </w:rPr>
            </w:pPr>
            <w:r>
              <w:rPr>
                <w:b/>
                <w:bCs/>
                <w:color w:val="auto"/>
                <w:highlight w:val="none"/>
              </w:rPr>
              <w:t>夜间</w:t>
            </w:r>
          </w:p>
        </w:tc>
        <w:tc>
          <w:tcPr>
            <w:tcW w:w="1573" w:type="pct"/>
            <w:vMerge w:val="continue"/>
            <w:vAlign w:val="center"/>
          </w:tcPr>
          <w:p w14:paraId="6A6AA7EB">
            <w:pPr>
              <w:pStyle w:val="37"/>
              <w:adjustRightInd w:val="0"/>
              <w:rPr>
                <w:color w:val="auto"/>
                <w:highlight w:val="none"/>
              </w:rPr>
            </w:pPr>
          </w:p>
        </w:tc>
      </w:tr>
      <w:tr w14:paraId="7EB4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12" w:type="pct"/>
            <w:vAlign w:val="center"/>
          </w:tcPr>
          <w:p w14:paraId="062F8638">
            <w:pPr>
              <w:pStyle w:val="37"/>
              <w:adjustRightInd w:val="0"/>
              <w:rPr>
                <w:color w:val="auto"/>
                <w:highlight w:val="none"/>
              </w:rPr>
            </w:pPr>
            <w:r>
              <w:rPr>
                <w:color w:val="auto"/>
                <w:highlight w:val="none"/>
              </w:rPr>
              <w:t>3类</w:t>
            </w:r>
          </w:p>
        </w:tc>
        <w:tc>
          <w:tcPr>
            <w:tcW w:w="836" w:type="pct"/>
            <w:vAlign w:val="center"/>
          </w:tcPr>
          <w:p w14:paraId="683CC179">
            <w:pPr>
              <w:pStyle w:val="37"/>
              <w:adjustRightInd w:val="0"/>
              <w:rPr>
                <w:color w:val="auto"/>
                <w:highlight w:val="none"/>
              </w:rPr>
            </w:pPr>
            <w:r>
              <w:rPr>
                <w:color w:val="auto"/>
                <w:highlight w:val="none"/>
              </w:rPr>
              <w:t>65</w:t>
            </w:r>
          </w:p>
        </w:tc>
        <w:tc>
          <w:tcPr>
            <w:tcW w:w="977" w:type="pct"/>
            <w:vAlign w:val="center"/>
          </w:tcPr>
          <w:p w14:paraId="7DD72275">
            <w:pPr>
              <w:pStyle w:val="37"/>
              <w:adjustRightInd w:val="0"/>
              <w:rPr>
                <w:color w:val="auto"/>
                <w:highlight w:val="none"/>
              </w:rPr>
            </w:pPr>
            <w:r>
              <w:rPr>
                <w:color w:val="auto"/>
                <w:highlight w:val="none"/>
              </w:rPr>
              <w:t>55</w:t>
            </w:r>
          </w:p>
        </w:tc>
        <w:tc>
          <w:tcPr>
            <w:tcW w:w="1573" w:type="pct"/>
            <w:vAlign w:val="center"/>
          </w:tcPr>
          <w:p w14:paraId="4151EB19">
            <w:pPr>
              <w:pStyle w:val="37"/>
              <w:adjustRightInd w:val="0"/>
              <w:rPr>
                <w:color w:val="auto"/>
                <w:highlight w:val="none"/>
              </w:rPr>
            </w:pPr>
            <w:r>
              <w:rPr>
                <w:color w:val="auto"/>
                <w:highlight w:val="none"/>
              </w:rPr>
              <w:t>《工业企业厂界环境噪声排放标准》（GB12348-2008）</w:t>
            </w:r>
          </w:p>
        </w:tc>
      </w:tr>
    </w:tbl>
    <w:p w14:paraId="005B619E">
      <w:pPr>
        <w:pStyle w:val="5"/>
        <w:adjustRightInd w:val="0"/>
        <w:rPr>
          <w:rFonts w:cs="Times New Roman"/>
          <w:color w:val="auto"/>
          <w:highlight w:val="none"/>
        </w:rPr>
      </w:pPr>
      <w:r>
        <w:rPr>
          <w:rFonts w:cs="Times New Roman"/>
          <w:color w:val="auto"/>
          <w:highlight w:val="none"/>
        </w:rPr>
        <w:t>固体废物</w:t>
      </w:r>
    </w:p>
    <w:p w14:paraId="4CBC91E3">
      <w:pPr>
        <w:adjustRightInd w:val="0"/>
        <w:ind w:firstLine="480"/>
        <w:rPr>
          <w:rFonts w:cs="Times New Roman"/>
          <w:color w:val="auto"/>
          <w:highlight w:val="none"/>
        </w:rPr>
      </w:pPr>
      <w:r>
        <w:rPr>
          <w:rFonts w:cs="Times New Roman"/>
          <w:color w:val="auto"/>
          <w:highlight w:val="none"/>
        </w:rPr>
        <w:t>一般固体废物暂存执行</w:t>
      </w:r>
      <w:r>
        <w:rPr>
          <w:rFonts w:hint="eastAsia" w:cs="Times New Roman"/>
          <w:color w:val="auto"/>
          <w:highlight w:val="none"/>
        </w:rPr>
        <w:t>“</w:t>
      </w:r>
      <w:r>
        <w:rPr>
          <w:rFonts w:cs="Times New Roman"/>
          <w:color w:val="auto"/>
          <w:highlight w:val="none"/>
        </w:rPr>
        <w:t>防渗漏、防雨淋、防扬尘</w:t>
      </w:r>
      <w:r>
        <w:rPr>
          <w:rFonts w:hint="eastAsia" w:cs="Times New Roman"/>
          <w:color w:val="auto"/>
          <w:highlight w:val="none"/>
        </w:rPr>
        <w:t>”</w:t>
      </w:r>
      <w:r>
        <w:rPr>
          <w:rFonts w:cs="Times New Roman"/>
          <w:color w:val="auto"/>
          <w:highlight w:val="none"/>
        </w:rPr>
        <w:t>的相关环境保护要求；危险废物在厂内临时贮存执行《危险废物贮存污染控制标准》（GB18597-2023）相关规定。</w:t>
      </w:r>
    </w:p>
    <w:p w14:paraId="793580BD">
      <w:pPr>
        <w:pStyle w:val="3"/>
        <w:adjustRightInd w:val="0"/>
        <w:rPr>
          <w:rFonts w:cs="Times New Roman"/>
          <w:color w:val="auto"/>
          <w:highlight w:val="none"/>
        </w:rPr>
      </w:pPr>
      <w:bookmarkStart w:id="55" w:name="_Toc16194"/>
      <w:bookmarkStart w:id="56" w:name="_Toc28304"/>
      <w:bookmarkStart w:id="57" w:name="_Toc4645"/>
      <w:r>
        <w:rPr>
          <w:rFonts w:cs="Times New Roman"/>
          <w:color w:val="auto"/>
          <w:highlight w:val="none"/>
        </w:rPr>
        <w:t>评价等级</w:t>
      </w:r>
      <w:bookmarkEnd w:id="55"/>
      <w:bookmarkEnd w:id="56"/>
      <w:r>
        <w:rPr>
          <w:rFonts w:cs="Times New Roman"/>
          <w:color w:val="auto"/>
          <w:highlight w:val="none"/>
        </w:rPr>
        <w:t>和评价范围</w:t>
      </w:r>
      <w:bookmarkEnd w:id="57"/>
    </w:p>
    <w:p w14:paraId="1498C1A2">
      <w:pPr>
        <w:adjustRightInd w:val="0"/>
        <w:ind w:firstLine="480"/>
        <w:rPr>
          <w:rFonts w:cs="Times New Roman"/>
          <w:color w:val="auto"/>
          <w:highlight w:val="none"/>
        </w:rPr>
      </w:pPr>
      <w:r>
        <w:rPr>
          <w:rFonts w:cs="Times New Roman"/>
          <w:color w:val="auto"/>
          <w:highlight w:val="none"/>
        </w:rPr>
        <w:t>建设项目环境影响评价级别划分是根据建设项目可能对环境造成的影响程度和范围，以及项目所在地区的环境敏感程度所确定，本次评价根据《环境影响评价技术导则》相关要求，对拟建项目评价工作等级进行划分。</w:t>
      </w:r>
    </w:p>
    <w:p w14:paraId="434917C7">
      <w:pPr>
        <w:pStyle w:val="4"/>
        <w:adjustRightInd w:val="0"/>
        <w:rPr>
          <w:rFonts w:cs="Times New Roman"/>
          <w:color w:val="auto"/>
          <w:highlight w:val="none"/>
        </w:rPr>
      </w:pPr>
      <w:bookmarkStart w:id="58" w:name="_Toc365381213"/>
      <w:bookmarkStart w:id="59" w:name="_Toc9188"/>
      <w:bookmarkStart w:id="60" w:name="_Toc7816"/>
      <w:bookmarkStart w:id="61" w:name="_Toc23102"/>
      <w:r>
        <w:rPr>
          <w:rFonts w:cs="Times New Roman"/>
          <w:color w:val="auto"/>
          <w:highlight w:val="none"/>
        </w:rPr>
        <w:t>地表水环境评价</w:t>
      </w:r>
      <w:bookmarkEnd w:id="58"/>
      <w:bookmarkEnd w:id="59"/>
      <w:bookmarkEnd w:id="60"/>
      <w:bookmarkEnd w:id="61"/>
    </w:p>
    <w:p w14:paraId="66220269">
      <w:pPr>
        <w:pStyle w:val="5"/>
        <w:adjustRightInd w:val="0"/>
        <w:rPr>
          <w:rFonts w:cs="Times New Roman"/>
          <w:color w:val="auto"/>
          <w:highlight w:val="none"/>
        </w:rPr>
      </w:pPr>
      <w:r>
        <w:rPr>
          <w:rFonts w:cs="Times New Roman"/>
          <w:color w:val="auto"/>
          <w:highlight w:val="none"/>
        </w:rPr>
        <w:t>评价等级</w:t>
      </w:r>
    </w:p>
    <w:p w14:paraId="41C35D2C">
      <w:pPr>
        <w:adjustRightInd w:val="0"/>
        <w:ind w:firstLine="480"/>
        <w:rPr>
          <w:rFonts w:cs="Times New Roman"/>
          <w:color w:val="auto"/>
          <w:highlight w:val="none"/>
        </w:rPr>
      </w:pPr>
      <w:r>
        <w:rPr>
          <w:rFonts w:cs="Times New Roman"/>
          <w:color w:val="auto"/>
          <w:highlight w:val="none"/>
        </w:rPr>
        <w:t>根据《环境影响评价技术导则 地表水环境》（HJ 2.3-2018），水污染影响型建设项目根据排放方式和废水排放量划分评价等级，水污染影响型建设项目评价等级判定见下表。</w:t>
      </w:r>
    </w:p>
    <w:p w14:paraId="7EDA3174">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48</w:t>
      </w:r>
      <w:r>
        <w:rPr>
          <w:rFonts w:cs="Times New Roman"/>
          <w:color w:val="auto"/>
          <w:highlight w:val="none"/>
        </w:rPr>
        <w:fldChar w:fldCharType="end"/>
      </w:r>
      <w:r>
        <w:rPr>
          <w:rFonts w:cs="Times New Roman"/>
          <w:color w:val="auto"/>
          <w:highlight w:val="none"/>
        </w:rPr>
        <w:t>水污染影响型建设项目评价等级判定</w:t>
      </w: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5"/>
        <w:gridCol w:w="1664"/>
        <w:gridCol w:w="5223"/>
      </w:tblGrid>
      <w:tr w14:paraId="120D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 w:hRule="atLeast"/>
          <w:tblHeader/>
          <w:jc w:val="center"/>
        </w:trPr>
        <w:tc>
          <w:tcPr>
            <w:tcW w:w="1715" w:type="dxa"/>
            <w:vMerge w:val="restart"/>
            <w:vAlign w:val="center"/>
          </w:tcPr>
          <w:p w14:paraId="13A8327E">
            <w:pPr>
              <w:pStyle w:val="37"/>
              <w:adjustRightInd w:val="0"/>
              <w:rPr>
                <w:b/>
                <w:bCs/>
                <w:color w:val="auto"/>
                <w:highlight w:val="none"/>
              </w:rPr>
            </w:pPr>
            <w:r>
              <w:rPr>
                <w:b/>
                <w:bCs/>
                <w:color w:val="auto"/>
                <w:highlight w:val="none"/>
              </w:rPr>
              <w:t>评价等级</w:t>
            </w:r>
          </w:p>
        </w:tc>
        <w:tc>
          <w:tcPr>
            <w:tcW w:w="7231" w:type="dxa"/>
            <w:gridSpan w:val="2"/>
            <w:vAlign w:val="center"/>
          </w:tcPr>
          <w:p w14:paraId="36A5CF49">
            <w:pPr>
              <w:pStyle w:val="37"/>
              <w:adjustRightInd w:val="0"/>
              <w:rPr>
                <w:b/>
                <w:bCs/>
                <w:color w:val="auto"/>
                <w:highlight w:val="none"/>
              </w:rPr>
            </w:pPr>
            <w:r>
              <w:rPr>
                <w:b/>
                <w:bCs/>
                <w:color w:val="auto"/>
                <w:highlight w:val="none"/>
              </w:rPr>
              <w:t>判定依据</w:t>
            </w:r>
          </w:p>
        </w:tc>
      </w:tr>
      <w:tr w14:paraId="703CF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715" w:type="dxa"/>
            <w:vMerge w:val="continue"/>
            <w:vAlign w:val="center"/>
          </w:tcPr>
          <w:p w14:paraId="3BC67ABA">
            <w:pPr>
              <w:pStyle w:val="37"/>
              <w:adjustRightInd w:val="0"/>
              <w:rPr>
                <w:b/>
                <w:bCs/>
                <w:color w:val="auto"/>
                <w:highlight w:val="none"/>
              </w:rPr>
            </w:pPr>
          </w:p>
        </w:tc>
        <w:tc>
          <w:tcPr>
            <w:tcW w:w="1746" w:type="dxa"/>
            <w:vAlign w:val="center"/>
          </w:tcPr>
          <w:p w14:paraId="485F033E">
            <w:pPr>
              <w:pStyle w:val="37"/>
              <w:adjustRightInd w:val="0"/>
              <w:rPr>
                <w:b/>
                <w:bCs/>
                <w:color w:val="auto"/>
                <w:highlight w:val="none"/>
              </w:rPr>
            </w:pPr>
            <w:r>
              <w:rPr>
                <w:b/>
                <w:bCs/>
                <w:color w:val="auto"/>
                <w:highlight w:val="none"/>
              </w:rPr>
              <w:t>排放方式</w:t>
            </w:r>
          </w:p>
        </w:tc>
        <w:tc>
          <w:tcPr>
            <w:tcW w:w="5485" w:type="dxa"/>
            <w:vAlign w:val="center"/>
          </w:tcPr>
          <w:p w14:paraId="000C3AEB">
            <w:pPr>
              <w:pStyle w:val="37"/>
              <w:adjustRightInd w:val="0"/>
              <w:rPr>
                <w:b/>
                <w:bCs/>
                <w:color w:val="auto"/>
                <w:highlight w:val="none"/>
              </w:rPr>
            </w:pPr>
            <w:r>
              <w:rPr>
                <w:b/>
                <w:bCs/>
                <w:color w:val="auto"/>
                <w:highlight w:val="none"/>
              </w:rPr>
              <w:t>废水排放量Q（m</w:t>
            </w:r>
            <w:r>
              <w:rPr>
                <w:b/>
                <w:bCs/>
                <w:color w:val="auto"/>
                <w:highlight w:val="none"/>
                <w:vertAlign w:val="superscript"/>
              </w:rPr>
              <w:t>3</w:t>
            </w:r>
            <w:r>
              <w:rPr>
                <w:b/>
                <w:bCs/>
                <w:color w:val="auto"/>
                <w:highlight w:val="none"/>
              </w:rPr>
              <w:t>/d）；水污染当量数W（无量纲）</w:t>
            </w:r>
          </w:p>
        </w:tc>
      </w:tr>
      <w:tr w14:paraId="7C703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Align w:val="center"/>
          </w:tcPr>
          <w:p w14:paraId="6CFF568C">
            <w:pPr>
              <w:pStyle w:val="37"/>
              <w:adjustRightInd w:val="0"/>
              <w:rPr>
                <w:color w:val="auto"/>
                <w:highlight w:val="none"/>
              </w:rPr>
            </w:pPr>
            <w:r>
              <w:rPr>
                <w:color w:val="auto"/>
                <w:highlight w:val="none"/>
              </w:rPr>
              <w:t>一级</w:t>
            </w:r>
          </w:p>
        </w:tc>
        <w:tc>
          <w:tcPr>
            <w:tcW w:w="1746" w:type="dxa"/>
            <w:vAlign w:val="center"/>
          </w:tcPr>
          <w:p w14:paraId="1AA838EA">
            <w:pPr>
              <w:pStyle w:val="37"/>
              <w:adjustRightInd w:val="0"/>
              <w:rPr>
                <w:color w:val="auto"/>
                <w:highlight w:val="none"/>
              </w:rPr>
            </w:pPr>
            <w:r>
              <w:rPr>
                <w:color w:val="auto"/>
                <w:highlight w:val="none"/>
              </w:rPr>
              <w:t>直接排放</w:t>
            </w:r>
          </w:p>
        </w:tc>
        <w:tc>
          <w:tcPr>
            <w:tcW w:w="5485" w:type="dxa"/>
            <w:vAlign w:val="center"/>
          </w:tcPr>
          <w:p w14:paraId="429C2CD1">
            <w:pPr>
              <w:pStyle w:val="37"/>
              <w:adjustRightInd w:val="0"/>
              <w:rPr>
                <w:color w:val="auto"/>
                <w:highlight w:val="none"/>
              </w:rPr>
            </w:pPr>
            <w:r>
              <w:rPr>
                <w:color w:val="auto"/>
                <w:highlight w:val="none"/>
              </w:rPr>
              <w:t>Q≥20000或W≥600000</w:t>
            </w:r>
          </w:p>
        </w:tc>
      </w:tr>
      <w:tr w14:paraId="1A73A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Align w:val="center"/>
          </w:tcPr>
          <w:p w14:paraId="77E8A265">
            <w:pPr>
              <w:pStyle w:val="37"/>
              <w:adjustRightInd w:val="0"/>
              <w:rPr>
                <w:color w:val="auto"/>
                <w:highlight w:val="none"/>
              </w:rPr>
            </w:pPr>
            <w:r>
              <w:rPr>
                <w:color w:val="auto"/>
                <w:highlight w:val="none"/>
              </w:rPr>
              <w:t>二级</w:t>
            </w:r>
          </w:p>
        </w:tc>
        <w:tc>
          <w:tcPr>
            <w:tcW w:w="1746" w:type="dxa"/>
            <w:vAlign w:val="center"/>
          </w:tcPr>
          <w:p w14:paraId="32AAF64D">
            <w:pPr>
              <w:pStyle w:val="37"/>
              <w:adjustRightInd w:val="0"/>
              <w:rPr>
                <w:color w:val="auto"/>
                <w:highlight w:val="none"/>
              </w:rPr>
            </w:pPr>
            <w:r>
              <w:rPr>
                <w:color w:val="auto"/>
                <w:highlight w:val="none"/>
              </w:rPr>
              <w:t>直接排放</w:t>
            </w:r>
          </w:p>
        </w:tc>
        <w:tc>
          <w:tcPr>
            <w:tcW w:w="5485" w:type="dxa"/>
            <w:vAlign w:val="center"/>
          </w:tcPr>
          <w:p w14:paraId="63B7BA51">
            <w:pPr>
              <w:pStyle w:val="37"/>
              <w:adjustRightInd w:val="0"/>
              <w:rPr>
                <w:color w:val="auto"/>
                <w:highlight w:val="none"/>
              </w:rPr>
            </w:pPr>
            <w:r>
              <w:rPr>
                <w:color w:val="auto"/>
                <w:highlight w:val="none"/>
              </w:rPr>
              <w:t>其他</w:t>
            </w:r>
          </w:p>
        </w:tc>
      </w:tr>
      <w:tr w14:paraId="643CF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Align w:val="center"/>
          </w:tcPr>
          <w:p w14:paraId="61E0EC1E">
            <w:pPr>
              <w:pStyle w:val="37"/>
              <w:adjustRightInd w:val="0"/>
              <w:rPr>
                <w:color w:val="auto"/>
                <w:highlight w:val="none"/>
              </w:rPr>
            </w:pPr>
            <w:r>
              <w:rPr>
                <w:color w:val="auto"/>
                <w:highlight w:val="none"/>
              </w:rPr>
              <w:t>三级A</w:t>
            </w:r>
          </w:p>
        </w:tc>
        <w:tc>
          <w:tcPr>
            <w:tcW w:w="1746" w:type="dxa"/>
            <w:vAlign w:val="center"/>
          </w:tcPr>
          <w:p w14:paraId="0CCF3064">
            <w:pPr>
              <w:pStyle w:val="37"/>
              <w:adjustRightInd w:val="0"/>
              <w:rPr>
                <w:color w:val="auto"/>
                <w:highlight w:val="none"/>
              </w:rPr>
            </w:pPr>
            <w:r>
              <w:rPr>
                <w:color w:val="auto"/>
                <w:highlight w:val="none"/>
              </w:rPr>
              <w:t>直接排放</w:t>
            </w:r>
          </w:p>
        </w:tc>
        <w:tc>
          <w:tcPr>
            <w:tcW w:w="5485" w:type="dxa"/>
            <w:vAlign w:val="center"/>
          </w:tcPr>
          <w:p w14:paraId="0380189D">
            <w:pPr>
              <w:pStyle w:val="37"/>
              <w:adjustRightInd w:val="0"/>
              <w:rPr>
                <w:color w:val="auto"/>
                <w:highlight w:val="none"/>
              </w:rPr>
            </w:pPr>
            <w:r>
              <w:rPr>
                <w:color w:val="auto"/>
                <w:highlight w:val="none"/>
              </w:rPr>
              <w:t>Q＜200且W＜6000</w:t>
            </w:r>
          </w:p>
        </w:tc>
      </w:tr>
      <w:tr w14:paraId="77FF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5" w:type="dxa"/>
            <w:vAlign w:val="center"/>
          </w:tcPr>
          <w:p w14:paraId="1332E61E">
            <w:pPr>
              <w:pStyle w:val="37"/>
              <w:adjustRightInd w:val="0"/>
              <w:rPr>
                <w:color w:val="auto"/>
                <w:highlight w:val="none"/>
              </w:rPr>
            </w:pPr>
            <w:r>
              <w:rPr>
                <w:color w:val="auto"/>
                <w:highlight w:val="none"/>
              </w:rPr>
              <w:t>三级B</w:t>
            </w:r>
          </w:p>
        </w:tc>
        <w:tc>
          <w:tcPr>
            <w:tcW w:w="1746" w:type="dxa"/>
            <w:vAlign w:val="center"/>
          </w:tcPr>
          <w:p w14:paraId="22B2B729">
            <w:pPr>
              <w:pStyle w:val="37"/>
              <w:adjustRightInd w:val="0"/>
              <w:rPr>
                <w:color w:val="auto"/>
                <w:highlight w:val="none"/>
              </w:rPr>
            </w:pPr>
            <w:r>
              <w:rPr>
                <w:color w:val="auto"/>
                <w:highlight w:val="none"/>
              </w:rPr>
              <w:t>间接排放</w:t>
            </w:r>
          </w:p>
        </w:tc>
        <w:tc>
          <w:tcPr>
            <w:tcW w:w="5485" w:type="dxa"/>
            <w:vAlign w:val="center"/>
          </w:tcPr>
          <w:p w14:paraId="3D296474">
            <w:pPr>
              <w:pStyle w:val="37"/>
              <w:adjustRightInd w:val="0"/>
              <w:rPr>
                <w:color w:val="auto"/>
                <w:highlight w:val="none"/>
              </w:rPr>
            </w:pPr>
            <w:r>
              <w:rPr>
                <w:color w:val="auto"/>
                <w:highlight w:val="none"/>
              </w:rPr>
              <w:t>/</w:t>
            </w:r>
          </w:p>
        </w:tc>
      </w:tr>
      <w:tr w14:paraId="75A1D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6" w:type="dxa"/>
            <w:gridSpan w:val="3"/>
            <w:vAlign w:val="center"/>
          </w:tcPr>
          <w:p w14:paraId="236B7489">
            <w:pPr>
              <w:pStyle w:val="37"/>
              <w:adjustRightInd w:val="0"/>
              <w:jc w:val="both"/>
              <w:rPr>
                <w:color w:val="auto"/>
                <w:highlight w:val="none"/>
              </w:rPr>
            </w:pPr>
            <w:r>
              <w:rPr>
                <w:color w:val="auto"/>
                <w:highlight w:val="none"/>
              </w:rPr>
              <w:t>注1：水污染物当量数等于该污染物的年排放量除以该污染物的污染当量值（见附录A），计算排放污染物的污染物当量数，应区分第一类水污染物和其他类水污染物，统计第一类污染物当量数总和，然后与其他类污染物按照污染物当量数从大到小排序，取最大当量数作为建设项目评价等级确定的依据。</w:t>
            </w:r>
          </w:p>
          <w:p w14:paraId="6C6282C2">
            <w:pPr>
              <w:pStyle w:val="37"/>
              <w:adjustRightInd w:val="0"/>
              <w:jc w:val="both"/>
              <w:rPr>
                <w:color w:val="auto"/>
                <w:highlight w:val="none"/>
              </w:rPr>
            </w:pPr>
            <w:r>
              <w:rPr>
                <w:color w:val="auto"/>
                <w:highlight w:val="none"/>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1A3F4843">
            <w:pPr>
              <w:pStyle w:val="37"/>
              <w:adjustRightInd w:val="0"/>
              <w:jc w:val="both"/>
              <w:rPr>
                <w:color w:val="auto"/>
                <w:highlight w:val="none"/>
              </w:rPr>
            </w:pPr>
            <w:r>
              <w:rPr>
                <w:color w:val="auto"/>
                <w:highlight w:val="none"/>
              </w:rPr>
              <w:t>注3：场区存在堆积物（露天堆放的原料、燃料、废渣等以及垃圾堆放场）、降尘污染的，应将初期雨污水纳入废水排放量，相应的主要污染物纳入水污染当量计算。</w:t>
            </w:r>
          </w:p>
          <w:p w14:paraId="08C3E884">
            <w:pPr>
              <w:pStyle w:val="37"/>
              <w:adjustRightInd w:val="0"/>
              <w:jc w:val="both"/>
              <w:rPr>
                <w:color w:val="auto"/>
                <w:highlight w:val="none"/>
              </w:rPr>
            </w:pPr>
            <w:r>
              <w:rPr>
                <w:color w:val="auto"/>
                <w:highlight w:val="none"/>
              </w:rPr>
              <w:t>注4：建设项目直接排放第一类污染物的，其评价等级为一级；建设项目直接排放的污染物为受纳水体超标因子的，评价等级不低于二级。</w:t>
            </w:r>
          </w:p>
          <w:p w14:paraId="5EBBCFF1">
            <w:pPr>
              <w:pStyle w:val="37"/>
              <w:adjustRightInd w:val="0"/>
              <w:jc w:val="both"/>
              <w:rPr>
                <w:color w:val="auto"/>
                <w:highlight w:val="none"/>
              </w:rPr>
            </w:pPr>
            <w:r>
              <w:rPr>
                <w:color w:val="auto"/>
                <w:highlight w:val="none"/>
              </w:rPr>
              <w:t>注5：直接排放受纳水体影响范围涉及饮用水水源保护区、饮用水取水口、重点保护与珍稀水生生物的栖息地、重要水生生物的自然产卵场等保护目标时，评价等级不低于二级。</w:t>
            </w:r>
          </w:p>
          <w:p w14:paraId="66252F09">
            <w:pPr>
              <w:pStyle w:val="37"/>
              <w:adjustRightInd w:val="0"/>
              <w:jc w:val="both"/>
              <w:rPr>
                <w:color w:val="auto"/>
                <w:highlight w:val="none"/>
              </w:rPr>
            </w:pPr>
            <w:r>
              <w:rPr>
                <w:color w:val="auto"/>
                <w:highlight w:val="none"/>
              </w:rPr>
              <w:t>注6：建设项目向河流、湖库排放温排水引起受纳水体水温变化超过水环境质量标准要求，且评价范围有水温敏感目标时，评价等级为一级。</w:t>
            </w:r>
          </w:p>
          <w:p w14:paraId="3B8A47FB">
            <w:pPr>
              <w:pStyle w:val="37"/>
              <w:adjustRightInd w:val="0"/>
              <w:jc w:val="both"/>
              <w:rPr>
                <w:color w:val="auto"/>
                <w:highlight w:val="none"/>
              </w:rPr>
            </w:pPr>
            <w:r>
              <w:rPr>
                <w:color w:val="auto"/>
                <w:highlight w:val="none"/>
              </w:rPr>
              <w:t>注7：建设项目利用海水作为调节温度介质，排水量≥500万m</w:t>
            </w:r>
            <w:r>
              <w:rPr>
                <w:color w:val="auto"/>
                <w:highlight w:val="none"/>
                <w:vertAlign w:val="superscript"/>
              </w:rPr>
              <w:t>3</w:t>
            </w:r>
            <w:r>
              <w:rPr>
                <w:color w:val="auto"/>
                <w:highlight w:val="none"/>
              </w:rPr>
              <w:t>/d，评价等级为一级；排水量＜500万m</w:t>
            </w:r>
            <w:r>
              <w:rPr>
                <w:color w:val="auto"/>
                <w:highlight w:val="none"/>
                <w:vertAlign w:val="superscript"/>
              </w:rPr>
              <w:t>3</w:t>
            </w:r>
            <w:r>
              <w:rPr>
                <w:color w:val="auto"/>
                <w:highlight w:val="none"/>
              </w:rPr>
              <w:t>/d，评价等级为二级。</w:t>
            </w:r>
          </w:p>
          <w:p w14:paraId="42F84E9C">
            <w:pPr>
              <w:pStyle w:val="37"/>
              <w:adjustRightInd w:val="0"/>
              <w:jc w:val="both"/>
              <w:rPr>
                <w:color w:val="auto"/>
                <w:highlight w:val="none"/>
              </w:rPr>
            </w:pPr>
            <w:r>
              <w:rPr>
                <w:color w:val="auto"/>
                <w:highlight w:val="none"/>
              </w:rPr>
              <w:t>注8：仅涉及清净下水排放的，如其排放水质满足受纳水体水环境质量标准要求的，评价等级为三级A</w:t>
            </w:r>
          </w:p>
          <w:p w14:paraId="4AEC9C20">
            <w:pPr>
              <w:pStyle w:val="37"/>
              <w:adjustRightInd w:val="0"/>
              <w:jc w:val="both"/>
              <w:rPr>
                <w:color w:val="auto"/>
                <w:highlight w:val="none"/>
              </w:rPr>
            </w:pPr>
            <w:r>
              <w:rPr>
                <w:color w:val="auto"/>
                <w:highlight w:val="none"/>
              </w:rPr>
              <w:t>注9：依托现有排放口，且对外环境未新增排放污染物的直接排放建设项目，评价等级参照间接排放，定为三级B。</w:t>
            </w:r>
          </w:p>
          <w:p w14:paraId="722E4F37">
            <w:pPr>
              <w:pStyle w:val="37"/>
              <w:adjustRightInd w:val="0"/>
              <w:jc w:val="both"/>
              <w:rPr>
                <w:color w:val="auto"/>
                <w:highlight w:val="none"/>
              </w:rPr>
            </w:pPr>
            <w:r>
              <w:rPr>
                <w:color w:val="auto"/>
                <w:highlight w:val="none"/>
              </w:rPr>
              <w:t>注10：建设项目生产工艺中有废水产生，但作为回水利用，不排放到外环境的，按三级B评价</w:t>
            </w:r>
          </w:p>
        </w:tc>
      </w:tr>
    </w:tbl>
    <w:p w14:paraId="5CDFF596">
      <w:pPr>
        <w:adjustRightInd w:val="0"/>
        <w:ind w:firstLine="480"/>
        <w:rPr>
          <w:rFonts w:cs="Times New Roman"/>
          <w:color w:val="auto"/>
          <w:highlight w:val="none"/>
        </w:rPr>
      </w:pPr>
      <w:r>
        <w:rPr>
          <w:rFonts w:cs="Times New Roman"/>
          <w:color w:val="auto"/>
          <w:highlight w:val="none"/>
        </w:rPr>
        <w:t>本项目废水包括生活污水</w:t>
      </w:r>
      <w:r>
        <w:rPr>
          <w:rFonts w:hint="eastAsia" w:cs="Times New Roman"/>
          <w:color w:val="auto"/>
          <w:highlight w:val="none"/>
        </w:rPr>
        <w:t>（含食堂废水）</w:t>
      </w:r>
      <w:r>
        <w:rPr>
          <w:rFonts w:cs="Times New Roman"/>
          <w:color w:val="auto"/>
          <w:highlight w:val="none"/>
        </w:rPr>
        <w:t>及生产废水，其中生产废水主要为选矿废水、车辆冲洗废水，经本项目设置的一套生产废水处理设施（处理工艺为絮凝+</w:t>
      </w:r>
      <w:r>
        <w:rPr>
          <w:rFonts w:hint="eastAsia" w:cs="Times New Roman"/>
          <w:color w:val="auto"/>
          <w:highlight w:val="none"/>
          <w:lang w:val="en-US" w:eastAsia="zh-CN"/>
        </w:rPr>
        <w:t>三级</w:t>
      </w:r>
      <w:r>
        <w:rPr>
          <w:rFonts w:cs="Times New Roman"/>
          <w:color w:val="auto"/>
          <w:highlight w:val="none"/>
        </w:rPr>
        <w:t>沉淀，设计处理能力为280m</w:t>
      </w:r>
      <w:r>
        <w:rPr>
          <w:rFonts w:cs="Times New Roman"/>
          <w:color w:val="auto"/>
          <w:highlight w:val="none"/>
          <w:vertAlign w:val="superscript"/>
        </w:rPr>
        <w:t>3</w:t>
      </w:r>
      <w:r>
        <w:rPr>
          <w:rFonts w:cs="Times New Roman"/>
          <w:color w:val="auto"/>
          <w:highlight w:val="none"/>
        </w:rPr>
        <w:t>/h</w:t>
      </w:r>
      <w:r>
        <w:rPr>
          <w:rFonts w:hint="eastAsia" w:cs="Times New Roman"/>
          <w:color w:val="auto"/>
          <w:highlight w:val="none"/>
        </w:rPr>
        <w:t>，</w:t>
      </w:r>
      <w:r>
        <w:rPr>
          <w:rFonts w:cs="Times New Roman"/>
          <w:color w:val="auto"/>
          <w:highlight w:val="none"/>
        </w:rPr>
        <w:t>每天运行时间24h）处理后回用于</w:t>
      </w:r>
      <w:r>
        <w:rPr>
          <w:rFonts w:hint="eastAsia" w:cs="Times New Roman"/>
          <w:color w:val="auto"/>
          <w:highlight w:val="none"/>
        </w:rPr>
        <w:t>湿式磨矿、浮选等工序</w:t>
      </w:r>
      <w:r>
        <w:rPr>
          <w:rFonts w:cs="Times New Roman"/>
          <w:color w:val="auto"/>
          <w:highlight w:val="none"/>
        </w:rPr>
        <w:t>，不外排；车辆冲洗废水经</w:t>
      </w:r>
      <w:r>
        <w:rPr>
          <w:rFonts w:hint="eastAsia" w:cs="Times New Roman"/>
          <w:color w:val="auto"/>
          <w:highlight w:val="none"/>
        </w:rPr>
        <w:t>依托的乐山市沙湾区豪沐科技有限公司</w:t>
      </w:r>
      <w:r>
        <w:rPr>
          <w:rFonts w:cs="Times New Roman"/>
          <w:color w:val="auto"/>
          <w:highlight w:val="none"/>
        </w:rPr>
        <w:t>沉淀池处理后回用于洗车，不外排；初期雨水经</w:t>
      </w:r>
      <w:r>
        <w:rPr>
          <w:rFonts w:hint="eastAsia" w:cs="Times New Roman"/>
          <w:color w:val="auto"/>
          <w:highlight w:val="none"/>
        </w:rPr>
        <w:t>依托的乐山市沙湾区豪沐科技有限公司</w:t>
      </w:r>
      <w:r>
        <w:rPr>
          <w:rFonts w:cs="Times New Roman"/>
          <w:color w:val="auto"/>
          <w:highlight w:val="none"/>
        </w:rPr>
        <w:t>初期雨水池沉淀处理后回用于喷雾降尘，不外排。</w:t>
      </w:r>
    </w:p>
    <w:p w14:paraId="16DD64EB">
      <w:pPr>
        <w:adjustRightInd w:val="0"/>
        <w:ind w:firstLine="480"/>
        <w:rPr>
          <w:rFonts w:cs="Times New Roman"/>
          <w:color w:val="auto"/>
          <w:highlight w:val="none"/>
        </w:rPr>
      </w:pPr>
      <w:r>
        <w:rPr>
          <w:rFonts w:cs="Times New Roman"/>
          <w:color w:val="auto"/>
          <w:highlight w:val="none"/>
        </w:rPr>
        <w:t>本项目</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）处理达乐山沙湾经济开发区污水处理厂设计进水水质后依托园区污水管网排入乐山沙湾经济开发区污水处理厂进一步处理。</w:t>
      </w:r>
    </w:p>
    <w:p w14:paraId="467554A7">
      <w:pPr>
        <w:adjustRightInd w:val="0"/>
        <w:ind w:firstLine="480"/>
        <w:rPr>
          <w:rFonts w:cs="Times New Roman"/>
          <w:color w:val="auto"/>
          <w:highlight w:val="none"/>
        </w:rPr>
      </w:pPr>
      <w:r>
        <w:rPr>
          <w:rFonts w:cs="Times New Roman"/>
          <w:color w:val="auto"/>
          <w:highlight w:val="none"/>
        </w:rPr>
        <w:t>综上，根据《环境影响评价技术导则 地表水环境》（HJ2.3-2018）中评价等级确定要求，确定本项目地表水评价等级为</w:t>
      </w:r>
      <w:r>
        <w:rPr>
          <w:rFonts w:cs="Times New Roman"/>
          <w:b/>
          <w:bCs/>
          <w:color w:val="auto"/>
          <w:highlight w:val="none"/>
        </w:rPr>
        <w:t>三级B</w:t>
      </w:r>
      <w:r>
        <w:rPr>
          <w:rFonts w:cs="Times New Roman"/>
          <w:color w:val="auto"/>
          <w:highlight w:val="none"/>
        </w:rPr>
        <w:t>。</w:t>
      </w:r>
    </w:p>
    <w:p w14:paraId="1E3D56DF">
      <w:pPr>
        <w:pStyle w:val="5"/>
        <w:adjustRightInd w:val="0"/>
        <w:rPr>
          <w:rFonts w:cs="Times New Roman"/>
          <w:color w:val="auto"/>
          <w:highlight w:val="none"/>
        </w:rPr>
      </w:pPr>
      <w:r>
        <w:rPr>
          <w:rFonts w:cs="Times New Roman"/>
          <w:color w:val="auto"/>
          <w:highlight w:val="none"/>
        </w:rPr>
        <w:t>评价范围</w:t>
      </w:r>
    </w:p>
    <w:p w14:paraId="323A7870">
      <w:pPr>
        <w:adjustRightInd w:val="0"/>
        <w:ind w:firstLine="480"/>
        <w:rPr>
          <w:rFonts w:cs="Times New Roman"/>
          <w:color w:val="auto"/>
          <w:highlight w:val="none"/>
        </w:rPr>
      </w:pPr>
      <w:r>
        <w:rPr>
          <w:rFonts w:cs="Times New Roman"/>
          <w:color w:val="auto"/>
          <w:highlight w:val="none"/>
        </w:rPr>
        <w:t>根据《环境影响评价技术导则 地表水环境》（HJ 2.3-2018）</w:t>
      </w:r>
      <w:r>
        <w:rPr>
          <w:rFonts w:hint="eastAsia" w:cs="Times New Roman"/>
          <w:color w:val="auto"/>
          <w:highlight w:val="none"/>
        </w:rPr>
        <w:t>“</w:t>
      </w:r>
      <w:r>
        <w:rPr>
          <w:rFonts w:cs="Times New Roman"/>
          <w:color w:val="auto"/>
          <w:highlight w:val="none"/>
        </w:rPr>
        <w:t>建设项目生产工艺中有废水产生，但作为回水利用，不排放到外环境的，按三级B评价</w:t>
      </w:r>
      <w:r>
        <w:rPr>
          <w:rFonts w:hint="eastAsia" w:cs="Times New Roman"/>
          <w:color w:val="auto"/>
          <w:highlight w:val="none"/>
        </w:rPr>
        <w:t>”</w:t>
      </w:r>
      <w:r>
        <w:rPr>
          <w:rFonts w:cs="Times New Roman"/>
          <w:color w:val="auto"/>
          <w:highlight w:val="none"/>
        </w:rPr>
        <w:t>。</w:t>
      </w:r>
    </w:p>
    <w:p w14:paraId="082B28D9">
      <w:pPr>
        <w:adjustRightInd w:val="0"/>
        <w:ind w:firstLine="480"/>
        <w:rPr>
          <w:rFonts w:cs="Times New Roman"/>
          <w:color w:val="auto"/>
          <w:highlight w:val="none"/>
        </w:rPr>
      </w:pPr>
      <w:r>
        <w:rPr>
          <w:rFonts w:cs="Times New Roman"/>
          <w:color w:val="auto"/>
          <w:highlight w:val="none"/>
        </w:rPr>
        <w:t>因此，本次评价重点评价生产废水零排放的可靠性、合理性以及废水资源化利用的可行性及合理性进行分析。</w:t>
      </w:r>
    </w:p>
    <w:p w14:paraId="7ACABD3C">
      <w:pPr>
        <w:pStyle w:val="4"/>
        <w:adjustRightInd w:val="0"/>
        <w:rPr>
          <w:rFonts w:cs="Times New Roman"/>
          <w:color w:val="auto"/>
          <w:highlight w:val="none"/>
        </w:rPr>
      </w:pPr>
      <w:bookmarkStart w:id="62" w:name="_Toc13459"/>
      <w:bookmarkStart w:id="63" w:name="_Toc365381214"/>
      <w:bookmarkStart w:id="64" w:name="_Toc16718"/>
      <w:bookmarkStart w:id="65" w:name="_Toc216"/>
      <w:r>
        <w:rPr>
          <w:rFonts w:cs="Times New Roman"/>
          <w:color w:val="auto"/>
          <w:highlight w:val="none"/>
        </w:rPr>
        <w:t>地下水环境评价工作等级</w:t>
      </w:r>
      <w:bookmarkEnd w:id="62"/>
      <w:bookmarkEnd w:id="63"/>
      <w:bookmarkEnd w:id="64"/>
      <w:bookmarkEnd w:id="65"/>
    </w:p>
    <w:p w14:paraId="4ECA8DAC">
      <w:pPr>
        <w:pStyle w:val="5"/>
        <w:adjustRightInd w:val="0"/>
        <w:rPr>
          <w:rFonts w:cs="Times New Roman"/>
          <w:color w:val="auto"/>
          <w:highlight w:val="none"/>
        </w:rPr>
      </w:pPr>
      <w:r>
        <w:rPr>
          <w:rFonts w:cs="Times New Roman"/>
          <w:color w:val="auto"/>
          <w:highlight w:val="none"/>
        </w:rPr>
        <w:t>评价等级</w:t>
      </w:r>
    </w:p>
    <w:p w14:paraId="4BA9E875">
      <w:pPr>
        <w:adjustRightInd w:val="0"/>
        <w:ind w:firstLine="480"/>
        <w:rPr>
          <w:rFonts w:cs="Times New Roman"/>
          <w:color w:val="auto"/>
          <w:highlight w:val="none"/>
        </w:rPr>
      </w:pPr>
      <w:r>
        <w:rPr>
          <w:rFonts w:cs="Times New Roman"/>
          <w:color w:val="auto"/>
          <w:highlight w:val="none"/>
        </w:rPr>
        <w:t>根据《环境影响评价技术导则 地下水环境》（HJ610-2016）中项目类别和地下水环境敏感程度确定评价工作等级</w:t>
      </w:r>
      <w:r>
        <w:rPr>
          <w:rFonts w:hint="eastAsia"/>
          <w:color w:val="auto"/>
          <w:highlight w:val="none"/>
        </w:rPr>
        <w:t>。</w:t>
      </w:r>
    </w:p>
    <w:p w14:paraId="5047BCB3">
      <w:pPr>
        <w:adjustRightInd w:val="0"/>
        <w:ind w:firstLine="482"/>
        <w:rPr>
          <w:rFonts w:cs="Times New Roman"/>
          <w:b/>
          <w:bCs/>
          <w:color w:val="auto"/>
          <w:highlight w:val="none"/>
        </w:rPr>
      </w:pPr>
      <w:r>
        <w:rPr>
          <w:rFonts w:cs="Times New Roman"/>
          <w:b/>
          <w:bCs/>
          <w:color w:val="auto"/>
          <w:highlight w:val="none"/>
        </w:rPr>
        <w:t>一、项目类别</w:t>
      </w:r>
    </w:p>
    <w:p w14:paraId="6B1F03F4">
      <w:pPr>
        <w:adjustRightInd w:val="0"/>
        <w:ind w:firstLine="480"/>
        <w:rPr>
          <w:rFonts w:cs="Times New Roman"/>
          <w:color w:val="auto"/>
          <w:highlight w:val="none"/>
        </w:rPr>
      </w:pPr>
      <w:r>
        <w:rPr>
          <w:rFonts w:cs="Times New Roman"/>
          <w:color w:val="auto"/>
          <w:highlight w:val="none"/>
        </w:rPr>
        <w:t>根据建设项目对地下水环境影响程度，结合《建设项目环境影响评价分类管理名录》，将建设项目分为四类，其中I类、Ⅱ类及Ⅲ类建设项目的地下水环境影响评价应执行本标准，Ⅳ类建设项目不开展地下水环境影响评价，分类详见《环境影响评价技术导则 地下水环境》（HJ610-2016）附录A（以下简称附录A）。</w:t>
      </w:r>
    </w:p>
    <w:p w14:paraId="1FE79B2F">
      <w:pPr>
        <w:adjustRightInd w:val="0"/>
        <w:ind w:firstLine="480"/>
        <w:rPr>
          <w:rFonts w:cs="Times New Roman"/>
          <w:color w:val="auto"/>
          <w:highlight w:val="none"/>
        </w:rPr>
      </w:pPr>
      <w:r>
        <w:rPr>
          <w:rFonts w:cs="Times New Roman"/>
          <w:color w:val="auto"/>
          <w:highlight w:val="none"/>
        </w:rPr>
        <w:t>本项目所属地下水环境影响类别见下表。</w:t>
      </w:r>
    </w:p>
    <w:p w14:paraId="13391126">
      <w:pPr>
        <w:pStyle w:val="12"/>
        <w:adjustRightInd w:val="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49</w:t>
      </w:r>
      <w:r>
        <w:rPr>
          <w:rFonts w:cs="Times New Roman"/>
          <w:color w:val="auto"/>
          <w:highlight w:val="none"/>
        </w:rPr>
        <w:fldChar w:fldCharType="end"/>
      </w:r>
      <w:r>
        <w:rPr>
          <w:rFonts w:cs="Times New Roman"/>
          <w:bCs/>
          <w:color w:val="auto"/>
          <w:kern w:val="21"/>
          <w:szCs w:val="21"/>
          <w:highlight w:val="none"/>
        </w:rPr>
        <w:t>附录A（规范附录）地下水环境影响评价行业分类表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9"/>
        <w:gridCol w:w="934"/>
        <w:gridCol w:w="934"/>
        <w:gridCol w:w="2060"/>
        <w:gridCol w:w="2060"/>
      </w:tblGrid>
      <w:tr w14:paraId="618C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 w:hRule="atLeast"/>
          <w:jc w:val="center"/>
        </w:trPr>
        <w:tc>
          <w:tcPr>
            <w:tcW w:w="1484" w:type="pct"/>
            <w:vMerge w:val="restart"/>
            <w:tcBorders>
              <w:tl2br w:val="single" w:color="auto" w:sz="4" w:space="0"/>
            </w:tcBorders>
            <w:vAlign w:val="center"/>
          </w:tcPr>
          <w:p w14:paraId="0F53A5B1">
            <w:pPr>
              <w:overflowPunct w:val="0"/>
              <w:adjustRightInd w:val="0"/>
              <w:spacing w:before="65" w:beforeLines="20" w:after="65" w:afterLines="20" w:line="240" w:lineRule="auto"/>
              <w:ind w:firstLine="0" w:firstLineChars="0"/>
              <w:jc w:val="right"/>
              <w:rPr>
                <w:rFonts w:cs="Times New Roman"/>
                <w:b/>
                <w:bCs/>
                <w:color w:val="auto"/>
                <w:kern w:val="21"/>
                <w:sz w:val="21"/>
                <w:highlight w:val="none"/>
              </w:rPr>
            </w:pPr>
            <w:r>
              <w:rPr>
                <w:rFonts w:cs="Times New Roman"/>
                <w:b/>
                <w:bCs/>
                <w:color w:val="auto"/>
                <w:kern w:val="21"/>
                <w:sz w:val="21"/>
                <w:highlight w:val="none"/>
              </w:rPr>
              <w:t xml:space="preserve">       环评类别</w:t>
            </w:r>
          </w:p>
          <w:p w14:paraId="17082456">
            <w:pPr>
              <w:overflowPunct w:val="0"/>
              <w:adjustRightInd w:val="0"/>
              <w:spacing w:before="65" w:beforeLines="20" w:after="65"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行业类别</w:t>
            </w:r>
          </w:p>
        </w:tc>
        <w:tc>
          <w:tcPr>
            <w:tcW w:w="548" w:type="pct"/>
            <w:vMerge w:val="restart"/>
            <w:vAlign w:val="center"/>
          </w:tcPr>
          <w:p w14:paraId="2E66B117">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报告书</w:t>
            </w:r>
          </w:p>
        </w:tc>
        <w:tc>
          <w:tcPr>
            <w:tcW w:w="548" w:type="pct"/>
            <w:vMerge w:val="restart"/>
            <w:vAlign w:val="center"/>
          </w:tcPr>
          <w:p w14:paraId="34A47B86">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报告表</w:t>
            </w:r>
          </w:p>
        </w:tc>
        <w:tc>
          <w:tcPr>
            <w:tcW w:w="2418" w:type="pct"/>
            <w:gridSpan w:val="2"/>
            <w:vAlign w:val="center"/>
          </w:tcPr>
          <w:p w14:paraId="2523980D">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地下水环境影响评价项目类别</w:t>
            </w:r>
          </w:p>
        </w:tc>
      </w:tr>
      <w:tr w14:paraId="123E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4" w:type="pct"/>
            <w:vMerge w:val="continue"/>
            <w:vAlign w:val="center"/>
          </w:tcPr>
          <w:p w14:paraId="773D3947">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p>
        </w:tc>
        <w:tc>
          <w:tcPr>
            <w:tcW w:w="548" w:type="pct"/>
            <w:vMerge w:val="continue"/>
            <w:vAlign w:val="center"/>
          </w:tcPr>
          <w:p w14:paraId="02CB5866">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p>
        </w:tc>
        <w:tc>
          <w:tcPr>
            <w:tcW w:w="548" w:type="pct"/>
            <w:vMerge w:val="continue"/>
            <w:vAlign w:val="center"/>
          </w:tcPr>
          <w:p w14:paraId="4E0B016B">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p>
        </w:tc>
        <w:tc>
          <w:tcPr>
            <w:tcW w:w="1209" w:type="pct"/>
            <w:vAlign w:val="center"/>
          </w:tcPr>
          <w:p w14:paraId="174240D7">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报告书</w:t>
            </w:r>
          </w:p>
        </w:tc>
        <w:tc>
          <w:tcPr>
            <w:tcW w:w="1209" w:type="pct"/>
            <w:vAlign w:val="center"/>
          </w:tcPr>
          <w:p w14:paraId="63BE2FDA">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报告表</w:t>
            </w:r>
          </w:p>
        </w:tc>
      </w:tr>
      <w:tr w14:paraId="3BEBC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4" w:type="pct"/>
            <w:vAlign w:val="center"/>
          </w:tcPr>
          <w:p w14:paraId="072A59A2">
            <w:pPr>
              <w:numPr>
                <w:ilvl w:val="0"/>
                <w:numId w:val="9"/>
              </w:num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有色金属</w:t>
            </w:r>
          </w:p>
          <w:p w14:paraId="7EBD5911">
            <w:p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47、采选（含单独尾矿库）</w:t>
            </w:r>
          </w:p>
        </w:tc>
        <w:tc>
          <w:tcPr>
            <w:tcW w:w="548" w:type="pct"/>
            <w:vAlign w:val="center"/>
          </w:tcPr>
          <w:p w14:paraId="410ECA60">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全部</w:t>
            </w:r>
          </w:p>
        </w:tc>
        <w:tc>
          <w:tcPr>
            <w:tcW w:w="548" w:type="pct"/>
            <w:vAlign w:val="center"/>
          </w:tcPr>
          <w:p w14:paraId="6F769F9C">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w:t>
            </w:r>
          </w:p>
        </w:tc>
        <w:tc>
          <w:tcPr>
            <w:tcW w:w="1209" w:type="pct"/>
            <w:vAlign w:val="center"/>
          </w:tcPr>
          <w:p w14:paraId="34D6229A">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排土场、尾矿库</w:t>
            </w:r>
            <w:r>
              <w:rPr>
                <w:rFonts w:cs="Times New Roman"/>
                <w:color w:val="auto"/>
                <w:kern w:val="21"/>
                <w:sz w:val="21"/>
                <w:highlight w:val="none"/>
              </w:rPr>
              <w:t>I类，</w:t>
            </w:r>
            <w:r>
              <w:rPr>
                <w:rFonts w:cs="Times New Roman"/>
                <w:b/>
                <w:bCs/>
                <w:color w:val="auto"/>
                <w:kern w:val="21"/>
                <w:sz w:val="21"/>
                <w:highlight w:val="none"/>
              </w:rPr>
              <w:t>选矿厂Ⅱ类</w:t>
            </w:r>
            <w:r>
              <w:rPr>
                <w:rFonts w:cs="Times New Roman"/>
                <w:color w:val="auto"/>
                <w:kern w:val="21"/>
                <w:sz w:val="21"/>
                <w:highlight w:val="none"/>
              </w:rPr>
              <w:t>，其余Ⅳ类</w:t>
            </w:r>
          </w:p>
        </w:tc>
        <w:tc>
          <w:tcPr>
            <w:tcW w:w="1209" w:type="pct"/>
            <w:vAlign w:val="center"/>
          </w:tcPr>
          <w:p w14:paraId="15FA3C66">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w:t>
            </w:r>
          </w:p>
        </w:tc>
      </w:tr>
    </w:tbl>
    <w:p w14:paraId="607E6F4F">
      <w:pPr>
        <w:adjustRightInd w:val="0"/>
        <w:ind w:firstLine="480"/>
        <w:rPr>
          <w:rFonts w:cs="Times New Roman"/>
          <w:color w:val="auto"/>
          <w:highlight w:val="none"/>
        </w:rPr>
      </w:pPr>
      <w:r>
        <w:rPr>
          <w:rFonts w:cs="Times New Roman"/>
          <w:color w:val="auto"/>
          <w:highlight w:val="none"/>
        </w:rPr>
        <w:t>由上表可知，本项目为Ⅱ类项目。</w:t>
      </w:r>
    </w:p>
    <w:p w14:paraId="6D810BB4">
      <w:pPr>
        <w:adjustRightInd w:val="0"/>
        <w:ind w:firstLine="482"/>
        <w:rPr>
          <w:rFonts w:cs="Times New Roman"/>
          <w:b/>
          <w:bCs/>
          <w:color w:val="auto"/>
          <w:highlight w:val="none"/>
        </w:rPr>
      </w:pPr>
      <w:r>
        <w:rPr>
          <w:rFonts w:cs="Times New Roman"/>
          <w:b/>
          <w:bCs/>
          <w:color w:val="auto"/>
          <w:highlight w:val="none"/>
        </w:rPr>
        <w:t>二、地下水环境敏感程度</w:t>
      </w:r>
    </w:p>
    <w:p w14:paraId="0AAAE8B6">
      <w:pPr>
        <w:adjustRightInd w:val="0"/>
        <w:ind w:firstLine="480"/>
        <w:rPr>
          <w:rFonts w:cs="Times New Roman"/>
          <w:color w:val="auto"/>
          <w:highlight w:val="none"/>
        </w:rPr>
      </w:pPr>
      <w:r>
        <w:rPr>
          <w:rFonts w:cs="Times New Roman"/>
          <w:color w:val="auto"/>
          <w:highlight w:val="none"/>
        </w:rPr>
        <w:t>建设项目地下水环境影响评价等级划分应根据建设项目行业分类和地下水环境敏感程度进行判定。</w:t>
      </w:r>
    </w:p>
    <w:p w14:paraId="59AE4C62">
      <w:pPr>
        <w:pStyle w:val="12"/>
        <w:adjustRightInd w:val="0"/>
        <w:rPr>
          <w:rFonts w:cs="Times New Roman"/>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50</w:t>
      </w:r>
      <w:r>
        <w:rPr>
          <w:rFonts w:cs="Times New Roman"/>
          <w:color w:val="auto"/>
          <w:highlight w:val="none"/>
        </w:rPr>
        <w:fldChar w:fldCharType="end"/>
      </w:r>
      <w:r>
        <w:rPr>
          <w:rFonts w:cs="Times New Roman"/>
          <w:color w:val="auto"/>
          <w:kern w:val="21"/>
          <w:szCs w:val="21"/>
          <w:highlight w:val="none"/>
        </w:rPr>
        <w:t>地下水环境敏感程度分级表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1"/>
        <w:gridCol w:w="4438"/>
        <w:gridCol w:w="2853"/>
      </w:tblGrid>
      <w:tr w14:paraId="6D752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22" w:type="pct"/>
            <w:vAlign w:val="center"/>
          </w:tcPr>
          <w:p w14:paraId="0EB52345">
            <w:pPr>
              <w:adjustRightInd w:val="0"/>
              <w:spacing w:before="65" w:beforeLines="20" w:after="65" w:afterLines="20" w:line="240" w:lineRule="auto"/>
              <w:ind w:firstLine="0" w:firstLineChars="0"/>
              <w:jc w:val="center"/>
              <w:rPr>
                <w:rFonts w:cs="Times New Roman"/>
                <w:b/>
                <w:bCs/>
                <w:color w:val="auto"/>
                <w:sz w:val="21"/>
                <w:highlight w:val="none"/>
              </w:rPr>
            </w:pPr>
            <w:r>
              <w:rPr>
                <w:rFonts w:cs="Times New Roman"/>
                <w:b/>
                <w:bCs/>
                <w:color w:val="auto"/>
                <w:sz w:val="21"/>
                <w:highlight w:val="none"/>
              </w:rPr>
              <w:t>分级</w:t>
            </w:r>
          </w:p>
        </w:tc>
        <w:tc>
          <w:tcPr>
            <w:tcW w:w="2604" w:type="pct"/>
            <w:vAlign w:val="center"/>
          </w:tcPr>
          <w:p w14:paraId="5616D579">
            <w:pPr>
              <w:adjustRightInd w:val="0"/>
              <w:spacing w:before="65" w:beforeLines="20" w:after="65" w:afterLines="20" w:line="240" w:lineRule="auto"/>
              <w:ind w:firstLine="0" w:firstLineChars="0"/>
              <w:jc w:val="center"/>
              <w:rPr>
                <w:rFonts w:cs="Times New Roman"/>
                <w:b/>
                <w:bCs/>
                <w:color w:val="auto"/>
                <w:sz w:val="21"/>
                <w:highlight w:val="none"/>
              </w:rPr>
            </w:pPr>
            <w:r>
              <w:rPr>
                <w:rFonts w:cs="Times New Roman"/>
                <w:b/>
                <w:bCs/>
                <w:color w:val="auto"/>
                <w:sz w:val="21"/>
                <w:highlight w:val="none"/>
              </w:rPr>
              <w:t>项目场地的地下水环境敏感特征</w:t>
            </w:r>
          </w:p>
        </w:tc>
        <w:tc>
          <w:tcPr>
            <w:tcW w:w="1672" w:type="pct"/>
            <w:vAlign w:val="center"/>
          </w:tcPr>
          <w:p w14:paraId="450860C4">
            <w:pPr>
              <w:adjustRightInd w:val="0"/>
              <w:spacing w:before="65" w:beforeLines="20" w:after="65" w:afterLines="20" w:line="240" w:lineRule="auto"/>
              <w:ind w:firstLine="0" w:firstLineChars="0"/>
              <w:jc w:val="center"/>
              <w:rPr>
                <w:rFonts w:cs="Times New Roman"/>
                <w:b/>
                <w:bCs/>
                <w:color w:val="auto"/>
                <w:sz w:val="21"/>
                <w:highlight w:val="none"/>
              </w:rPr>
            </w:pPr>
            <w:r>
              <w:rPr>
                <w:rFonts w:cs="Times New Roman"/>
                <w:b/>
                <w:bCs/>
                <w:color w:val="auto"/>
                <w:sz w:val="21"/>
                <w:highlight w:val="none"/>
              </w:rPr>
              <w:t>本项目</w:t>
            </w:r>
          </w:p>
        </w:tc>
      </w:tr>
      <w:tr w14:paraId="1E50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2" w:type="pct"/>
            <w:vAlign w:val="center"/>
          </w:tcPr>
          <w:p w14:paraId="42AFF140">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敏感</w:t>
            </w:r>
          </w:p>
        </w:tc>
        <w:tc>
          <w:tcPr>
            <w:tcW w:w="2604" w:type="pct"/>
            <w:vAlign w:val="center"/>
          </w:tcPr>
          <w:p w14:paraId="72C7067A">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集中式饮用水源地（包括已建成的在用、备用、应急水源地，在建和规划的水源地）准保护区；除集中式饮用水源地以外的国家或地方政府设定的与地下水环境相关的其他保护区，如热水、矿泉水、温泉等特殊地下水资源保护区。</w:t>
            </w:r>
          </w:p>
        </w:tc>
        <w:tc>
          <w:tcPr>
            <w:tcW w:w="1672" w:type="pct"/>
            <w:vMerge w:val="restart"/>
            <w:vAlign w:val="center"/>
          </w:tcPr>
          <w:p w14:paraId="58507B8B">
            <w:pPr>
              <w:adjustRightInd w:val="0"/>
              <w:spacing w:before="65" w:beforeLines="20" w:after="65" w:afterLines="20" w:line="240" w:lineRule="auto"/>
              <w:ind w:firstLine="0" w:firstLineChars="0"/>
              <w:jc w:val="center"/>
              <w:rPr>
                <w:rFonts w:cs="Times New Roman"/>
                <w:color w:val="auto"/>
                <w:sz w:val="21"/>
                <w:highlight w:val="none"/>
              </w:rPr>
            </w:pPr>
          </w:p>
          <w:p w14:paraId="22A05BD7">
            <w:pPr>
              <w:adjustRightInd w:val="0"/>
              <w:spacing w:before="65" w:beforeLines="20" w:after="65" w:afterLines="20" w:line="240" w:lineRule="auto"/>
              <w:ind w:firstLine="0" w:firstLineChars="0"/>
              <w:jc w:val="center"/>
              <w:rPr>
                <w:rFonts w:cs="Times New Roman"/>
                <w:b/>
                <w:bCs/>
                <w:color w:val="auto"/>
                <w:sz w:val="21"/>
                <w:highlight w:val="none"/>
              </w:rPr>
            </w:pPr>
            <w:r>
              <w:rPr>
                <w:rFonts w:hint="eastAsia" w:cs="Times New Roman"/>
                <w:b/>
                <w:bCs/>
                <w:color w:val="auto"/>
                <w:sz w:val="21"/>
                <w:highlight w:val="none"/>
              </w:rPr>
              <w:t>本项目地下水评价范围内涉及</w:t>
            </w:r>
            <w:r>
              <w:rPr>
                <w:rFonts w:cs="Times New Roman"/>
                <w:b/>
                <w:bCs/>
                <w:color w:val="auto"/>
                <w:sz w:val="21"/>
                <w:highlight w:val="none"/>
              </w:rPr>
              <w:t>分散</w:t>
            </w:r>
            <w:r>
              <w:rPr>
                <w:rFonts w:hint="eastAsia" w:cs="Times New Roman"/>
                <w:b/>
                <w:bCs/>
                <w:color w:val="auto"/>
                <w:sz w:val="21"/>
                <w:highlight w:val="none"/>
              </w:rPr>
              <w:t>式</w:t>
            </w:r>
            <w:r>
              <w:rPr>
                <w:rFonts w:cs="Times New Roman"/>
                <w:b/>
                <w:bCs/>
                <w:color w:val="auto"/>
                <w:sz w:val="21"/>
                <w:highlight w:val="none"/>
              </w:rPr>
              <w:t>居民饮用水源</w:t>
            </w:r>
            <w:r>
              <w:rPr>
                <w:rFonts w:hint="eastAsia" w:cs="Times New Roman"/>
                <w:b/>
                <w:bCs/>
                <w:color w:val="auto"/>
                <w:sz w:val="21"/>
                <w:highlight w:val="none"/>
              </w:rPr>
              <w:t>地，不涉及</w:t>
            </w:r>
            <w:r>
              <w:rPr>
                <w:rFonts w:cs="Times New Roman"/>
                <w:b/>
                <w:bCs/>
                <w:color w:val="auto"/>
                <w:sz w:val="21"/>
                <w:highlight w:val="none"/>
              </w:rPr>
              <w:t>集中式饮用水源地</w:t>
            </w:r>
            <w:r>
              <w:rPr>
                <w:rFonts w:hint="eastAsia" w:cs="Times New Roman"/>
                <w:b/>
                <w:bCs/>
                <w:color w:val="auto"/>
                <w:sz w:val="21"/>
                <w:highlight w:val="none"/>
              </w:rPr>
              <w:t>。</w:t>
            </w:r>
          </w:p>
          <w:p w14:paraId="7CF0007F">
            <w:pPr>
              <w:adjustRightInd w:val="0"/>
              <w:spacing w:before="65" w:beforeLines="20" w:after="65" w:afterLines="20" w:line="240" w:lineRule="auto"/>
              <w:ind w:firstLine="0" w:firstLineChars="0"/>
              <w:jc w:val="center"/>
              <w:rPr>
                <w:rFonts w:cs="Times New Roman"/>
                <w:color w:val="auto"/>
                <w:sz w:val="21"/>
                <w:highlight w:val="none"/>
              </w:rPr>
            </w:pPr>
            <w:r>
              <w:rPr>
                <w:rFonts w:hint="eastAsia" w:cs="Times New Roman"/>
                <w:color w:val="auto"/>
                <w:sz w:val="21"/>
                <w:highlight w:val="none"/>
              </w:rPr>
              <w:t>需要说明的是：</w:t>
            </w:r>
            <w:r>
              <w:rPr>
                <w:rFonts w:cs="Times New Roman"/>
                <w:color w:val="auto"/>
                <w:sz w:val="21"/>
                <w:highlight w:val="none"/>
              </w:rPr>
              <w:t>项目场地东南侧约18</w:t>
            </w:r>
            <w:r>
              <w:rPr>
                <w:rFonts w:hint="eastAsia" w:cs="Times New Roman"/>
                <w:color w:val="auto"/>
                <w:sz w:val="21"/>
                <w:highlight w:val="none"/>
              </w:rPr>
              <w:t>15</w:t>
            </w:r>
            <w:r>
              <w:rPr>
                <w:rFonts w:cs="Times New Roman"/>
                <w:color w:val="auto"/>
                <w:sz w:val="21"/>
                <w:highlight w:val="none"/>
              </w:rPr>
              <w:t>m为乐山市大渡河安谷电站库区集中式饮用水水源保护区取水口</w:t>
            </w:r>
            <w:r>
              <w:rPr>
                <w:rFonts w:hint="eastAsia" w:cs="Times New Roman"/>
                <w:color w:val="auto"/>
                <w:sz w:val="21"/>
                <w:highlight w:val="none"/>
              </w:rPr>
              <w:t>，</w:t>
            </w:r>
            <w:r>
              <w:rPr>
                <w:rFonts w:cs="Times New Roman"/>
                <w:color w:val="auto"/>
                <w:sz w:val="21"/>
                <w:highlight w:val="none"/>
              </w:rPr>
              <w:t>取水口</w:t>
            </w:r>
            <w:r>
              <w:rPr>
                <w:rFonts w:hint="eastAsia" w:cs="Times New Roman"/>
                <w:color w:val="auto"/>
                <w:sz w:val="21"/>
                <w:highlight w:val="none"/>
              </w:rPr>
              <w:t>位于</w:t>
            </w:r>
            <w:r>
              <w:rPr>
                <w:rFonts w:cs="Times New Roman"/>
                <w:color w:val="auto"/>
                <w:sz w:val="21"/>
                <w:highlight w:val="none"/>
              </w:rPr>
              <w:t>安谷电站</w:t>
            </w:r>
            <w:r>
              <w:rPr>
                <w:rFonts w:hint="eastAsia" w:cs="Times New Roman"/>
                <w:color w:val="auto"/>
                <w:sz w:val="21"/>
                <w:highlight w:val="none"/>
              </w:rPr>
              <w:t>大坝内。本项目与</w:t>
            </w:r>
            <w:r>
              <w:rPr>
                <w:rFonts w:cs="Times New Roman"/>
                <w:color w:val="auto"/>
                <w:sz w:val="21"/>
                <w:highlight w:val="none"/>
              </w:rPr>
              <w:t>集中式饮用水水源保护区</w:t>
            </w:r>
            <w:r>
              <w:rPr>
                <w:rFonts w:hint="eastAsia" w:cs="Times New Roman"/>
                <w:color w:val="auto"/>
                <w:sz w:val="21"/>
                <w:highlight w:val="none"/>
              </w:rPr>
              <w:t>中间隔有大渡河生态河。项目所在水位和</w:t>
            </w:r>
            <w:r>
              <w:rPr>
                <w:rFonts w:cs="Times New Roman"/>
                <w:color w:val="auto"/>
                <w:sz w:val="21"/>
                <w:highlight w:val="none"/>
              </w:rPr>
              <w:t>安谷电站库区</w:t>
            </w:r>
            <w:r>
              <w:rPr>
                <w:rFonts w:hint="eastAsia" w:cs="Times New Roman"/>
                <w:color w:val="auto"/>
                <w:sz w:val="21"/>
                <w:highlight w:val="none"/>
              </w:rPr>
              <w:t>水位均高于大渡河生态河水位，即本项目位于大渡河生态河的</w:t>
            </w:r>
            <w:r>
              <w:rPr>
                <w:rFonts w:cs="Times New Roman"/>
                <w:color w:val="auto"/>
                <w:sz w:val="21"/>
                <w:highlight w:val="none"/>
              </w:rPr>
              <w:t>补给径流区</w:t>
            </w:r>
            <w:r>
              <w:rPr>
                <w:rFonts w:hint="eastAsia" w:cs="Times New Roman"/>
                <w:color w:val="auto"/>
                <w:sz w:val="21"/>
                <w:highlight w:val="none"/>
              </w:rPr>
              <w:t>，不在</w:t>
            </w:r>
            <w:r>
              <w:rPr>
                <w:rFonts w:cs="Times New Roman"/>
                <w:color w:val="auto"/>
                <w:sz w:val="21"/>
                <w:highlight w:val="none"/>
              </w:rPr>
              <w:t>乐山市大渡河安谷电站库区集中式饮用水水源保护区</w:t>
            </w:r>
            <w:r>
              <w:rPr>
                <w:rFonts w:hint="eastAsia" w:cs="Times New Roman"/>
                <w:color w:val="auto"/>
                <w:sz w:val="21"/>
                <w:highlight w:val="none"/>
              </w:rPr>
              <w:t>的</w:t>
            </w:r>
            <w:r>
              <w:rPr>
                <w:rFonts w:cs="Times New Roman"/>
                <w:color w:val="auto"/>
                <w:sz w:val="21"/>
                <w:highlight w:val="none"/>
              </w:rPr>
              <w:t>准保护区</w:t>
            </w:r>
            <w:r>
              <w:rPr>
                <w:rFonts w:hint="eastAsia" w:cs="Times New Roman"/>
                <w:color w:val="auto"/>
                <w:sz w:val="21"/>
                <w:highlight w:val="none"/>
              </w:rPr>
              <w:t>或</w:t>
            </w:r>
            <w:r>
              <w:rPr>
                <w:rFonts w:cs="Times New Roman"/>
                <w:color w:val="auto"/>
                <w:sz w:val="21"/>
                <w:highlight w:val="none"/>
              </w:rPr>
              <w:t>补给径流区</w:t>
            </w:r>
            <w:r>
              <w:rPr>
                <w:rFonts w:hint="eastAsia" w:cs="Times New Roman"/>
                <w:color w:val="auto"/>
                <w:sz w:val="21"/>
                <w:highlight w:val="none"/>
              </w:rPr>
              <w:t>内。不涉及</w:t>
            </w:r>
            <w:r>
              <w:rPr>
                <w:rFonts w:cs="Times New Roman"/>
                <w:color w:val="auto"/>
                <w:sz w:val="21"/>
                <w:highlight w:val="none"/>
              </w:rPr>
              <w:t>大渡河安谷电站库区集中式饮用水水源保护区</w:t>
            </w:r>
            <w:r>
              <w:rPr>
                <w:rFonts w:hint="eastAsia" w:cs="Times New Roman"/>
                <w:color w:val="auto"/>
                <w:sz w:val="21"/>
                <w:highlight w:val="none"/>
              </w:rPr>
              <w:t>。</w:t>
            </w:r>
          </w:p>
        </w:tc>
      </w:tr>
      <w:tr w14:paraId="44AD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vAlign w:val="center"/>
          </w:tcPr>
          <w:p w14:paraId="0025FA4E">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较敏感</w:t>
            </w:r>
          </w:p>
        </w:tc>
        <w:tc>
          <w:tcPr>
            <w:tcW w:w="2604" w:type="pct"/>
            <w:vAlign w:val="center"/>
          </w:tcPr>
          <w:p w14:paraId="4C002866">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集中式饮用水源地（包括已建成的在用、备用、应急水源地，在建和规划的水源地）准保护区以外的补给径流区；特殊地下水资源（如矿泉水、温泉等）保护区以外的分布区以及</w:t>
            </w:r>
            <w:r>
              <w:rPr>
                <w:rFonts w:cs="Times New Roman"/>
                <w:b/>
                <w:bCs/>
                <w:color w:val="auto"/>
                <w:sz w:val="21"/>
                <w:highlight w:val="none"/>
                <w:u w:val="single"/>
              </w:rPr>
              <w:t>分散居民饮用水源</w:t>
            </w:r>
            <w:r>
              <w:rPr>
                <w:rFonts w:cs="Times New Roman"/>
                <w:color w:val="auto"/>
                <w:sz w:val="21"/>
                <w:highlight w:val="none"/>
              </w:rPr>
              <w:t>等其他未列入上述敏感分级的环境敏感区。</w:t>
            </w:r>
          </w:p>
        </w:tc>
        <w:tc>
          <w:tcPr>
            <w:tcW w:w="1672" w:type="pct"/>
            <w:vMerge w:val="continue"/>
            <w:vAlign w:val="center"/>
          </w:tcPr>
          <w:p w14:paraId="3D1AB563">
            <w:pPr>
              <w:adjustRightInd w:val="0"/>
              <w:spacing w:before="65" w:beforeLines="20" w:after="65" w:afterLines="20" w:line="240" w:lineRule="auto"/>
              <w:ind w:firstLine="0" w:firstLineChars="0"/>
              <w:jc w:val="center"/>
              <w:rPr>
                <w:rFonts w:cs="Times New Roman"/>
                <w:color w:val="auto"/>
                <w:sz w:val="21"/>
                <w:highlight w:val="none"/>
              </w:rPr>
            </w:pPr>
          </w:p>
        </w:tc>
      </w:tr>
      <w:tr w14:paraId="61C07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2" w:type="pct"/>
            <w:vAlign w:val="center"/>
          </w:tcPr>
          <w:p w14:paraId="4A749B89">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不敏感</w:t>
            </w:r>
          </w:p>
        </w:tc>
        <w:tc>
          <w:tcPr>
            <w:tcW w:w="2604" w:type="pct"/>
            <w:vAlign w:val="center"/>
          </w:tcPr>
          <w:p w14:paraId="767FC177">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上述地区之外的其他地区</w:t>
            </w:r>
          </w:p>
        </w:tc>
        <w:tc>
          <w:tcPr>
            <w:tcW w:w="1672" w:type="pct"/>
            <w:vMerge w:val="continue"/>
            <w:vAlign w:val="center"/>
          </w:tcPr>
          <w:p w14:paraId="1E2DE53F">
            <w:pPr>
              <w:adjustRightInd w:val="0"/>
              <w:spacing w:before="65" w:beforeLines="20" w:after="65" w:afterLines="20" w:line="240" w:lineRule="auto"/>
              <w:ind w:firstLine="0" w:firstLineChars="0"/>
              <w:jc w:val="center"/>
              <w:rPr>
                <w:rFonts w:cs="Times New Roman"/>
                <w:color w:val="auto"/>
                <w:sz w:val="21"/>
                <w:highlight w:val="none"/>
              </w:rPr>
            </w:pPr>
          </w:p>
        </w:tc>
      </w:tr>
      <w:tr w14:paraId="01C5F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3"/>
            <w:vAlign w:val="center"/>
          </w:tcPr>
          <w:p w14:paraId="2F4EEC24">
            <w:pPr>
              <w:adjustRightInd w:val="0"/>
              <w:spacing w:before="65" w:beforeLines="20" w:after="65" w:afterLines="20" w:line="240" w:lineRule="auto"/>
              <w:ind w:firstLine="0" w:firstLineChars="0"/>
              <w:jc w:val="center"/>
              <w:rPr>
                <w:rFonts w:cs="Times New Roman"/>
                <w:color w:val="auto"/>
                <w:sz w:val="21"/>
                <w:highlight w:val="none"/>
              </w:rPr>
            </w:pPr>
            <w:r>
              <w:rPr>
                <w:rFonts w:cs="Times New Roman"/>
                <w:color w:val="auto"/>
                <w:sz w:val="21"/>
                <w:highlight w:val="none"/>
              </w:rPr>
              <w:t>注：</w:t>
            </w:r>
            <w:r>
              <w:rPr>
                <w:rFonts w:hint="eastAsia" w:cs="Times New Roman"/>
                <w:color w:val="auto"/>
                <w:sz w:val="21"/>
                <w:highlight w:val="none"/>
              </w:rPr>
              <w:t>“</w:t>
            </w:r>
            <w:r>
              <w:rPr>
                <w:rFonts w:cs="Times New Roman"/>
                <w:color w:val="auto"/>
                <w:sz w:val="21"/>
                <w:highlight w:val="none"/>
              </w:rPr>
              <w:t>环境敏感区</w:t>
            </w:r>
            <w:r>
              <w:rPr>
                <w:rFonts w:hint="eastAsia" w:cs="Times New Roman"/>
                <w:color w:val="auto"/>
                <w:sz w:val="21"/>
                <w:highlight w:val="none"/>
              </w:rPr>
              <w:t>”</w:t>
            </w:r>
            <w:r>
              <w:rPr>
                <w:rFonts w:cs="Times New Roman"/>
                <w:color w:val="auto"/>
                <w:sz w:val="21"/>
                <w:highlight w:val="none"/>
              </w:rPr>
              <w:t>指《建设项目环境影响评价分类管理名录》中所界定的涉及地下水的环境敏感区。</w:t>
            </w:r>
          </w:p>
        </w:tc>
      </w:tr>
    </w:tbl>
    <w:p w14:paraId="227A2395">
      <w:pPr>
        <w:adjustRightInd w:val="0"/>
        <w:ind w:firstLine="480"/>
        <w:rPr>
          <w:rFonts w:cs="Times New Roman"/>
          <w:color w:val="auto"/>
          <w:highlight w:val="none"/>
        </w:rPr>
      </w:pPr>
      <w:r>
        <w:rPr>
          <w:rFonts w:cs="Times New Roman"/>
          <w:color w:val="auto"/>
          <w:highlight w:val="none"/>
        </w:rPr>
        <w:t>项目所在地主要为平原地区，结合地形地貌特征、水文地质条件，本项目采用公式法确定地下水评价范围，公式计算法所采用导则推荐公式：</w:t>
      </w:r>
    </w:p>
    <w:p w14:paraId="42B3C19B">
      <w:pPr>
        <w:adjustRightInd w:val="0"/>
        <w:ind w:firstLine="0" w:firstLineChars="0"/>
        <w:jc w:val="center"/>
        <w:rPr>
          <w:rFonts w:cs="Times New Roman"/>
          <w:color w:val="auto"/>
          <w:kern w:val="21"/>
          <w:szCs w:val="24"/>
          <w:highlight w:val="none"/>
        </w:rPr>
      </w:pPr>
      <w:r>
        <w:rPr>
          <w:rFonts w:cs="Times New Roman"/>
          <w:color w:val="auto"/>
          <w:kern w:val="21"/>
          <w:szCs w:val="24"/>
          <w:highlight w:val="none"/>
        </w:rPr>
        <w:object>
          <v:shape id="_x0000_i1025" o:spt="75" type="#_x0000_t75" style="height:16.85pt;width:99.1pt;" o:ole="t" filled="f" o:preferrelative="t" stroked="f" coordsize="21600,21600">
            <v:path/>
            <v:fill on="f" focussize="0,0"/>
            <v:stroke on="f" joinstyle="miter"/>
            <v:imagedata r:id="rId18" o:title=""/>
            <o:lock v:ext="edit" aspectratio="t"/>
            <w10:wrap type="none"/>
            <w10:anchorlock/>
          </v:shape>
          <o:OLEObject Type="Embed" ProgID="Equation.3" ShapeID="_x0000_i1025" DrawAspect="Content" ObjectID="_1468075725" r:id="rId17">
            <o:LockedField>false</o:LockedField>
          </o:OLEObject>
        </w:object>
      </w:r>
    </w:p>
    <w:p w14:paraId="051723D0">
      <w:pPr>
        <w:overflowPunct w:val="0"/>
        <w:adjustRightInd w:val="0"/>
        <w:ind w:firstLine="480"/>
        <w:rPr>
          <w:rFonts w:cs="Times New Roman"/>
          <w:color w:val="auto"/>
          <w:kern w:val="21"/>
          <w:szCs w:val="24"/>
          <w:highlight w:val="none"/>
        </w:rPr>
      </w:pPr>
      <w:r>
        <w:rPr>
          <w:rFonts w:cs="Times New Roman"/>
          <w:color w:val="auto"/>
          <w:kern w:val="21"/>
          <w:szCs w:val="24"/>
          <w:highlight w:val="none"/>
        </w:rPr>
        <w:t>式中：</w:t>
      </w:r>
    </w:p>
    <w:p w14:paraId="63C5A77F">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L——</w:t>
      </w:r>
      <w:r>
        <w:rPr>
          <w:rFonts w:cs="Times New Roman"/>
          <w:color w:val="auto"/>
          <w:kern w:val="21"/>
          <w:szCs w:val="24"/>
          <w:highlight w:val="none"/>
        </w:rPr>
        <w:t>下游迁移距离，m；</w:t>
      </w:r>
    </w:p>
    <w:p w14:paraId="30B7912C">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α——</w:t>
      </w:r>
      <w:r>
        <w:rPr>
          <w:rFonts w:cs="Times New Roman"/>
          <w:color w:val="auto"/>
          <w:kern w:val="21"/>
          <w:szCs w:val="24"/>
          <w:highlight w:val="none"/>
        </w:rPr>
        <w:t>变化系数，α≥1，一般取2；</w:t>
      </w:r>
    </w:p>
    <w:p w14:paraId="0D491D41">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K——</w:t>
      </w:r>
      <w:r>
        <w:rPr>
          <w:rFonts w:cs="Times New Roman"/>
          <w:color w:val="auto"/>
          <w:kern w:val="21"/>
          <w:szCs w:val="24"/>
          <w:highlight w:val="none"/>
        </w:rPr>
        <w:t>渗透系数，根据《</w:t>
      </w:r>
      <w:r>
        <w:rPr>
          <w:rFonts w:hint="eastAsia" w:cs="Times New Roman"/>
          <w:color w:val="auto"/>
          <w:kern w:val="21"/>
          <w:szCs w:val="24"/>
          <w:highlight w:val="none"/>
        </w:rPr>
        <w:t>沙湾区新建50万吨锂矿加工综合利用项目</w:t>
      </w:r>
      <w:r>
        <w:rPr>
          <w:rFonts w:cs="Times New Roman"/>
          <w:color w:val="auto"/>
          <w:kern w:val="21"/>
          <w:szCs w:val="24"/>
          <w:highlight w:val="none"/>
        </w:rPr>
        <w:t>岩土工程勘察报告（详细勘察）》，潜水含水层为卵石层，渗透系数K为45m/d；</w:t>
      </w:r>
    </w:p>
    <w:p w14:paraId="48F3F90A">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I——</w:t>
      </w:r>
      <w:r>
        <w:rPr>
          <w:rFonts w:cs="Times New Roman"/>
          <w:color w:val="auto"/>
          <w:kern w:val="21"/>
          <w:szCs w:val="24"/>
          <w:highlight w:val="none"/>
        </w:rPr>
        <w:t>水力坡度，无量纲，根据水位调查结果取0.0013；</w:t>
      </w:r>
    </w:p>
    <w:p w14:paraId="52A5D7D6">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T——</w:t>
      </w:r>
      <w:r>
        <w:rPr>
          <w:rFonts w:cs="Times New Roman"/>
          <w:color w:val="auto"/>
          <w:kern w:val="21"/>
          <w:szCs w:val="24"/>
          <w:highlight w:val="none"/>
        </w:rPr>
        <w:t>质点迁移天数，取值不小于5000d，本项目取7300d；</w:t>
      </w:r>
    </w:p>
    <w:p w14:paraId="3F561977">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n</w:t>
      </w:r>
      <w:r>
        <w:rPr>
          <w:rFonts w:cs="Times New Roman"/>
          <w:i/>
          <w:iCs/>
          <w:color w:val="auto"/>
          <w:kern w:val="21"/>
          <w:szCs w:val="24"/>
          <w:highlight w:val="none"/>
          <w:vertAlign w:val="subscript"/>
        </w:rPr>
        <w:t>e</w:t>
      </w:r>
      <w:r>
        <w:rPr>
          <w:rFonts w:cs="Times New Roman"/>
          <w:i/>
          <w:iCs/>
          <w:color w:val="auto"/>
          <w:kern w:val="21"/>
          <w:szCs w:val="24"/>
          <w:highlight w:val="none"/>
        </w:rPr>
        <w:t>——</w:t>
      </w:r>
      <w:r>
        <w:rPr>
          <w:rFonts w:cs="Times New Roman"/>
          <w:color w:val="auto"/>
          <w:kern w:val="21"/>
          <w:szCs w:val="24"/>
          <w:highlight w:val="none"/>
        </w:rPr>
        <w:t>有效孔隙度，无量纲，根据水文地质参数经验值，本项目取0.3。</w:t>
      </w:r>
    </w:p>
    <w:p w14:paraId="651BB335">
      <w:pPr>
        <w:adjustRightInd w:val="0"/>
        <w:ind w:firstLine="480"/>
        <w:rPr>
          <w:rFonts w:cs="Times New Roman"/>
          <w:color w:val="auto"/>
          <w:highlight w:val="none"/>
        </w:rPr>
      </w:pPr>
      <w:r>
        <w:rPr>
          <w:rFonts w:cs="Times New Roman"/>
          <w:color w:val="auto"/>
          <w:kern w:val="21"/>
          <w:szCs w:val="24"/>
          <w:highlight w:val="none"/>
        </w:rPr>
        <w:t>计算得</w:t>
      </w:r>
      <w:r>
        <w:rPr>
          <w:rFonts w:hint="eastAsia" w:cs="Times New Roman"/>
          <w:color w:val="auto"/>
          <w:kern w:val="21"/>
          <w:szCs w:val="24"/>
          <w:highlight w:val="none"/>
        </w:rPr>
        <w:t>L为</w:t>
      </w:r>
      <w:r>
        <w:rPr>
          <w:rFonts w:cs="Times New Roman"/>
          <w:color w:val="auto"/>
          <w:kern w:val="21"/>
          <w:szCs w:val="24"/>
          <w:highlight w:val="none"/>
        </w:rPr>
        <w:t>2847m。</w:t>
      </w:r>
      <w:r>
        <w:rPr>
          <w:rFonts w:cs="Times New Roman"/>
          <w:color w:val="auto"/>
          <w:highlight w:val="none"/>
        </w:rPr>
        <w:t>项目东</w:t>
      </w:r>
      <w:r>
        <w:rPr>
          <w:rFonts w:hint="eastAsia" w:cs="Times New Roman"/>
          <w:color w:val="auto"/>
          <w:highlight w:val="none"/>
        </w:rPr>
        <w:t>南侧</w:t>
      </w:r>
      <w:r>
        <w:rPr>
          <w:rFonts w:cs="Times New Roman"/>
          <w:color w:val="auto"/>
          <w:highlight w:val="none"/>
        </w:rPr>
        <w:t>约6</w:t>
      </w:r>
      <w:r>
        <w:rPr>
          <w:rFonts w:hint="eastAsia" w:cs="Times New Roman"/>
          <w:color w:val="auto"/>
          <w:highlight w:val="none"/>
        </w:rPr>
        <w:t>55</w:t>
      </w:r>
      <w:r>
        <w:rPr>
          <w:rFonts w:cs="Times New Roman"/>
          <w:color w:val="auto"/>
          <w:highlight w:val="none"/>
        </w:rPr>
        <w:t>m为大渡河</w:t>
      </w:r>
      <w:r>
        <w:rPr>
          <w:rFonts w:hint="eastAsia" w:cs="Times New Roman"/>
          <w:color w:val="auto"/>
          <w:highlight w:val="none"/>
        </w:rPr>
        <w:t>生态河，</w:t>
      </w:r>
      <w:r>
        <w:rPr>
          <w:rFonts w:cs="Times New Roman"/>
          <w:color w:val="auto"/>
          <w:highlight w:val="none"/>
        </w:rPr>
        <w:t>约18</w:t>
      </w:r>
      <w:r>
        <w:rPr>
          <w:rFonts w:hint="eastAsia" w:cs="Times New Roman"/>
          <w:color w:val="auto"/>
          <w:highlight w:val="none"/>
        </w:rPr>
        <w:t>15</w:t>
      </w:r>
      <w:r>
        <w:rPr>
          <w:rFonts w:cs="Times New Roman"/>
          <w:color w:val="auto"/>
          <w:highlight w:val="none"/>
        </w:rPr>
        <w:t>m为乐山市大渡河安谷电站库区集中式饮用水水源保护区取水口</w:t>
      </w:r>
      <w:r>
        <w:rPr>
          <w:rFonts w:hint="eastAsia" w:cs="Times New Roman"/>
          <w:color w:val="auto"/>
          <w:highlight w:val="none"/>
        </w:rPr>
        <w:t>（</w:t>
      </w:r>
      <w:r>
        <w:rPr>
          <w:rFonts w:cs="Times New Roman"/>
          <w:color w:val="auto"/>
          <w:szCs w:val="24"/>
          <w:highlight w:val="none"/>
        </w:rPr>
        <w:t>取水口</w:t>
      </w:r>
      <w:r>
        <w:rPr>
          <w:rFonts w:hint="eastAsia" w:cs="Times New Roman"/>
          <w:color w:val="auto"/>
          <w:szCs w:val="24"/>
          <w:highlight w:val="none"/>
        </w:rPr>
        <w:t>位于</w:t>
      </w:r>
      <w:r>
        <w:rPr>
          <w:rFonts w:cs="Times New Roman"/>
          <w:color w:val="auto"/>
          <w:szCs w:val="24"/>
          <w:highlight w:val="none"/>
        </w:rPr>
        <w:t>安谷电站</w:t>
      </w:r>
      <w:r>
        <w:rPr>
          <w:rFonts w:hint="eastAsia" w:cs="Times New Roman"/>
          <w:color w:val="auto"/>
          <w:szCs w:val="24"/>
          <w:highlight w:val="none"/>
        </w:rPr>
        <w:t>大坝内。本项目与</w:t>
      </w:r>
      <w:r>
        <w:rPr>
          <w:rFonts w:cs="Times New Roman"/>
          <w:color w:val="auto"/>
          <w:szCs w:val="24"/>
          <w:highlight w:val="none"/>
        </w:rPr>
        <w:t>集中式饮用水水源保护区</w:t>
      </w:r>
      <w:r>
        <w:rPr>
          <w:rFonts w:hint="eastAsia" w:cs="Times New Roman"/>
          <w:color w:val="auto"/>
          <w:szCs w:val="24"/>
          <w:highlight w:val="none"/>
        </w:rPr>
        <w:t>中间隔有大渡河生态河。项目所在水位和</w:t>
      </w:r>
      <w:r>
        <w:rPr>
          <w:rFonts w:cs="Times New Roman"/>
          <w:color w:val="auto"/>
          <w:szCs w:val="24"/>
          <w:highlight w:val="none"/>
        </w:rPr>
        <w:t>安谷电站库区</w:t>
      </w:r>
      <w:r>
        <w:rPr>
          <w:rFonts w:hint="eastAsia" w:cs="Times New Roman"/>
          <w:color w:val="auto"/>
          <w:szCs w:val="24"/>
          <w:highlight w:val="none"/>
        </w:rPr>
        <w:t>水位均高于大渡河生态河水位，即本项目位于大渡河生态河的</w:t>
      </w:r>
      <w:r>
        <w:rPr>
          <w:rFonts w:cs="Times New Roman"/>
          <w:color w:val="auto"/>
          <w:szCs w:val="24"/>
          <w:highlight w:val="none"/>
        </w:rPr>
        <w:t>补给径流区</w:t>
      </w:r>
      <w:r>
        <w:rPr>
          <w:rFonts w:hint="eastAsia" w:cs="Times New Roman"/>
          <w:color w:val="auto"/>
          <w:szCs w:val="24"/>
          <w:highlight w:val="none"/>
        </w:rPr>
        <w:t>，不在</w:t>
      </w:r>
      <w:r>
        <w:rPr>
          <w:rFonts w:cs="Times New Roman"/>
          <w:color w:val="auto"/>
          <w:szCs w:val="24"/>
          <w:highlight w:val="none"/>
        </w:rPr>
        <w:t>乐山市大渡河安谷电站库区集中式饮用水水源保护区</w:t>
      </w:r>
      <w:r>
        <w:rPr>
          <w:rFonts w:hint="eastAsia" w:cs="Times New Roman"/>
          <w:color w:val="auto"/>
          <w:szCs w:val="24"/>
          <w:highlight w:val="none"/>
        </w:rPr>
        <w:t>的</w:t>
      </w:r>
      <w:r>
        <w:rPr>
          <w:rFonts w:cs="Times New Roman"/>
          <w:color w:val="auto"/>
          <w:szCs w:val="24"/>
          <w:highlight w:val="none"/>
        </w:rPr>
        <w:t>准保护区</w:t>
      </w:r>
      <w:r>
        <w:rPr>
          <w:rFonts w:hint="eastAsia" w:cs="Times New Roman"/>
          <w:color w:val="auto"/>
          <w:szCs w:val="24"/>
          <w:highlight w:val="none"/>
        </w:rPr>
        <w:t>或</w:t>
      </w:r>
      <w:r>
        <w:rPr>
          <w:rFonts w:cs="Times New Roman"/>
          <w:color w:val="auto"/>
          <w:szCs w:val="24"/>
          <w:highlight w:val="none"/>
        </w:rPr>
        <w:t>补给径流区</w:t>
      </w:r>
      <w:r>
        <w:rPr>
          <w:rFonts w:hint="eastAsia" w:cs="Times New Roman"/>
          <w:color w:val="auto"/>
          <w:szCs w:val="24"/>
          <w:highlight w:val="none"/>
        </w:rPr>
        <w:t>内。不涉及</w:t>
      </w:r>
      <w:r>
        <w:rPr>
          <w:rFonts w:cs="Times New Roman"/>
          <w:color w:val="auto"/>
          <w:szCs w:val="24"/>
          <w:highlight w:val="none"/>
        </w:rPr>
        <w:t>大渡河安谷电站库区集中式饮用水水源保护区</w:t>
      </w:r>
      <w:r>
        <w:rPr>
          <w:rFonts w:hint="eastAsia" w:cs="Times New Roman"/>
          <w:color w:val="auto"/>
          <w:szCs w:val="24"/>
          <w:highlight w:val="none"/>
        </w:rPr>
        <w:t>）</w:t>
      </w:r>
      <w:r>
        <w:rPr>
          <w:rFonts w:hint="eastAsia" w:cs="Times New Roman"/>
          <w:color w:val="auto"/>
          <w:highlight w:val="none"/>
        </w:rPr>
        <w:t>。由于</w:t>
      </w:r>
      <w:r>
        <w:rPr>
          <w:rFonts w:cs="Times New Roman"/>
          <w:color w:val="auto"/>
          <w:kern w:val="21"/>
          <w:szCs w:val="24"/>
          <w:highlight w:val="none"/>
        </w:rPr>
        <w:t>2847m＞</w:t>
      </w:r>
      <w:r>
        <w:rPr>
          <w:rFonts w:hint="eastAsia" w:cs="Times New Roman"/>
          <w:color w:val="auto"/>
          <w:kern w:val="21"/>
          <w:szCs w:val="24"/>
          <w:highlight w:val="none"/>
        </w:rPr>
        <w:t>655</w:t>
      </w:r>
      <w:r>
        <w:rPr>
          <w:rFonts w:cs="Times New Roman"/>
          <w:color w:val="auto"/>
          <w:kern w:val="21"/>
          <w:szCs w:val="24"/>
          <w:highlight w:val="none"/>
        </w:rPr>
        <w:t>m，</w:t>
      </w:r>
      <w:r>
        <w:rPr>
          <w:rFonts w:hint="eastAsia" w:cs="Times New Roman"/>
          <w:color w:val="auto"/>
          <w:kern w:val="21"/>
          <w:szCs w:val="24"/>
          <w:highlight w:val="none"/>
        </w:rPr>
        <w:t>结合水力联系分析结果，本项目不会对</w:t>
      </w:r>
      <w:r>
        <w:rPr>
          <w:rFonts w:cs="Times New Roman"/>
          <w:color w:val="auto"/>
          <w:kern w:val="21"/>
          <w:szCs w:val="24"/>
          <w:highlight w:val="none"/>
        </w:rPr>
        <w:t>乐山市大渡河安谷电站库区集中式饮用水水源保护区</w:t>
      </w:r>
      <w:r>
        <w:rPr>
          <w:rFonts w:hint="eastAsia" w:cs="Times New Roman"/>
          <w:color w:val="auto"/>
          <w:kern w:val="21"/>
          <w:szCs w:val="24"/>
          <w:highlight w:val="none"/>
        </w:rPr>
        <w:t>水质产生不良影响</w:t>
      </w:r>
      <w:r>
        <w:rPr>
          <w:rFonts w:cs="Times New Roman"/>
          <w:color w:val="auto"/>
          <w:kern w:val="21"/>
          <w:szCs w:val="24"/>
          <w:highlight w:val="none"/>
        </w:rPr>
        <w:t>。</w:t>
      </w:r>
    </w:p>
    <w:p w14:paraId="72B6F54E">
      <w:pPr>
        <w:adjustRightInd w:val="0"/>
        <w:ind w:firstLine="480"/>
        <w:rPr>
          <w:rFonts w:cs="Times New Roman"/>
          <w:color w:val="auto"/>
          <w:highlight w:val="none"/>
        </w:rPr>
      </w:pPr>
      <w:r>
        <w:rPr>
          <w:rFonts w:cs="Times New Roman"/>
          <w:color w:val="auto"/>
          <w:highlight w:val="none"/>
        </w:rPr>
        <w:t>综上所述，项目地下水环境敏感性为</w:t>
      </w:r>
      <w:r>
        <w:rPr>
          <w:rFonts w:hint="eastAsia" w:cs="Times New Roman"/>
          <w:color w:val="auto"/>
          <w:highlight w:val="none"/>
        </w:rPr>
        <w:t>“</w:t>
      </w:r>
      <w:r>
        <w:rPr>
          <w:rFonts w:hint="eastAsia" w:cs="Times New Roman"/>
          <w:b/>
          <w:bCs/>
          <w:color w:val="auto"/>
          <w:highlight w:val="none"/>
        </w:rPr>
        <w:t>较</w:t>
      </w:r>
      <w:r>
        <w:rPr>
          <w:rFonts w:cs="Times New Roman"/>
          <w:b/>
          <w:bCs/>
          <w:color w:val="auto"/>
          <w:highlight w:val="none"/>
        </w:rPr>
        <w:t>敏感</w:t>
      </w:r>
      <w:r>
        <w:rPr>
          <w:rFonts w:hint="eastAsia" w:cs="Times New Roman"/>
          <w:color w:val="auto"/>
          <w:highlight w:val="none"/>
        </w:rPr>
        <w:t>”</w:t>
      </w:r>
      <w:r>
        <w:rPr>
          <w:rFonts w:cs="Times New Roman"/>
          <w:color w:val="auto"/>
          <w:highlight w:val="none"/>
        </w:rPr>
        <w:t>。</w:t>
      </w:r>
    </w:p>
    <w:p w14:paraId="6FEDB79B">
      <w:pPr>
        <w:adjustRightInd w:val="0"/>
        <w:ind w:firstLine="482"/>
        <w:rPr>
          <w:rFonts w:cs="Times New Roman"/>
          <w:b/>
          <w:bCs/>
          <w:color w:val="auto"/>
          <w:highlight w:val="none"/>
        </w:rPr>
      </w:pPr>
      <w:r>
        <w:rPr>
          <w:rFonts w:cs="Times New Roman"/>
          <w:b/>
          <w:bCs/>
          <w:color w:val="auto"/>
          <w:highlight w:val="none"/>
        </w:rPr>
        <w:t>三、评价等级</w:t>
      </w:r>
    </w:p>
    <w:p w14:paraId="0DA9A255">
      <w:pPr>
        <w:adjustRightInd w:val="0"/>
        <w:ind w:firstLine="480"/>
        <w:rPr>
          <w:rFonts w:cs="Times New Roman"/>
          <w:color w:val="auto"/>
          <w:highlight w:val="none"/>
        </w:rPr>
      </w:pPr>
      <w:r>
        <w:rPr>
          <w:rFonts w:cs="Times New Roman"/>
          <w:color w:val="auto"/>
          <w:highlight w:val="none"/>
        </w:rPr>
        <w:t>根据《环境影响评价技术导则 地下水环境》（HJ610-2016），建设项目地下水环境影响评价工作等级划分见下表。</w:t>
      </w:r>
    </w:p>
    <w:p w14:paraId="3FC55572">
      <w:pPr>
        <w:pStyle w:val="12"/>
        <w:adjustRightInd w:val="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51</w:t>
      </w:r>
      <w:r>
        <w:rPr>
          <w:rFonts w:cs="Times New Roman"/>
          <w:color w:val="auto"/>
          <w:highlight w:val="none"/>
        </w:rPr>
        <w:fldChar w:fldCharType="end"/>
      </w:r>
      <w:r>
        <w:rPr>
          <w:rFonts w:cs="Times New Roman"/>
          <w:bCs/>
          <w:color w:val="auto"/>
          <w:kern w:val="21"/>
          <w:szCs w:val="21"/>
          <w:highlight w:val="none"/>
        </w:rPr>
        <w:t>建设项目评价工作等级分级表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065"/>
        <w:gridCol w:w="2063"/>
        <w:gridCol w:w="2063"/>
      </w:tblGrid>
      <w:tr w14:paraId="7FC75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67" w:type="pct"/>
            <w:tcBorders>
              <w:tl2br w:val="single" w:color="auto" w:sz="4" w:space="0"/>
            </w:tcBorders>
            <w:vAlign w:val="center"/>
          </w:tcPr>
          <w:p w14:paraId="106BC398">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 xml:space="preserve">            项目类别</w:t>
            </w:r>
          </w:p>
          <w:p w14:paraId="113B5525">
            <w:pPr>
              <w:overflowPunct w:val="0"/>
              <w:adjustRightInd w:val="0"/>
              <w:spacing w:before="65" w:beforeLines="20" w:after="65"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环境敏感程度</w:t>
            </w:r>
          </w:p>
        </w:tc>
        <w:tc>
          <w:tcPr>
            <w:tcW w:w="1211" w:type="pct"/>
            <w:vAlign w:val="center"/>
          </w:tcPr>
          <w:p w14:paraId="2C3E2563">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I类项目</w:t>
            </w:r>
          </w:p>
        </w:tc>
        <w:tc>
          <w:tcPr>
            <w:tcW w:w="1210" w:type="pct"/>
            <w:shd w:val="clear" w:color="auto" w:fill="D7D7D7" w:themeFill="background1" w:themeFillShade="D8"/>
            <w:vAlign w:val="center"/>
          </w:tcPr>
          <w:p w14:paraId="672D229A">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Ⅱ类项目</w:t>
            </w:r>
          </w:p>
        </w:tc>
        <w:tc>
          <w:tcPr>
            <w:tcW w:w="1210" w:type="pct"/>
            <w:vAlign w:val="center"/>
          </w:tcPr>
          <w:p w14:paraId="49954D67">
            <w:pPr>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Ⅲ类项目</w:t>
            </w:r>
          </w:p>
        </w:tc>
      </w:tr>
      <w:tr w14:paraId="2C41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7" w:type="pct"/>
            <w:vAlign w:val="center"/>
          </w:tcPr>
          <w:p w14:paraId="1CA1547E">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敏感</w:t>
            </w:r>
          </w:p>
        </w:tc>
        <w:tc>
          <w:tcPr>
            <w:tcW w:w="1211" w:type="pct"/>
            <w:vAlign w:val="center"/>
          </w:tcPr>
          <w:p w14:paraId="743329BB">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一</w:t>
            </w:r>
          </w:p>
        </w:tc>
        <w:tc>
          <w:tcPr>
            <w:tcW w:w="1210" w:type="pct"/>
            <w:vAlign w:val="center"/>
          </w:tcPr>
          <w:p w14:paraId="69D4E178">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
                <w:color w:val="auto"/>
                <w:kern w:val="21"/>
                <w:sz w:val="21"/>
                <w:highlight w:val="none"/>
              </w:rPr>
              <w:t>一</w:t>
            </w:r>
          </w:p>
        </w:tc>
        <w:tc>
          <w:tcPr>
            <w:tcW w:w="1210" w:type="pct"/>
            <w:vAlign w:val="center"/>
          </w:tcPr>
          <w:p w14:paraId="26DAA039">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二</w:t>
            </w:r>
          </w:p>
        </w:tc>
      </w:tr>
      <w:tr w14:paraId="0CBA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7" w:type="pct"/>
            <w:shd w:val="clear" w:color="auto" w:fill="D7D7D7" w:themeFill="background1" w:themeFillShade="D8"/>
            <w:vAlign w:val="center"/>
          </w:tcPr>
          <w:p w14:paraId="63FA94E8">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
                <w:color w:val="auto"/>
                <w:kern w:val="21"/>
                <w:sz w:val="21"/>
                <w:highlight w:val="none"/>
              </w:rPr>
              <w:t>较敏感</w:t>
            </w:r>
          </w:p>
        </w:tc>
        <w:tc>
          <w:tcPr>
            <w:tcW w:w="1211" w:type="pct"/>
            <w:vAlign w:val="center"/>
          </w:tcPr>
          <w:p w14:paraId="1F2F7514">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一</w:t>
            </w:r>
          </w:p>
        </w:tc>
        <w:tc>
          <w:tcPr>
            <w:tcW w:w="1210" w:type="pct"/>
            <w:shd w:val="clear" w:color="auto" w:fill="D7D7D7" w:themeFill="background1" w:themeFillShade="D8"/>
            <w:vAlign w:val="center"/>
          </w:tcPr>
          <w:p w14:paraId="7AAB5036">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
                <w:color w:val="auto"/>
                <w:kern w:val="21"/>
                <w:sz w:val="21"/>
                <w:highlight w:val="none"/>
              </w:rPr>
              <w:t>二</w:t>
            </w:r>
          </w:p>
        </w:tc>
        <w:tc>
          <w:tcPr>
            <w:tcW w:w="1210" w:type="pct"/>
            <w:vAlign w:val="center"/>
          </w:tcPr>
          <w:p w14:paraId="1931208E">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三</w:t>
            </w:r>
          </w:p>
        </w:tc>
      </w:tr>
      <w:tr w14:paraId="764AC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7" w:type="pct"/>
            <w:vAlign w:val="center"/>
          </w:tcPr>
          <w:p w14:paraId="6ED87B1A">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不敏感</w:t>
            </w:r>
          </w:p>
        </w:tc>
        <w:tc>
          <w:tcPr>
            <w:tcW w:w="1211" w:type="pct"/>
            <w:vAlign w:val="center"/>
          </w:tcPr>
          <w:p w14:paraId="01F782D2">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
                <w:color w:val="auto"/>
                <w:kern w:val="21"/>
                <w:sz w:val="21"/>
                <w:highlight w:val="none"/>
              </w:rPr>
              <w:t>二</w:t>
            </w:r>
          </w:p>
        </w:tc>
        <w:tc>
          <w:tcPr>
            <w:tcW w:w="1210" w:type="pct"/>
            <w:vAlign w:val="center"/>
          </w:tcPr>
          <w:p w14:paraId="0F6254D6">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三</w:t>
            </w:r>
          </w:p>
        </w:tc>
        <w:tc>
          <w:tcPr>
            <w:tcW w:w="1210" w:type="pct"/>
            <w:vAlign w:val="center"/>
          </w:tcPr>
          <w:p w14:paraId="4A5D3F1B">
            <w:pPr>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三</w:t>
            </w:r>
          </w:p>
        </w:tc>
      </w:tr>
    </w:tbl>
    <w:p w14:paraId="2D3A02E7">
      <w:pPr>
        <w:adjustRightInd w:val="0"/>
        <w:ind w:firstLine="480"/>
        <w:rPr>
          <w:rFonts w:cs="Times New Roman"/>
          <w:color w:val="auto"/>
          <w:highlight w:val="none"/>
        </w:rPr>
      </w:pPr>
      <w:r>
        <w:rPr>
          <w:rFonts w:cs="Times New Roman"/>
          <w:color w:val="auto"/>
          <w:highlight w:val="none"/>
        </w:rPr>
        <w:t>综上所述，本项目地下评价等级为</w:t>
      </w:r>
      <w:r>
        <w:rPr>
          <w:rFonts w:hint="eastAsia" w:cs="Times New Roman"/>
          <w:color w:val="auto"/>
          <w:highlight w:val="none"/>
        </w:rPr>
        <w:t>二</w:t>
      </w:r>
      <w:r>
        <w:rPr>
          <w:rFonts w:cs="Times New Roman"/>
          <w:b/>
          <w:bCs/>
          <w:color w:val="auto"/>
          <w:highlight w:val="none"/>
        </w:rPr>
        <w:t>级评价</w:t>
      </w:r>
      <w:r>
        <w:rPr>
          <w:rFonts w:cs="Times New Roman"/>
          <w:color w:val="auto"/>
          <w:highlight w:val="none"/>
        </w:rPr>
        <w:t>。</w:t>
      </w:r>
      <w:r>
        <w:rPr>
          <w:rFonts w:hint="eastAsia" w:cs="Times New Roman"/>
          <w:color w:val="auto"/>
          <w:highlight w:val="none"/>
        </w:rPr>
        <w:t xml:space="preserve"> </w:t>
      </w:r>
    </w:p>
    <w:p w14:paraId="258E1AD5">
      <w:pPr>
        <w:adjustRightInd w:val="0"/>
        <w:ind w:firstLine="480"/>
        <w:rPr>
          <w:rFonts w:cs="Times New Roman"/>
          <w:color w:val="auto"/>
          <w:highlight w:val="none"/>
        </w:rPr>
      </w:pPr>
      <w:r>
        <w:rPr>
          <w:rFonts w:cs="Times New Roman"/>
          <w:color w:val="auto"/>
          <w:highlight w:val="none"/>
        </w:rPr>
        <w:t>项目区与饮用水水源保护区位置如下图所示。</w:t>
      </w:r>
    </w:p>
    <w:p w14:paraId="57A818B9">
      <w:pPr>
        <w:pStyle w:val="58"/>
        <w:bidi w:val="0"/>
        <w:rPr>
          <w:color w:val="auto"/>
          <w:highlight w:val="none"/>
        </w:rPr>
      </w:pPr>
      <w:r>
        <w:rPr>
          <w:color w:val="auto"/>
          <w:highlight w:val="none"/>
        </w:rPr>
        <w:drawing>
          <wp:inline distT="0" distB="0" distL="114300" distR="114300">
            <wp:extent cx="5205730" cy="3420110"/>
            <wp:effectExtent l="9525" t="9525" r="23495" b="18415"/>
            <wp:docPr id="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pic:cNvPicPr>
                      <a:picLocks noChangeAspect="1"/>
                    </pic:cNvPicPr>
                  </pic:nvPicPr>
                  <pic:blipFill>
                    <a:blip r:embed="rId19"/>
                    <a:stretch>
                      <a:fillRect/>
                    </a:stretch>
                  </pic:blipFill>
                  <pic:spPr>
                    <a:xfrm>
                      <a:off x="0" y="0"/>
                      <a:ext cx="5205730" cy="3420110"/>
                    </a:xfrm>
                    <a:prstGeom prst="rect">
                      <a:avLst/>
                    </a:prstGeom>
                    <a:noFill/>
                    <a:ln>
                      <a:solidFill>
                        <a:schemeClr val="tx1"/>
                      </a:solidFill>
                    </a:ln>
                  </pic:spPr>
                </pic:pic>
              </a:graphicData>
            </a:graphic>
          </wp:inline>
        </w:drawing>
      </w:r>
    </w:p>
    <w:p w14:paraId="66C945A6">
      <w:pPr>
        <w:pStyle w:val="12"/>
        <w:adjustRightInd w:val="0"/>
        <w:rPr>
          <w:rFonts w:cs="Times New Roman"/>
          <w:bCs/>
          <w:color w:val="auto"/>
          <w:szCs w:val="24"/>
          <w:highlight w:val="none"/>
        </w:rPr>
      </w:pPr>
      <w:r>
        <w:rPr>
          <w:rFonts w:cs="Times New Roman"/>
          <w:color w:val="auto"/>
          <w:highlight w:val="none"/>
        </w:rPr>
        <w:t xml:space="preserve">图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bCs/>
          <w:color w:val="auto"/>
          <w:szCs w:val="24"/>
          <w:highlight w:val="none"/>
        </w:rPr>
        <w:t>项目区与饮用水水源保护区位置示意图</w:t>
      </w:r>
    </w:p>
    <w:p w14:paraId="5281E658">
      <w:pPr>
        <w:pStyle w:val="5"/>
        <w:adjustRightInd w:val="0"/>
        <w:rPr>
          <w:rFonts w:cs="Times New Roman"/>
          <w:color w:val="auto"/>
          <w:highlight w:val="none"/>
        </w:rPr>
      </w:pPr>
      <w:bookmarkStart w:id="66" w:name="_Toc365381215"/>
      <w:r>
        <w:rPr>
          <w:rFonts w:cs="Times New Roman"/>
          <w:color w:val="auto"/>
          <w:highlight w:val="none"/>
        </w:rPr>
        <w:t>评价范围</w:t>
      </w:r>
    </w:p>
    <w:p w14:paraId="5C6E8D2B">
      <w:pPr>
        <w:adjustRightInd w:val="0"/>
        <w:ind w:firstLine="480"/>
        <w:rPr>
          <w:color w:val="auto"/>
          <w:highlight w:val="none"/>
        </w:rPr>
      </w:pPr>
      <w:r>
        <w:rPr>
          <w:color w:val="auto"/>
          <w:highlight w:val="none"/>
        </w:rPr>
        <w:t>根据《环境影响评价技术导则 地下水环境》（HJ610-2016），建设项目地下水环境影响现状调查评价范围可采用公式计算法、查表法和自定义法确定。</w:t>
      </w:r>
    </w:p>
    <w:p w14:paraId="182A843D">
      <w:pPr>
        <w:adjustRightInd w:val="0"/>
        <w:ind w:firstLine="480"/>
        <w:rPr>
          <w:color w:val="auto"/>
          <w:highlight w:val="none"/>
        </w:rPr>
      </w:pPr>
      <w:r>
        <w:rPr>
          <w:color w:val="auto"/>
          <w:highlight w:val="none"/>
        </w:rPr>
        <w:t>项目所在地主要为平原地区，本项目采用公式法结合地形地貌特征、水文地质</w:t>
      </w:r>
      <w:r>
        <w:rPr>
          <w:rFonts w:hint="eastAsia"/>
          <w:color w:val="auto"/>
          <w:highlight w:val="none"/>
        </w:rPr>
        <w:t>单元</w:t>
      </w:r>
      <w:r>
        <w:rPr>
          <w:color w:val="auto"/>
          <w:highlight w:val="none"/>
        </w:rPr>
        <w:t>确定地下水评价范围，</w:t>
      </w:r>
      <w:r>
        <w:rPr>
          <w:rFonts w:hint="eastAsia"/>
          <w:color w:val="auto"/>
          <w:highlight w:val="none"/>
        </w:rPr>
        <w:t>根据上文计算结果，</w:t>
      </w:r>
      <w:r>
        <w:rPr>
          <w:color w:val="auto"/>
          <w:highlight w:val="none"/>
        </w:rPr>
        <w:t>L=</w:t>
      </w:r>
      <w:r>
        <w:rPr>
          <w:rFonts w:hint="eastAsia"/>
          <w:color w:val="auto"/>
          <w:highlight w:val="none"/>
        </w:rPr>
        <w:t>2847</w:t>
      </w:r>
      <w:r>
        <w:rPr>
          <w:color w:val="auto"/>
          <w:highlight w:val="none"/>
        </w:rPr>
        <w:t>m。</w:t>
      </w:r>
    </w:p>
    <w:p w14:paraId="321FD4EE">
      <w:pPr>
        <w:adjustRightInd w:val="0"/>
        <w:ind w:firstLine="480"/>
        <w:rPr>
          <w:color w:val="auto"/>
          <w:highlight w:val="none"/>
        </w:rPr>
      </w:pPr>
      <w:r>
        <w:rPr>
          <w:color w:val="auto"/>
          <w:highlight w:val="none"/>
        </w:rPr>
        <w:t>项目下游涉及多处分散式饮用水水源地。本项目在下游迁移距离计算结果的基础上外延至大渡河</w:t>
      </w:r>
      <w:r>
        <w:rPr>
          <w:rFonts w:hint="eastAsia"/>
          <w:color w:val="auto"/>
          <w:highlight w:val="none"/>
        </w:rPr>
        <w:t>生态河</w:t>
      </w:r>
      <w:r>
        <w:rPr>
          <w:color w:val="auto"/>
          <w:highlight w:val="none"/>
        </w:rPr>
        <w:t>。项目所在区域最低侵蚀基准面为</w:t>
      </w:r>
      <w:r>
        <w:rPr>
          <w:rFonts w:hint="eastAsia"/>
          <w:color w:val="auto"/>
          <w:highlight w:val="none"/>
        </w:rPr>
        <w:t>东南侧</w:t>
      </w:r>
      <w:r>
        <w:rPr>
          <w:color w:val="auto"/>
          <w:highlight w:val="none"/>
        </w:rPr>
        <w:t>大渡河</w:t>
      </w:r>
      <w:r>
        <w:rPr>
          <w:rFonts w:hint="eastAsia"/>
          <w:color w:val="auto"/>
          <w:highlight w:val="none"/>
        </w:rPr>
        <w:t>生态河</w:t>
      </w:r>
      <w:r>
        <w:rPr>
          <w:color w:val="auto"/>
          <w:highlight w:val="none"/>
        </w:rPr>
        <w:t>，区域地下水总体流向为自</w:t>
      </w:r>
      <w:r>
        <w:rPr>
          <w:rFonts w:hint="eastAsia"/>
          <w:color w:val="auto"/>
          <w:highlight w:val="none"/>
        </w:rPr>
        <w:t>西北</w:t>
      </w:r>
      <w:r>
        <w:rPr>
          <w:color w:val="auto"/>
          <w:highlight w:val="none"/>
        </w:rPr>
        <w:t>向</w:t>
      </w:r>
      <w:r>
        <w:rPr>
          <w:rFonts w:hint="eastAsia"/>
          <w:color w:val="auto"/>
          <w:highlight w:val="none"/>
        </w:rPr>
        <w:t>东</w:t>
      </w:r>
      <w:r>
        <w:rPr>
          <w:color w:val="auto"/>
          <w:highlight w:val="none"/>
        </w:rPr>
        <w:t>南汇入大渡河</w:t>
      </w:r>
      <w:r>
        <w:rPr>
          <w:rFonts w:hint="eastAsia"/>
          <w:color w:val="auto"/>
          <w:highlight w:val="none"/>
        </w:rPr>
        <w:t>生态河。</w:t>
      </w:r>
    </w:p>
    <w:p w14:paraId="0A386DDB">
      <w:pPr>
        <w:adjustRightInd w:val="0"/>
        <w:ind w:firstLine="480"/>
        <w:rPr>
          <w:color w:val="auto"/>
          <w:highlight w:val="none"/>
        </w:rPr>
      </w:pPr>
      <w:r>
        <w:rPr>
          <w:rFonts w:hint="eastAsia"/>
          <w:color w:val="auto"/>
          <w:highlight w:val="none"/>
        </w:rPr>
        <w:t>本项目</w:t>
      </w:r>
      <w:r>
        <w:rPr>
          <w:color w:val="auto"/>
          <w:highlight w:val="none"/>
        </w:rPr>
        <w:t>地下水评价范围为：</w:t>
      </w:r>
      <w:r>
        <w:rPr>
          <w:color w:val="auto"/>
          <w:highlight w:val="none"/>
          <w:u w:val="single"/>
        </w:rPr>
        <w:t>场地上游延伸</w:t>
      </w:r>
      <w:r>
        <w:rPr>
          <w:rFonts w:hint="eastAsia"/>
          <w:color w:val="auto"/>
          <w:highlight w:val="none"/>
          <w:u w:val="single"/>
        </w:rPr>
        <w:t>470m至水文地质单元边界</w:t>
      </w:r>
      <w:r>
        <w:rPr>
          <w:color w:val="auto"/>
          <w:highlight w:val="none"/>
          <w:u w:val="single"/>
        </w:rPr>
        <w:t>，下游延伸</w:t>
      </w:r>
      <w:r>
        <w:rPr>
          <w:rFonts w:hint="eastAsia"/>
          <w:color w:val="auto"/>
          <w:highlight w:val="none"/>
          <w:u w:val="single"/>
        </w:rPr>
        <w:t>约655m</w:t>
      </w:r>
      <w:r>
        <w:rPr>
          <w:color w:val="auto"/>
          <w:highlight w:val="none"/>
          <w:u w:val="single"/>
        </w:rPr>
        <w:t>至</w:t>
      </w:r>
      <w:r>
        <w:rPr>
          <w:rFonts w:hint="eastAsia"/>
          <w:color w:val="auto"/>
          <w:highlight w:val="none"/>
          <w:u w:val="single"/>
        </w:rPr>
        <w:t>大渡河</w:t>
      </w:r>
      <w:r>
        <w:rPr>
          <w:color w:val="auto"/>
          <w:highlight w:val="none"/>
          <w:u w:val="single"/>
        </w:rPr>
        <w:t>，</w:t>
      </w:r>
      <w:r>
        <w:rPr>
          <w:rFonts w:hint="eastAsia"/>
          <w:color w:val="auto"/>
          <w:highlight w:val="none"/>
          <w:u w:val="single"/>
        </w:rPr>
        <w:t>西南侧取L/2延伸约1424m，东北侧取L/2延伸约1424m，</w:t>
      </w:r>
      <w:r>
        <w:rPr>
          <w:color w:val="auto"/>
          <w:highlight w:val="none"/>
          <w:u w:val="single"/>
        </w:rPr>
        <w:t>地下水评价范围约</w:t>
      </w:r>
      <w:r>
        <w:rPr>
          <w:rFonts w:hint="eastAsia"/>
          <w:color w:val="auto"/>
          <w:highlight w:val="none"/>
          <w:u w:val="single"/>
        </w:rPr>
        <w:t>4.04</w:t>
      </w:r>
      <w:r>
        <w:rPr>
          <w:color w:val="auto"/>
          <w:highlight w:val="none"/>
          <w:u w:val="single"/>
        </w:rPr>
        <w:t>km</w:t>
      </w:r>
      <w:r>
        <w:rPr>
          <w:color w:val="auto"/>
          <w:highlight w:val="none"/>
          <w:u w:val="single"/>
          <w:vertAlign w:val="superscript"/>
        </w:rPr>
        <w:t>2</w:t>
      </w:r>
      <w:r>
        <w:rPr>
          <w:color w:val="auto"/>
          <w:highlight w:val="none"/>
        </w:rPr>
        <w:t>。项目地下水评价范围图见</w:t>
      </w:r>
      <w:r>
        <w:rPr>
          <w:rFonts w:hint="eastAsia"/>
          <w:color w:val="auto"/>
          <w:highlight w:val="none"/>
        </w:rPr>
        <w:t>下图</w:t>
      </w:r>
      <w:r>
        <w:rPr>
          <w:color w:val="auto"/>
          <w:highlight w:val="none"/>
        </w:rPr>
        <w:t>。</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C33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vAlign w:val="center"/>
          </w:tcPr>
          <w:p w14:paraId="31DB114C">
            <w:pPr>
              <w:autoSpaceDE w:val="0"/>
              <w:autoSpaceDN w:val="0"/>
              <w:adjustRightInd w:val="0"/>
              <w:spacing w:before="65" w:beforeLines="20" w:after="65" w:afterLines="20"/>
              <w:ind w:firstLine="0" w:firstLineChars="0"/>
              <w:jc w:val="left"/>
              <w:rPr>
                <w:rFonts w:ascii="宋体" w:hAnsi="宋体" w:cs="宋体"/>
                <w:color w:val="auto"/>
                <w:kern w:val="0"/>
                <w:szCs w:val="20"/>
                <w:highlight w:val="none"/>
              </w:rPr>
            </w:pPr>
          </w:p>
        </w:tc>
      </w:tr>
    </w:tbl>
    <w:p w14:paraId="1B007588">
      <w:pPr>
        <w:pStyle w:val="12"/>
        <w:keepNext w:val="0"/>
        <w:overflowPunct w:val="0"/>
        <w:adjustRightInd w:val="0"/>
        <w:spacing w:before="65" w:beforeLines="20" w:after="65" w:afterLines="20"/>
        <w:rPr>
          <w:rFonts w:cs="Times New Roman"/>
          <w:color w:val="auto"/>
          <w:kern w:val="21"/>
          <w:szCs w:val="21"/>
          <w:highlight w:val="none"/>
        </w:rPr>
      </w:pPr>
      <w:r>
        <w:rPr>
          <w:rFonts w:cs="Times New Roman"/>
          <w:color w:val="auto"/>
          <w:highlight w:val="none"/>
        </w:rPr>
        <w:t xml:space="preserve">图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kern w:val="21"/>
          <w:szCs w:val="21"/>
          <w:highlight w:val="none"/>
        </w:rPr>
        <w:t>本项目地下水评价范围图</w:t>
      </w:r>
    </w:p>
    <w:p w14:paraId="7BA9974D">
      <w:pPr>
        <w:pStyle w:val="4"/>
        <w:adjustRightInd w:val="0"/>
        <w:rPr>
          <w:rFonts w:cs="Times New Roman"/>
          <w:color w:val="auto"/>
          <w:highlight w:val="none"/>
        </w:rPr>
      </w:pPr>
      <w:bookmarkStart w:id="67" w:name="_Toc26700"/>
      <w:bookmarkStart w:id="68" w:name="_Toc26830"/>
      <w:bookmarkStart w:id="69" w:name="_Toc12356"/>
      <w:r>
        <w:rPr>
          <w:rFonts w:cs="Times New Roman"/>
          <w:color w:val="auto"/>
          <w:highlight w:val="none"/>
        </w:rPr>
        <w:t>大气环境评价</w:t>
      </w:r>
      <w:bookmarkEnd w:id="66"/>
      <w:bookmarkEnd w:id="67"/>
      <w:bookmarkEnd w:id="68"/>
      <w:bookmarkEnd w:id="69"/>
    </w:p>
    <w:p w14:paraId="341E6E51">
      <w:pPr>
        <w:pStyle w:val="5"/>
        <w:adjustRightInd w:val="0"/>
        <w:rPr>
          <w:rFonts w:cs="Times New Roman"/>
          <w:color w:val="auto"/>
          <w:highlight w:val="none"/>
        </w:rPr>
      </w:pPr>
      <w:r>
        <w:rPr>
          <w:rFonts w:cs="Times New Roman"/>
          <w:color w:val="auto"/>
          <w:highlight w:val="none"/>
        </w:rPr>
        <w:t>评价等级</w:t>
      </w:r>
    </w:p>
    <w:p w14:paraId="0E7AF152">
      <w:pPr>
        <w:ind w:firstLine="480"/>
        <w:rPr>
          <w:color w:val="auto"/>
          <w:highlight w:val="none"/>
        </w:rPr>
      </w:pPr>
      <w:r>
        <w:rPr>
          <w:rFonts w:hint="eastAsia"/>
          <w:color w:val="auto"/>
          <w:highlight w:val="none"/>
        </w:rPr>
        <w:t>（一）污染源源强</w:t>
      </w:r>
    </w:p>
    <w:p w14:paraId="1D888CBD">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r>
        <w:rPr>
          <w:rFonts w:cs="Times New Roman"/>
          <w:color w:val="auto"/>
          <w:highlight w:val="none"/>
        </w:rPr>
        <w:t>本项目有组织废气排放情况如下：</w:t>
      </w:r>
    </w:p>
    <w:p w14:paraId="1A8C001C">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52</w:t>
      </w:r>
      <w:r>
        <w:rPr>
          <w:rFonts w:cs="Times New Roman"/>
          <w:color w:val="auto"/>
          <w:highlight w:val="none"/>
        </w:rPr>
        <w:fldChar w:fldCharType="end"/>
      </w:r>
      <w:r>
        <w:rPr>
          <w:rFonts w:cs="Times New Roman"/>
          <w:color w:val="auto"/>
          <w:highlight w:val="none"/>
        </w:rPr>
        <w:t>项目有组织废气排放情况一览表</w:t>
      </w:r>
    </w:p>
    <w:tbl>
      <w:tblPr>
        <w:tblStyle w:val="31"/>
        <w:tblW w:w="5000" w:type="pct"/>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284"/>
        <w:gridCol w:w="2232"/>
        <w:gridCol w:w="1288"/>
        <w:gridCol w:w="1481"/>
        <w:gridCol w:w="1271"/>
        <w:gridCol w:w="1320"/>
        <w:gridCol w:w="2116"/>
        <w:gridCol w:w="1932"/>
      </w:tblGrid>
      <w:tr w14:paraId="56E105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41" w:type="pct"/>
            <w:vMerge w:val="restart"/>
            <w:tcBorders>
              <w:top w:val="single" w:color="000000" w:sz="4" w:space="0"/>
              <w:left w:val="single" w:color="000000" w:sz="4" w:space="0"/>
              <w:bottom w:val="single" w:color="000000" w:sz="4" w:space="0"/>
              <w:right w:val="single" w:color="000000" w:sz="4" w:space="0"/>
              <w:tl2br w:val="nil"/>
            </w:tcBorders>
            <w:shd w:val="clear" w:color="000000" w:fill="FFFFFF"/>
            <w:noWrap/>
            <w:vAlign w:val="center"/>
          </w:tcPr>
          <w:p w14:paraId="07ECF6A9">
            <w:pPr>
              <w:pStyle w:val="69"/>
              <w:spacing w:before="65" w:after="65"/>
              <w:rPr>
                <w:rFonts w:cs="Times New Roman"/>
                <w:b/>
                <w:bCs w:val="0"/>
                <w:color w:val="auto"/>
                <w:highlight w:val="none"/>
              </w:rPr>
            </w:pPr>
            <w:r>
              <w:rPr>
                <w:rFonts w:cs="Times New Roman"/>
                <w:b/>
                <w:bCs w:val="0"/>
                <w:color w:val="auto"/>
                <w:highlight w:val="none"/>
              </w:rPr>
              <w:t>位置</w:t>
            </w:r>
          </w:p>
        </w:tc>
        <w:tc>
          <w:tcPr>
            <w:tcW w:w="453" w:type="pct"/>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8BF659F">
            <w:pPr>
              <w:pStyle w:val="69"/>
              <w:spacing w:before="65" w:after="65"/>
              <w:rPr>
                <w:rFonts w:cs="Times New Roman"/>
                <w:b/>
                <w:bCs w:val="0"/>
                <w:color w:val="auto"/>
                <w:highlight w:val="none"/>
              </w:rPr>
            </w:pPr>
            <w:r>
              <w:rPr>
                <w:rFonts w:cs="Times New Roman"/>
                <w:b/>
                <w:bCs w:val="0"/>
                <w:color w:val="auto"/>
                <w:highlight w:val="none"/>
              </w:rPr>
              <w:t>排气筒编号</w:t>
            </w:r>
          </w:p>
        </w:tc>
        <w:tc>
          <w:tcPr>
            <w:tcW w:w="787"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1AA4F64">
            <w:pPr>
              <w:pStyle w:val="69"/>
              <w:spacing w:before="65" w:after="65"/>
              <w:rPr>
                <w:rFonts w:cs="Times New Roman"/>
                <w:b/>
                <w:bCs w:val="0"/>
                <w:color w:val="auto"/>
                <w:highlight w:val="none"/>
              </w:rPr>
            </w:pPr>
            <w:r>
              <w:rPr>
                <w:rFonts w:cs="Times New Roman"/>
                <w:b/>
                <w:bCs w:val="0"/>
                <w:color w:val="auto"/>
                <w:highlight w:val="none"/>
              </w:rPr>
              <w:t>排气筒个数/高度/内径</w:t>
            </w:r>
          </w:p>
        </w:tc>
        <w:tc>
          <w:tcPr>
            <w:tcW w:w="454" w:type="pct"/>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DB485E0">
            <w:pPr>
              <w:pStyle w:val="69"/>
              <w:spacing w:before="65" w:after="65"/>
              <w:rPr>
                <w:rFonts w:cs="Times New Roman"/>
                <w:b/>
                <w:bCs w:val="0"/>
                <w:color w:val="auto"/>
                <w:highlight w:val="none"/>
              </w:rPr>
            </w:pPr>
            <w:r>
              <w:rPr>
                <w:rFonts w:cs="Times New Roman"/>
                <w:b/>
                <w:bCs w:val="0"/>
                <w:color w:val="auto"/>
                <w:highlight w:val="none"/>
              </w:rPr>
              <w:t>烟气温度℃</w:t>
            </w:r>
          </w:p>
        </w:tc>
        <w:tc>
          <w:tcPr>
            <w:tcW w:w="522" w:type="pct"/>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1808DFB">
            <w:pPr>
              <w:pStyle w:val="69"/>
              <w:spacing w:before="65" w:after="65"/>
              <w:rPr>
                <w:rFonts w:cs="Times New Roman"/>
                <w:b/>
                <w:bCs w:val="0"/>
                <w:color w:val="auto"/>
                <w:highlight w:val="none"/>
              </w:rPr>
            </w:pPr>
            <w:r>
              <w:rPr>
                <w:rFonts w:cs="Times New Roman"/>
                <w:b/>
                <w:bCs w:val="0"/>
                <w:color w:val="auto"/>
                <w:highlight w:val="none"/>
              </w:rPr>
              <w:t>最大排气总量</w:t>
            </w:r>
          </w:p>
          <w:p w14:paraId="1BD3CB73">
            <w:pPr>
              <w:pStyle w:val="69"/>
              <w:spacing w:before="65" w:after="65"/>
              <w:rPr>
                <w:rFonts w:cs="Times New Roman"/>
                <w:b/>
                <w:bCs w:val="0"/>
                <w:color w:val="auto"/>
                <w:highlight w:val="none"/>
              </w:rPr>
            </w:pPr>
            <w:r>
              <w:rPr>
                <w:rFonts w:cs="Times New Roman"/>
                <w:b/>
                <w:bCs w:val="0"/>
                <w:color w:val="auto"/>
                <w:highlight w:val="none"/>
              </w:rPr>
              <w:t>(Nm</w:t>
            </w:r>
            <w:r>
              <w:rPr>
                <w:rFonts w:cs="Times New Roman"/>
                <w:b/>
                <w:bCs w:val="0"/>
                <w:color w:val="auto"/>
                <w:highlight w:val="none"/>
                <w:vertAlign w:val="superscript"/>
              </w:rPr>
              <w:t>3</w:t>
            </w:r>
            <w:r>
              <w:rPr>
                <w:rFonts w:cs="Times New Roman"/>
                <w:b/>
                <w:bCs w:val="0"/>
                <w:color w:val="auto"/>
                <w:highlight w:val="none"/>
              </w:rPr>
              <w:t>/h)</w:t>
            </w:r>
          </w:p>
        </w:tc>
        <w:tc>
          <w:tcPr>
            <w:tcW w:w="448" w:type="pct"/>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730B885">
            <w:pPr>
              <w:pStyle w:val="69"/>
              <w:spacing w:before="65" w:after="65"/>
              <w:rPr>
                <w:rFonts w:cs="Times New Roman"/>
                <w:b/>
                <w:bCs w:val="0"/>
                <w:color w:val="auto"/>
                <w:highlight w:val="none"/>
              </w:rPr>
            </w:pPr>
            <w:r>
              <w:rPr>
                <w:rFonts w:cs="Times New Roman"/>
                <w:b/>
                <w:bCs w:val="0"/>
                <w:color w:val="auto"/>
                <w:highlight w:val="none"/>
              </w:rPr>
              <w:t>污染物名称</w:t>
            </w:r>
          </w:p>
        </w:tc>
        <w:tc>
          <w:tcPr>
            <w:tcW w:w="1892" w:type="pct"/>
            <w:gridSpan w:val="3"/>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239392">
            <w:pPr>
              <w:pStyle w:val="69"/>
              <w:spacing w:before="65" w:after="65"/>
              <w:rPr>
                <w:rFonts w:cs="Times New Roman"/>
                <w:b/>
                <w:bCs w:val="0"/>
                <w:color w:val="auto"/>
                <w:highlight w:val="none"/>
              </w:rPr>
            </w:pPr>
            <w:r>
              <w:rPr>
                <w:rFonts w:cs="Times New Roman"/>
                <w:b/>
                <w:bCs w:val="0"/>
                <w:color w:val="auto"/>
                <w:highlight w:val="none"/>
              </w:rPr>
              <w:t>排放情况</w:t>
            </w:r>
          </w:p>
        </w:tc>
      </w:tr>
      <w:tr w14:paraId="08EA13D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61" w:hRule="atLeast"/>
          <w:tblHeader/>
          <w:jc w:val="center"/>
        </w:trPr>
        <w:tc>
          <w:tcPr>
            <w:tcW w:w="441" w:type="pct"/>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1AD56A7">
            <w:pPr>
              <w:pStyle w:val="69"/>
              <w:spacing w:before="65" w:after="65"/>
              <w:rPr>
                <w:rFonts w:cs="Times New Roman"/>
                <w:b/>
                <w:bCs w:val="0"/>
                <w:color w:val="auto"/>
                <w:highlight w:val="none"/>
              </w:rPr>
            </w:pPr>
          </w:p>
        </w:tc>
        <w:tc>
          <w:tcPr>
            <w:tcW w:w="453" w:type="pct"/>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1E1FA51">
            <w:pPr>
              <w:pStyle w:val="69"/>
              <w:spacing w:before="65" w:after="65"/>
              <w:rPr>
                <w:rFonts w:cs="Times New Roman"/>
                <w:b/>
                <w:bCs w:val="0"/>
                <w:color w:val="auto"/>
                <w:highlight w:val="none"/>
              </w:rPr>
            </w:pPr>
          </w:p>
        </w:tc>
        <w:tc>
          <w:tcPr>
            <w:tcW w:w="787"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4CD15E">
            <w:pPr>
              <w:pStyle w:val="69"/>
              <w:spacing w:before="65" w:after="65"/>
              <w:rPr>
                <w:rFonts w:cs="Times New Roman"/>
                <w:b/>
                <w:bCs w:val="0"/>
                <w:color w:val="auto"/>
                <w:highlight w:val="none"/>
              </w:rPr>
            </w:pPr>
            <w:r>
              <w:rPr>
                <w:rFonts w:cs="Times New Roman"/>
                <w:b/>
                <w:bCs w:val="0"/>
                <w:color w:val="auto"/>
                <w:highlight w:val="none"/>
              </w:rPr>
              <w:t>个/m/m</w:t>
            </w:r>
          </w:p>
        </w:tc>
        <w:tc>
          <w:tcPr>
            <w:tcW w:w="454" w:type="pct"/>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F08B1C1">
            <w:pPr>
              <w:pStyle w:val="69"/>
              <w:spacing w:before="65" w:after="65"/>
              <w:rPr>
                <w:rFonts w:cs="Times New Roman"/>
                <w:b/>
                <w:bCs w:val="0"/>
                <w:color w:val="auto"/>
                <w:highlight w:val="none"/>
              </w:rPr>
            </w:pPr>
          </w:p>
        </w:tc>
        <w:tc>
          <w:tcPr>
            <w:tcW w:w="522" w:type="pct"/>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B981234">
            <w:pPr>
              <w:pStyle w:val="69"/>
              <w:spacing w:before="65" w:after="65"/>
              <w:rPr>
                <w:rFonts w:cs="Times New Roman"/>
                <w:b/>
                <w:bCs w:val="0"/>
                <w:color w:val="auto"/>
                <w:highlight w:val="none"/>
              </w:rPr>
            </w:pPr>
          </w:p>
        </w:tc>
        <w:tc>
          <w:tcPr>
            <w:tcW w:w="448" w:type="pct"/>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3FF2D9C">
            <w:pPr>
              <w:pStyle w:val="69"/>
              <w:spacing w:before="65" w:after="65"/>
              <w:rPr>
                <w:rFonts w:cs="Times New Roman"/>
                <w:b/>
                <w:bCs w:val="0"/>
                <w:color w:val="auto"/>
                <w:highlight w:val="none"/>
              </w:rPr>
            </w:pPr>
          </w:p>
        </w:tc>
        <w:tc>
          <w:tcPr>
            <w:tcW w:w="465"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856F8C">
            <w:pPr>
              <w:pStyle w:val="69"/>
              <w:spacing w:before="65" w:after="65"/>
              <w:rPr>
                <w:rFonts w:cs="Times New Roman"/>
                <w:b/>
                <w:bCs w:val="0"/>
                <w:color w:val="auto"/>
                <w:highlight w:val="none"/>
              </w:rPr>
            </w:pPr>
            <w:r>
              <w:rPr>
                <w:rFonts w:cs="Times New Roman"/>
                <w:b/>
                <w:bCs w:val="0"/>
                <w:color w:val="auto"/>
                <w:highlight w:val="none"/>
              </w:rPr>
              <w:t>废气量m</w:t>
            </w:r>
            <w:r>
              <w:rPr>
                <w:rFonts w:cs="Times New Roman"/>
                <w:b/>
                <w:bCs w:val="0"/>
                <w:color w:val="auto"/>
                <w:highlight w:val="none"/>
                <w:vertAlign w:val="superscript"/>
              </w:rPr>
              <w:t>3</w:t>
            </w:r>
            <w:r>
              <w:rPr>
                <w:rFonts w:cs="Times New Roman"/>
                <w:b/>
                <w:bCs w:val="0"/>
                <w:color w:val="auto"/>
                <w:highlight w:val="none"/>
              </w:rPr>
              <w:t>/h</w:t>
            </w:r>
          </w:p>
        </w:tc>
        <w:tc>
          <w:tcPr>
            <w:tcW w:w="746"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D151857">
            <w:pPr>
              <w:pStyle w:val="69"/>
              <w:spacing w:before="65" w:after="65"/>
              <w:rPr>
                <w:rFonts w:cs="Times New Roman"/>
                <w:b/>
                <w:bCs w:val="0"/>
                <w:color w:val="auto"/>
                <w:highlight w:val="none"/>
              </w:rPr>
            </w:pPr>
            <w:r>
              <w:rPr>
                <w:rFonts w:cs="Times New Roman"/>
                <w:b/>
                <w:bCs w:val="0"/>
                <w:color w:val="auto"/>
                <w:highlight w:val="none"/>
              </w:rPr>
              <w:t>最高排放浓度mg/m</w:t>
            </w:r>
            <w:r>
              <w:rPr>
                <w:rFonts w:cs="Times New Roman"/>
                <w:b/>
                <w:bCs w:val="0"/>
                <w:color w:val="auto"/>
                <w:highlight w:val="none"/>
                <w:vertAlign w:val="superscript"/>
              </w:rPr>
              <w:t>3</w:t>
            </w:r>
          </w:p>
        </w:tc>
        <w:tc>
          <w:tcPr>
            <w:tcW w:w="681"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538A35">
            <w:pPr>
              <w:pStyle w:val="69"/>
              <w:spacing w:before="65" w:after="65"/>
              <w:rPr>
                <w:rFonts w:cs="Times New Roman"/>
                <w:b/>
                <w:bCs w:val="0"/>
                <w:color w:val="auto"/>
                <w:highlight w:val="none"/>
              </w:rPr>
            </w:pPr>
            <w:r>
              <w:rPr>
                <w:rFonts w:cs="Times New Roman"/>
                <w:b/>
                <w:bCs w:val="0"/>
                <w:color w:val="auto"/>
                <w:highlight w:val="none"/>
              </w:rPr>
              <w:t>最大排放速率kg/h</w:t>
            </w:r>
          </w:p>
        </w:tc>
      </w:tr>
      <w:tr w14:paraId="17DC7B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07A088">
            <w:pPr>
              <w:pStyle w:val="69"/>
              <w:spacing w:before="65" w:after="65"/>
              <w:rPr>
                <w:rFonts w:cs="Times New Roman"/>
                <w:color w:val="auto"/>
                <w:highlight w:val="none"/>
              </w:rPr>
            </w:pPr>
            <w:r>
              <w:rPr>
                <w:rFonts w:cs="Times New Roman"/>
                <w:color w:val="auto"/>
                <w:highlight w:val="none"/>
              </w:rPr>
              <w:t>碎矿车间</w:t>
            </w:r>
          </w:p>
        </w:tc>
        <w:tc>
          <w:tcPr>
            <w:tcW w:w="4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64631">
            <w:pPr>
              <w:pStyle w:val="69"/>
              <w:spacing w:before="65" w:after="65"/>
              <w:rPr>
                <w:rFonts w:cs="Times New Roman"/>
                <w:color w:val="auto"/>
                <w:highlight w:val="none"/>
              </w:rPr>
            </w:pPr>
            <w:r>
              <w:rPr>
                <w:rFonts w:cs="Times New Roman"/>
                <w:color w:val="auto"/>
                <w:highlight w:val="none"/>
              </w:rPr>
              <w:t>DA001</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F95E5">
            <w:pPr>
              <w:pStyle w:val="69"/>
              <w:spacing w:before="65" w:after="65"/>
              <w:rPr>
                <w:rFonts w:cs="Times New Roman"/>
                <w:color w:val="auto"/>
                <w:highlight w:val="none"/>
              </w:rPr>
            </w:pPr>
            <w:r>
              <w:rPr>
                <w:rFonts w:cs="Times New Roman"/>
                <w:color w:val="auto"/>
                <w:highlight w:val="none"/>
              </w:rPr>
              <w:t>1/15/1.2</w:t>
            </w:r>
          </w:p>
        </w:tc>
        <w:tc>
          <w:tcPr>
            <w:tcW w:w="45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67910">
            <w:pPr>
              <w:pStyle w:val="69"/>
              <w:spacing w:before="65" w:after="65"/>
              <w:rPr>
                <w:rFonts w:cs="Times New Roman"/>
                <w:color w:val="auto"/>
                <w:highlight w:val="none"/>
              </w:rPr>
            </w:pPr>
            <w:r>
              <w:rPr>
                <w:rFonts w:cs="Times New Roman"/>
                <w:color w:val="auto"/>
                <w:highlight w:val="none"/>
              </w:rPr>
              <w:t>25</w:t>
            </w:r>
          </w:p>
        </w:tc>
        <w:tc>
          <w:tcPr>
            <w:tcW w:w="52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F32DA">
            <w:pPr>
              <w:pStyle w:val="69"/>
              <w:spacing w:before="65" w:after="65"/>
              <w:rPr>
                <w:rFonts w:cs="Times New Roman"/>
                <w:color w:val="auto"/>
                <w:highlight w:val="none"/>
              </w:rPr>
            </w:pPr>
            <w:r>
              <w:rPr>
                <w:rFonts w:hint="eastAsia" w:cs="Times New Roman"/>
                <w:color w:val="auto"/>
                <w:highlight w:val="none"/>
              </w:rPr>
              <w:t>50000</w:t>
            </w:r>
          </w:p>
        </w:tc>
        <w:tc>
          <w:tcPr>
            <w:tcW w:w="44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EBF71">
            <w:pPr>
              <w:pStyle w:val="69"/>
              <w:spacing w:before="65" w:after="65"/>
              <w:rPr>
                <w:rFonts w:cs="Times New Roman"/>
                <w:color w:val="auto"/>
                <w:highlight w:val="none"/>
              </w:rPr>
            </w:pPr>
            <w:r>
              <w:rPr>
                <w:rFonts w:cs="Times New Roman"/>
                <w:color w:val="auto"/>
                <w:highlight w:val="none"/>
              </w:rPr>
              <w:t>颗粒物</w:t>
            </w:r>
          </w:p>
        </w:tc>
        <w:tc>
          <w:tcPr>
            <w:tcW w:w="46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3419F">
            <w:pPr>
              <w:pStyle w:val="69"/>
              <w:spacing w:before="65" w:after="65"/>
              <w:rPr>
                <w:rFonts w:cs="Times New Roman"/>
                <w:color w:val="auto"/>
                <w:highlight w:val="none"/>
              </w:rPr>
            </w:pPr>
            <w:r>
              <w:rPr>
                <w:rFonts w:hint="eastAsia" w:cs="Times New Roman"/>
                <w:color w:val="auto"/>
                <w:highlight w:val="none"/>
              </w:rPr>
              <w:t>50000</w:t>
            </w:r>
          </w:p>
        </w:tc>
        <w:tc>
          <w:tcPr>
            <w:tcW w:w="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293611">
            <w:pPr>
              <w:pStyle w:val="69"/>
              <w:spacing w:before="65" w:after="65"/>
              <w:rPr>
                <w:rFonts w:cs="Times New Roman"/>
                <w:color w:val="auto"/>
                <w:highlight w:val="none"/>
              </w:rPr>
            </w:pPr>
            <w:r>
              <w:rPr>
                <w:rFonts w:hint="eastAsia" w:cs="Times New Roman"/>
                <w:color w:val="auto"/>
                <w:highlight w:val="none"/>
              </w:rPr>
              <w:t>5.8</w:t>
            </w:r>
          </w:p>
        </w:tc>
        <w:tc>
          <w:tcPr>
            <w:tcW w:w="68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0C2B0E">
            <w:pPr>
              <w:pStyle w:val="69"/>
              <w:spacing w:before="65" w:after="65"/>
              <w:rPr>
                <w:rFonts w:cs="Times New Roman"/>
                <w:color w:val="auto"/>
                <w:highlight w:val="none"/>
              </w:rPr>
            </w:pPr>
            <w:r>
              <w:rPr>
                <w:rFonts w:hint="eastAsia" w:cs="Times New Roman"/>
                <w:color w:val="auto"/>
                <w:highlight w:val="none"/>
              </w:rPr>
              <w:t>0.29</w:t>
            </w:r>
          </w:p>
        </w:tc>
      </w:tr>
    </w:tbl>
    <w:p w14:paraId="0084290E">
      <w:pPr>
        <w:pStyle w:val="42"/>
        <w:adjustRightInd w:val="0"/>
        <w:ind w:firstLine="480"/>
        <w:rPr>
          <w:color w:val="auto"/>
          <w:highlight w:val="none"/>
        </w:rPr>
      </w:pPr>
    </w:p>
    <w:p w14:paraId="6927A951">
      <w:pPr>
        <w:pStyle w:val="42"/>
        <w:adjustRightInd w:val="0"/>
        <w:ind w:firstLine="480"/>
        <w:rPr>
          <w:color w:val="auto"/>
          <w:highlight w:val="none"/>
        </w:rPr>
      </w:pPr>
    </w:p>
    <w:p w14:paraId="31978136">
      <w:pPr>
        <w:pStyle w:val="42"/>
        <w:adjustRightInd w:val="0"/>
        <w:ind w:firstLine="480"/>
        <w:rPr>
          <w:color w:val="auto"/>
          <w:highlight w:val="none"/>
        </w:rPr>
      </w:pPr>
    </w:p>
    <w:p w14:paraId="1C44D26E">
      <w:pPr>
        <w:pStyle w:val="42"/>
        <w:adjustRightInd w:val="0"/>
        <w:ind w:firstLine="480"/>
        <w:rPr>
          <w:color w:val="auto"/>
          <w:highlight w:val="none"/>
        </w:rPr>
      </w:pPr>
    </w:p>
    <w:p w14:paraId="17498953">
      <w:pPr>
        <w:pStyle w:val="42"/>
        <w:adjustRightInd w:val="0"/>
        <w:ind w:firstLine="480"/>
        <w:rPr>
          <w:color w:val="auto"/>
          <w:highlight w:val="none"/>
        </w:rPr>
        <w:sectPr>
          <w:pgSz w:w="16838" w:h="11906" w:orient="landscape"/>
          <w:pgMar w:top="1800" w:right="1440" w:bottom="1800" w:left="1440" w:header="851" w:footer="992" w:gutter="0"/>
          <w:cols w:space="425" w:num="1"/>
          <w:docGrid w:type="lines" w:linePitch="326" w:charSpace="0"/>
        </w:sectPr>
      </w:pPr>
    </w:p>
    <w:p w14:paraId="7B25F3F0">
      <w:pPr>
        <w:pStyle w:val="42"/>
        <w:adjustRightInd w:val="0"/>
        <w:ind w:firstLine="480"/>
        <w:rPr>
          <w:color w:val="auto"/>
          <w:highlight w:val="none"/>
        </w:rPr>
      </w:pPr>
      <w:r>
        <w:rPr>
          <w:color w:val="auto"/>
          <w:highlight w:val="none"/>
        </w:rPr>
        <w:t>本项目无组织废气排放情况如下：</w:t>
      </w:r>
    </w:p>
    <w:p w14:paraId="7A0C46A1">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53</w:t>
      </w:r>
      <w:r>
        <w:rPr>
          <w:rFonts w:cs="Times New Roman"/>
          <w:color w:val="auto"/>
          <w:highlight w:val="none"/>
        </w:rPr>
        <w:fldChar w:fldCharType="end"/>
      </w:r>
      <w:r>
        <w:rPr>
          <w:rFonts w:cs="Times New Roman"/>
          <w:color w:val="auto"/>
          <w:highlight w:val="none"/>
        </w:rPr>
        <w:t>项目无组织大气污染物排放情况表</w:t>
      </w:r>
    </w:p>
    <w:tbl>
      <w:tblPr>
        <w:tblStyle w:val="31"/>
        <w:tblW w:w="4998"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78"/>
        <w:gridCol w:w="1137"/>
        <w:gridCol w:w="1425"/>
        <w:gridCol w:w="1092"/>
        <w:gridCol w:w="1193"/>
        <w:gridCol w:w="1545"/>
        <w:gridCol w:w="1050"/>
      </w:tblGrid>
      <w:tr w14:paraId="268ABE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632" w:type="pct"/>
            <w:tcBorders>
              <w:top w:val="single" w:color="000000" w:sz="4" w:space="0"/>
              <w:left w:val="single" w:color="000000" w:sz="4" w:space="0"/>
              <w:bottom w:val="single" w:color="000000" w:sz="4" w:space="0"/>
              <w:right w:val="single" w:color="000000" w:sz="4" w:space="0"/>
              <w:tl2br w:val="nil"/>
            </w:tcBorders>
            <w:shd w:val="clear" w:color="000000" w:fill="FFFFFF"/>
            <w:vAlign w:val="center"/>
          </w:tcPr>
          <w:p w14:paraId="43FE85D9">
            <w:pPr>
              <w:pStyle w:val="69"/>
              <w:spacing w:before="65" w:after="65"/>
              <w:rPr>
                <w:rFonts w:cs="Times New Roman"/>
                <w:b/>
                <w:bCs w:val="0"/>
                <w:color w:val="auto"/>
                <w:highlight w:val="none"/>
              </w:rPr>
            </w:pPr>
            <w:r>
              <w:rPr>
                <w:rFonts w:cs="Times New Roman"/>
                <w:b/>
                <w:bCs w:val="0"/>
                <w:color w:val="auto"/>
                <w:highlight w:val="none"/>
              </w:rPr>
              <w:t>污染源</w:t>
            </w:r>
          </w:p>
        </w:tc>
        <w:tc>
          <w:tcPr>
            <w:tcW w:w="667"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1661BD50">
            <w:pPr>
              <w:pStyle w:val="69"/>
              <w:spacing w:before="65" w:after="65"/>
              <w:rPr>
                <w:rFonts w:cs="Times New Roman"/>
                <w:b/>
                <w:bCs w:val="0"/>
                <w:color w:val="auto"/>
                <w:highlight w:val="none"/>
              </w:rPr>
            </w:pPr>
            <w:r>
              <w:rPr>
                <w:rFonts w:cs="Times New Roman"/>
                <w:b/>
                <w:bCs w:val="0"/>
                <w:color w:val="auto"/>
                <w:highlight w:val="none"/>
              </w:rPr>
              <w:t>污染物名称</w:t>
            </w:r>
          </w:p>
        </w:tc>
        <w:tc>
          <w:tcPr>
            <w:tcW w:w="835" w:type="pct"/>
            <w:tcBorders>
              <w:top w:val="single" w:color="000000" w:sz="4" w:space="0"/>
              <w:left w:val="single" w:color="000000" w:sz="4" w:space="0"/>
              <w:bottom w:val="single" w:color="000000" w:sz="4" w:space="0"/>
              <w:right w:val="single" w:color="000000" w:sz="4" w:space="0"/>
            </w:tcBorders>
            <w:shd w:val="clear" w:color="000000" w:fill="FFFFFF"/>
            <w:vAlign w:val="center"/>
          </w:tcPr>
          <w:p w14:paraId="3EA8539F">
            <w:pPr>
              <w:pStyle w:val="69"/>
              <w:spacing w:before="65" w:after="65"/>
              <w:rPr>
                <w:rFonts w:cs="Times New Roman"/>
                <w:b/>
                <w:bCs w:val="0"/>
                <w:color w:val="auto"/>
                <w:highlight w:val="none"/>
              </w:rPr>
            </w:pPr>
            <w:r>
              <w:rPr>
                <w:rFonts w:cs="Times New Roman"/>
                <w:b/>
                <w:bCs w:val="0"/>
                <w:color w:val="auto"/>
                <w:highlight w:val="none"/>
              </w:rPr>
              <w:t>无组织排放量(kg/h)</w:t>
            </w:r>
          </w:p>
        </w:tc>
        <w:tc>
          <w:tcPr>
            <w:tcW w:w="641"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9CBF05">
            <w:pPr>
              <w:pStyle w:val="69"/>
              <w:spacing w:before="65" w:after="65"/>
              <w:rPr>
                <w:rFonts w:cs="Times New Roman"/>
                <w:b/>
                <w:bCs w:val="0"/>
                <w:color w:val="auto"/>
                <w:highlight w:val="none"/>
              </w:rPr>
            </w:pPr>
            <w:r>
              <w:rPr>
                <w:rFonts w:cs="Times New Roman"/>
                <w:b/>
                <w:bCs w:val="0"/>
                <w:color w:val="auto"/>
                <w:highlight w:val="none"/>
              </w:rPr>
              <w:t>面源面积</w:t>
            </w:r>
          </w:p>
          <w:p w14:paraId="4A590EDD">
            <w:pPr>
              <w:pStyle w:val="69"/>
              <w:spacing w:before="65" w:after="65"/>
              <w:rPr>
                <w:rFonts w:cs="Times New Roman"/>
                <w:b/>
                <w:bCs w:val="0"/>
                <w:color w:val="auto"/>
                <w:highlight w:val="none"/>
              </w:rPr>
            </w:pPr>
            <w:r>
              <w:rPr>
                <w:rFonts w:cs="Times New Roman"/>
                <w:b/>
                <w:bCs w:val="0"/>
                <w:color w:val="auto"/>
                <w:highlight w:val="none"/>
              </w:rPr>
              <w:t>（m</w:t>
            </w:r>
            <w:r>
              <w:rPr>
                <w:rFonts w:cs="Times New Roman"/>
                <w:b/>
                <w:bCs w:val="0"/>
                <w:color w:val="auto"/>
                <w:highlight w:val="none"/>
                <w:vertAlign w:val="superscript"/>
              </w:rPr>
              <w:t>2</w:t>
            </w:r>
            <w:r>
              <w:rPr>
                <w:rFonts w:cs="Times New Roman"/>
                <w:b/>
                <w:bCs w:val="0"/>
                <w:color w:val="auto"/>
                <w:highlight w:val="none"/>
              </w:rPr>
              <w:t>）</w:t>
            </w:r>
          </w:p>
        </w:tc>
        <w:tc>
          <w:tcPr>
            <w:tcW w:w="700"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9C0B47">
            <w:pPr>
              <w:pStyle w:val="69"/>
              <w:spacing w:before="65" w:after="65"/>
              <w:rPr>
                <w:rFonts w:cs="Times New Roman"/>
                <w:b/>
                <w:bCs w:val="0"/>
                <w:color w:val="auto"/>
                <w:highlight w:val="none"/>
              </w:rPr>
            </w:pPr>
            <w:r>
              <w:rPr>
                <w:rFonts w:cs="Times New Roman"/>
                <w:b/>
                <w:bCs w:val="0"/>
                <w:color w:val="auto"/>
                <w:highlight w:val="none"/>
              </w:rPr>
              <w:t>面源长度</w:t>
            </w:r>
          </w:p>
          <w:p w14:paraId="5E697836">
            <w:pPr>
              <w:pStyle w:val="69"/>
              <w:spacing w:before="65" w:after="65"/>
              <w:rPr>
                <w:rFonts w:cs="Times New Roman"/>
                <w:b/>
                <w:bCs w:val="0"/>
                <w:color w:val="auto"/>
                <w:highlight w:val="none"/>
              </w:rPr>
            </w:pPr>
            <w:r>
              <w:rPr>
                <w:rFonts w:cs="Times New Roman"/>
                <w:b/>
                <w:bCs w:val="0"/>
                <w:color w:val="auto"/>
                <w:highlight w:val="none"/>
              </w:rPr>
              <w:t>(m)</w:t>
            </w:r>
          </w:p>
        </w:tc>
        <w:tc>
          <w:tcPr>
            <w:tcW w:w="906"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358C28">
            <w:pPr>
              <w:pStyle w:val="69"/>
              <w:spacing w:before="65" w:after="65"/>
              <w:rPr>
                <w:rFonts w:cs="Times New Roman"/>
                <w:b/>
                <w:bCs w:val="0"/>
                <w:color w:val="auto"/>
                <w:highlight w:val="none"/>
              </w:rPr>
            </w:pPr>
            <w:r>
              <w:rPr>
                <w:rFonts w:cs="Times New Roman"/>
                <w:b/>
                <w:bCs w:val="0"/>
                <w:color w:val="auto"/>
                <w:highlight w:val="none"/>
              </w:rPr>
              <w:t>面源宽度（m）</w:t>
            </w:r>
          </w:p>
        </w:tc>
        <w:tc>
          <w:tcPr>
            <w:tcW w:w="616"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44E9A86">
            <w:pPr>
              <w:pStyle w:val="69"/>
              <w:spacing w:before="65" w:after="65"/>
              <w:rPr>
                <w:rFonts w:cs="Times New Roman"/>
                <w:b/>
                <w:bCs w:val="0"/>
                <w:color w:val="auto"/>
                <w:highlight w:val="none"/>
              </w:rPr>
            </w:pPr>
            <w:r>
              <w:rPr>
                <w:rFonts w:cs="Times New Roman"/>
                <w:b/>
                <w:bCs w:val="0"/>
                <w:color w:val="auto"/>
                <w:highlight w:val="none"/>
              </w:rPr>
              <w:t>面源高度(m)</w:t>
            </w:r>
          </w:p>
        </w:tc>
      </w:tr>
      <w:tr w14:paraId="2EC33F0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restart"/>
            <w:tcBorders>
              <w:top w:val="single" w:color="000000" w:sz="4" w:space="0"/>
              <w:left w:val="single" w:color="000000" w:sz="4" w:space="0"/>
              <w:right w:val="single" w:color="000000" w:sz="4" w:space="0"/>
            </w:tcBorders>
            <w:shd w:val="clear" w:color="auto" w:fill="FFFFFF"/>
            <w:vAlign w:val="center"/>
          </w:tcPr>
          <w:p w14:paraId="33C69A30">
            <w:pPr>
              <w:pStyle w:val="69"/>
              <w:spacing w:before="65" w:after="65"/>
              <w:rPr>
                <w:rFonts w:cs="Times New Roman"/>
                <w:color w:val="auto"/>
                <w:highlight w:val="none"/>
              </w:rPr>
            </w:pPr>
            <w:r>
              <w:rPr>
                <w:rFonts w:cs="Times New Roman"/>
                <w:color w:val="auto"/>
                <w:highlight w:val="none"/>
              </w:rPr>
              <w:t>原矿仓库</w:t>
            </w: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5E380">
            <w:pPr>
              <w:pStyle w:val="69"/>
              <w:spacing w:before="65" w:after="65"/>
              <w:rPr>
                <w:rFonts w:cs="Times New Roman"/>
                <w:color w:val="auto"/>
                <w:highlight w:val="none"/>
              </w:rPr>
            </w:pPr>
            <w:r>
              <w:rPr>
                <w:rFonts w:cs="Times New Roman"/>
                <w:color w:val="auto"/>
                <w:highlight w:val="none"/>
              </w:rPr>
              <w:t>TSP</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58AF5">
            <w:pPr>
              <w:pStyle w:val="69"/>
              <w:spacing w:before="65" w:after="65"/>
              <w:rPr>
                <w:rFonts w:cs="Times New Roman"/>
                <w:color w:val="auto"/>
                <w:highlight w:val="none"/>
              </w:rPr>
            </w:pPr>
            <w:r>
              <w:rPr>
                <w:rFonts w:hint="eastAsia" w:cs="Times New Roman"/>
                <w:color w:val="auto"/>
                <w:highlight w:val="none"/>
              </w:rPr>
              <w:t>0.00845</w:t>
            </w:r>
          </w:p>
        </w:tc>
        <w:tc>
          <w:tcPr>
            <w:tcW w:w="641" w:type="pct"/>
            <w:vMerge w:val="restart"/>
            <w:tcBorders>
              <w:top w:val="single" w:color="000000" w:sz="4" w:space="0"/>
              <w:left w:val="single" w:color="000000" w:sz="4" w:space="0"/>
              <w:right w:val="single" w:color="000000" w:sz="4" w:space="0"/>
            </w:tcBorders>
            <w:shd w:val="clear" w:color="auto" w:fill="FFFFFF"/>
            <w:vAlign w:val="center"/>
          </w:tcPr>
          <w:p w14:paraId="1C708A3C">
            <w:pPr>
              <w:pStyle w:val="69"/>
              <w:spacing w:before="65" w:after="65"/>
              <w:rPr>
                <w:rFonts w:cs="Times New Roman"/>
                <w:color w:val="auto"/>
                <w:highlight w:val="none"/>
              </w:rPr>
            </w:pPr>
            <w:r>
              <w:rPr>
                <w:rFonts w:hint="eastAsia" w:cs="Times New Roman"/>
                <w:color w:val="auto"/>
                <w:highlight w:val="none"/>
              </w:rPr>
              <w:t>6150</w:t>
            </w:r>
          </w:p>
        </w:tc>
        <w:tc>
          <w:tcPr>
            <w:tcW w:w="700" w:type="pct"/>
            <w:vMerge w:val="restart"/>
            <w:tcBorders>
              <w:top w:val="single" w:color="000000" w:sz="4" w:space="0"/>
              <w:left w:val="single" w:color="000000" w:sz="4" w:space="0"/>
              <w:right w:val="single" w:color="000000" w:sz="4" w:space="0"/>
            </w:tcBorders>
            <w:shd w:val="clear" w:color="auto" w:fill="FFFFFF"/>
            <w:vAlign w:val="center"/>
          </w:tcPr>
          <w:p w14:paraId="2473E03D">
            <w:pPr>
              <w:pStyle w:val="69"/>
              <w:spacing w:before="65" w:after="65"/>
              <w:rPr>
                <w:rFonts w:cs="Times New Roman"/>
                <w:color w:val="auto"/>
                <w:highlight w:val="none"/>
              </w:rPr>
            </w:pPr>
            <w:r>
              <w:rPr>
                <w:rFonts w:hint="eastAsia" w:cs="Times New Roman"/>
                <w:color w:val="auto"/>
                <w:highlight w:val="none"/>
              </w:rPr>
              <w:t>82</w:t>
            </w:r>
          </w:p>
        </w:tc>
        <w:tc>
          <w:tcPr>
            <w:tcW w:w="906" w:type="pct"/>
            <w:vMerge w:val="restart"/>
            <w:tcBorders>
              <w:top w:val="single" w:color="000000" w:sz="4" w:space="0"/>
              <w:left w:val="single" w:color="000000" w:sz="4" w:space="0"/>
              <w:right w:val="single" w:color="000000" w:sz="4" w:space="0"/>
            </w:tcBorders>
            <w:shd w:val="clear" w:color="auto" w:fill="FFFFFF"/>
            <w:vAlign w:val="center"/>
          </w:tcPr>
          <w:p w14:paraId="0C6E3FBB">
            <w:pPr>
              <w:pStyle w:val="69"/>
              <w:spacing w:before="65" w:after="65"/>
              <w:rPr>
                <w:rFonts w:cs="Times New Roman"/>
                <w:color w:val="auto"/>
                <w:highlight w:val="none"/>
              </w:rPr>
            </w:pPr>
            <w:r>
              <w:rPr>
                <w:rFonts w:cs="Times New Roman"/>
                <w:color w:val="auto"/>
                <w:highlight w:val="none"/>
              </w:rPr>
              <w:t>75</w:t>
            </w:r>
          </w:p>
        </w:tc>
        <w:tc>
          <w:tcPr>
            <w:tcW w:w="616" w:type="pct"/>
            <w:vMerge w:val="restart"/>
            <w:tcBorders>
              <w:top w:val="single" w:color="000000" w:sz="4" w:space="0"/>
              <w:left w:val="single" w:color="000000" w:sz="4" w:space="0"/>
              <w:right w:val="single" w:color="000000" w:sz="4" w:space="0"/>
            </w:tcBorders>
            <w:shd w:val="clear" w:color="auto" w:fill="FFFFFF"/>
            <w:vAlign w:val="center"/>
          </w:tcPr>
          <w:p w14:paraId="7C8FABEB">
            <w:pPr>
              <w:pStyle w:val="69"/>
              <w:spacing w:before="65" w:after="65"/>
              <w:rPr>
                <w:rFonts w:cs="Times New Roman"/>
                <w:color w:val="auto"/>
                <w:highlight w:val="none"/>
              </w:rPr>
            </w:pPr>
            <w:r>
              <w:rPr>
                <w:rFonts w:cs="Times New Roman"/>
                <w:color w:val="auto"/>
                <w:highlight w:val="none"/>
              </w:rPr>
              <w:t>20</w:t>
            </w:r>
          </w:p>
        </w:tc>
      </w:tr>
      <w:tr w14:paraId="011BF6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13567FC3">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00B7E">
            <w:pPr>
              <w:pStyle w:val="69"/>
              <w:spacing w:before="65" w:after="65"/>
              <w:rPr>
                <w:rFonts w:cs="Times New Roman"/>
                <w:color w:val="auto"/>
                <w:highlight w:val="none"/>
              </w:rPr>
            </w:pPr>
            <w:r>
              <w:rPr>
                <w:rFonts w:hint="eastAsia" w:cs="Times New Roman"/>
                <w:color w:val="auto"/>
                <w:highlight w:val="none"/>
              </w:rPr>
              <w:t>PM</w:t>
            </w:r>
            <w:r>
              <w:rPr>
                <w:rFonts w:hint="eastAsia" w:cs="Times New Roman"/>
                <w:color w:val="auto"/>
                <w:highlight w:val="none"/>
                <w:vertAlign w:val="subscript"/>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5CEB1">
            <w:pPr>
              <w:pStyle w:val="69"/>
              <w:spacing w:before="65" w:after="65"/>
              <w:rPr>
                <w:rFonts w:cs="Times New Roman"/>
                <w:color w:val="auto"/>
                <w:highlight w:val="none"/>
              </w:rPr>
            </w:pPr>
            <w:r>
              <w:rPr>
                <w:rFonts w:hint="eastAsia" w:cs="Times New Roman"/>
                <w:color w:val="auto"/>
                <w:highlight w:val="none"/>
              </w:rPr>
              <w:t>0.00507</w:t>
            </w:r>
          </w:p>
        </w:tc>
        <w:tc>
          <w:tcPr>
            <w:tcW w:w="641" w:type="pct"/>
            <w:vMerge w:val="continue"/>
            <w:tcBorders>
              <w:left w:val="single" w:color="000000" w:sz="4" w:space="0"/>
              <w:right w:val="single" w:color="000000" w:sz="4" w:space="0"/>
            </w:tcBorders>
            <w:shd w:val="clear" w:color="auto" w:fill="FFFFFF"/>
            <w:vAlign w:val="center"/>
          </w:tcPr>
          <w:p w14:paraId="2B874820">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vAlign w:val="center"/>
          </w:tcPr>
          <w:p w14:paraId="7FE6B5C8">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vAlign w:val="center"/>
          </w:tcPr>
          <w:p w14:paraId="50D8C8C5">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vAlign w:val="center"/>
          </w:tcPr>
          <w:p w14:paraId="279B0502">
            <w:pPr>
              <w:pStyle w:val="69"/>
              <w:spacing w:before="65" w:after="65"/>
              <w:rPr>
                <w:rFonts w:cs="Times New Roman"/>
                <w:color w:val="auto"/>
                <w:highlight w:val="none"/>
              </w:rPr>
            </w:pPr>
          </w:p>
        </w:tc>
      </w:tr>
      <w:tr w14:paraId="09D6AD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bottom w:val="single" w:color="000000" w:sz="4" w:space="0"/>
              <w:right w:val="single" w:color="000000" w:sz="4" w:space="0"/>
            </w:tcBorders>
            <w:shd w:val="clear" w:color="auto" w:fill="FFFFFF"/>
            <w:vAlign w:val="center"/>
          </w:tcPr>
          <w:p w14:paraId="28CFE908">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B9A25">
            <w:pPr>
              <w:pStyle w:val="69"/>
              <w:spacing w:before="65" w:after="65"/>
              <w:rPr>
                <w:rFonts w:cs="Times New Roman"/>
                <w:color w:val="auto"/>
                <w:highlight w:val="none"/>
              </w:rPr>
            </w:pPr>
            <w:r>
              <w:rPr>
                <w:rFonts w:cs="Times New Roman"/>
                <w:color w:val="auto"/>
                <w:highlight w:val="none"/>
              </w:rPr>
              <w:t>PM</w:t>
            </w:r>
            <w:r>
              <w:rPr>
                <w:rFonts w:hint="eastAsia" w:cs="Times New Roman"/>
                <w:color w:val="auto"/>
                <w:highlight w:val="none"/>
                <w:vertAlign w:val="subscript"/>
              </w:rPr>
              <w:t>2.5</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5524C">
            <w:pPr>
              <w:pStyle w:val="69"/>
              <w:spacing w:before="65" w:after="65"/>
              <w:rPr>
                <w:rFonts w:cs="Times New Roman"/>
                <w:color w:val="auto"/>
                <w:highlight w:val="none"/>
              </w:rPr>
            </w:pPr>
            <w:r>
              <w:rPr>
                <w:rFonts w:hint="eastAsia" w:cs="Times New Roman"/>
                <w:color w:val="auto"/>
                <w:highlight w:val="none"/>
              </w:rPr>
              <w:t>0.002535</w:t>
            </w:r>
          </w:p>
        </w:tc>
        <w:tc>
          <w:tcPr>
            <w:tcW w:w="641" w:type="pct"/>
            <w:vMerge w:val="continue"/>
            <w:tcBorders>
              <w:left w:val="single" w:color="000000" w:sz="4" w:space="0"/>
              <w:bottom w:val="single" w:color="000000" w:sz="4" w:space="0"/>
              <w:right w:val="single" w:color="000000" w:sz="4" w:space="0"/>
            </w:tcBorders>
            <w:shd w:val="clear" w:color="auto" w:fill="FFFFFF"/>
            <w:vAlign w:val="center"/>
          </w:tcPr>
          <w:p w14:paraId="46F30F77">
            <w:pPr>
              <w:pStyle w:val="69"/>
              <w:spacing w:before="65" w:after="65"/>
              <w:rPr>
                <w:rFonts w:cs="Times New Roman"/>
                <w:color w:val="auto"/>
                <w:highlight w:val="none"/>
              </w:rPr>
            </w:pPr>
          </w:p>
        </w:tc>
        <w:tc>
          <w:tcPr>
            <w:tcW w:w="700" w:type="pct"/>
            <w:vMerge w:val="continue"/>
            <w:tcBorders>
              <w:left w:val="single" w:color="000000" w:sz="4" w:space="0"/>
              <w:bottom w:val="single" w:color="000000" w:sz="4" w:space="0"/>
              <w:right w:val="single" w:color="000000" w:sz="4" w:space="0"/>
            </w:tcBorders>
            <w:shd w:val="clear" w:color="auto" w:fill="FFFFFF"/>
            <w:vAlign w:val="center"/>
          </w:tcPr>
          <w:p w14:paraId="75A52A9C">
            <w:pPr>
              <w:pStyle w:val="69"/>
              <w:spacing w:before="65" w:after="65"/>
              <w:rPr>
                <w:rFonts w:cs="Times New Roman"/>
                <w:color w:val="auto"/>
                <w:highlight w:val="none"/>
              </w:rPr>
            </w:pPr>
          </w:p>
        </w:tc>
        <w:tc>
          <w:tcPr>
            <w:tcW w:w="906" w:type="pct"/>
            <w:vMerge w:val="continue"/>
            <w:tcBorders>
              <w:left w:val="single" w:color="000000" w:sz="4" w:space="0"/>
              <w:bottom w:val="single" w:color="000000" w:sz="4" w:space="0"/>
              <w:right w:val="single" w:color="000000" w:sz="4" w:space="0"/>
            </w:tcBorders>
            <w:shd w:val="clear" w:color="auto" w:fill="FFFFFF"/>
            <w:vAlign w:val="center"/>
          </w:tcPr>
          <w:p w14:paraId="5C608F77">
            <w:pPr>
              <w:pStyle w:val="69"/>
              <w:spacing w:before="65" w:after="65"/>
              <w:rPr>
                <w:rFonts w:cs="Times New Roman"/>
                <w:color w:val="auto"/>
                <w:highlight w:val="none"/>
              </w:rPr>
            </w:pPr>
          </w:p>
        </w:tc>
        <w:tc>
          <w:tcPr>
            <w:tcW w:w="616" w:type="pct"/>
            <w:vMerge w:val="continue"/>
            <w:tcBorders>
              <w:left w:val="single" w:color="000000" w:sz="4" w:space="0"/>
              <w:bottom w:val="single" w:color="000000" w:sz="4" w:space="0"/>
              <w:right w:val="single" w:color="000000" w:sz="4" w:space="0"/>
            </w:tcBorders>
            <w:shd w:val="clear" w:color="auto" w:fill="FFFFFF"/>
            <w:vAlign w:val="center"/>
          </w:tcPr>
          <w:p w14:paraId="7F6CBE8A">
            <w:pPr>
              <w:pStyle w:val="69"/>
              <w:spacing w:before="65" w:after="65"/>
              <w:rPr>
                <w:rFonts w:cs="Times New Roman"/>
                <w:color w:val="auto"/>
                <w:highlight w:val="none"/>
              </w:rPr>
            </w:pPr>
          </w:p>
        </w:tc>
      </w:tr>
      <w:tr w14:paraId="3D0D05F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restart"/>
            <w:tcBorders>
              <w:top w:val="single" w:color="000000" w:sz="4" w:space="0"/>
              <w:left w:val="single" w:color="000000" w:sz="4" w:space="0"/>
              <w:right w:val="single" w:color="000000" w:sz="4" w:space="0"/>
            </w:tcBorders>
            <w:shd w:val="clear" w:color="auto" w:fill="FFFFFF"/>
            <w:vAlign w:val="center"/>
          </w:tcPr>
          <w:p w14:paraId="0BBA459D">
            <w:pPr>
              <w:pStyle w:val="69"/>
              <w:spacing w:before="65" w:after="65"/>
              <w:rPr>
                <w:rFonts w:cs="Times New Roman"/>
                <w:color w:val="auto"/>
                <w:highlight w:val="none"/>
              </w:rPr>
            </w:pPr>
            <w:r>
              <w:rPr>
                <w:rFonts w:cs="Times New Roman"/>
                <w:color w:val="auto"/>
                <w:highlight w:val="none"/>
              </w:rPr>
              <w:t>碎矿车间</w:t>
            </w: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D42C0">
            <w:pPr>
              <w:pStyle w:val="69"/>
              <w:spacing w:before="65" w:after="65"/>
              <w:rPr>
                <w:rFonts w:cs="Times New Roman"/>
                <w:color w:val="auto"/>
                <w:highlight w:val="none"/>
              </w:rPr>
            </w:pPr>
            <w:r>
              <w:rPr>
                <w:rFonts w:cs="Times New Roman"/>
                <w:color w:val="auto"/>
                <w:highlight w:val="none"/>
              </w:rPr>
              <w:t>TSP</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66165">
            <w:pPr>
              <w:pStyle w:val="69"/>
              <w:spacing w:before="65" w:after="65"/>
              <w:rPr>
                <w:rFonts w:cs="Times New Roman"/>
                <w:color w:val="auto"/>
                <w:highlight w:val="none"/>
              </w:rPr>
            </w:pPr>
            <w:r>
              <w:rPr>
                <w:rFonts w:hint="eastAsia" w:cs="Times New Roman"/>
                <w:color w:val="auto"/>
                <w:highlight w:val="none"/>
              </w:rPr>
              <w:t>0.1875</w:t>
            </w:r>
          </w:p>
        </w:tc>
        <w:tc>
          <w:tcPr>
            <w:tcW w:w="641" w:type="pct"/>
            <w:vMerge w:val="restart"/>
            <w:tcBorders>
              <w:top w:val="single" w:color="000000" w:sz="4" w:space="0"/>
              <w:left w:val="single" w:color="000000" w:sz="4" w:space="0"/>
              <w:right w:val="single" w:color="000000" w:sz="4" w:space="0"/>
            </w:tcBorders>
            <w:shd w:val="clear" w:color="auto" w:fill="FFFFFF"/>
            <w:noWrap/>
            <w:vAlign w:val="center"/>
          </w:tcPr>
          <w:p w14:paraId="54932885">
            <w:pPr>
              <w:pStyle w:val="69"/>
              <w:spacing w:before="65" w:after="65"/>
              <w:rPr>
                <w:rFonts w:cs="Times New Roman"/>
                <w:color w:val="auto"/>
                <w:highlight w:val="none"/>
              </w:rPr>
            </w:pPr>
            <w:r>
              <w:rPr>
                <w:rFonts w:hint="eastAsia" w:cs="Times New Roman"/>
                <w:color w:val="auto"/>
                <w:highlight w:val="none"/>
              </w:rPr>
              <w:t>1372</w:t>
            </w:r>
          </w:p>
        </w:tc>
        <w:tc>
          <w:tcPr>
            <w:tcW w:w="700" w:type="pct"/>
            <w:vMerge w:val="restart"/>
            <w:tcBorders>
              <w:top w:val="single" w:color="000000" w:sz="4" w:space="0"/>
              <w:left w:val="single" w:color="000000" w:sz="4" w:space="0"/>
              <w:right w:val="single" w:color="000000" w:sz="4" w:space="0"/>
            </w:tcBorders>
            <w:shd w:val="clear" w:color="auto" w:fill="FFFFFF"/>
            <w:noWrap/>
            <w:vAlign w:val="center"/>
          </w:tcPr>
          <w:p w14:paraId="2C866570">
            <w:pPr>
              <w:pStyle w:val="69"/>
              <w:spacing w:before="65" w:after="65"/>
              <w:rPr>
                <w:rFonts w:cs="Times New Roman"/>
                <w:color w:val="auto"/>
                <w:highlight w:val="none"/>
              </w:rPr>
            </w:pPr>
            <w:r>
              <w:rPr>
                <w:rFonts w:hint="eastAsia" w:cs="Times New Roman"/>
                <w:color w:val="auto"/>
                <w:highlight w:val="none"/>
              </w:rPr>
              <w:t>98</w:t>
            </w:r>
          </w:p>
        </w:tc>
        <w:tc>
          <w:tcPr>
            <w:tcW w:w="906" w:type="pct"/>
            <w:vMerge w:val="restart"/>
            <w:tcBorders>
              <w:top w:val="single" w:color="000000" w:sz="4" w:space="0"/>
              <w:left w:val="single" w:color="000000" w:sz="4" w:space="0"/>
              <w:right w:val="single" w:color="000000" w:sz="4" w:space="0"/>
            </w:tcBorders>
            <w:shd w:val="clear" w:color="auto" w:fill="FFFFFF"/>
            <w:noWrap/>
            <w:vAlign w:val="center"/>
          </w:tcPr>
          <w:p w14:paraId="3AEE3B7A">
            <w:pPr>
              <w:pStyle w:val="69"/>
              <w:spacing w:before="65" w:after="65"/>
              <w:rPr>
                <w:rFonts w:cs="Times New Roman"/>
                <w:color w:val="auto"/>
                <w:highlight w:val="none"/>
              </w:rPr>
            </w:pPr>
            <w:r>
              <w:rPr>
                <w:rFonts w:hint="eastAsia" w:cs="Times New Roman"/>
                <w:color w:val="auto"/>
                <w:highlight w:val="none"/>
              </w:rPr>
              <w:t>14</w:t>
            </w:r>
          </w:p>
        </w:tc>
        <w:tc>
          <w:tcPr>
            <w:tcW w:w="616" w:type="pct"/>
            <w:vMerge w:val="restart"/>
            <w:tcBorders>
              <w:top w:val="single" w:color="000000" w:sz="4" w:space="0"/>
              <w:left w:val="single" w:color="000000" w:sz="4" w:space="0"/>
              <w:right w:val="single" w:color="000000" w:sz="4" w:space="0"/>
            </w:tcBorders>
            <w:shd w:val="clear" w:color="auto" w:fill="FFFFFF"/>
            <w:noWrap/>
            <w:vAlign w:val="center"/>
          </w:tcPr>
          <w:p w14:paraId="606C7D3A">
            <w:pPr>
              <w:pStyle w:val="69"/>
              <w:spacing w:before="65" w:after="65"/>
              <w:rPr>
                <w:rFonts w:cs="Times New Roman"/>
                <w:color w:val="auto"/>
                <w:highlight w:val="none"/>
              </w:rPr>
            </w:pPr>
            <w:r>
              <w:rPr>
                <w:rFonts w:hint="eastAsia" w:cs="Times New Roman"/>
                <w:color w:val="auto"/>
                <w:highlight w:val="none"/>
              </w:rPr>
              <w:t>20</w:t>
            </w:r>
          </w:p>
        </w:tc>
      </w:tr>
      <w:tr w14:paraId="3377D70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37AAC426">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3C377">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E8805">
            <w:pPr>
              <w:pStyle w:val="69"/>
              <w:spacing w:before="65" w:after="65"/>
              <w:rPr>
                <w:rFonts w:cs="Times New Roman"/>
                <w:color w:val="auto"/>
                <w:highlight w:val="none"/>
              </w:rPr>
            </w:pPr>
            <w:r>
              <w:rPr>
                <w:rFonts w:hint="eastAsia" w:cs="Times New Roman"/>
                <w:color w:val="auto"/>
                <w:highlight w:val="none"/>
              </w:rPr>
              <w:t>0.1125</w:t>
            </w:r>
          </w:p>
        </w:tc>
        <w:tc>
          <w:tcPr>
            <w:tcW w:w="641" w:type="pct"/>
            <w:vMerge w:val="continue"/>
            <w:tcBorders>
              <w:left w:val="single" w:color="000000" w:sz="4" w:space="0"/>
              <w:right w:val="single" w:color="000000" w:sz="4" w:space="0"/>
            </w:tcBorders>
            <w:shd w:val="clear" w:color="auto" w:fill="FFFFFF"/>
            <w:noWrap/>
            <w:vAlign w:val="center"/>
          </w:tcPr>
          <w:p w14:paraId="3514EED9">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noWrap/>
            <w:vAlign w:val="center"/>
          </w:tcPr>
          <w:p w14:paraId="7F1BDC29">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noWrap/>
            <w:vAlign w:val="center"/>
          </w:tcPr>
          <w:p w14:paraId="6ADA0F39">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noWrap/>
            <w:vAlign w:val="center"/>
          </w:tcPr>
          <w:p w14:paraId="4A86E123">
            <w:pPr>
              <w:pStyle w:val="69"/>
              <w:spacing w:before="65" w:after="65"/>
              <w:rPr>
                <w:rFonts w:cs="Times New Roman"/>
                <w:color w:val="auto"/>
                <w:highlight w:val="none"/>
              </w:rPr>
            </w:pPr>
          </w:p>
        </w:tc>
      </w:tr>
      <w:tr w14:paraId="4037D6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1781F7AD">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07552D">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2.5</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B9B6D">
            <w:pPr>
              <w:pStyle w:val="69"/>
              <w:spacing w:before="65" w:after="65"/>
              <w:rPr>
                <w:rFonts w:cs="Times New Roman"/>
                <w:color w:val="auto"/>
                <w:highlight w:val="none"/>
              </w:rPr>
            </w:pPr>
            <w:r>
              <w:rPr>
                <w:rFonts w:hint="eastAsia" w:cs="Times New Roman"/>
                <w:color w:val="auto"/>
                <w:highlight w:val="none"/>
              </w:rPr>
              <w:t>0.05625</w:t>
            </w:r>
          </w:p>
        </w:tc>
        <w:tc>
          <w:tcPr>
            <w:tcW w:w="641" w:type="pct"/>
            <w:vMerge w:val="continue"/>
            <w:tcBorders>
              <w:left w:val="single" w:color="000000" w:sz="4" w:space="0"/>
              <w:right w:val="single" w:color="000000" w:sz="4" w:space="0"/>
            </w:tcBorders>
            <w:shd w:val="clear" w:color="auto" w:fill="FFFFFF"/>
            <w:noWrap/>
            <w:vAlign w:val="center"/>
          </w:tcPr>
          <w:p w14:paraId="29669D02">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noWrap/>
            <w:vAlign w:val="center"/>
          </w:tcPr>
          <w:p w14:paraId="60A22B98">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noWrap/>
            <w:vAlign w:val="center"/>
          </w:tcPr>
          <w:p w14:paraId="486F4634">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noWrap/>
            <w:vAlign w:val="center"/>
          </w:tcPr>
          <w:p w14:paraId="6FE50684">
            <w:pPr>
              <w:pStyle w:val="69"/>
              <w:spacing w:before="65" w:after="65"/>
              <w:rPr>
                <w:rFonts w:cs="Times New Roman"/>
                <w:color w:val="auto"/>
                <w:highlight w:val="none"/>
              </w:rPr>
            </w:pPr>
          </w:p>
        </w:tc>
      </w:tr>
      <w:tr w14:paraId="477CFD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restart"/>
            <w:tcBorders>
              <w:left w:val="single" w:color="000000" w:sz="4" w:space="0"/>
              <w:right w:val="single" w:color="000000" w:sz="4" w:space="0"/>
            </w:tcBorders>
            <w:shd w:val="clear" w:color="auto" w:fill="FFFFFF"/>
            <w:vAlign w:val="center"/>
          </w:tcPr>
          <w:p w14:paraId="3933E498">
            <w:pPr>
              <w:pStyle w:val="69"/>
              <w:spacing w:before="65" w:after="65"/>
              <w:rPr>
                <w:rFonts w:cs="Times New Roman"/>
                <w:color w:val="auto"/>
                <w:highlight w:val="none"/>
              </w:rPr>
            </w:pPr>
            <w:r>
              <w:rPr>
                <w:rFonts w:hint="eastAsia" w:cs="Times New Roman"/>
                <w:color w:val="auto"/>
                <w:highlight w:val="none"/>
              </w:rPr>
              <w:t>精矿仓库</w:t>
            </w: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58013">
            <w:pPr>
              <w:pStyle w:val="69"/>
              <w:spacing w:before="65" w:after="65"/>
              <w:rPr>
                <w:rFonts w:cs="Times New Roman"/>
                <w:color w:val="auto"/>
                <w:highlight w:val="none"/>
              </w:rPr>
            </w:pPr>
            <w:r>
              <w:rPr>
                <w:rFonts w:cs="Times New Roman"/>
                <w:color w:val="auto"/>
                <w:highlight w:val="none"/>
              </w:rPr>
              <w:t>TSP</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9F1F1D">
            <w:pPr>
              <w:pStyle w:val="69"/>
              <w:spacing w:before="65" w:after="65"/>
              <w:rPr>
                <w:rFonts w:cs="Times New Roman"/>
                <w:color w:val="auto"/>
                <w:highlight w:val="none"/>
              </w:rPr>
            </w:pPr>
            <w:r>
              <w:rPr>
                <w:rFonts w:hint="eastAsia" w:cs="Times New Roman"/>
                <w:color w:val="auto"/>
                <w:highlight w:val="none"/>
              </w:rPr>
              <w:t>0.00268</w:t>
            </w:r>
          </w:p>
        </w:tc>
        <w:tc>
          <w:tcPr>
            <w:tcW w:w="641" w:type="pct"/>
            <w:vMerge w:val="restart"/>
            <w:tcBorders>
              <w:left w:val="single" w:color="000000" w:sz="4" w:space="0"/>
              <w:right w:val="single" w:color="000000" w:sz="4" w:space="0"/>
            </w:tcBorders>
            <w:shd w:val="clear" w:color="auto" w:fill="FFFFFF"/>
            <w:noWrap/>
            <w:vAlign w:val="center"/>
          </w:tcPr>
          <w:p w14:paraId="4E795694">
            <w:pPr>
              <w:pStyle w:val="69"/>
              <w:spacing w:before="65" w:after="65"/>
              <w:rPr>
                <w:rFonts w:cs="Times New Roman"/>
                <w:color w:val="auto"/>
                <w:highlight w:val="none"/>
              </w:rPr>
            </w:pPr>
            <w:r>
              <w:rPr>
                <w:rFonts w:hint="eastAsia" w:cs="Times New Roman"/>
                <w:color w:val="auto"/>
                <w:highlight w:val="none"/>
              </w:rPr>
              <w:t>525</w:t>
            </w:r>
          </w:p>
        </w:tc>
        <w:tc>
          <w:tcPr>
            <w:tcW w:w="700" w:type="pct"/>
            <w:vMerge w:val="restart"/>
            <w:tcBorders>
              <w:left w:val="single" w:color="000000" w:sz="4" w:space="0"/>
              <w:right w:val="single" w:color="000000" w:sz="4" w:space="0"/>
            </w:tcBorders>
            <w:shd w:val="clear" w:color="auto" w:fill="FFFFFF"/>
            <w:noWrap/>
            <w:vAlign w:val="center"/>
          </w:tcPr>
          <w:p w14:paraId="1FFB4AB4">
            <w:pPr>
              <w:pStyle w:val="69"/>
              <w:spacing w:before="65" w:after="65"/>
              <w:rPr>
                <w:rFonts w:cs="Times New Roman"/>
                <w:color w:val="auto"/>
                <w:highlight w:val="none"/>
              </w:rPr>
            </w:pPr>
            <w:r>
              <w:rPr>
                <w:rFonts w:hint="eastAsia" w:cs="Times New Roman"/>
                <w:color w:val="auto"/>
                <w:highlight w:val="none"/>
              </w:rPr>
              <w:t>35</w:t>
            </w:r>
          </w:p>
        </w:tc>
        <w:tc>
          <w:tcPr>
            <w:tcW w:w="906" w:type="pct"/>
            <w:vMerge w:val="restart"/>
            <w:tcBorders>
              <w:left w:val="single" w:color="000000" w:sz="4" w:space="0"/>
              <w:right w:val="single" w:color="000000" w:sz="4" w:space="0"/>
            </w:tcBorders>
            <w:shd w:val="clear" w:color="auto" w:fill="FFFFFF"/>
            <w:noWrap/>
            <w:vAlign w:val="center"/>
          </w:tcPr>
          <w:p w14:paraId="066D9431">
            <w:pPr>
              <w:pStyle w:val="69"/>
              <w:spacing w:before="65" w:after="65"/>
              <w:rPr>
                <w:rFonts w:cs="Times New Roman"/>
                <w:color w:val="auto"/>
                <w:highlight w:val="none"/>
              </w:rPr>
            </w:pPr>
            <w:r>
              <w:rPr>
                <w:rFonts w:hint="eastAsia" w:cs="Times New Roman"/>
                <w:color w:val="auto"/>
                <w:highlight w:val="none"/>
              </w:rPr>
              <w:t>15</w:t>
            </w:r>
          </w:p>
        </w:tc>
        <w:tc>
          <w:tcPr>
            <w:tcW w:w="616" w:type="pct"/>
            <w:vMerge w:val="restart"/>
            <w:tcBorders>
              <w:left w:val="single" w:color="000000" w:sz="4" w:space="0"/>
              <w:right w:val="single" w:color="000000" w:sz="4" w:space="0"/>
            </w:tcBorders>
            <w:shd w:val="clear" w:color="auto" w:fill="FFFFFF"/>
            <w:noWrap/>
            <w:vAlign w:val="center"/>
          </w:tcPr>
          <w:p w14:paraId="34DAC324">
            <w:pPr>
              <w:pStyle w:val="69"/>
              <w:spacing w:before="65" w:after="65"/>
              <w:rPr>
                <w:rFonts w:cs="Times New Roman"/>
                <w:color w:val="auto"/>
                <w:highlight w:val="none"/>
              </w:rPr>
            </w:pPr>
            <w:r>
              <w:rPr>
                <w:rFonts w:hint="eastAsia" w:cs="Times New Roman"/>
                <w:color w:val="auto"/>
                <w:highlight w:val="none"/>
              </w:rPr>
              <w:t>20</w:t>
            </w:r>
          </w:p>
        </w:tc>
      </w:tr>
      <w:tr w14:paraId="63430D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2112B456">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CFF23">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4CEE2">
            <w:pPr>
              <w:pStyle w:val="69"/>
              <w:spacing w:before="65" w:after="65"/>
              <w:rPr>
                <w:rFonts w:cs="Times New Roman"/>
                <w:color w:val="auto"/>
                <w:highlight w:val="none"/>
              </w:rPr>
            </w:pPr>
            <w:r>
              <w:rPr>
                <w:rFonts w:hint="eastAsia" w:cs="Times New Roman"/>
                <w:color w:val="auto"/>
                <w:highlight w:val="none"/>
              </w:rPr>
              <w:t>0.001608</w:t>
            </w:r>
          </w:p>
        </w:tc>
        <w:tc>
          <w:tcPr>
            <w:tcW w:w="641" w:type="pct"/>
            <w:vMerge w:val="continue"/>
            <w:tcBorders>
              <w:left w:val="single" w:color="000000" w:sz="4" w:space="0"/>
              <w:right w:val="single" w:color="000000" w:sz="4" w:space="0"/>
            </w:tcBorders>
            <w:shd w:val="clear" w:color="auto" w:fill="FFFFFF"/>
            <w:noWrap/>
            <w:vAlign w:val="center"/>
          </w:tcPr>
          <w:p w14:paraId="14B1A6E5">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noWrap/>
            <w:vAlign w:val="center"/>
          </w:tcPr>
          <w:p w14:paraId="7E5C5D27">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noWrap/>
            <w:vAlign w:val="center"/>
          </w:tcPr>
          <w:p w14:paraId="386EA9B0">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noWrap/>
            <w:vAlign w:val="center"/>
          </w:tcPr>
          <w:p w14:paraId="08709CFB">
            <w:pPr>
              <w:pStyle w:val="69"/>
              <w:spacing w:before="65" w:after="65"/>
              <w:rPr>
                <w:rFonts w:cs="Times New Roman"/>
                <w:color w:val="auto"/>
                <w:highlight w:val="none"/>
              </w:rPr>
            </w:pPr>
          </w:p>
        </w:tc>
      </w:tr>
      <w:tr w14:paraId="0593D87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1E5934BF">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9489E">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2.5</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3CF4F">
            <w:pPr>
              <w:pStyle w:val="69"/>
              <w:spacing w:before="65" w:after="65"/>
              <w:rPr>
                <w:rFonts w:cs="Times New Roman"/>
                <w:color w:val="auto"/>
                <w:highlight w:val="none"/>
              </w:rPr>
            </w:pPr>
            <w:r>
              <w:rPr>
                <w:rFonts w:hint="eastAsia" w:cs="Times New Roman"/>
                <w:color w:val="auto"/>
                <w:highlight w:val="none"/>
              </w:rPr>
              <w:t>0.000804</w:t>
            </w:r>
          </w:p>
        </w:tc>
        <w:tc>
          <w:tcPr>
            <w:tcW w:w="641" w:type="pct"/>
            <w:vMerge w:val="continue"/>
            <w:tcBorders>
              <w:left w:val="single" w:color="000000" w:sz="4" w:space="0"/>
              <w:right w:val="single" w:color="000000" w:sz="4" w:space="0"/>
            </w:tcBorders>
            <w:shd w:val="clear" w:color="auto" w:fill="FFFFFF"/>
            <w:noWrap/>
            <w:vAlign w:val="center"/>
          </w:tcPr>
          <w:p w14:paraId="0AE4D17C">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noWrap/>
            <w:vAlign w:val="center"/>
          </w:tcPr>
          <w:p w14:paraId="074535FA">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noWrap/>
            <w:vAlign w:val="center"/>
          </w:tcPr>
          <w:p w14:paraId="05346694">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noWrap/>
            <w:vAlign w:val="center"/>
          </w:tcPr>
          <w:p w14:paraId="464FFC6E">
            <w:pPr>
              <w:pStyle w:val="69"/>
              <w:spacing w:before="65" w:after="65"/>
              <w:rPr>
                <w:rFonts w:cs="Times New Roman"/>
                <w:color w:val="auto"/>
                <w:highlight w:val="none"/>
              </w:rPr>
            </w:pPr>
          </w:p>
        </w:tc>
      </w:tr>
      <w:tr w14:paraId="247989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restart"/>
            <w:tcBorders>
              <w:left w:val="single" w:color="000000" w:sz="4" w:space="0"/>
              <w:right w:val="single" w:color="000000" w:sz="4" w:space="0"/>
            </w:tcBorders>
            <w:shd w:val="clear" w:color="auto" w:fill="FFFFFF"/>
            <w:vAlign w:val="center"/>
          </w:tcPr>
          <w:p w14:paraId="13E2F750">
            <w:pPr>
              <w:pStyle w:val="69"/>
              <w:spacing w:before="65" w:after="65"/>
              <w:rPr>
                <w:rFonts w:cs="Times New Roman"/>
                <w:color w:val="auto"/>
                <w:highlight w:val="none"/>
              </w:rPr>
            </w:pPr>
            <w:r>
              <w:rPr>
                <w:rFonts w:hint="eastAsia" w:cs="Times New Roman"/>
                <w:color w:val="auto"/>
                <w:highlight w:val="none"/>
              </w:rPr>
              <w:t>尾矿仓库</w:t>
            </w: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367B80">
            <w:pPr>
              <w:pStyle w:val="69"/>
              <w:spacing w:before="65" w:after="65"/>
              <w:rPr>
                <w:rFonts w:cs="Times New Roman"/>
                <w:color w:val="auto"/>
                <w:highlight w:val="none"/>
              </w:rPr>
            </w:pPr>
            <w:r>
              <w:rPr>
                <w:rFonts w:cs="Times New Roman"/>
                <w:color w:val="auto"/>
                <w:highlight w:val="none"/>
              </w:rPr>
              <w:t>TSP</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2CA343">
            <w:pPr>
              <w:pStyle w:val="69"/>
              <w:spacing w:before="65" w:after="65"/>
              <w:rPr>
                <w:rFonts w:cs="Times New Roman"/>
                <w:color w:val="auto"/>
                <w:highlight w:val="none"/>
              </w:rPr>
            </w:pPr>
            <w:r>
              <w:rPr>
                <w:rFonts w:hint="eastAsia" w:cs="Times New Roman"/>
                <w:color w:val="auto"/>
                <w:highlight w:val="none"/>
              </w:rPr>
              <w:t>0.00624</w:t>
            </w:r>
          </w:p>
        </w:tc>
        <w:tc>
          <w:tcPr>
            <w:tcW w:w="641" w:type="pct"/>
            <w:vMerge w:val="restart"/>
            <w:tcBorders>
              <w:left w:val="single" w:color="000000" w:sz="4" w:space="0"/>
              <w:right w:val="single" w:color="000000" w:sz="4" w:space="0"/>
            </w:tcBorders>
            <w:shd w:val="clear" w:color="auto" w:fill="FFFFFF"/>
            <w:noWrap/>
            <w:vAlign w:val="center"/>
          </w:tcPr>
          <w:p w14:paraId="497FF8F0">
            <w:pPr>
              <w:pStyle w:val="69"/>
              <w:spacing w:before="65" w:after="65"/>
              <w:rPr>
                <w:rFonts w:cs="Times New Roman"/>
                <w:color w:val="auto"/>
                <w:highlight w:val="none"/>
              </w:rPr>
            </w:pPr>
            <w:r>
              <w:rPr>
                <w:rFonts w:hint="eastAsia" w:cs="Times New Roman"/>
                <w:color w:val="auto"/>
                <w:highlight w:val="none"/>
              </w:rPr>
              <w:t>1050</w:t>
            </w:r>
          </w:p>
        </w:tc>
        <w:tc>
          <w:tcPr>
            <w:tcW w:w="700" w:type="pct"/>
            <w:vMerge w:val="restart"/>
            <w:tcBorders>
              <w:left w:val="single" w:color="000000" w:sz="4" w:space="0"/>
              <w:right w:val="single" w:color="000000" w:sz="4" w:space="0"/>
            </w:tcBorders>
            <w:shd w:val="clear" w:color="auto" w:fill="FFFFFF"/>
            <w:noWrap/>
            <w:vAlign w:val="center"/>
          </w:tcPr>
          <w:p w14:paraId="4D7DE07C">
            <w:pPr>
              <w:pStyle w:val="69"/>
              <w:spacing w:before="65" w:after="65"/>
              <w:rPr>
                <w:rFonts w:cs="Times New Roman"/>
                <w:color w:val="auto"/>
                <w:highlight w:val="none"/>
              </w:rPr>
            </w:pPr>
            <w:r>
              <w:rPr>
                <w:rFonts w:hint="eastAsia" w:cs="Times New Roman"/>
                <w:color w:val="auto"/>
                <w:highlight w:val="none"/>
              </w:rPr>
              <w:t>35</w:t>
            </w:r>
          </w:p>
        </w:tc>
        <w:tc>
          <w:tcPr>
            <w:tcW w:w="906" w:type="pct"/>
            <w:vMerge w:val="restart"/>
            <w:tcBorders>
              <w:left w:val="single" w:color="000000" w:sz="4" w:space="0"/>
              <w:right w:val="single" w:color="000000" w:sz="4" w:space="0"/>
            </w:tcBorders>
            <w:shd w:val="clear" w:color="auto" w:fill="FFFFFF"/>
            <w:noWrap/>
            <w:vAlign w:val="center"/>
          </w:tcPr>
          <w:p w14:paraId="7119D1F5">
            <w:pPr>
              <w:pStyle w:val="69"/>
              <w:spacing w:before="65" w:after="65"/>
              <w:rPr>
                <w:rFonts w:cs="Times New Roman"/>
                <w:color w:val="auto"/>
                <w:highlight w:val="none"/>
              </w:rPr>
            </w:pPr>
            <w:r>
              <w:rPr>
                <w:rFonts w:hint="eastAsia" w:cs="Times New Roman"/>
                <w:color w:val="auto"/>
                <w:highlight w:val="none"/>
              </w:rPr>
              <w:t>30</w:t>
            </w:r>
          </w:p>
        </w:tc>
        <w:tc>
          <w:tcPr>
            <w:tcW w:w="616" w:type="pct"/>
            <w:vMerge w:val="restart"/>
            <w:tcBorders>
              <w:left w:val="single" w:color="000000" w:sz="4" w:space="0"/>
              <w:right w:val="single" w:color="000000" w:sz="4" w:space="0"/>
            </w:tcBorders>
            <w:shd w:val="clear" w:color="auto" w:fill="FFFFFF"/>
            <w:noWrap/>
            <w:vAlign w:val="center"/>
          </w:tcPr>
          <w:p w14:paraId="069886D7">
            <w:pPr>
              <w:pStyle w:val="69"/>
              <w:spacing w:before="65" w:after="65"/>
              <w:rPr>
                <w:rFonts w:cs="Times New Roman"/>
                <w:color w:val="auto"/>
                <w:highlight w:val="none"/>
              </w:rPr>
            </w:pPr>
            <w:r>
              <w:rPr>
                <w:rFonts w:hint="eastAsia" w:cs="Times New Roman"/>
                <w:color w:val="auto"/>
                <w:highlight w:val="none"/>
              </w:rPr>
              <w:t>20</w:t>
            </w:r>
          </w:p>
        </w:tc>
      </w:tr>
      <w:tr w14:paraId="3AF8C5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right w:val="single" w:color="000000" w:sz="4" w:space="0"/>
            </w:tcBorders>
            <w:shd w:val="clear" w:color="auto" w:fill="FFFFFF"/>
            <w:vAlign w:val="center"/>
          </w:tcPr>
          <w:p w14:paraId="65A45637">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C730A">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10</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263886">
            <w:pPr>
              <w:pStyle w:val="69"/>
              <w:spacing w:before="65" w:after="65"/>
              <w:rPr>
                <w:rFonts w:cs="Times New Roman"/>
                <w:color w:val="auto"/>
                <w:highlight w:val="none"/>
              </w:rPr>
            </w:pPr>
            <w:r>
              <w:rPr>
                <w:rFonts w:hint="eastAsia"/>
                <w:color w:val="auto"/>
                <w:highlight w:val="none"/>
              </w:rPr>
              <w:t>0.003744</w:t>
            </w:r>
          </w:p>
        </w:tc>
        <w:tc>
          <w:tcPr>
            <w:tcW w:w="641" w:type="pct"/>
            <w:vMerge w:val="continue"/>
            <w:tcBorders>
              <w:left w:val="single" w:color="000000" w:sz="4" w:space="0"/>
              <w:right w:val="single" w:color="000000" w:sz="4" w:space="0"/>
            </w:tcBorders>
            <w:shd w:val="clear" w:color="auto" w:fill="FFFFFF"/>
            <w:noWrap/>
            <w:vAlign w:val="center"/>
          </w:tcPr>
          <w:p w14:paraId="4C534A1D">
            <w:pPr>
              <w:pStyle w:val="69"/>
              <w:spacing w:before="65" w:after="65"/>
              <w:rPr>
                <w:rFonts w:cs="Times New Roman"/>
                <w:color w:val="auto"/>
                <w:highlight w:val="none"/>
              </w:rPr>
            </w:pPr>
          </w:p>
        </w:tc>
        <w:tc>
          <w:tcPr>
            <w:tcW w:w="700" w:type="pct"/>
            <w:vMerge w:val="continue"/>
            <w:tcBorders>
              <w:left w:val="single" w:color="000000" w:sz="4" w:space="0"/>
              <w:right w:val="single" w:color="000000" w:sz="4" w:space="0"/>
            </w:tcBorders>
            <w:shd w:val="clear" w:color="auto" w:fill="FFFFFF"/>
            <w:noWrap/>
            <w:vAlign w:val="center"/>
          </w:tcPr>
          <w:p w14:paraId="324F27C8">
            <w:pPr>
              <w:pStyle w:val="69"/>
              <w:spacing w:before="65" w:after="65"/>
              <w:rPr>
                <w:rFonts w:cs="Times New Roman"/>
                <w:color w:val="auto"/>
                <w:highlight w:val="none"/>
              </w:rPr>
            </w:pPr>
          </w:p>
        </w:tc>
        <w:tc>
          <w:tcPr>
            <w:tcW w:w="906" w:type="pct"/>
            <w:vMerge w:val="continue"/>
            <w:tcBorders>
              <w:left w:val="single" w:color="000000" w:sz="4" w:space="0"/>
              <w:right w:val="single" w:color="000000" w:sz="4" w:space="0"/>
            </w:tcBorders>
            <w:shd w:val="clear" w:color="auto" w:fill="FFFFFF"/>
            <w:noWrap/>
            <w:vAlign w:val="center"/>
          </w:tcPr>
          <w:p w14:paraId="21B5F70E">
            <w:pPr>
              <w:pStyle w:val="69"/>
              <w:spacing w:before="65" w:after="65"/>
              <w:rPr>
                <w:rFonts w:cs="Times New Roman"/>
                <w:color w:val="auto"/>
                <w:highlight w:val="none"/>
              </w:rPr>
            </w:pPr>
          </w:p>
        </w:tc>
        <w:tc>
          <w:tcPr>
            <w:tcW w:w="616" w:type="pct"/>
            <w:vMerge w:val="continue"/>
            <w:tcBorders>
              <w:left w:val="single" w:color="000000" w:sz="4" w:space="0"/>
              <w:right w:val="single" w:color="000000" w:sz="4" w:space="0"/>
            </w:tcBorders>
            <w:shd w:val="clear" w:color="auto" w:fill="FFFFFF"/>
            <w:noWrap/>
            <w:vAlign w:val="center"/>
          </w:tcPr>
          <w:p w14:paraId="5CD38DEE">
            <w:pPr>
              <w:pStyle w:val="69"/>
              <w:spacing w:before="65" w:after="65"/>
              <w:rPr>
                <w:rFonts w:cs="Times New Roman"/>
                <w:color w:val="auto"/>
                <w:highlight w:val="none"/>
              </w:rPr>
            </w:pPr>
          </w:p>
        </w:tc>
      </w:tr>
      <w:tr w14:paraId="636354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32" w:type="pct"/>
            <w:vMerge w:val="continue"/>
            <w:tcBorders>
              <w:left w:val="single" w:color="000000" w:sz="4" w:space="0"/>
              <w:bottom w:val="single" w:color="000000" w:sz="4" w:space="0"/>
              <w:right w:val="single" w:color="000000" w:sz="4" w:space="0"/>
            </w:tcBorders>
            <w:shd w:val="clear" w:color="auto" w:fill="FFFFFF"/>
            <w:vAlign w:val="center"/>
          </w:tcPr>
          <w:p w14:paraId="74D075A4">
            <w:pPr>
              <w:pStyle w:val="69"/>
              <w:spacing w:before="65" w:after="65"/>
              <w:rPr>
                <w:rFonts w:cs="Times New Roman"/>
                <w:color w:val="auto"/>
                <w:highlight w:val="none"/>
              </w:rPr>
            </w:pPr>
          </w:p>
        </w:tc>
        <w:tc>
          <w:tcPr>
            <w:tcW w:w="66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E02A5">
            <w:pPr>
              <w:pStyle w:val="69"/>
              <w:spacing w:before="65" w:after="65"/>
              <w:rPr>
                <w:rFonts w:cs="Times New Roman"/>
                <w:color w:val="auto"/>
                <w:highlight w:val="none"/>
              </w:rPr>
            </w:pPr>
            <w:r>
              <w:rPr>
                <w:rFonts w:cs="Times New Roman"/>
                <w:color w:val="auto"/>
                <w:highlight w:val="none"/>
              </w:rPr>
              <w:t>PM</w:t>
            </w:r>
            <w:r>
              <w:rPr>
                <w:rFonts w:cs="Times New Roman"/>
                <w:color w:val="auto"/>
                <w:highlight w:val="none"/>
                <w:vertAlign w:val="subscript"/>
              </w:rPr>
              <w:t>2.5</w:t>
            </w:r>
          </w:p>
        </w:tc>
        <w:tc>
          <w:tcPr>
            <w:tcW w:w="83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86DB2">
            <w:pPr>
              <w:pStyle w:val="69"/>
              <w:spacing w:before="65" w:after="65"/>
              <w:rPr>
                <w:rFonts w:cs="Times New Roman"/>
                <w:color w:val="auto"/>
                <w:highlight w:val="none"/>
              </w:rPr>
            </w:pPr>
            <w:r>
              <w:rPr>
                <w:rFonts w:hint="eastAsia" w:cs="Times New Roman"/>
                <w:color w:val="auto"/>
                <w:highlight w:val="none"/>
              </w:rPr>
              <w:t>0.001872</w:t>
            </w:r>
          </w:p>
        </w:tc>
        <w:tc>
          <w:tcPr>
            <w:tcW w:w="641" w:type="pct"/>
            <w:vMerge w:val="continue"/>
            <w:tcBorders>
              <w:left w:val="single" w:color="000000" w:sz="4" w:space="0"/>
              <w:bottom w:val="single" w:color="000000" w:sz="4" w:space="0"/>
              <w:right w:val="single" w:color="000000" w:sz="4" w:space="0"/>
            </w:tcBorders>
            <w:shd w:val="clear" w:color="auto" w:fill="FFFFFF"/>
            <w:noWrap/>
            <w:vAlign w:val="center"/>
          </w:tcPr>
          <w:p w14:paraId="62954C4F">
            <w:pPr>
              <w:pStyle w:val="69"/>
              <w:spacing w:before="65" w:after="65"/>
              <w:rPr>
                <w:rFonts w:cs="Times New Roman"/>
                <w:color w:val="auto"/>
                <w:highlight w:val="none"/>
              </w:rPr>
            </w:pPr>
          </w:p>
        </w:tc>
        <w:tc>
          <w:tcPr>
            <w:tcW w:w="700" w:type="pct"/>
            <w:vMerge w:val="continue"/>
            <w:tcBorders>
              <w:left w:val="single" w:color="000000" w:sz="4" w:space="0"/>
              <w:bottom w:val="single" w:color="000000" w:sz="4" w:space="0"/>
              <w:right w:val="single" w:color="000000" w:sz="4" w:space="0"/>
            </w:tcBorders>
            <w:shd w:val="clear" w:color="auto" w:fill="FFFFFF"/>
            <w:noWrap/>
            <w:vAlign w:val="center"/>
          </w:tcPr>
          <w:p w14:paraId="149D5C47">
            <w:pPr>
              <w:pStyle w:val="69"/>
              <w:spacing w:before="65" w:after="65"/>
              <w:rPr>
                <w:rFonts w:cs="Times New Roman"/>
                <w:color w:val="auto"/>
                <w:highlight w:val="none"/>
              </w:rPr>
            </w:pPr>
          </w:p>
        </w:tc>
        <w:tc>
          <w:tcPr>
            <w:tcW w:w="906" w:type="pct"/>
            <w:vMerge w:val="continue"/>
            <w:tcBorders>
              <w:left w:val="single" w:color="000000" w:sz="4" w:space="0"/>
              <w:bottom w:val="single" w:color="000000" w:sz="4" w:space="0"/>
              <w:right w:val="single" w:color="000000" w:sz="4" w:space="0"/>
            </w:tcBorders>
            <w:shd w:val="clear" w:color="auto" w:fill="FFFFFF"/>
            <w:noWrap/>
            <w:vAlign w:val="center"/>
          </w:tcPr>
          <w:p w14:paraId="73E9C0A5">
            <w:pPr>
              <w:pStyle w:val="69"/>
              <w:spacing w:before="65" w:after="65"/>
              <w:rPr>
                <w:rFonts w:cs="Times New Roman"/>
                <w:color w:val="auto"/>
                <w:highlight w:val="none"/>
              </w:rPr>
            </w:pPr>
          </w:p>
        </w:tc>
        <w:tc>
          <w:tcPr>
            <w:tcW w:w="616" w:type="pct"/>
            <w:vMerge w:val="continue"/>
            <w:tcBorders>
              <w:left w:val="single" w:color="000000" w:sz="4" w:space="0"/>
              <w:bottom w:val="single" w:color="000000" w:sz="4" w:space="0"/>
              <w:right w:val="single" w:color="000000" w:sz="4" w:space="0"/>
            </w:tcBorders>
            <w:shd w:val="clear" w:color="auto" w:fill="FFFFFF"/>
            <w:noWrap/>
            <w:vAlign w:val="center"/>
          </w:tcPr>
          <w:p w14:paraId="69906443">
            <w:pPr>
              <w:pStyle w:val="69"/>
              <w:spacing w:before="65" w:after="65"/>
              <w:rPr>
                <w:rFonts w:cs="Times New Roman"/>
                <w:color w:val="auto"/>
                <w:highlight w:val="none"/>
              </w:rPr>
            </w:pPr>
          </w:p>
        </w:tc>
      </w:tr>
    </w:tbl>
    <w:p w14:paraId="74BEDCB8">
      <w:pPr>
        <w:overflowPunct w:val="0"/>
        <w:adjustRightInd w:val="0"/>
        <w:spacing w:before="65" w:beforeLines="20" w:after="65" w:afterLines="20" w:line="240" w:lineRule="auto"/>
        <w:ind w:firstLine="422"/>
        <w:rPr>
          <w:rFonts w:cs="Times New Roman"/>
          <w:color w:val="auto"/>
          <w:kern w:val="21"/>
          <w:sz w:val="21"/>
          <w:highlight w:val="none"/>
        </w:rPr>
      </w:pPr>
      <w:r>
        <w:rPr>
          <w:rFonts w:cs="Times New Roman"/>
          <w:b/>
          <w:color w:val="auto"/>
          <w:kern w:val="21"/>
          <w:sz w:val="21"/>
          <w:highlight w:val="none"/>
        </w:rPr>
        <w:t>注：</w:t>
      </w:r>
      <w:r>
        <w:rPr>
          <w:rFonts w:cs="Times New Roman"/>
          <w:color w:val="auto"/>
          <w:kern w:val="21"/>
          <w:sz w:val="21"/>
          <w:highlight w:val="none"/>
        </w:rPr>
        <w:t>PM</w:t>
      </w:r>
      <w:r>
        <w:rPr>
          <w:rFonts w:cs="Times New Roman"/>
          <w:color w:val="auto"/>
          <w:kern w:val="21"/>
          <w:sz w:val="21"/>
          <w:highlight w:val="none"/>
          <w:vertAlign w:val="subscript"/>
        </w:rPr>
        <w:t>10</w:t>
      </w:r>
      <w:r>
        <w:rPr>
          <w:rFonts w:cs="Times New Roman"/>
          <w:color w:val="auto"/>
          <w:kern w:val="21"/>
          <w:sz w:val="21"/>
          <w:highlight w:val="none"/>
        </w:rPr>
        <w:t>以TSP的</w:t>
      </w:r>
      <w:r>
        <w:rPr>
          <w:rFonts w:hint="eastAsia" w:cs="Times New Roman"/>
          <w:color w:val="auto"/>
          <w:kern w:val="21"/>
          <w:sz w:val="21"/>
          <w:highlight w:val="none"/>
        </w:rPr>
        <w:t>6</w:t>
      </w:r>
      <w:r>
        <w:rPr>
          <w:rFonts w:cs="Times New Roman"/>
          <w:color w:val="auto"/>
          <w:kern w:val="21"/>
          <w:sz w:val="21"/>
          <w:highlight w:val="none"/>
        </w:rPr>
        <w:t>0%计</w:t>
      </w:r>
      <w:r>
        <w:rPr>
          <w:rFonts w:hint="eastAsia" w:cs="Times New Roman"/>
          <w:color w:val="auto"/>
          <w:kern w:val="21"/>
          <w:sz w:val="21"/>
          <w:highlight w:val="none"/>
        </w:rPr>
        <w:t>，PM</w:t>
      </w:r>
      <w:r>
        <w:rPr>
          <w:rFonts w:hint="eastAsia" w:cs="Times New Roman"/>
          <w:color w:val="auto"/>
          <w:kern w:val="21"/>
          <w:sz w:val="21"/>
          <w:highlight w:val="none"/>
          <w:vertAlign w:val="subscript"/>
        </w:rPr>
        <w:t>2.5</w:t>
      </w:r>
      <w:r>
        <w:rPr>
          <w:rFonts w:hint="eastAsia" w:cs="Times New Roman"/>
          <w:color w:val="auto"/>
          <w:kern w:val="21"/>
          <w:sz w:val="21"/>
          <w:highlight w:val="none"/>
        </w:rPr>
        <w:t>以PM</w:t>
      </w:r>
      <w:r>
        <w:rPr>
          <w:rFonts w:hint="eastAsia" w:cs="Times New Roman"/>
          <w:color w:val="auto"/>
          <w:kern w:val="21"/>
          <w:sz w:val="21"/>
          <w:highlight w:val="none"/>
          <w:vertAlign w:val="subscript"/>
        </w:rPr>
        <w:t>10</w:t>
      </w:r>
      <w:r>
        <w:rPr>
          <w:rFonts w:hint="eastAsia" w:cs="Times New Roman"/>
          <w:color w:val="auto"/>
          <w:kern w:val="21"/>
          <w:sz w:val="21"/>
          <w:highlight w:val="none"/>
        </w:rPr>
        <w:t>的50%计</w:t>
      </w:r>
      <w:r>
        <w:rPr>
          <w:rFonts w:cs="Times New Roman"/>
          <w:color w:val="auto"/>
          <w:kern w:val="21"/>
          <w:sz w:val="21"/>
          <w:highlight w:val="none"/>
        </w:rPr>
        <w:t>。</w:t>
      </w:r>
    </w:p>
    <w:p w14:paraId="59267501">
      <w:pPr>
        <w:pStyle w:val="5"/>
        <w:rPr>
          <w:color w:val="auto"/>
          <w:highlight w:val="none"/>
        </w:rPr>
      </w:pPr>
      <w:r>
        <w:rPr>
          <w:color w:val="auto"/>
          <w:highlight w:val="none"/>
        </w:rPr>
        <w:t>评价等级判定</w:t>
      </w:r>
    </w:p>
    <w:p w14:paraId="33639270">
      <w:pPr>
        <w:adjustRightInd w:val="0"/>
        <w:ind w:firstLine="480"/>
        <w:rPr>
          <w:rFonts w:cs="Times New Roman"/>
          <w:color w:val="auto"/>
          <w:highlight w:val="none"/>
        </w:rPr>
      </w:pPr>
      <w:r>
        <w:rPr>
          <w:rFonts w:cs="Times New Roman"/>
          <w:color w:val="auto"/>
          <w:highlight w:val="none"/>
        </w:rPr>
        <w:t>根据《环境影响评价技术导则 大气环境》（HJ2.2-2018），选择本项目污染源正常排放的主要污染物及排放参数，采用附录A推荐模型中AERSCREEN估算模型分别计算项目污染源的最大环境影响，然后按评价工作分级判据进行分级。</w:t>
      </w:r>
    </w:p>
    <w:p w14:paraId="0DF59BD2">
      <w:pPr>
        <w:adjustRightInd w:val="0"/>
        <w:ind w:firstLine="482"/>
        <w:rPr>
          <w:rFonts w:cs="Times New Roman"/>
          <w:b/>
          <w:bCs/>
          <w:color w:val="auto"/>
          <w:highlight w:val="none"/>
        </w:rPr>
      </w:pPr>
      <w:r>
        <w:rPr>
          <w:rFonts w:cs="Times New Roman"/>
          <w:b/>
          <w:bCs/>
          <w:color w:val="auto"/>
          <w:highlight w:val="none"/>
        </w:rPr>
        <w:t>一、评价方法</w:t>
      </w:r>
    </w:p>
    <w:p w14:paraId="2267858E">
      <w:pPr>
        <w:adjustRightInd w:val="0"/>
        <w:ind w:firstLine="480"/>
        <w:rPr>
          <w:rFonts w:cs="Times New Roman"/>
          <w:color w:val="auto"/>
          <w:highlight w:val="none"/>
        </w:rPr>
      </w:pPr>
      <w:r>
        <w:rPr>
          <w:rFonts w:cs="Times New Roman"/>
          <w:color w:val="auto"/>
          <w:highlight w:val="none"/>
        </w:rPr>
        <w:t>根据工程分析所得的本项目污染物排放源强，分别计算项目排放主要污染物的最大地面空气质量浓度占标率Pi（第i个污染物，简称</w:t>
      </w:r>
      <w:r>
        <w:rPr>
          <w:rFonts w:hint="eastAsia" w:cs="Times New Roman"/>
          <w:color w:val="auto"/>
          <w:highlight w:val="none"/>
        </w:rPr>
        <w:t>“</w:t>
      </w:r>
      <w:r>
        <w:rPr>
          <w:rFonts w:cs="Times New Roman"/>
          <w:color w:val="auto"/>
          <w:highlight w:val="none"/>
        </w:rPr>
        <w:t>最大浓度占标率</w:t>
      </w:r>
      <w:r>
        <w:rPr>
          <w:rFonts w:hint="eastAsia" w:cs="Times New Roman"/>
          <w:color w:val="auto"/>
          <w:highlight w:val="none"/>
        </w:rPr>
        <w:t>”</w:t>
      </w:r>
      <w:r>
        <w:rPr>
          <w:rFonts w:cs="Times New Roman"/>
          <w:color w:val="auto"/>
          <w:highlight w:val="none"/>
        </w:rPr>
        <w:t>），及第i个污染物的地面空气质量浓度达到标准值的10%时所对应的最远距离D10%。其中Pi定义见以下公式：</w:t>
      </w:r>
    </w:p>
    <w:p w14:paraId="787B7040">
      <w:pPr>
        <w:overflowPunct w:val="0"/>
        <w:adjustRightInd w:val="0"/>
        <w:ind w:firstLine="480"/>
        <w:jc w:val="center"/>
        <w:rPr>
          <w:rFonts w:cs="Times New Roman"/>
          <w:color w:val="auto"/>
          <w:kern w:val="21"/>
          <w:szCs w:val="24"/>
          <w:highlight w:val="none"/>
        </w:rPr>
      </w:pPr>
      <w:r>
        <w:rPr>
          <w:rFonts w:cs="Times New Roman"/>
          <w:color w:val="auto"/>
          <w:kern w:val="21"/>
          <w:szCs w:val="24"/>
          <w:highlight w:val="none"/>
        </w:rPr>
        <w:object>
          <v:shape id="_x0000_i1026" o:spt="75" type="#_x0000_t75" style="height:14.05pt;width:99.1pt;" o:ole="t" filled="f" o:preferrelative="t" stroked="f" coordsize="21600,21600">
            <v:path/>
            <v:fill on="f" focussize="0,0"/>
            <v:stroke on="f" joinstyle="miter"/>
            <v:imagedata r:id="rId21" o:title=""/>
            <o:lock v:ext="edit" aspectratio="t"/>
            <w10:wrap type="none"/>
            <w10:anchorlock/>
          </v:shape>
          <o:OLEObject Type="Embed" ProgID="Equation.3" ShapeID="_x0000_i1026" DrawAspect="Content" ObjectID="_1468075726" r:id="rId20">
            <o:LockedField>false</o:LockedField>
          </o:OLEObject>
        </w:object>
      </w:r>
    </w:p>
    <w:p w14:paraId="328E3505">
      <w:pPr>
        <w:adjustRightInd w:val="0"/>
        <w:ind w:firstLine="480"/>
        <w:rPr>
          <w:rFonts w:cs="Times New Roman"/>
          <w:color w:val="auto"/>
          <w:highlight w:val="none"/>
        </w:rPr>
      </w:pPr>
      <w:r>
        <w:rPr>
          <w:rFonts w:cs="Times New Roman"/>
          <w:color w:val="auto"/>
          <w:highlight w:val="none"/>
        </w:rPr>
        <w:t>式中：</w:t>
      </w:r>
    </w:p>
    <w:p w14:paraId="1494DEB4">
      <w:pPr>
        <w:adjustRightInd w:val="0"/>
        <w:ind w:firstLine="480"/>
        <w:rPr>
          <w:rFonts w:cs="Times New Roman"/>
          <w:color w:val="auto"/>
          <w:highlight w:val="none"/>
        </w:rPr>
      </w:pPr>
      <w:r>
        <w:rPr>
          <w:rFonts w:cs="Times New Roman"/>
          <w:color w:val="auto"/>
          <w:highlight w:val="none"/>
        </w:rPr>
        <w:t>Pi——第i种污染物的最大地面空气质量浓度占标率，%；</w:t>
      </w:r>
    </w:p>
    <w:p w14:paraId="2E3069B9">
      <w:pPr>
        <w:adjustRightInd w:val="0"/>
        <w:ind w:firstLine="480"/>
        <w:rPr>
          <w:rFonts w:cs="Times New Roman"/>
          <w:color w:val="auto"/>
          <w:highlight w:val="none"/>
        </w:rPr>
      </w:pPr>
      <w:r>
        <w:rPr>
          <w:rFonts w:cs="Times New Roman"/>
          <w:color w:val="auto"/>
          <w:highlight w:val="none"/>
        </w:rPr>
        <w:t>Ci——采用估算模式计算出的第i个污染物的最大1h地面空气质量浓度，μg/m3；</w:t>
      </w:r>
    </w:p>
    <w:p w14:paraId="125498E1">
      <w:pPr>
        <w:adjustRightInd w:val="0"/>
        <w:ind w:firstLine="480"/>
        <w:rPr>
          <w:rFonts w:cs="Times New Roman"/>
          <w:color w:val="auto"/>
          <w:highlight w:val="none"/>
        </w:rPr>
      </w:pPr>
      <w:r>
        <w:rPr>
          <w:rFonts w:cs="Times New Roman"/>
          <w:color w:val="auto"/>
          <w:highlight w:val="none"/>
        </w:rPr>
        <w:t>Coi——第i个污染物的环境空气质量标准，μg/m</w:t>
      </w:r>
      <w:r>
        <w:rPr>
          <w:rFonts w:cs="Times New Roman"/>
          <w:color w:val="auto"/>
          <w:highlight w:val="none"/>
          <w:vertAlign w:val="superscript"/>
        </w:rPr>
        <w:t>3</w:t>
      </w:r>
      <w:r>
        <w:rPr>
          <w:rFonts w:cs="Times New Roman"/>
          <w:color w:val="auto"/>
          <w:highlight w:val="none"/>
        </w:rPr>
        <w:t>。</w:t>
      </w:r>
    </w:p>
    <w:p w14:paraId="5279ABD4">
      <w:pPr>
        <w:adjustRightInd w:val="0"/>
        <w:ind w:firstLine="480"/>
        <w:rPr>
          <w:rFonts w:cs="Times New Roman"/>
          <w:color w:val="auto"/>
          <w:highlight w:val="none"/>
        </w:rPr>
      </w:pPr>
      <w:r>
        <w:rPr>
          <w:rFonts w:cs="Times New Roman"/>
          <w:color w:val="auto"/>
          <w:highlight w:val="none"/>
        </w:rPr>
        <w:t>评价等级按下表分级判据进行划分。最大地面空气质量浓度占标率Pi按公式计算，如污染物数i大于1，取P值中最大者P</w:t>
      </w:r>
      <w:r>
        <w:rPr>
          <w:rFonts w:cs="Times New Roman"/>
          <w:color w:val="auto"/>
          <w:highlight w:val="none"/>
          <w:vertAlign w:val="subscript"/>
        </w:rPr>
        <w:t>max</w:t>
      </w:r>
      <w:r>
        <w:rPr>
          <w:rFonts w:cs="Times New Roman"/>
          <w:color w:val="auto"/>
          <w:highlight w:val="none"/>
        </w:rPr>
        <w:t>。</w:t>
      </w:r>
    </w:p>
    <w:p w14:paraId="20C1D7C8">
      <w:pPr>
        <w:pStyle w:val="12"/>
        <w:overflowPunct w:val="0"/>
        <w:adjustRightInd w:val="0"/>
        <w:spacing w:before="65" w:beforeLines="20" w:after="65" w:afterLines="20"/>
        <w:rPr>
          <w:rFonts w:cs="Times New Roman"/>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54</w:t>
      </w:r>
      <w:r>
        <w:rPr>
          <w:rFonts w:cs="Times New Roman"/>
          <w:color w:val="auto"/>
          <w:highlight w:val="none"/>
        </w:rPr>
        <w:fldChar w:fldCharType="end"/>
      </w:r>
      <w:r>
        <w:rPr>
          <w:rFonts w:cs="Times New Roman"/>
          <w:color w:val="auto"/>
          <w:kern w:val="21"/>
          <w:szCs w:val="21"/>
          <w:highlight w:val="none"/>
        </w:rPr>
        <w:t>大气环境影响评价工作等级判定表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AEE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00" w:type="pct"/>
            <w:vAlign w:val="center"/>
          </w:tcPr>
          <w:p w14:paraId="477FDF7C">
            <w:pPr>
              <w:pStyle w:val="69"/>
              <w:spacing w:before="65" w:after="65"/>
              <w:rPr>
                <w:b/>
                <w:bCs w:val="0"/>
                <w:color w:val="auto"/>
                <w:highlight w:val="none"/>
              </w:rPr>
            </w:pPr>
            <w:r>
              <w:rPr>
                <w:b/>
                <w:bCs w:val="0"/>
                <w:color w:val="auto"/>
                <w:highlight w:val="none"/>
              </w:rPr>
              <w:t>评价工作等级</w:t>
            </w:r>
          </w:p>
        </w:tc>
        <w:tc>
          <w:tcPr>
            <w:tcW w:w="2500" w:type="pct"/>
            <w:vAlign w:val="center"/>
          </w:tcPr>
          <w:p w14:paraId="0FAD6AFF">
            <w:pPr>
              <w:pStyle w:val="69"/>
              <w:spacing w:before="65" w:after="65"/>
              <w:rPr>
                <w:b/>
                <w:bCs w:val="0"/>
                <w:color w:val="auto"/>
                <w:highlight w:val="none"/>
              </w:rPr>
            </w:pPr>
            <w:r>
              <w:rPr>
                <w:b/>
                <w:bCs w:val="0"/>
                <w:color w:val="auto"/>
                <w:highlight w:val="none"/>
              </w:rPr>
              <w:t>评价工作分级判据</w:t>
            </w:r>
          </w:p>
        </w:tc>
      </w:tr>
      <w:tr w14:paraId="49D33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78268129">
            <w:pPr>
              <w:pStyle w:val="69"/>
              <w:spacing w:before="65" w:after="65"/>
              <w:rPr>
                <w:color w:val="auto"/>
                <w:highlight w:val="none"/>
              </w:rPr>
            </w:pPr>
            <w:r>
              <w:rPr>
                <w:color w:val="auto"/>
                <w:highlight w:val="none"/>
              </w:rPr>
              <w:t>一级评价</w:t>
            </w:r>
          </w:p>
        </w:tc>
        <w:tc>
          <w:tcPr>
            <w:tcW w:w="2500" w:type="pct"/>
            <w:vAlign w:val="center"/>
          </w:tcPr>
          <w:p w14:paraId="7835FA60">
            <w:pPr>
              <w:pStyle w:val="69"/>
              <w:spacing w:before="65" w:after="65"/>
              <w:rPr>
                <w:color w:val="auto"/>
                <w:highlight w:val="none"/>
              </w:rPr>
            </w:pPr>
            <w:r>
              <w:rPr>
                <w:color w:val="auto"/>
                <w:highlight w:val="none"/>
              </w:rPr>
              <w:t>P</w:t>
            </w:r>
            <w:r>
              <w:rPr>
                <w:color w:val="auto"/>
                <w:highlight w:val="none"/>
                <w:vertAlign w:val="subscript"/>
              </w:rPr>
              <w:t>max</w:t>
            </w:r>
            <w:r>
              <w:rPr>
                <w:color w:val="auto"/>
                <w:highlight w:val="none"/>
              </w:rPr>
              <w:t>≥10%</w:t>
            </w:r>
          </w:p>
        </w:tc>
      </w:tr>
      <w:tr w14:paraId="6A73D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471B0CD7">
            <w:pPr>
              <w:pStyle w:val="69"/>
              <w:spacing w:before="65" w:after="65"/>
              <w:rPr>
                <w:color w:val="auto"/>
                <w:highlight w:val="none"/>
              </w:rPr>
            </w:pPr>
            <w:r>
              <w:rPr>
                <w:color w:val="auto"/>
                <w:highlight w:val="none"/>
              </w:rPr>
              <w:t>二级评价</w:t>
            </w:r>
          </w:p>
        </w:tc>
        <w:tc>
          <w:tcPr>
            <w:tcW w:w="2500" w:type="pct"/>
            <w:vAlign w:val="center"/>
          </w:tcPr>
          <w:p w14:paraId="73C86912">
            <w:pPr>
              <w:pStyle w:val="69"/>
              <w:spacing w:before="65" w:after="65"/>
              <w:rPr>
                <w:color w:val="auto"/>
                <w:highlight w:val="none"/>
              </w:rPr>
            </w:pPr>
            <w:r>
              <w:rPr>
                <w:color w:val="auto"/>
                <w:highlight w:val="none"/>
              </w:rPr>
              <w:t>1%≤P</w:t>
            </w:r>
            <w:r>
              <w:rPr>
                <w:color w:val="auto"/>
                <w:highlight w:val="none"/>
                <w:vertAlign w:val="subscript"/>
              </w:rPr>
              <w:t>max</w:t>
            </w:r>
            <w:r>
              <w:rPr>
                <w:color w:val="auto"/>
                <w:highlight w:val="none"/>
              </w:rPr>
              <w:t>&lt;10%</w:t>
            </w:r>
          </w:p>
        </w:tc>
      </w:tr>
      <w:tr w14:paraId="71E2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0" w:type="pct"/>
            <w:vAlign w:val="center"/>
          </w:tcPr>
          <w:p w14:paraId="790BA70F">
            <w:pPr>
              <w:pStyle w:val="69"/>
              <w:spacing w:before="65" w:after="65"/>
              <w:rPr>
                <w:color w:val="auto"/>
                <w:highlight w:val="none"/>
              </w:rPr>
            </w:pPr>
            <w:r>
              <w:rPr>
                <w:color w:val="auto"/>
                <w:highlight w:val="none"/>
              </w:rPr>
              <w:t>三级评价</w:t>
            </w:r>
          </w:p>
        </w:tc>
        <w:tc>
          <w:tcPr>
            <w:tcW w:w="2500" w:type="pct"/>
            <w:vAlign w:val="center"/>
          </w:tcPr>
          <w:p w14:paraId="4F14F404">
            <w:pPr>
              <w:pStyle w:val="69"/>
              <w:spacing w:before="65" w:after="65"/>
              <w:rPr>
                <w:color w:val="auto"/>
                <w:highlight w:val="none"/>
              </w:rPr>
            </w:pPr>
            <w:r>
              <w:rPr>
                <w:color w:val="auto"/>
                <w:highlight w:val="none"/>
              </w:rPr>
              <w:t>P</w:t>
            </w:r>
            <w:r>
              <w:rPr>
                <w:color w:val="auto"/>
                <w:highlight w:val="none"/>
                <w:vertAlign w:val="subscript"/>
              </w:rPr>
              <w:t>max</w:t>
            </w:r>
            <w:r>
              <w:rPr>
                <w:color w:val="auto"/>
                <w:highlight w:val="none"/>
              </w:rPr>
              <w:t>&lt;1%</w:t>
            </w:r>
          </w:p>
        </w:tc>
      </w:tr>
    </w:tbl>
    <w:p w14:paraId="0C78C955">
      <w:pPr>
        <w:adjustRightInd w:val="0"/>
        <w:ind w:firstLine="482"/>
        <w:rPr>
          <w:rFonts w:cs="Times New Roman"/>
          <w:b/>
          <w:bCs/>
          <w:color w:val="auto"/>
          <w:highlight w:val="none"/>
        </w:rPr>
      </w:pPr>
      <w:r>
        <w:rPr>
          <w:rFonts w:cs="Times New Roman"/>
          <w:b/>
          <w:bCs/>
          <w:color w:val="auto"/>
          <w:highlight w:val="none"/>
        </w:rPr>
        <w:t>二、污染源参数</w:t>
      </w:r>
    </w:p>
    <w:p w14:paraId="10D0725C">
      <w:pPr>
        <w:adjustRightInd w:val="0"/>
        <w:ind w:firstLine="480"/>
        <w:rPr>
          <w:rFonts w:cs="Times New Roman"/>
          <w:color w:val="auto"/>
          <w:highlight w:val="none"/>
        </w:rPr>
      </w:pPr>
      <w:r>
        <w:rPr>
          <w:rFonts w:cs="Times New Roman"/>
          <w:color w:val="auto"/>
          <w:highlight w:val="none"/>
        </w:rPr>
        <w:t>根据《环境影响评价技术导则 大气环境》（HJ2.2-2018），当项目周边3km半径范围内一半以上面积属于城市建成区或者规划区时，选择城市，城市人口数按项目所属城市实际人口或者规划的人口数输入。根据现场调查，本项目周边3km半径范围内一半以上面积属于城市建成区或规划区，因此项目估算模型选择城市。</w:t>
      </w:r>
    </w:p>
    <w:p w14:paraId="27BFFAE8">
      <w:pPr>
        <w:pStyle w:val="12"/>
        <w:rPr>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t xml:space="preserve"> AERSCREEN模式预测参数一览表</w:t>
      </w:r>
    </w:p>
    <w:tbl>
      <w:tblPr>
        <w:tblStyle w:val="3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7"/>
        <w:gridCol w:w="2843"/>
        <w:gridCol w:w="2840"/>
      </w:tblGrid>
      <w:tr w14:paraId="117A1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3333" w:type="pct"/>
            <w:gridSpan w:val="2"/>
            <w:vAlign w:val="center"/>
          </w:tcPr>
          <w:p w14:paraId="0B0954B3">
            <w:pPr>
              <w:pStyle w:val="37"/>
              <w:adjustRightInd w:val="0"/>
              <w:rPr>
                <w:b/>
                <w:bCs/>
                <w:color w:val="auto"/>
                <w:highlight w:val="none"/>
              </w:rPr>
            </w:pPr>
            <w:r>
              <w:rPr>
                <w:b/>
                <w:bCs/>
                <w:color w:val="auto"/>
                <w:highlight w:val="none"/>
              </w:rPr>
              <w:t>参数</w:t>
            </w:r>
          </w:p>
        </w:tc>
        <w:tc>
          <w:tcPr>
            <w:tcW w:w="1666" w:type="pct"/>
            <w:vAlign w:val="center"/>
          </w:tcPr>
          <w:p w14:paraId="00031645">
            <w:pPr>
              <w:pStyle w:val="37"/>
              <w:adjustRightInd w:val="0"/>
              <w:rPr>
                <w:b/>
                <w:bCs/>
                <w:color w:val="auto"/>
                <w:highlight w:val="none"/>
              </w:rPr>
            </w:pPr>
            <w:r>
              <w:rPr>
                <w:b/>
                <w:bCs/>
                <w:color w:val="auto"/>
                <w:highlight w:val="none"/>
              </w:rPr>
              <w:t>取值</w:t>
            </w:r>
          </w:p>
        </w:tc>
      </w:tr>
      <w:tr w14:paraId="6107C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restart"/>
            <w:vAlign w:val="center"/>
          </w:tcPr>
          <w:p w14:paraId="1366F9FF">
            <w:pPr>
              <w:pStyle w:val="37"/>
              <w:adjustRightInd w:val="0"/>
              <w:rPr>
                <w:color w:val="auto"/>
                <w:highlight w:val="none"/>
              </w:rPr>
            </w:pPr>
            <w:r>
              <w:rPr>
                <w:color w:val="auto"/>
                <w:highlight w:val="none"/>
              </w:rPr>
              <w:t>城市农村/选项</w:t>
            </w:r>
          </w:p>
        </w:tc>
        <w:tc>
          <w:tcPr>
            <w:tcW w:w="1667" w:type="pct"/>
            <w:vAlign w:val="center"/>
          </w:tcPr>
          <w:p w14:paraId="709175C7">
            <w:pPr>
              <w:pStyle w:val="37"/>
              <w:adjustRightInd w:val="0"/>
              <w:rPr>
                <w:color w:val="auto"/>
                <w:highlight w:val="none"/>
              </w:rPr>
            </w:pPr>
            <w:r>
              <w:rPr>
                <w:color w:val="auto"/>
                <w:highlight w:val="none"/>
              </w:rPr>
              <w:t>城市/农村</w:t>
            </w:r>
          </w:p>
        </w:tc>
        <w:tc>
          <w:tcPr>
            <w:tcW w:w="3019" w:type="dxa"/>
            <w:vAlign w:val="center"/>
          </w:tcPr>
          <w:p w14:paraId="17603617">
            <w:pPr>
              <w:pStyle w:val="37"/>
              <w:adjustRightInd w:val="0"/>
              <w:rPr>
                <w:color w:val="auto"/>
                <w:highlight w:val="none"/>
              </w:rPr>
            </w:pPr>
            <w:r>
              <w:rPr>
                <w:color w:val="auto"/>
                <w:highlight w:val="none"/>
              </w:rPr>
              <w:t>城市</w:t>
            </w:r>
          </w:p>
        </w:tc>
      </w:tr>
      <w:tr w14:paraId="47544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continue"/>
            <w:vAlign w:val="center"/>
          </w:tcPr>
          <w:p w14:paraId="01EAD450">
            <w:pPr>
              <w:pStyle w:val="37"/>
              <w:adjustRightInd w:val="0"/>
              <w:rPr>
                <w:color w:val="auto"/>
                <w:highlight w:val="none"/>
              </w:rPr>
            </w:pPr>
          </w:p>
        </w:tc>
        <w:tc>
          <w:tcPr>
            <w:tcW w:w="1667" w:type="pct"/>
            <w:vAlign w:val="center"/>
          </w:tcPr>
          <w:p w14:paraId="28DFBC55">
            <w:pPr>
              <w:pStyle w:val="37"/>
              <w:adjustRightInd w:val="0"/>
              <w:rPr>
                <w:color w:val="auto"/>
                <w:highlight w:val="none"/>
              </w:rPr>
            </w:pPr>
            <w:r>
              <w:rPr>
                <w:color w:val="auto"/>
                <w:highlight w:val="none"/>
              </w:rPr>
              <w:t>人口数（城市人口数）</w:t>
            </w:r>
          </w:p>
        </w:tc>
        <w:tc>
          <w:tcPr>
            <w:tcW w:w="3019" w:type="dxa"/>
            <w:vAlign w:val="center"/>
          </w:tcPr>
          <w:p w14:paraId="2A48D65C">
            <w:pPr>
              <w:pStyle w:val="37"/>
              <w:adjustRightInd w:val="0"/>
              <w:rPr>
                <w:color w:val="auto"/>
                <w:highlight w:val="none"/>
              </w:rPr>
            </w:pPr>
            <w:r>
              <w:rPr>
                <w:color w:val="auto"/>
                <w:highlight w:val="none"/>
              </w:rPr>
              <w:t>20000</w:t>
            </w:r>
          </w:p>
        </w:tc>
      </w:tr>
      <w:tr w14:paraId="1AE6C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33" w:type="pct"/>
            <w:gridSpan w:val="2"/>
            <w:vAlign w:val="center"/>
          </w:tcPr>
          <w:p w14:paraId="07C89FAF">
            <w:pPr>
              <w:pStyle w:val="37"/>
              <w:adjustRightInd w:val="0"/>
              <w:rPr>
                <w:color w:val="auto"/>
                <w:highlight w:val="none"/>
              </w:rPr>
            </w:pPr>
            <w:r>
              <w:rPr>
                <w:color w:val="auto"/>
                <w:highlight w:val="none"/>
              </w:rPr>
              <w:t>最高环境温度</w:t>
            </w:r>
          </w:p>
        </w:tc>
        <w:tc>
          <w:tcPr>
            <w:tcW w:w="1666" w:type="pct"/>
            <w:vAlign w:val="center"/>
          </w:tcPr>
          <w:p w14:paraId="36A2B42C">
            <w:pPr>
              <w:pStyle w:val="37"/>
              <w:adjustRightInd w:val="0"/>
              <w:rPr>
                <w:color w:val="auto"/>
                <w:highlight w:val="none"/>
              </w:rPr>
            </w:pPr>
            <w:r>
              <w:rPr>
                <w:color w:val="auto"/>
                <w:highlight w:val="none"/>
              </w:rPr>
              <w:t>39.6</w:t>
            </w:r>
          </w:p>
        </w:tc>
      </w:tr>
      <w:tr w14:paraId="5CA9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33" w:type="pct"/>
            <w:gridSpan w:val="2"/>
            <w:vAlign w:val="center"/>
          </w:tcPr>
          <w:p w14:paraId="235E2012">
            <w:pPr>
              <w:pStyle w:val="37"/>
              <w:adjustRightInd w:val="0"/>
              <w:rPr>
                <w:color w:val="auto"/>
                <w:highlight w:val="none"/>
              </w:rPr>
            </w:pPr>
            <w:r>
              <w:rPr>
                <w:color w:val="auto"/>
                <w:highlight w:val="none"/>
              </w:rPr>
              <w:t>最低环境温度</w:t>
            </w:r>
          </w:p>
        </w:tc>
        <w:tc>
          <w:tcPr>
            <w:tcW w:w="1666" w:type="pct"/>
            <w:vAlign w:val="center"/>
          </w:tcPr>
          <w:p w14:paraId="6D010F01">
            <w:pPr>
              <w:pStyle w:val="37"/>
              <w:adjustRightInd w:val="0"/>
              <w:rPr>
                <w:color w:val="auto"/>
                <w:highlight w:val="none"/>
              </w:rPr>
            </w:pPr>
            <w:r>
              <w:rPr>
                <w:color w:val="auto"/>
                <w:highlight w:val="none"/>
              </w:rPr>
              <w:t>-4.3</w:t>
            </w:r>
          </w:p>
        </w:tc>
      </w:tr>
      <w:tr w14:paraId="2207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33" w:type="pct"/>
            <w:gridSpan w:val="2"/>
            <w:vAlign w:val="center"/>
          </w:tcPr>
          <w:p w14:paraId="6F10DD0B">
            <w:pPr>
              <w:pStyle w:val="37"/>
              <w:adjustRightInd w:val="0"/>
              <w:rPr>
                <w:color w:val="auto"/>
                <w:highlight w:val="none"/>
              </w:rPr>
            </w:pPr>
            <w:r>
              <w:rPr>
                <w:color w:val="auto"/>
                <w:highlight w:val="none"/>
              </w:rPr>
              <w:t>土地利用类型</w:t>
            </w:r>
          </w:p>
        </w:tc>
        <w:tc>
          <w:tcPr>
            <w:tcW w:w="1666" w:type="pct"/>
            <w:vAlign w:val="center"/>
          </w:tcPr>
          <w:p w14:paraId="74FCD1C0">
            <w:pPr>
              <w:pStyle w:val="37"/>
              <w:adjustRightInd w:val="0"/>
              <w:rPr>
                <w:color w:val="auto"/>
                <w:highlight w:val="none"/>
              </w:rPr>
            </w:pPr>
            <w:r>
              <w:rPr>
                <w:color w:val="auto"/>
                <w:highlight w:val="none"/>
              </w:rPr>
              <w:t>城市用地</w:t>
            </w:r>
          </w:p>
        </w:tc>
      </w:tr>
      <w:tr w14:paraId="76E58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333" w:type="pct"/>
            <w:gridSpan w:val="2"/>
            <w:vAlign w:val="center"/>
          </w:tcPr>
          <w:p w14:paraId="18FF33B5">
            <w:pPr>
              <w:pStyle w:val="37"/>
              <w:adjustRightInd w:val="0"/>
              <w:rPr>
                <w:color w:val="auto"/>
                <w:highlight w:val="none"/>
              </w:rPr>
            </w:pPr>
            <w:r>
              <w:rPr>
                <w:color w:val="auto"/>
                <w:highlight w:val="none"/>
              </w:rPr>
              <w:t>区域湿度条件</w:t>
            </w:r>
          </w:p>
        </w:tc>
        <w:tc>
          <w:tcPr>
            <w:tcW w:w="1666" w:type="pct"/>
            <w:vAlign w:val="center"/>
          </w:tcPr>
          <w:p w14:paraId="116F5390">
            <w:pPr>
              <w:pStyle w:val="37"/>
              <w:adjustRightInd w:val="0"/>
              <w:rPr>
                <w:color w:val="auto"/>
                <w:highlight w:val="none"/>
              </w:rPr>
            </w:pPr>
            <w:r>
              <w:rPr>
                <w:color w:val="auto"/>
                <w:highlight w:val="none"/>
              </w:rPr>
              <w:t>潮湿</w:t>
            </w:r>
          </w:p>
        </w:tc>
      </w:tr>
      <w:tr w14:paraId="6B428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restart"/>
            <w:vAlign w:val="center"/>
          </w:tcPr>
          <w:p w14:paraId="5E6A23ED">
            <w:pPr>
              <w:pStyle w:val="37"/>
              <w:adjustRightInd w:val="0"/>
              <w:rPr>
                <w:color w:val="auto"/>
                <w:highlight w:val="none"/>
              </w:rPr>
            </w:pPr>
            <w:r>
              <w:rPr>
                <w:color w:val="auto"/>
                <w:highlight w:val="none"/>
              </w:rPr>
              <w:t>是否考虑地形</w:t>
            </w:r>
          </w:p>
        </w:tc>
        <w:tc>
          <w:tcPr>
            <w:tcW w:w="1667" w:type="pct"/>
            <w:vAlign w:val="center"/>
          </w:tcPr>
          <w:p w14:paraId="28F134B5">
            <w:pPr>
              <w:pStyle w:val="37"/>
              <w:adjustRightInd w:val="0"/>
              <w:rPr>
                <w:color w:val="auto"/>
                <w:highlight w:val="none"/>
              </w:rPr>
            </w:pPr>
            <w:r>
              <w:rPr>
                <w:color w:val="auto"/>
                <w:highlight w:val="none"/>
              </w:rPr>
              <w:t>考虑地形</w:t>
            </w:r>
          </w:p>
        </w:tc>
        <w:tc>
          <w:tcPr>
            <w:tcW w:w="1666" w:type="pct"/>
            <w:vAlign w:val="center"/>
          </w:tcPr>
          <w:p w14:paraId="487FD606">
            <w:pPr>
              <w:pStyle w:val="37"/>
              <w:adjustRightInd w:val="0"/>
              <w:rPr>
                <w:color w:val="auto"/>
                <w:highlight w:val="none"/>
              </w:rPr>
            </w:pPr>
            <w:r>
              <w:rPr>
                <w:color w:val="auto"/>
                <w:highlight w:val="none"/>
              </w:rPr>
              <w:t>是</w:t>
            </w:r>
          </w:p>
        </w:tc>
      </w:tr>
      <w:tr w14:paraId="0772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continue"/>
            <w:vAlign w:val="center"/>
          </w:tcPr>
          <w:p w14:paraId="7372FA42">
            <w:pPr>
              <w:pStyle w:val="37"/>
              <w:adjustRightInd w:val="0"/>
              <w:rPr>
                <w:color w:val="auto"/>
                <w:highlight w:val="none"/>
              </w:rPr>
            </w:pPr>
          </w:p>
        </w:tc>
        <w:tc>
          <w:tcPr>
            <w:tcW w:w="1667" w:type="pct"/>
            <w:vAlign w:val="center"/>
          </w:tcPr>
          <w:p w14:paraId="1CF7AB18">
            <w:pPr>
              <w:pStyle w:val="37"/>
              <w:adjustRightInd w:val="0"/>
              <w:rPr>
                <w:color w:val="auto"/>
                <w:highlight w:val="none"/>
              </w:rPr>
            </w:pPr>
            <w:r>
              <w:rPr>
                <w:color w:val="auto"/>
                <w:highlight w:val="none"/>
              </w:rPr>
              <w:t>地形数据分辨率（m）</w:t>
            </w:r>
          </w:p>
        </w:tc>
        <w:tc>
          <w:tcPr>
            <w:tcW w:w="1666" w:type="pct"/>
            <w:vAlign w:val="center"/>
          </w:tcPr>
          <w:p w14:paraId="646B6799">
            <w:pPr>
              <w:pStyle w:val="37"/>
              <w:adjustRightInd w:val="0"/>
              <w:rPr>
                <w:color w:val="auto"/>
                <w:highlight w:val="none"/>
              </w:rPr>
            </w:pPr>
            <w:r>
              <w:rPr>
                <w:color w:val="auto"/>
                <w:highlight w:val="none"/>
              </w:rPr>
              <w:t>30</w:t>
            </w:r>
          </w:p>
        </w:tc>
      </w:tr>
      <w:tr w14:paraId="3256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restart"/>
            <w:vAlign w:val="center"/>
          </w:tcPr>
          <w:p w14:paraId="4369C661">
            <w:pPr>
              <w:pStyle w:val="37"/>
              <w:adjustRightInd w:val="0"/>
              <w:rPr>
                <w:color w:val="auto"/>
                <w:highlight w:val="none"/>
              </w:rPr>
            </w:pPr>
            <w:r>
              <w:rPr>
                <w:color w:val="auto"/>
                <w:highlight w:val="none"/>
              </w:rPr>
              <w:t>是否考虑海岸线熏烟</w:t>
            </w:r>
          </w:p>
        </w:tc>
        <w:tc>
          <w:tcPr>
            <w:tcW w:w="1667" w:type="pct"/>
            <w:vAlign w:val="center"/>
          </w:tcPr>
          <w:p w14:paraId="4BEC59D8">
            <w:pPr>
              <w:pStyle w:val="37"/>
              <w:adjustRightInd w:val="0"/>
              <w:rPr>
                <w:color w:val="auto"/>
                <w:highlight w:val="none"/>
              </w:rPr>
            </w:pPr>
            <w:r>
              <w:rPr>
                <w:color w:val="auto"/>
                <w:highlight w:val="none"/>
              </w:rPr>
              <w:t>考虑海岸线熏烟</w:t>
            </w:r>
          </w:p>
        </w:tc>
        <w:tc>
          <w:tcPr>
            <w:tcW w:w="1666" w:type="pct"/>
            <w:vAlign w:val="center"/>
          </w:tcPr>
          <w:p w14:paraId="453F8ECE">
            <w:pPr>
              <w:pStyle w:val="37"/>
              <w:adjustRightInd w:val="0"/>
              <w:rPr>
                <w:color w:val="auto"/>
                <w:highlight w:val="none"/>
              </w:rPr>
            </w:pPr>
            <w:r>
              <w:rPr>
                <w:color w:val="auto"/>
                <w:highlight w:val="none"/>
              </w:rPr>
              <w:t>否</w:t>
            </w:r>
          </w:p>
        </w:tc>
      </w:tr>
      <w:tr w14:paraId="67A70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continue"/>
            <w:vAlign w:val="center"/>
          </w:tcPr>
          <w:p w14:paraId="367F18B7">
            <w:pPr>
              <w:pStyle w:val="37"/>
              <w:adjustRightInd w:val="0"/>
              <w:rPr>
                <w:color w:val="auto"/>
                <w:highlight w:val="none"/>
              </w:rPr>
            </w:pPr>
          </w:p>
        </w:tc>
        <w:tc>
          <w:tcPr>
            <w:tcW w:w="1667" w:type="pct"/>
            <w:vAlign w:val="center"/>
          </w:tcPr>
          <w:p w14:paraId="44E3FA33">
            <w:pPr>
              <w:pStyle w:val="37"/>
              <w:adjustRightInd w:val="0"/>
              <w:rPr>
                <w:color w:val="auto"/>
                <w:highlight w:val="none"/>
              </w:rPr>
            </w:pPr>
            <w:r>
              <w:rPr>
                <w:color w:val="auto"/>
                <w:highlight w:val="none"/>
              </w:rPr>
              <w:t>海岸线距离/km</w:t>
            </w:r>
          </w:p>
        </w:tc>
        <w:tc>
          <w:tcPr>
            <w:tcW w:w="1666" w:type="pct"/>
            <w:vAlign w:val="center"/>
          </w:tcPr>
          <w:p w14:paraId="79024892">
            <w:pPr>
              <w:pStyle w:val="37"/>
              <w:adjustRightInd w:val="0"/>
              <w:rPr>
                <w:color w:val="auto"/>
                <w:highlight w:val="none"/>
              </w:rPr>
            </w:pPr>
            <w:r>
              <w:rPr>
                <w:color w:val="auto"/>
                <w:highlight w:val="none"/>
              </w:rPr>
              <w:t>/</w:t>
            </w:r>
          </w:p>
        </w:tc>
      </w:tr>
      <w:tr w14:paraId="3276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65" w:type="pct"/>
            <w:vMerge w:val="continue"/>
            <w:vAlign w:val="center"/>
          </w:tcPr>
          <w:p w14:paraId="0D820834">
            <w:pPr>
              <w:pStyle w:val="37"/>
              <w:adjustRightInd w:val="0"/>
              <w:rPr>
                <w:color w:val="auto"/>
                <w:highlight w:val="none"/>
              </w:rPr>
            </w:pPr>
          </w:p>
        </w:tc>
        <w:tc>
          <w:tcPr>
            <w:tcW w:w="1667" w:type="pct"/>
            <w:vAlign w:val="center"/>
          </w:tcPr>
          <w:p w14:paraId="50816817">
            <w:pPr>
              <w:pStyle w:val="37"/>
              <w:adjustRightInd w:val="0"/>
              <w:rPr>
                <w:color w:val="auto"/>
                <w:highlight w:val="none"/>
              </w:rPr>
            </w:pPr>
            <w:r>
              <w:rPr>
                <w:color w:val="auto"/>
                <w:highlight w:val="none"/>
              </w:rPr>
              <w:t>海岸线方向/o</w:t>
            </w:r>
          </w:p>
        </w:tc>
        <w:tc>
          <w:tcPr>
            <w:tcW w:w="1666" w:type="pct"/>
            <w:vAlign w:val="center"/>
          </w:tcPr>
          <w:p w14:paraId="0F8312D9">
            <w:pPr>
              <w:pStyle w:val="37"/>
              <w:adjustRightInd w:val="0"/>
              <w:rPr>
                <w:color w:val="auto"/>
                <w:highlight w:val="none"/>
              </w:rPr>
            </w:pPr>
            <w:r>
              <w:rPr>
                <w:color w:val="auto"/>
                <w:highlight w:val="none"/>
              </w:rPr>
              <w:t>/</w:t>
            </w:r>
          </w:p>
        </w:tc>
      </w:tr>
    </w:tbl>
    <w:p w14:paraId="1402E01A">
      <w:pPr>
        <w:adjustRightInd w:val="0"/>
        <w:ind w:firstLine="482"/>
        <w:rPr>
          <w:rFonts w:cs="Times New Roman"/>
          <w:b/>
          <w:bCs/>
          <w:color w:val="auto"/>
          <w:highlight w:val="none"/>
        </w:rPr>
      </w:pPr>
      <w:r>
        <w:rPr>
          <w:rFonts w:cs="Times New Roman"/>
          <w:b/>
          <w:bCs/>
          <w:color w:val="auto"/>
          <w:highlight w:val="none"/>
        </w:rPr>
        <w:t>三、估算结果</w:t>
      </w:r>
    </w:p>
    <w:p w14:paraId="4D5C0CED">
      <w:pPr>
        <w:ind w:firstLine="480"/>
        <w:rPr>
          <w:color w:val="auto"/>
          <w:highlight w:val="none"/>
        </w:rPr>
      </w:pPr>
      <w:r>
        <w:rPr>
          <w:color w:val="auto"/>
          <w:highlight w:val="none"/>
        </w:rPr>
        <w:t>根据AERSCREEN计算各污染源离源距离和最大落地浓度见下表。</w:t>
      </w:r>
    </w:p>
    <w:p w14:paraId="5F68C4E0">
      <w:pPr>
        <w:pStyle w:val="12"/>
        <w:rPr>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t>项目估算最大值一览表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259"/>
        <w:gridCol w:w="704"/>
        <w:gridCol w:w="1176"/>
        <w:gridCol w:w="972"/>
        <w:gridCol w:w="1068"/>
        <w:gridCol w:w="907"/>
        <w:gridCol w:w="703"/>
        <w:gridCol w:w="812"/>
      </w:tblGrid>
      <w:tr w14:paraId="38DF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40" w:type="pct"/>
            <w:vAlign w:val="center"/>
          </w:tcPr>
          <w:p w14:paraId="5155AAFA">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污染源类型</w:t>
            </w:r>
          </w:p>
        </w:tc>
        <w:tc>
          <w:tcPr>
            <w:tcW w:w="738" w:type="pct"/>
            <w:vAlign w:val="center"/>
          </w:tcPr>
          <w:p w14:paraId="5E8D1E59">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污染源</w:t>
            </w:r>
          </w:p>
        </w:tc>
        <w:tc>
          <w:tcPr>
            <w:tcW w:w="413" w:type="pct"/>
            <w:vAlign w:val="center"/>
          </w:tcPr>
          <w:p w14:paraId="66D21AE4">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污染因子</w:t>
            </w:r>
          </w:p>
        </w:tc>
        <w:tc>
          <w:tcPr>
            <w:tcW w:w="689" w:type="pct"/>
            <w:vAlign w:val="center"/>
          </w:tcPr>
          <w:p w14:paraId="255E7F83">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最大落地浓度（</w:t>
            </w:r>
            <w:r>
              <w:rPr>
                <w:rFonts w:cs="Times New Roman"/>
                <w:b/>
                <w:color w:val="auto"/>
                <w:kern w:val="21"/>
                <w:sz w:val="21"/>
                <w:highlight w:val="none"/>
              </w:rPr>
              <w:t>μ</w:t>
            </w:r>
            <w:r>
              <w:rPr>
                <w:rFonts w:cs="Times New Roman"/>
                <w:b/>
                <w:bCs/>
                <w:color w:val="auto"/>
                <w:kern w:val="21"/>
                <w:sz w:val="21"/>
                <w:highlight w:val="none"/>
              </w:rPr>
              <w:t>g/m</w:t>
            </w:r>
            <w:r>
              <w:rPr>
                <w:rFonts w:cs="Times New Roman"/>
                <w:b/>
                <w:bCs/>
                <w:color w:val="auto"/>
                <w:kern w:val="21"/>
                <w:sz w:val="21"/>
                <w:highlight w:val="none"/>
                <w:vertAlign w:val="superscript"/>
              </w:rPr>
              <w:t>3</w:t>
            </w:r>
            <w:r>
              <w:rPr>
                <w:rFonts w:cs="Times New Roman"/>
                <w:b/>
                <w:bCs/>
                <w:color w:val="auto"/>
                <w:kern w:val="21"/>
                <w:sz w:val="21"/>
                <w:highlight w:val="none"/>
              </w:rPr>
              <w:t>）</w:t>
            </w:r>
          </w:p>
        </w:tc>
        <w:tc>
          <w:tcPr>
            <w:tcW w:w="570" w:type="pct"/>
            <w:vAlign w:val="center"/>
          </w:tcPr>
          <w:p w14:paraId="354E8089">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最大浓度落地点（m）</w:t>
            </w:r>
          </w:p>
        </w:tc>
        <w:tc>
          <w:tcPr>
            <w:tcW w:w="626" w:type="pct"/>
            <w:vAlign w:val="center"/>
          </w:tcPr>
          <w:p w14:paraId="1FA5C73C">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评价标准（</w:t>
            </w:r>
            <w:r>
              <w:rPr>
                <w:rFonts w:cs="Times New Roman"/>
                <w:b/>
                <w:color w:val="auto"/>
                <w:kern w:val="21"/>
                <w:sz w:val="21"/>
                <w:highlight w:val="none"/>
              </w:rPr>
              <w:t>μ</w:t>
            </w:r>
            <w:r>
              <w:rPr>
                <w:rFonts w:cs="Times New Roman"/>
                <w:b/>
                <w:bCs/>
                <w:color w:val="auto"/>
                <w:kern w:val="21"/>
                <w:sz w:val="21"/>
                <w:highlight w:val="none"/>
              </w:rPr>
              <w:t>g/m</w:t>
            </w:r>
            <w:r>
              <w:rPr>
                <w:rFonts w:cs="Times New Roman"/>
                <w:b/>
                <w:bCs/>
                <w:color w:val="auto"/>
                <w:kern w:val="21"/>
                <w:sz w:val="21"/>
                <w:highlight w:val="none"/>
                <w:vertAlign w:val="superscript"/>
              </w:rPr>
              <w:t>3</w:t>
            </w:r>
            <w:r>
              <w:rPr>
                <w:rFonts w:cs="Times New Roman"/>
                <w:b/>
                <w:bCs/>
                <w:color w:val="auto"/>
                <w:kern w:val="21"/>
                <w:sz w:val="21"/>
                <w:highlight w:val="none"/>
              </w:rPr>
              <w:t>）</w:t>
            </w:r>
          </w:p>
        </w:tc>
        <w:tc>
          <w:tcPr>
            <w:tcW w:w="532" w:type="pct"/>
            <w:vAlign w:val="center"/>
          </w:tcPr>
          <w:p w14:paraId="35D91CDE">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占标率（%）</w:t>
            </w:r>
          </w:p>
        </w:tc>
        <w:tc>
          <w:tcPr>
            <w:tcW w:w="412" w:type="pct"/>
            <w:vAlign w:val="center"/>
          </w:tcPr>
          <w:p w14:paraId="653542D8">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D</w:t>
            </w:r>
            <w:r>
              <w:rPr>
                <w:rFonts w:cs="Times New Roman"/>
                <w:b/>
                <w:bCs/>
                <w:color w:val="auto"/>
                <w:kern w:val="21"/>
                <w:sz w:val="21"/>
                <w:highlight w:val="none"/>
                <w:vertAlign w:val="subscript"/>
              </w:rPr>
              <w:t>10%</w:t>
            </w:r>
            <w:r>
              <w:rPr>
                <w:rFonts w:cs="Times New Roman"/>
                <w:b/>
                <w:bCs/>
                <w:color w:val="auto"/>
                <w:kern w:val="21"/>
                <w:sz w:val="21"/>
                <w:highlight w:val="none"/>
              </w:rPr>
              <w:t>（m）</w:t>
            </w:r>
          </w:p>
        </w:tc>
        <w:tc>
          <w:tcPr>
            <w:tcW w:w="476" w:type="pct"/>
            <w:vAlign w:val="center"/>
          </w:tcPr>
          <w:p w14:paraId="47523C46">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推荐评价等级</w:t>
            </w:r>
          </w:p>
        </w:tc>
      </w:tr>
      <w:tr w14:paraId="7C49D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restart"/>
            <w:vAlign w:val="center"/>
          </w:tcPr>
          <w:p w14:paraId="6308635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有组织</w:t>
            </w:r>
          </w:p>
        </w:tc>
        <w:tc>
          <w:tcPr>
            <w:tcW w:w="738" w:type="pct"/>
            <w:vMerge w:val="restart"/>
            <w:vAlign w:val="center"/>
          </w:tcPr>
          <w:p w14:paraId="53D89A1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排气筒（DA001）</w:t>
            </w:r>
          </w:p>
        </w:tc>
        <w:tc>
          <w:tcPr>
            <w:tcW w:w="413" w:type="pct"/>
            <w:vAlign w:val="center"/>
          </w:tcPr>
          <w:p w14:paraId="379D0E4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eastAsia="等线" w:cs="Times New Roman"/>
                <w:color w:val="auto"/>
                <w:kern w:val="21"/>
                <w:sz w:val="21"/>
                <w:highlight w:val="none"/>
              </w:rPr>
              <w:t>TSP</w:t>
            </w:r>
          </w:p>
        </w:tc>
        <w:tc>
          <w:tcPr>
            <w:tcW w:w="689" w:type="pct"/>
            <w:vAlign w:val="center"/>
          </w:tcPr>
          <w:p w14:paraId="1F394EB3">
            <w:pPr>
              <w:pStyle w:val="37"/>
              <w:rPr>
                <w:color w:val="auto"/>
                <w:highlight w:val="none"/>
              </w:rPr>
            </w:pPr>
            <w:r>
              <w:rPr>
                <w:rFonts w:hint="eastAsia"/>
                <w:color w:val="auto"/>
                <w:highlight w:val="none"/>
              </w:rPr>
              <w:t>17.6</w:t>
            </w:r>
          </w:p>
        </w:tc>
        <w:tc>
          <w:tcPr>
            <w:tcW w:w="570" w:type="pct"/>
            <w:vAlign w:val="center"/>
          </w:tcPr>
          <w:p w14:paraId="748CF680">
            <w:pPr>
              <w:pStyle w:val="37"/>
              <w:rPr>
                <w:color w:val="auto"/>
                <w:highlight w:val="none"/>
              </w:rPr>
            </w:pPr>
            <w:r>
              <w:rPr>
                <w:rFonts w:hint="eastAsia"/>
                <w:color w:val="auto"/>
                <w:highlight w:val="none"/>
              </w:rPr>
              <w:t>56</w:t>
            </w:r>
          </w:p>
        </w:tc>
        <w:tc>
          <w:tcPr>
            <w:tcW w:w="626" w:type="pct"/>
            <w:vAlign w:val="center"/>
          </w:tcPr>
          <w:p w14:paraId="5ED985A8">
            <w:pPr>
              <w:pStyle w:val="37"/>
              <w:rPr>
                <w:color w:val="auto"/>
                <w:highlight w:val="none"/>
              </w:rPr>
            </w:pPr>
            <w:r>
              <w:rPr>
                <w:rFonts w:hint="eastAsia"/>
                <w:color w:val="auto"/>
                <w:highlight w:val="none"/>
              </w:rPr>
              <w:t>900</w:t>
            </w:r>
          </w:p>
        </w:tc>
        <w:tc>
          <w:tcPr>
            <w:tcW w:w="532" w:type="pct"/>
            <w:vAlign w:val="center"/>
          </w:tcPr>
          <w:p w14:paraId="59E9734B">
            <w:pPr>
              <w:pStyle w:val="37"/>
              <w:rPr>
                <w:color w:val="auto"/>
                <w:highlight w:val="none"/>
              </w:rPr>
            </w:pPr>
            <w:r>
              <w:rPr>
                <w:rFonts w:hint="eastAsia"/>
                <w:color w:val="auto"/>
                <w:highlight w:val="none"/>
              </w:rPr>
              <w:t>1.96</w:t>
            </w:r>
          </w:p>
        </w:tc>
        <w:tc>
          <w:tcPr>
            <w:tcW w:w="412" w:type="pct"/>
            <w:vAlign w:val="center"/>
          </w:tcPr>
          <w:p w14:paraId="6BF8E859">
            <w:pPr>
              <w:pStyle w:val="37"/>
              <w:rPr>
                <w:color w:val="auto"/>
                <w:highlight w:val="none"/>
              </w:rPr>
            </w:pPr>
            <w:r>
              <w:rPr>
                <w:color w:val="auto"/>
                <w:highlight w:val="none"/>
              </w:rPr>
              <w:t>0</w:t>
            </w:r>
          </w:p>
        </w:tc>
        <w:tc>
          <w:tcPr>
            <w:tcW w:w="476" w:type="pct"/>
            <w:vAlign w:val="center"/>
          </w:tcPr>
          <w:p w14:paraId="46F691F2">
            <w:pPr>
              <w:widowControl/>
              <w:overflowPunct w:val="0"/>
              <w:adjustRightInd w:val="0"/>
              <w:spacing w:before="65" w:beforeLines="20" w:after="65" w:afterLines="20" w:line="240" w:lineRule="auto"/>
              <w:ind w:firstLine="0" w:firstLineChars="0"/>
              <w:jc w:val="center"/>
              <w:rPr>
                <w:rFonts w:eastAsia="等线" w:cs="Times New Roman"/>
                <w:bCs/>
                <w:color w:val="auto"/>
                <w:kern w:val="21"/>
                <w:sz w:val="21"/>
                <w:highlight w:val="none"/>
              </w:rPr>
            </w:pPr>
            <w:r>
              <w:rPr>
                <w:rFonts w:cs="Times New Roman"/>
                <w:bCs/>
                <w:color w:val="auto"/>
                <w:kern w:val="21"/>
                <w:sz w:val="21"/>
                <w:highlight w:val="none"/>
              </w:rPr>
              <w:t>Ⅲ</w:t>
            </w:r>
          </w:p>
        </w:tc>
      </w:tr>
      <w:tr w14:paraId="5CC3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37868DA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3FF6244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60D9957F">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eastAsia="等线" w:cs="Times New Roman"/>
                <w:color w:val="auto"/>
                <w:kern w:val="21"/>
                <w:sz w:val="21"/>
                <w:highlight w:val="none"/>
                <w:vertAlign w:val="subscript"/>
              </w:rPr>
              <w:t>10</w:t>
            </w:r>
          </w:p>
        </w:tc>
        <w:tc>
          <w:tcPr>
            <w:tcW w:w="689" w:type="pct"/>
            <w:vAlign w:val="center"/>
          </w:tcPr>
          <w:p w14:paraId="164918B5">
            <w:pPr>
              <w:pStyle w:val="37"/>
              <w:rPr>
                <w:color w:val="auto"/>
                <w:highlight w:val="none"/>
              </w:rPr>
            </w:pPr>
            <w:r>
              <w:rPr>
                <w:rFonts w:hint="eastAsia"/>
                <w:color w:val="auto"/>
                <w:highlight w:val="none"/>
              </w:rPr>
              <w:t>10.6</w:t>
            </w:r>
          </w:p>
        </w:tc>
        <w:tc>
          <w:tcPr>
            <w:tcW w:w="570" w:type="pct"/>
            <w:vAlign w:val="center"/>
          </w:tcPr>
          <w:p w14:paraId="0D459CFE">
            <w:pPr>
              <w:pStyle w:val="37"/>
              <w:rPr>
                <w:color w:val="auto"/>
                <w:highlight w:val="none"/>
              </w:rPr>
            </w:pPr>
            <w:r>
              <w:rPr>
                <w:rFonts w:hint="eastAsia"/>
                <w:color w:val="auto"/>
                <w:highlight w:val="none"/>
              </w:rPr>
              <w:t>56</w:t>
            </w:r>
          </w:p>
        </w:tc>
        <w:tc>
          <w:tcPr>
            <w:tcW w:w="626" w:type="pct"/>
            <w:vAlign w:val="center"/>
          </w:tcPr>
          <w:p w14:paraId="42A46975">
            <w:pPr>
              <w:pStyle w:val="37"/>
              <w:rPr>
                <w:color w:val="auto"/>
                <w:highlight w:val="none"/>
              </w:rPr>
            </w:pPr>
            <w:r>
              <w:rPr>
                <w:rFonts w:hint="eastAsia"/>
                <w:color w:val="auto"/>
                <w:highlight w:val="none"/>
              </w:rPr>
              <w:t>450</w:t>
            </w:r>
          </w:p>
        </w:tc>
        <w:tc>
          <w:tcPr>
            <w:tcW w:w="532" w:type="pct"/>
            <w:vAlign w:val="center"/>
          </w:tcPr>
          <w:p w14:paraId="386E7549">
            <w:pPr>
              <w:pStyle w:val="37"/>
              <w:rPr>
                <w:color w:val="auto"/>
                <w:highlight w:val="none"/>
              </w:rPr>
            </w:pPr>
            <w:r>
              <w:rPr>
                <w:rFonts w:hint="eastAsia"/>
                <w:color w:val="auto"/>
                <w:highlight w:val="none"/>
              </w:rPr>
              <w:t>2.35</w:t>
            </w:r>
          </w:p>
        </w:tc>
        <w:tc>
          <w:tcPr>
            <w:tcW w:w="412" w:type="pct"/>
            <w:vAlign w:val="center"/>
          </w:tcPr>
          <w:p w14:paraId="00964BD0">
            <w:pPr>
              <w:pStyle w:val="37"/>
              <w:rPr>
                <w:color w:val="auto"/>
                <w:highlight w:val="none"/>
              </w:rPr>
            </w:pPr>
            <w:r>
              <w:rPr>
                <w:rFonts w:hint="eastAsia"/>
                <w:color w:val="auto"/>
                <w:highlight w:val="none"/>
              </w:rPr>
              <w:t>0</w:t>
            </w:r>
          </w:p>
        </w:tc>
        <w:tc>
          <w:tcPr>
            <w:tcW w:w="476" w:type="pct"/>
            <w:vAlign w:val="center"/>
          </w:tcPr>
          <w:p w14:paraId="20E71952">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29DDC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449A811D">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7658212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2DFBE8E6">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hint="eastAsia" w:eastAsia="等线" w:cs="Times New Roman"/>
                <w:color w:val="auto"/>
                <w:kern w:val="21"/>
                <w:sz w:val="21"/>
                <w:highlight w:val="none"/>
                <w:vertAlign w:val="subscript"/>
              </w:rPr>
              <w:t>2.5</w:t>
            </w:r>
          </w:p>
        </w:tc>
        <w:tc>
          <w:tcPr>
            <w:tcW w:w="689" w:type="pct"/>
            <w:vAlign w:val="center"/>
          </w:tcPr>
          <w:p w14:paraId="34228769">
            <w:pPr>
              <w:pStyle w:val="37"/>
              <w:rPr>
                <w:color w:val="auto"/>
                <w:highlight w:val="none"/>
              </w:rPr>
            </w:pPr>
            <w:r>
              <w:rPr>
                <w:rFonts w:hint="eastAsia"/>
                <w:color w:val="auto"/>
                <w:highlight w:val="none"/>
              </w:rPr>
              <w:t>8.82</w:t>
            </w:r>
          </w:p>
        </w:tc>
        <w:tc>
          <w:tcPr>
            <w:tcW w:w="570" w:type="pct"/>
            <w:vAlign w:val="center"/>
          </w:tcPr>
          <w:p w14:paraId="2BB1A867">
            <w:pPr>
              <w:pStyle w:val="37"/>
              <w:rPr>
                <w:color w:val="auto"/>
                <w:highlight w:val="none"/>
              </w:rPr>
            </w:pPr>
            <w:r>
              <w:rPr>
                <w:rFonts w:hint="eastAsia"/>
                <w:color w:val="auto"/>
                <w:highlight w:val="none"/>
              </w:rPr>
              <w:t>56</w:t>
            </w:r>
          </w:p>
        </w:tc>
        <w:tc>
          <w:tcPr>
            <w:tcW w:w="626" w:type="pct"/>
            <w:vAlign w:val="center"/>
          </w:tcPr>
          <w:p w14:paraId="5996486A">
            <w:pPr>
              <w:pStyle w:val="37"/>
              <w:rPr>
                <w:color w:val="auto"/>
                <w:highlight w:val="none"/>
              </w:rPr>
            </w:pPr>
            <w:r>
              <w:rPr>
                <w:rFonts w:hint="eastAsia"/>
                <w:color w:val="auto"/>
                <w:highlight w:val="none"/>
              </w:rPr>
              <w:t>225</w:t>
            </w:r>
          </w:p>
        </w:tc>
        <w:tc>
          <w:tcPr>
            <w:tcW w:w="532" w:type="pct"/>
            <w:vAlign w:val="center"/>
          </w:tcPr>
          <w:p w14:paraId="7564F1E8">
            <w:pPr>
              <w:pStyle w:val="37"/>
              <w:rPr>
                <w:color w:val="auto"/>
                <w:highlight w:val="none"/>
              </w:rPr>
            </w:pPr>
            <w:r>
              <w:rPr>
                <w:rFonts w:hint="eastAsia"/>
                <w:color w:val="auto"/>
                <w:highlight w:val="none"/>
              </w:rPr>
              <w:t>3.92</w:t>
            </w:r>
          </w:p>
        </w:tc>
        <w:tc>
          <w:tcPr>
            <w:tcW w:w="412" w:type="pct"/>
            <w:vAlign w:val="center"/>
          </w:tcPr>
          <w:p w14:paraId="3CA14499">
            <w:pPr>
              <w:pStyle w:val="37"/>
              <w:rPr>
                <w:color w:val="auto"/>
                <w:highlight w:val="none"/>
              </w:rPr>
            </w:pPr>
            <w:r>
              <w:rPr>
                <w:rFonts w:hint="eastAsia"/>
                <w:color w:val="auto"/>
                <w:highlight w:val="none"/>
              </w:rPr>
              <w:t>0</w:t>
            </w:r>
          </w:p>
        </w:tc>
        <w:tc>
          <w:tcPr>
            <w:tcW w:w="476" w:type="pct"/>
            <w:vAlign w:val="center"/>
          </w:tcPr>
          <w:p w14:paraId="11D16A0A">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25C6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restart"/>
            <w:vAlign w:val="center"/>
          </w:tcPr>
          <w:p w14:paraId="3D313A0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无组织</w:t>
            </w:r>
          </w:p>
        </w:tc>
        <w:tc>
          <w:tcPr>
            <w:tcW w:w="738" w:type="pct"/>
            <w:vMerge w:val="restart"/>
            <w:vAlign w:val="center"/>
          </w:tcPr>
          <w:p w14:paraId="248C55A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原矿仓库</w:t>
            </w:r>
          </w:p>
        </w:tc>
        <w:tc>
          <w:tcPr>
            <w:tcW w:w="413" w:type="pct"/>
            <w:vAlign w:val="center"/>
          </w:tcPr>
          <w:p w14:paraId="36BF584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eastAsia="等线" w:cs="Times New Roman"/>
                <w:color w:val="auto"/>
                <w:kern w:val="21"/>
                <w:sz w:val="21"/>
                <w:highlight w:val="none"/>
              </w:rPr>
              <w:t>TSP</w:t>
            </w:r>
          </w:p>
        </w:tc>
        <w:tc>
          <w:tcPr>
            <w:tcW w:w="689" w:type="pct"/>
            <w:vAlign w:val="center"/>
          </w:tcPr>
          <w:p w14:paraId="65A9E5B1">
            <w:pPr>
              <w:pStyle w:val="37"/>
              <w:rPr>
                <w:color w:val="auto"/>
                <w:highlight w:val="none"/>
              </w:rPr>
            </w:pPr>
            <w:r>
              <w:rPr>
                <w:rFonts w:hint="eastAsia"/>
                <w:color w:val="auto"/>
                <w:highlight w:val="none"/>
              </w:rPr>
              <w:t>1.29</w:t>
            </w:r>
          </w:p>
        </w:tc>
        <w:tc>
          <w:tcPr>
            <w:tcW w:w="570" w:type="pct"/>
            <w:vAlign w:val="center"/>
          </w:tcPr>
          <w:p w14:paraId="41DDB1F5">
            <w:pPr>
              <w:pStyle w:val="37"/>
              <w:rPr>
                <w:color w:val="auto"/>
                <w:highlight w:val="none"/>
              </w:rPr>
            </w:pPr>
            <w:r>
              <w:rPr>
                <w:rFonts w:hint="eastAsia"/>
                <w:color w:val="auto"/>
                <w:highlight w:val="none"/>
              </w:rPr>
              <w:t>54</w:t>
            </w:r>
          </w:p>
        </w:tc>
        <w:tc>
          <w:tcPr>
            <w:tcW w:w="626" w:type="pct"/>
            <w:shd w:val="clear" w:color="auto" w:fill="auto"/>
            <w:vAlign w:val="center"/>
          </w:tcPr>
          <w:p w14:paraId="7100EB1A">
            <w:pPr>
              <w:pStyle w:val="37"/>
              <w:rPr>
                <w:color w:val="auto"/>
                <w:highlight w:val="none"/>
              </w:rPr>
            </w:pPr>
            <w:r>
              <w:rPr>
                <w:rFonts w:hint="eastAsia"/>
                <w:color w:val="auto"/>
                <w:highlight w:val="none"/>
              </w:rPr>
              <w:t>900</w:t>
            </w:r>
          </w:p>
        </w:tc>
        <w:tc>
          <w:tcPr>
            <w:tcW w:w="532" w:type="pct"/>
            <w:vAlign w:val="center"/>
          </w:tcPr>
          <w:p w14:paraId="4B484240">
            <w:pPr>
              <w:pStyle w:val="37"/>
              <w:rPr>
                <w:color w:val="auto"/>
                <w:highlight w:val="none"/>
              </w:rPr>
            </w:pPr>
            <w:r>
              <w:rPr>
                <w:rFonts w:hint="eastAsia"/>
                <w:color w:val="auto"/>
                <w:highlight w:val="none"/>
              </w:rPr>
              <w:t>0.14</w:t>
            </w:r>
          </w:p>
        </w:tc>
        <w:tc>
          <w:tcPr>
            <w:tcW w:w="412" w:type="pct"/>
            <w:vAlign w:val="center"/>
          </w:tcPr>
          <w:p w14:paraId="2E226A31">
            <w:pPr>
              <w:pStyle w:val="37"/>
              <w:rPr>
                <w:color w:val="auto"/>
                <w:highlight w:val="none"/>
              </w:rPr>
            </w:pPr>
            <w:r>
              <w:rPr>
                <w:color w:val="auto"/>
                <w:highlight w:val="none"/>
              </w:rPr>
              <w:t>0</w:t>
            </w:r>
          </w:p>
        </w:tc>
        <w:tc>
          <w:tcPr>
            <w:tcW w:w="476" w:type="pct"/>
            <w:vAlign w:val="center"/>
          </w:tcPr>
          <w:p w14:paraId="7950A493">
            <w:pPr>
              <w:widowControl/>
              <w:overflowPunct w:val="0"/>
              <w:adjustRightInd w:val="0"/>
              <w:spacing w:before="65" w:beforeLines="20" w:after="65" w:afterLines="20" w:line="240" w:lineRule="auto"/>
              <w:ind w:firstLine="0" w:firstLineChars="0"/>
              <w:jc w:val="center"/>
              <w:rPr>
                <w:rFonts w:eastAsia="等线" w:cs="Times New Roman"/>
                <w:bCs/>
                <w:color w:val="auto"/>
                <w:kern w:val="21"/>
                <w:sz w:val="21"/>
                <w:highlight w:val="none"/>
              </w:rPr>
            </w:pPr>
            <w:r>
              <w:rPr>
                <w:rFonts w:cs="Times New Roman"/>
                <w:bCs/>
                <w:color w:val="auto"/>
                <w:kern w:val="21"/>
                <w:sz w:val="21"/>
                <w:highlight w:val="none"/>
              </w:rPr>
              <w:t>Ⅲ</w:t>
            </w:r>
          </w:p>
        </w:tc>
      </w:tr>
      <w:tr w14:paraId="74322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50E488B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6A5CC4E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03FB4451">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eastAsia="等线" w:cs="Times New Roman"/>
                <w:color w:val="auto"/>
                <w:kern w:val="21"/>
                <w:sz w:val="21"/>
                <w:highlight w:val="none"/>
                <w:vertAlign w:val="subscript"/>
              </w:rPr>
              <w:t>10</w:t>
            </w:r>
          </w:p>
        </w:tc>
        <w:tc>
          <w:tcPr>
            <w:tcW w:w="689" w:type="pct"/>
            <w:vAlign w:val="center"/>
          </w:tcPr>
          <w:p w14:paraId="59787BD7">
            <w:pPr>
              <w:pStyle w:val="37"/>
              <w:rPr>
                <w:color w:val="auto"/>
                <w:highlight w:val="none"/>
              </w:rPr>
            </w:pPr>
            <w:r>
              <w:rPr>
                <w:rFonts w:hint="eastAsia"/>
                <w:color w:val="auto"/>
                <w:highlight w:val="none"/>
              </w:rPr>
              <w:t>0.772</w:t>
            </w:r>
          </w:p>
        </w:tc>
        <w:tc>
          <w:tcPr>
            <w:tcW w:w="570" w:type="pct"/>
            <w:vAlign w:val="center"/>
          </w:tcPr>
          <w:p w14:paraId="7E33CB95">
            <w:pPr>
              <w:pStyle w:val="37"/>
              <w:rPr>
                <w:color w:val="auto"/>
                <w:highlight w:val="none"/>
              </w:rPr>
            </w:pPr>
            <w:r>
              <w:rPr>
                <w:rFonts w:hint="eastAsia"/>
                <w:color w:val="auto"/>
                <w:highlight w:val="none"/>
              </w:rPr>
              <w:t>54</w:t>
            </w:r>
          </w:p>
        </w:tc>
        <w:tc>
          <w:tcPr>
            <w:tcW w:w="626" w:type="pct"/>
            <w:shd w:val="clear" w:color="auto" w:fill="auto"/>
            <w:vAlign w:val="center"/>
          </w:tcPr>
          <w:p w14:paraId="24160339">
            <w:pPr>
              <w:pStyle w:val="37"/>
              <w:rPr>
                <w:color w:val="auto"/>
                <w:highlight w:val="none"/>
              </w:rPr>
            </w:pPr>
            <w:r>
              <w:rPr>
                <w:rFonts w:hint="eastAsia"/>
                <w:color w:val="auto"/>
                <w:highlight w:val="none"/>
              </w:rPr>
              <w:t>450</w:t>
            </w:r>
          </w:p>
        </w:tc>
        <w:tc>
          <w:tcPr>
            <w:tcW w:w="532" w:type="pct"/>
            <w:vAlign w:val="center"/>
          </w:tcPr>
          <w:p w14:paraId="7B86715A">
            <w:pPr>
              <w:pStyle w:val="37"/>
              <w:rPr>
                <w:color w:val="auto"/>
                <w:highlight w:val="none"/>
              </w:rPr>
            </w:pPr>
            <w:r>
              <w:rPr>
                <w:rFonts w:hint="eastAsia"/>
                <w:color w:val="auto"/>
                <w:highlight w:val="none"/>
              </w:rPr>
              <w:t>0.17</w:t>
            </w:r>
          </w:p>
        </w:tc>
        <w:tc>
          <w:tcPr>
            <w:tcW w:w="412" w:type="pct"/>
            <w:vAlign w:val="center"/>
          </w:tcPr>
          <w:p w14:paraId="6FB78D1E">
            <w:pPr>
              <w:pStyle w:val="37"/>
              <w:rPr>
                <w:color w:val="auto"/>
                <w:highlight w:val="none"/>
              </w:rPr>
            </w:pPr>
            <w:r>
              <w:rPr>
                <w:rFonts w:hint="eastAsia"/>
                <w:color w:val="auto"/>
                <w:highlight w:val="none"/>
              </w:rPr>
              <w:t>0</w:t>
            </w:r>
          </w:p>
        </w:tc>
        <w:tc>
          <w:tcPr>
            <w:tcW w:w="476" w:type="pct"/>
            <w:vAlign w:val="center"/>
          </w:tcPr>
          <w:p w14:paraId="6FADA8D0">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63D87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0" w:type="pct"/>
            <w:vMerge w:val="continue"/>
            <w:vAlign w:val="center"/>
          </w:tcPr>
          <w:p w14:paraId="4371C98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7F4D849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5BE40C9D">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hint="eastAsia" w:eastAsia="等线" w:cs="Times New Roman"/>
                <w:color w:val="auto"/>
                <w:kern w:val="21"/>
                <w:sz w:val="21"/>
                <w:highlight w:val="none"/>
                <w:vertAlign w:val="subscript"/>
              </w:rPr>
              <w:t>2.5</w:t>
            </w:r>
          </w:p>
        </w:tc>
        <w:tc>
          <w:tcPr>
            <w:tcW w:w="689" w:type="pct"/>
            <w:vAlign w:val="center"/>
          </w:tcPr>
          <w:p w14:paraId="56C4BDC6">
            <w:pPr>
              <w:pStyle w:val="37"/>
              <w:rPr>
                <w:color w:val="auto"/>
                <w:highlight w:val="none"/>
              </w:rPr>
            </w:pPr>
            <w:r>
              <w:rPr>
                <w:rFonts w:hint="eastAsia"/>
                <w:color w:val="auto"/>
                <w:highlight w:val="none"/>
              </w:rPr>
              <w:t>0.386</w:t>
            </w:r>
          </w:p>
        </w:tc>
        <w:tc>
          <w:tcPr>
            <w:tcW w:w="570" w:type="pct"/>
            <w:vAlign w:val="center"/>
          </w:tcPr>
          <w:p w14:paraId="54B12D7E">
            <w:pPr>
              <w:pStyle w:val="37"/>
              <w:rPr>
                <w:color w:val="auto"/>
                <w:highlight w:val="none"/>
              </w:rPr>
            </w:pPr>
            <w:r>
              <w:rPr>
                <w:rFonts w:hint="eastAsia"/>
                <w:color w:val="auto"/>
                <w:highlight w:val="none"/>
              </w:rPr>
              <w:t>54</w:t>
            </w:r>
          </w:p>
        </w:tc>
        <w:tc>
          <w:tcPr>
            <w:tcW w:w="626" w:type="pct"/>
            <w:shd w:val="clear" w:color="auto" w:fill="auto"/>
            <w:vAlign w:val="center"/>
          </w:tcPr>
          <w:p w14:paraId="2C2B2F70">
            <w:pPr>
              <w:pStyle w:val="37"/>
              <w:rPr>
                <w:color w:val="auto"/>
                <w:highlight w:val="none"/>
              </w:rPr>
            </w:pPr>
            <w:r>
              <w:rPr>
                <w:rFonts w:hint="eastAsia"/>
                <w:color w:val="auto"/>
                <w:highlight w:val="none"/>
              </w:rPr>
              <w:t>225</w:t>
            </w:r>
          </w:p>
        </w:tc>
        <w:tc>
          <w:tcPr>
            <w:tcW w:w="532" w:type="pct"/>
            <w:vAlign w:val="center"/>
          </w:tcPr>
          <w:p w14:paraId="0FC7AE69">
            <w:pPr>
              <w:pStyle w:val="37"/>
              <w:rPr>
                <w:color w:val="auto"/>
                <w:highlight w:val="none"/>
              </w:rPr>
            </w:pPr>
            <w:r>
              <w:rPr>
                <w:rFonts w:hint="eastAsia"/>
                <w:color w:val="auto"/>
                <w:highlight w:val="none"/>
              </w:rPr>
              <w:t>0.17</w:t>
            </w:r>
          </w:p>
        </w:tc>
        <w:tc>
          <w:tcPr>
            <w:tcW w:w="412" w:type="pct"/>
            <w:vAlign w:val="center"/>
          </w:tcPr>
          <w:p w14:paraId="7A7AB9FF">
            <w:pPr>
              <w:pStyle w:val="37"/>
              <w:rPr>
                <w:color w:val="auto"/>
                <w:highlight w:val="none"/>
              </w:rPr>
            </w:pPr>
            <w:r>
              <w:rPr>
                <w:color w:val="auto"/>
                <w:highlight w:val="none"/>
              </w:rPr>
              <w:t>0</w:t>
            </w:r>
          </w:p>
        </w:tc>
        <w:tc>
          <w:tcPr>
            <w:tcW w:w="476" w:type="pct"/>
            <w:vAlign w:val="center"/>
          </w:tcPr>
          <w:p w14:paraId="513E7342">
            <w:pPr>
              <w:widowControl/>
              <w:overflowPunct w:val="0"/>
              <w:adjustRightInd w:val="0"/>
              <w:spacing w:before="65" w:beforeLines="20" w:after="65" w:afterLines="20" w:line="240" w:lineRule="auto"/>
              <w:ind w:firstLine="0" w:firstLineChars="0"/>
              <w:jc w:val="center"/>
              <w:rPr>
                <w:rFonts w:eastAsia="等线" w:cs="Times New Roman"/>
                <w:bCs/>
                <w:color w:val="auto"/>
                <w:kern w:val="21"/>
                <w:sz w:val="21"/>
                <w:highlight w:val="none"/>
              </w:rPr>
            </w:pPr>
            <w:r>
              <w:rPr>
                <w:rFonts w:cs="Times New Roman"/>
                <w:bCs/>
                <w:color w:val="auto"/>
                <w:kern w:val="21"/>
                <w:sz w:val="21"/>
                <w:highlight w:val="none"/>
              </w:rPr>
              <w:t>Ⅲ</w:t>
            </w:r>
          </w:p>
        </w:tc>
      </w:tr>
      <w:tr w14:paraId="703A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031EA69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restart"/>
            <w:vAlign w:val="center"/>
          </w:tcPr>
          <w:p w14:paraId="49EA26A7">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碎矿车间</w:t>
            </w:r>
          </w:p>
        </w:tc>
        <w:tc>
          <w:tcPr>
            <w:tcW w:w="413" w:type="pct"/>
            <w:vAlign w:val="center"/>
          </w:tcPr>
          <w:p w14:paraId="36D9C42A">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TSP</w:t>
            </w:r>
          </w:p>
        </w:tc>
        <w:tc>
          <w:tcPr>
            <w:tcW w:w="689" w:type="pct"/>
            <w:vAlign w:val="center"/>
          </w:tcPr>
          <w:p w14:paraId="5B475486">
            <w:pPr>
              <w:pStyle w:val="37"/>
              <w:rPr>
                <w:color w:val="auto"/>
                <w:highlight w:val="none"/>
              </w:rPr>
            </w:pPr>
            <w:r>
              <w:rPr>
                <w:rFonts w:hint="eastAsia"/>
                <w:color w:val="auto"/>
                <w:highlight w:val="none"/>
              </w:rPr>
              <w:t>58.1</w:t>
            </w:r>
          </w:p>
        </w:tc>
        <w:tc>
          <w:tcPr>
            <w:tcW w:w="570" w:type="pct"/>
            <w:vAlign w:val="center"/>
          </w:tcPr>
          <w:p w14:paraId="5A828DA4">
            <w:pPr>
              <w:pStyle w:val="37"/>
              <w:rPr>
                <w:color w:val="auto"/>
                <w:highlight w:val="none"/>
              </w:rPr>
            </w:pPr>
            <w:r>
              <w:rPr>
                <w:rFonts w:hint="eastAsia"/>
                <w:color w:val="auto"/>
                <w:highlight w:val="none"/>
              </w:rPr>
              <w:t>50</w:t>
            </w:r>
          </w:p>
        </w:tc>
        <w:tc>
          <w:tcPr>
            <w:tcW w:w="626" w:type="pct"/>
            <w:shd w:val="clear" w:color="auto" w:fill="auto"/>
            <w:vAlign w:val="center"/>
          </w:tcPr>
          <w:p w14:paraId="5D80BB2C">
            <w:pPr>
              <w:pStyle w:val="37"/>
              <w:rPr>
                <w:color w:val="auto"/>
                <w:highlight w:val="none"/>
              </w:rPr>
            </w:pPr>
            <w:r>
              <w:rPr>
                <w:rFonts w:hint="eastAsia"/>
                <w:color w:val="auto"/>
                <w:highlight w:val="none"/>
              </w:rPr>
              <w:t>900</w:t>
            </w:r>
          </w:p>
        </w:tc>
        <w:tc>
          <w:tcPr>
            <w:tcW w:w="532" w:type="pct"/>
            <w:vAlign w:val="center"/>
          </w:tcPr>
          <w:p w14:paraId="2E9964B9">
            <w:pPr>
              <w:pStyle w:val="37"/>
              <w:rPr>
                <w:color w:val="auto"/>
                <w:highlight w:val="none"/>
              </w:rPr>
            </w:pPr>
            <w:r>
              <w:rPr>
                <w:rFonts w:hint="eastAsia"/>
                <w:color w:val="auto"/>
                <w:highlight w:val="none"/>
              </w:rPr>
              <w:t>6.46</w:t>
            </w:r>
          </w:p>
        </w:tc>
        <w:tc>
          <w:tcPr>
            <w:tcW w:w="412" w:type="pct"/>
            <w:vAlign w:val="center"/>
          </w:tcPr>
          <w:p w14:paraId="4DB9C999">
            <w:pPr>
              <w:pStyle w:val="37"/>
              <w:rPr>
                <w:color w:val="auto"/>
                <w:highlight w:val="none"/>
              </w:rPr>
            </w:pPr>
            <w:r>
              <w:rPr>
                <w:color w:val="auto"/>
                <w:highlight w:val="none"/>
              </w:rPr>
              <w:t>0</w:t>
            </w:r>
          </w:p>
        </w:tc>
        <w:tc>
          <w:tcPr>
            <w:tcW w:w="476" w:type="pct"/>
            <w:vAlign w:val="center"/>
          </w:tcPr>
          <w:p w14:paraId="6B77DBDB">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Ⅱ</w:t>
            </w:r>
          </w:p>
        </w:tc>
      </w:tr>
      <w:tr w14:paraId="6CF0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060CFF27">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3BA5238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4951D4C1">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eastAsia="等线" w:cs="Times New Roman"/>
                <w:color w:val="auto"/>
                <w:kern w:val="21"/>
                <w:sz w:val="21"/>
                <w:highlight w:val="none"/>
                <w:vertAlign w:val="subscript"/>
              </w:rPr>
              <w:t>10</w:t>
            </w:r>
          </w:p>
        </w:tc>
        <w:tc>
          <w:tcPr>
            <w:tcW w:w="689" w:type="pct"/>
            <w:vAlign w:val="center"/>
          </w:tcPr>
          <w:p w14:paraId="635BC59B">
            <w:pPr>
              <w:pStyle w:val="37"/>
              <w:rPr>
                <w:color w:val="auto"/>
                <w:highlight w:val="none"/>
              </w:rPr>
            </w:pPr>
            <w:r>
              <w:rPr>
                <w:rFonts w:hint="eastAsia"/>
                <w:color w:val="auto"/>
                <w:highlight w:val="none"/>
              </w:rPr>
              <w:t>34.9</w:t>
            </w:r>
          </w:p>
        </w:tc>
        <w:tc>
          <w:tcPr>
            <w:tcW w:w="570" w:type="pct"/>
            <w:vAlign w:val="center"/>
          </w:tcPr>
          <w:p w14:paraId="52B8AED0">
            <w:pPr>
              <w:pStyle w:val="37"/>
              <w:rPr>
                <w:color w:val="auto"/>
                <w:highlight w:val="none"/>
              </w:rPr>
            </w:pPr>
            <w:r>
              <w:rPr>
                <w:rFonts w:hint="eastAsia"/>
                <w:color w:val="auto"/>
                <w:highlight w:val="none"/>
              </w:rPr>
              <w:t>50</w:t>
            </w:r>
          </w:p>
        </w:tc>
        <w:tc>
          <w:tcPr>
            <w:tcW w:w="626" w:type="pct"/>
            <w:shd w:val="clear" w:color="auto" w:fill="auto"/>
            <w:vAlign w:val="center"/>
          </w:tcPr>
          <w:p w14:paraId="121743CC">
            <w:pPr>
              <w:pStyle w:val="37"/>
              <w:rPr>
                <w:color w:val="auto"/>
                <w:highlight w:val="none"/>
              </w:rPr>
            </w:pPr>
            <w:r>
              <w:rPr>
                <w:rFonts w:hint="eastAsia"/>
                <w:color w:val="auto"/>
                <w:highlight w:val="none"/>
              </w:rPr>
              <w:t>450</w:t>
            </w:r>
          </w:p>
        </w:tc>
        <w:tc>
          <w:tcPr>
            <w:tcW w:w="532" w:type="pct"/>
            <w:vAlign w:val="center"/>
          </w:tcPr>
          <w:p w14:paraId="2190A19C">
            <w:pPr>
              <w:pStyle w:val="37"/>
              <w:rPr>
                <w:color w:val="auto"/>
                <w:highlight w:val="none"/>
              </w:rPr>
            </w:pPr>
            <w:r>
              <w:rPr>
                <w:rFonts w:hint="eastAsia"/>
                <w:color w:val="auto"/>
                <w:highlight w:val="none"/>
              </w:rPr>
              <w:t>7.75</w:t>
            </w:r>
          </w:p>
        </w:tc>
        <w:tc>
          <w:tcPr>
            <w:tcW w:w="412" w:type="pct"/>
            <w:vAlign w:val="center"/>
          </w:tcPr>
          <w:p w14:paraId="44948F80">
            <w:pPr>
              <w:pStyle w:val="37"/>
              <w:rPr>
                <w:color w:val="auto"/>
                <w:highlight w:val="none"/>
              </w:rPr>
            </w:pPr>
            <w:r>
              <w:rPr>
                <w:rFonts w:hint="eastAsia"/>
                <w:color w:val="auto"/>
                <w:highlight w:val="none"/>
              </w:rPr>
              <w:t>0</w:t>
            </w:r>
          </w:p>
        </w:tc>
        <w:tc>
          <w:tcPr>
            <w:tcW w:w="476" w:type="pct"/>
            <w:vAlign w:val="center"/>
          </w:tcPr>
          <w:p w14:paraId="1251F353">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Ⅱ</w:t>
            </w:r>
          </w:p>
        </w:tc>
      </w:tr>
      <w:tr w14:paraId="4471E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603CDCE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19F296C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0A8E3CFD">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hint="eastAsia" w:eastAsia="等线" w:cs="Times New Roman"/>
                <w:color w:val="auto"/>
                <w:kern w:val="21"/>
                <w:sz w:val="21"/>
                <w:highlight w:val="none"/>
                <w:vertAlign w:val="subscript"/>
              </w:rPr>
              <w:t>2.5</w:t>
            </w:r>
          </w:p>
        </w:tc>
        <w:tc>
          <w:tcPr>
            <w:tcW w:w="689" w:type="pct"/>
            <w:vAlign w:val="center"/>
          </w:tcPr>
          <w:p w14:paraId="0DC66558">
            <w:pPr>
              <w:pStyle w:val="37"/>
              <w:rPr>
                <w:color w:val="auto"/>
                <w:highlight w:val="none"/>
              </w:rPr>
            </w:pPr>
            <w:r>
              <w:rPr>
                <w:rFonts w:hint="eastAsia"/>
                <w:color w:val="auto"/>
                <w:highlight w:val="none"/>
              </w:rPr>
              <w:t>17.4</w:t>
            </w:r>
          </w:p>
        </w:tc>
        <w:tc>
          <w:tcPr>
            <w:tcW w:w="570" w:type="pct"/>
            <w:vAlign w:val="center"/>
          </w:tcPr>
          <w:p w14:paraId="0F2A93A0">
            <w:pPr>
              <w:pStyle w:val="37"/>
              <w:rPr>
                <w:color w:val="auto"/>
                <w:highlight w:val="none"/>
              </w:rPr>
            </w:pPr>
            <w:r>
              <w:rPr>
                <w:rFonts w:hint="eastAsia"/>
                <w:color w:val="auto"/>
                <w:highlight w:val="none"/>
              </w:rPr>
              <w:t>50</w:t>
            </w:r>
          </w:p>
        </w:tc>
        <w:tc>
          <w:tcPr>
            <w:tcW w:w="626" w:type="pct"/>
            <w:shd w:val="clear" w:color="auto" w:fill="auto"/>
            <w:vAlign w:val="center"/>
          </w:tcPr>
          <w:p w14:paraId="6F6E0C82">
            <w:pPr>
              <w:pStyle w:val="37"/>
              <w:rPr>
                <w:color w:val="auto"/>
                <w:highlight w:val="none"/>
              </w:rPr>
            </w:pPr>
            <w:r>
              <w:rPr>
                <w:rFonts w:hint="eastAsia"/>
                <w:color w:val="auto"/>
                <w:highlight w:val="none"/>
              </w:rPr>
              <w:t>225</w:t>
            </w:r>
          </w:p>
        </w:tc>
        <w:tc>
          <w:tcPr>
            <w:tcW w:w="532" w:type="pct"/>
            <w:vAlign w:val="center"/>
          </w:tcPr>
          <w:p w14:paraId="6BE2B795">
            <w:pPr>
              <w:pStyle w:val="37"/>
              <w:rPr>
                <w:color w:val="auto"/>
                <w:highlight w:val="none"/>
              </w:rPr>
            </w:pPr>
            <w:r>
              <w:rPr>
                <w:rFonts w:hint="eastAsia"/>
                <w:color w:val="auto"/>
                <w:highlight w:val="none"/>
              </w:rPr>
              <w:t>7.75</w:t>
            </w:r>
          </w:p>
        </w:tc>
        <w:tc>
          <w:tcPr>
            <w:tcW w:w="412" w:type="pct"/>
            <w:vAlign w:val="center"/>
          </w:tcPr>
          <w:p w14:paraId="73A9BFBE">
            <w:pPr>
              <w:pStyle w:val="37"/>
              <w:rPr>
                <w:color w:val="auto"/>
                <w:highlight w:val="none"/>
              </w:rPr>
            </w:pPr>
            <w:r>
              <w:rPr>
                <w:color w:val="auto"/>
                <w:highlight w:val="none"/>
              </w:rPr>
              <w:t>0</w:t>
            </w:r>
          </w:p>
        </w:tc>
        <w:tc>
          <w:tcPr>
            <w:tcW w:w="476" w:type="pct"/>
            <w:vAlign w:val="center"/>
          </w:tcPr>
          <w:p w14:paraId="522DDC86">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Ⅱ</w:t>
            </w:r>
          </w:p>
        </w:tc>
      </w:tr>
      <w:tr w14:paraId="40ADF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61CFCFD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restart"/>
            <w:vAlign w:val="center"/>
          </w:tcPr>
          <w:p w14:paraId="7C65836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精矿仓库</w:t>
            </w:r>
          </w:p>
        </w:tc>
        <w:tc>
          <w:tcPr>
            <w:tcW w:w="413" w:type="pct"/>
            <w:vAlign w:val="center"/>
          </w:tcPr>
          <w:p w14:paraId="5D701DBA">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TSP</w:t>
            </w:r>
          </w:p>
        </w:tc>
        <w:tc>
          <w:tcPr>
            <w:tcW w:w="689" w:type="pct"/>
            <w:vAlign w:val="center"/>
          </w:tcPr>
          <w:p w14:paraId="313151B2">
            <w:pPr>
              <w:pStyle w:val="37"/>
              <w:rPr>
                <w:color w:val="auto"/>
                <w:highlight w:val="none"/>
              </w:rPr>
            </w:pPr>
            <w:r>
              <w:rPr>
                <w:rFonts w:hint="eastAsia"/>
                <w:color w:val="auto"/>
                <w:highlight w:val="none"/>
              </w:rPr>
              <w:t>0.837</w:t>
            </w:r>
          </w:p>
        </w:tc>
        <w:tc>
          <w:tcPr>
            <w:tcW w:w="570" w:type="pct"/>
            <w:vAlign w:val="center"/>
          </w:tcPr>
          <w:p w14:paraId="4C17ED6F">
            <w:pPr>
              <w:pStyle w:val="37"/>
              <w:rPr>
                <w:color w:val="auto"/>
                <w:highlight w:val="none"/>
              </w:rPr>
            </w:pPr>
            <w:r>
              <w:rPr>
                <w:rFonts w:hint="eastAsia"/>
                <w:color w:val="auto"/>
                <w:highlight w:val="none"/>
              </w:rPr>
              <w:t>19</w:t>
            </w:r>
          </w:p>
        </w:tc>
        <w:tc>
          <w:tcPr>
            <w:tcW w:w="626" w:type="pct"/>
            <w:shd w:val="clear" w:color="auto" w:fill="auto"/>
            <w:vAlign w:val="center"/>
          </w:tcPr>
          <w:p w14:paraId="4CFC9803">
            <w:pPr>
              <w:pStyle w:val="37"/>
              <w:rPr>
                <w:color w:val="auto"/>
                <w:highlight w:val="none"/>
              </w:rPr>
            </w:pPr>
            <w:r>
              <w:rPr>
                <w:rFonts w:hint="eastAsia"/>
                <w:color w:val="auto"/>
                <w:highlight w:val="none"/>
              </w:rPr>
              <w:t>900</w:t>
            </w:r>
          </w:p>
        </w:tc>
        <w:tc>
          <w:tcPr>
            <w:tcW w:w="532" w:type="pct"/>
            <w:vAlign w:val="center"/>
          </w:tcPr>
          <w:p w14:paraId="11607905">
            <w:pPr>
              <w:pStyle w:val="37"/>
              <w:rPr>
                <w:color w:val="auto"/>
                <w:highlight w:val="none"/>
              </w:rPr>
            </w:pPr>
            <w:r>
              <w:rPr>
                <w:rFonts w:hint="eastAsia"/>
                <w:color w:val="auto"/>
                <w:highlight w:val="none"/>
              </w:rPr>
              <w:t>0.09</w:t>
            </w:r>
          </w:p>
        </w:tc>
        <w:tc>
          <w:tcPr>
            <w:tcW w:w="412" w:type="pct"/>
            <w:vAlign w:val="center"/>
          </w:tcPr>
          <w:p w14:paraId="3D0F64B2">
            <w:pPr>
              <w:pStyle w:val="37"/>
              <w:rPr>
                <w:color w:val="auto"/>
                <w:highlight w:val="none"/>
              </w:rPr>
            </w:pPr>
            <w:r>
              <w:rPr>
                <w:rFonts w:hint="eastAsia"/>
                <w:color w:val="auto"/>
                <w:highlight w:val="none"/>
              </w:rPr>
              <w:t>0</w:t>
            </w:r>
          </w:p>
        </w:tc>
        <w:tc>
          <w:tcPr>
            <w:tcW w:w="476" w:type="pct"/>
            <w:vAlign w:val="center"/>
          </w:tcPr>
          <w:p w14:paraId="1296DD21">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44E4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6C76D35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25963F3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10040B02">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eastAsia="等线" w:cs="Times New Roman"/>
                <w:color w:val="auto"/>
                <w:kern w:val="21"/>
                <w:sz w:val="21"/>
                <w:highlight w:val="none"/>
                <w:vertAlign w:val="subscript"/>
              </w:rPr>
              <w:t>10</w:t>
            </w:r>
          </w:p>
        </w:tc>
        <w:tc>
          <w:tcPr>
            <w:tcW w:w="689" w:type="pct"/>
            <w:vAlign w:val="center"/>
          </w:tcPr>
          <w:p w14:paraId="06270008">
            <w:pPr>
              <w:pStyle w:val="37"/>
              <w:rPr>
                <w:color w:val="auto"/>
                <w:highlight w:val="none"/>
              </w:rPr>
            </w:pPr>
            <w:r>
              <w:rPr>
                <w:rFonts w:hint="eastAsia"/>
                <w:color w:val="auto"/>
                <w:highlight w:val="none"/>
              </w:rPr>
              <w:t>0.502</w:t>
            </w:r>
          </w:p>
        </w:tc>
        <w:tc>
          <w:tcPr>
            <w:tcW w:w="570" w:type="pct"/>
            <w:vAlign w:val="center"/>
          </w:tcPr>
          <w:p w14:paraId="2138DE24">
            <w:pPr>
              <w:pStyle w:val="37"/>
              <w:rPr>
                <w:color w:val="auto"/>
                <w:highlight w:val="none"/>
              </w:rPr>
            </w:pPr>
            <w:r>
              <w:rPr>
                <w:rFonts w:hint="eastAsia"/>
                <w:color w:val="auto"/>
                <w:highlight w:val="none"/>
              </w:rPr>
              <w:t>19</w:t>
            </w:r>
          </w:p>
        </w:tc>
        <w:tc>
          <w:tcPr>
            <w:tcW w:w="626" w:type="pct"/>
            <w:shd w:val="clear" w:color="auto" w:fill="auto"/>
            <w:vAlign w:val="center"/>
          </w:tcPr>
          <w:p w14:paraId="1DAEDD80">
            <w:pPr>
              <w:pStyle w:val="37"/>
              <w:rPr>
                <w:color w:val="auto"/>
                <w:highlight w:val="none"/>
              </w:rPr>
            </w:pPr>
            <w:r>
              <w:rPr>
                <w:rFonts w:hint="eastAsia"/>
                <w:color w:val="auto"/>
                <w:highlight w:val="none"/>
              </w:rPr>
              <w:t>450</w:t>
            </w:r>
          </w:p>
        </w:tc>
        <w:tc>
          <w:tcPr>
            <w:tcW w:w="532" w:type="pct"/>
            <w:vAlign w:val="center"/>
          </w:tcPr>
          <w:p w14:paraId="587449D8">
            <w:pPr>
              <w:pStyle w:val="37"/>
              <w:rPr>
                <w:color w:val="auto"/>
                <w:highlight w:val="none"/>
              </w:rPr>
            </w:pPr>
            <w:r>
              <w:rPr>
                <w:rFonts w:hint="eastAsia"/>
                <w:color w:val="auto"/>
                <w:highlight w:val="none"/>
              </w:rPr>
              <w:t>0.11</w:t>
            </w:r>
          </w:p>
        </w:tc>
        <w:tc>
          <w:tcPr>
            <w:tcW w:w="412" w:type="pct"/>
            <w:vAlign w:val="center"/>
          </w:tcPr>
          <w:p w14:paraId="0041D537">
            <w:pPr>
              <w:pStyle w:val="37"/>
              <w:rPr>
                <w:color w:val="auto"/>
                <w:highlight w:val="none"/>
              </w:rPr>
            </w:pPr>
            <w:r>
              <w:rPr>
                <w:rFonts w:hint="eastAsia"/>
                <w:color w:val="auto"/>
                <w:highlight w:val="none"/>
              </w:rPr>
              <w:t>0</w:t>
            </w:r>
          </w:p>
        </w:tc>
        <w:tc>
          <w:tcPr>
            <w:tcW w:w="476" w:type="pct"/>
            <w:vAlign w:val="center"/>
          </w:tcPr>
          <w:p w14:paraId="789D481D">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158AC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0B90A537">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471EEB1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082D054F">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hint="eastAsia" w:eastAsia="等线" w:cs="Times New Roman"/>
                <w:color w:val="auto"/>
                <w:kern w:val="21"/>
                <w:sz w:val="21"/>
                <w:highlight w:val="none"/>
                <w:vertAlign w:val="subscript"/>
              </w:rPr>
              <w:t>2.5</w:t>
            </w:r>
          </w:p>
        </w:tc>
        <w:tc>
          <w:tcPr>
            <w:tcW w:w="689" w:type="pct"/>
            <w:vAlign w:val="center"/>
          </w:tcPr>
          <w:p w14:paraId="42314D2A">
            <w:pPr>
              <w:pStyle w:val="37"/>
              <w:rPr>
                <w:color w:val="auto"/>
                <w:highlight w:val="none"/>
              </w:rPr>
            </w:pPr>
            <w:r>
              <w:rPr>
                <w:rFonts w:hint="eastAsia"/>
                <w:color w:val="auto"/>
                <w:highlight w:val="none"/>
              </w:rPr>
              <w:t>0.251</w:t>
            </w:r>
          </w:p>
        </w:tc>
        <w:tc>
          <w:tcPr>
            <w:tcW w:w="570" w:type="pct"/>
            <w:vAlign w:val="center"/>
          </w:tcPr>
          <w:p w14:paraId="786A1733">
            <w:pPr>
              <w:pStyle w:val="37"/>
              <w:rPr>
                <w:color w:val="auto"/>
                <w:highlight w:val="none"/>
              </w:rPr>
            </w:pPr>
            <w:r>
              <w:rPr>
                <w:rFonts w:hint="eastAsia"/>
                <w:color w:val="auto"/>
                <w:highlight w:val="none"/>
              </w:rPr>
              <w:t>19</w:t>
            </w:r>
          </w:p>
        </w:tc>
        <w:tc>
          <w:tcPr>
            <w:tcW w:w="626" w:type="pct"/>
            <w:shd w:val="clear" w:color="auto" w:fill="auto"/>
            <w:vAlign w:val="center"/>
          </w:tcPr>
          <w:p w14:paraId="190902A8">
            <w:pPr>
              <w:pStyle w:val="37"/>
              <w:rPr>
                <w:color w:val="auto"/>
                <w:highlight w:val="none"/>
              </w:rPr>
            </w:pPr>
            <w:r>
              <w:rPr>
                <w:rFonts w:hint="eastAsia"/>
                <w:color w:val="auto"/>
                <w:highlight w:val="none"/>
              </w:rPr>
              <w:t>225</w:t>
            </w:r>
          </w:p>
        </w:tc>
        <w:tc>
          <w:tcPr>
            <w:tcW w:w="532" w:type="pct"/>
            <w:vAlign w:val="center"/>
          </w:tcPr>
          <w:p w14:paraId="09B795B7">
            <w:pPr>
              <w:pStyle w:val="37"/>
              <w:rPr>
                <w:color w:val="auto"/>
                <w:highlight w:val="none"/>
              </w:rPr>
            </w:pPr>
            <w:r>
              <w:rPr>
                <w:rFonts w:hint="eastAsia"/>
                <w:color w:val="auto"/>
                <w:highlight w:val="none"/>
              </w:rPr>
              <w:t>0.11</w:t>
            </w:r>
          </w:p>
        </w:tc>
        <w:tc>
          <w:tcPr>
            <w:tcW w:w="412" w:type="pct"/>
            <w:vAlign w:val="center"/>
          </w:tcPr>
          <w:p w14:paraId="62F7472C">
            <w:pPr>
              <w:pStyle w:val="37"/>
              <w:rPr>
                <w:color w:val="auto"/>
                <w:highlight w:val="none"/>
              </w:rPr>
            </w:pPr>
            <w:r>
              <w:rPr>
                <w:rFonts w:hint="eastAsia"/>
                <w:color w:val="auto"/>
                <w:highlight w:val="none"/>
              </w:rPr>
              <w:t>0</w:t>
            </w:r>
          </w:p>
        </w:tc>
        <w:tc>
          <w:tcPr>
            <w:tcW w:w="476" w:type="pct"/>
            <w:vAlign w:val="center"/>
          </w:tcPr>
          <w:p w14:paraId="43725DF1">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3740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076DE93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restart"/>
            <w:vAlign w:val="center"/>
          </w:tcPr>
          <w:p w14:paraId="1E98BD59">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尾矿仓库</w:t>
            </w:r>
          </w:p>
        </w:tc>
        <w:tc>
          <w:tcPr>
            <w:tcW w:w="413" w:type="pct"/>
            <w:vAlign w:val="center"/>
          </w:tcPr>
          <w:p w14:paraId="64A4B50E">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TSP</w:t>
            </w:r>
          </w:p>
        </w:tc>
        <w:tc>
          <w:tcPr>
            <w:tcW w:w="689" w:type="pct"/>
            <w:vAlign w:val="center"/>
          </w:tcPr>
          <w:p w14:paraId="1DC2BCFE">
            <w:pPr>
              <w:pStyle w:val="37"/>
              <w:rPr>
                <w:color w:val="auto"/>
                <w:highlight w:val="none"/>
              </w:rPr>
            </w:pPr>
            <w:r>
              <w:rPr>
                <w:rFonts w:hint="eastAsia"/>
                <w:color w:val="auto"/>
                <w:highlight w:val="none"/>
              </w:rPr>
              <w:t>1.62</w:t>
            </w:r>
          </w:p>
        </w:tc>
        <w:tc>
          <w:tcPr>
            <w:tcW w:w="570" w:type="pct"/>
            <w:vAlign w:val="center"/>
          </w:tcPr>
          <w:p w14:paraId="52D92D1F">
            <w:pPr>
              <w:pStyle w:val="37"/>
              <w:rPr>
                <w:color w:val="auto"/>
                <w:highlight w:val="none"/>
              </w:rPr>
            </w:pPr>
            <w:r>
              <w:rPr>
                <w:rFonts w:hint="eastAsia"/>
                <w:color w:val="auto"/>
                <w:highlight w:val="none"/>
              </w:rPr>
              <w:t>23</w:t>
            </w:r>
          </w:p>
        </w:tc>
        <w:tc>
          <w:tcPr>
            <w:tcW w:w="626" w:type="pct"/>
            <w:shd w:val="clear" w:color="auto" w:fill="auto"/>
            <w:vAlign w:val="center"/>
          </w:tcPr>
          <w:p w14:paraId="70A4D7B9">
            <w:pPr>
              <w:pStyle w:val="37"/>
              <w:rPr>
                <w:color w:val="auto"/>
                <w:highlight w:val="none"/>
              </w:rPr>
            </w:pPr>
            <w:r>
              <w:rPr>
                <w:rFonts w:hint="eastAsia"/>
                <w:color w:val="auto"/>
                <w:highlight w:val="none"/>
              </w:rPr>
              <w:t>900</w:t>
            </w:r>
          </w:p>
        </w:tc>
        <w:tc>
          <w:tcPr>
            <w:tcW w:w="532" w:type="pct"/>
            <w:vAlign w:val="center"/>
          </w:tcPr>
          <w:p w14:paraId="7EF4CFC3">
            <w:pPr>
              <w:pStyle w:val="37"/>
              <w:rPr>
                <w:color w:val="auto"/>
                <w:highlight w:val="none"/>
              </w:rPr>
            </w:pPr>
            <w:r>
              <w:rPr>
                <w:rFonts w:hint="eastAsia"/>
                <w:color w:val="auto"/>
                <w:highlight w:val="none"/>
              </w:rPr>
              <w:t>0.18</w:t>
            </w:r>
          </w:p>
        </w:tc>
        <w:tc>
          <w:tcPr>
            <w:tcW w:w="412" w:type="pct"/>
            <w:vAlign w:val="center"/>
          </w:tcPr>
          <w:p w14:paraId="10D359EA">
            <w:pPr>
              <w:pStyle w:val="37"/>
              <w:rPr>
                <w:color w:val="auto"/>
                <w:highlight w:val="none"/>
              </w:rPr>
            </w:pPr>
            <w:r>
              <w:rPr>
                <w:rFonts w:hint="eastAsia"/>
                <w:color w:val="auto"/>
                <w:highlight w:val="none"/>
              </w:rPr>
              <w:t>0</w:t>
            </w:r>
          </w:p>
        </w:tc>
        <w:tc>
          <w:tcPr>
            <w:tcW w:w="476" w:type="pct"/>
            <w:vAlign w:val="center"/>
          </w:tcPr>
          <w:p w14:paraId="172D130B">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54B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37EA88A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3B88A99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04DEA734">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eastAsia="等线" w:cs="Times New Roman"/>
                <w:color w:val="auto"/>
                <w:kern w:val="21"/>
                <w:sz w:val="21"/>
                <w:highlight w:val="none"/>
                <w:vertAlign w:val="subscript"/>
              </w:rPr>
              <w:t>10</w:t>
            </w:r>
          </w:p>
        </w:tc>
        <w:tc>
          <w:tcPr>
            <w:tcW w:w="689" w:type="pct"/>
            <w:vAlign w:val="center"/>
          </w:tcPr>
          <w:p w14:paraId="6CC122D8">
            <w:pPr>
              <w:pStyle w:val="37"/>
              <w:rPr>
                <w:color w:val="auto"/>
                <w:highlight w:val="none"/>
              </w:rPr>
            </w:pPr>
            <w:r>
              <w:rPr>
                <w:rFonts w:hint="eastAsia"/>
                <w:color w:val="auto"/>
                <w:highlight w:val="none"/>
              </w:rPr>
              <w:t>0.974</w:t>
            </w:r>
          </w:p>
        </w:tc>
        <w:tc>
          <w:tcPr>
            <w:tcW w:w="570" w:type="pct"/>
            <w:vAlign w:val="center"/>
          </w:tcPr>
          <w:p w14:paraId="4862B812">
            <w:pPr>
              <w:pStyle w:val="37"/>
              <w:rPr>
                <w:color w:val="auto"/>
                <w:highlight w:val="none"/>
              </w:rPr>
            </w:pPr>
            <w:r>
              <w:rPr>
                <w:rFonts w:hint="eastAsia"/>
                <w:color w:val="auto"/>
                <w:highlight w:val="none"/>
              </w:rPr>
              <w:t>23</w:t>
            </w:r>
          </w:p>
        </w:tc>
        <w:tc>
          <w:tcPr>
            <w:tcW w:w="626" w:type="pct"/>
            <w:shd w:val="clear" w:color="auto" w:fill="auto"/>
            <w:vAlign w:val="center"/>
          </w:tcPr>
          <w:p w14:paraId="0E3C7145">
            <w:pPr>
              <w:pStyle w:val="37"/>
              <w:rPr>
                <w:color w:val="auto"/>
                <w:highlight w:val="none"/>
              </w:rPr>
            </w:pPr>
            <w:r>
              <w:rPr>
                <w:rFonts w:hint="eastAsia"/>
                <w:color w:val="auto"/>
                <w:highlight w:val="none"/>
              </w:rPr>
              <w:t>450</w:t>
            </w:r>
          </w:p>
        </w:tc>
        <w:tc>
          <w:tcPr>
            <w:tcW w:w="532" w:type="pct"/>
            <w:vAlign w:val="center"/>
          </w:tcPr>
          <w:p w14:paraId="3FD218AB">
            <w:pPr>
              <w:pStyle w:val="37"/>
              <w:rPr>
                <w:color w:val="auto"/>
                <w:highlight w:val="none"/>
              </w:rPr>
            </w:pPr>
            <w:r>
              <w:rPr>
                <w:rFonts w:hint="eastAsia"/>
                <w:color w:val="auto"/>
                <w:highlight w:val="none"/>
              </w:rPr>
              <w:t>0.22</w:t>
            </w:r>
          </w:p>
        </w:tc>
        <w:tc>
          <w:tcPr>
            <w:tcW w:w="412" w:type="pct"/>
            <w:vAlign w:val="center"/>
          </w:tcPr>
          <w:p w14:paraId="7A091F3A">
            <w:pPr>
              <w:pStyle w:val="37"/>
              <w:rPr>
                <w:color w:val="auto"/>
                <w:highlight w:val="none"/>
              </w:rPr>
            </w:pPr>
            <w:r>
              <w:rPr>
                <w:rFonts w:hint="eastAsia"/>
                <w:color w:val="auto"/>
                <w:highlight w:val="none"/>
              </w:rPr>
              <w:t>0</w:t>
            </w:r>
          </w:p>
        </w:tc>
        <w:tc>
          <w:tcPr>
            <w:tcW w:w="476" w:type="pct"/>
            <w:vAlign w:val="center"/>
          </w:tcPr>
          <w:p w14:paraId="4AFFDC5F">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r w14:paraId="5AE9D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540" w:type="pct"/>
            <w:vMerge w:val="continue"/>
            <w:vAlign w:val="center"/>
          </w:tcPr>
          <w:p w14:paraId="649F12B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738" w:type="pct"/>
            <w:vMerge w:val="continue"/>
            <w:vAlign w:val="center"/>
          </w:tcPr>
          <w:p w14:paraId="459DC049">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3" w:type="pct"/>
            <w:vAlign w:val="center"/>
          </w:tcPr>
          <w:p w14:paraId="4FE68723">
            <w:pPr>
              <w:widowControl/>
              <w:overflowPunct w:val="0"/>
              <w:adjustRightInd w:val="0"/>
              <w:spacing w:before="65" w:beforeLines="20" w:after="65" w:afterLines="20" w:line="240" w:lineRule="auto"/>
              <w:ind w:firstLine="0" w:firstLineChars="0"/>
              <w:jc w:val="center"/>
              <w:rPr>
                <w:rFonts w:eastAsia="等线" w:cs="Times New Roman"/>
                <w:color w:val="auto"/>
                <w:kern w:val="21"/>
                <w:sz w:val="21"/>
                <w:highlight w:val="none"/>
              </w:rPr>
            </w:pPr>
            <w:r>
              <w:rPr>
                <w:rFonts w:eastAsia="等线" w:cs="Times New Roman"/>
                <w:color w:val="auto"/>
                <w:kern w:val="21"/>
                <w:sz w:val="21"/>
                <w:highlight w:val="none"/>
              </w:rPr>
              <w:t>PM</w:t>
            </w:r>
            <w:r>
              <w:rPr>
                <w:rFonts w:hint="eastAsia" w:eastAsia="等线" w:cs="Times New Roman"/>
                <w:color w:val="auto"/>
                <w:kern w:val="21"/>
                <w:sz w:val="21"/>
                <w:highlight w:val="none"/>
                <w:vertAlign w:val="subscript"/>
              </w:rPr>
              <w:t>2.5</w:t>
            </w:r>
          </w:p>
        </w:tc>
        <w:tc>
          <w:tcPr>
            <w:tcW w:w="689" w:type="pct"/>
            <w:vAlign w:val="center"/>
          </w:tcPr>
          <w:p w14:paraId="59DB22A7">
            <w:pPr>
              <w:pStyle w:val="37"/>
              <w:rPr>
                <w:color w:val="auto"/>
                <w:highlight w:val="none"/>
              </w:rPr>
            </w:pPr>
            <w:r>
              <w:rPr>
                <w:rFonts w:hint="eastAsia"/>
                <w:color w:val="auto"/>
                <w:highlight w:val="none"/>
              </w:rPr>
              <w:t>0.487</w:t>
            </w:r>
          </w:p>
        </w:tc>
        <w:tc>
          <w:tcPr>
            <w:tcW w:w="570" w:type="pct"/>
            <w:vAlign w:val="center"/>
          </w:tcPr>
          <w:p w14:paraId="46CD51CF">
            <w:pPr>
              <w:pStyle w:val="37"/>
              <w:rPr>
                <w:color w:val="auto"/>
                <w:highlight w:val="none"/>
              </w:rPr>
            </w:pPr>
            <w:r>
              <w:rPr>
                <w:rFonts w:hint="eastAsia"/>
                <w:color w:val="auto"/>
                <w:highlight w:val="none"/>
              </w:rPr>
              <w:t>23</w:t>
            </w:r>
          </w:p>
        </w:tc>
        <w:tc>
          <w:tcPr>
            <w:tcW w:w="626" w:type="pct"/>
            <w:shd w:val="clear" w:color="auto" w:fill="auto"/>
            <w:vAlign w:val="center"/>
          </w:tcPr>
          <w:p w14:paraId="4DC856AD">
            <w:pPr>
              <w:pStyle w:val="37"/>
              <w:rPr>
                <w:color w:val="auto"/>
                <w:highlight w:val="none"/>
              </w:rPr>
            </w:pPr>
            <w:r>
              <w:rPr>
                <w:rFonts w:hint="eastAsia"/>
                <w:color w:val="auto"/>
                <w:highlight w:val="none"/>
              </w:rPr>
              <w:t>225</w:t>
            </w:r>
          </w:p>
        </w:tc>
        <w:tc>
          <w:tcPr>
            <w:tcW w:w="532" w:type="pct"/>
            <w:vAlign w:val="center"/>
          </w:tcPr>
          <w:p w14:paraId="19B21AF1">
            <w:pPr>
              <w:pStyle w:val="37"/>
              <w:rPr>
                <w:color w:val="auto"/>
                <w:highlight w:val="none"/>
              </w:rPr>
            </w:pPr>
            <w:r>
              <w:rPr>
                <w:rFonts w:hint="eastAsia"/>
                <w:color w:val="auto"/>
                <w:highlight w:val="none"/>
              </w:rPr>
              <w:t>0.22</w:t>
            </w:r>
          </w:p>
        </w:tc>
        <w:tc>
          <w:tcPr>
            <w:tcW w:w="412" w:type="pct"/>
            <w:vAlign w:val="center"/>
          </w:tcPr>
          <w:p w14:paraId="60C05F33">
            <w:pPr>
              <w:pStyle w:val="37"/>
              <w:rPr>
                <w:color w:val="auto"/>
                <w:highlight w:val="none"/>
              </w:rPr>
            </w:pPr>
            <w:r>
              <w:rPr>
                <w:rFonts w:hint="eastAsia"/>
                <w:color w:val="auto"/>
                <w:highlight w:val="none"/>
              </w:rPr>
              <w:t>0</w:t>
            </w:r>
          </w:p>
        </w:tc>
        <w:tc>
          <w:tcPr>
            <w:tcW w:w="476" w:type="pct"/>
            <w:vAlign w:val="center"/>
          </w:tcPr>
          <w:p w14:paraId="4F110496">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Ⅲ</w:t>
            </w:r>
          </w:p>
        </w:tc>
      </w:tr>
    </w:tbl>
    <w:p w14:paraId="5926CEFA">
      <w:pPr>
        <w:adjustRightInd w:val="0"/>
        <w:ind w:firstLine="480"/>
        <w:rPr>
          <w:rFonts w:cs="Times New Roman"/>
          <w:color w:val="auto"/>
          <w:highlight w:val="none"/>
        </w:rPr>
      </w:pPr>
      <w:r>
        <w:rPr>
          <w:rFonts w:cs="Times New Roman"/>
          <w:color w:val="auto"/>
          <w:highlight w:val="none"/>
        </w:rPr>
        <w:t>由上表计算结果可知，本项目建成后最大地面浓度占标率为面源碎矿车间污染物PM</w:t>
      </w:r>
      <w:r>
        <w:rPr>
          <w:rFonts w:cs="Times New Roman"/>
          <w:color w:val="auto"/>
          <w:highlight w:val="none"/>
          <w:vertAlign w:val="subscript"/>
        </w:rPr>
        <w:t>10</w:t>
      </w:r>
      <w:r>
        <w:rPr>
          <w:rFonts w:cs="Times New Roman"/>
          <w:color w:val="auto"/>
          <w:highlight w:val="none"/>
        </w:rPr>
        <w:t>，占标率Pmax=</w:t>
      </w:r>
      <w:r>
        <w:rPr>
          <w:rFonts w:hint="eastAsia" w:cs="Times New Roman"/>
          <w:color w:val="auto"/>
          <w:highlight w:val="none"/>
        </w:rPr>
        <w:t>7.75</w:t>
      </w:r>
      <w:r>
        <w:rPr>
          <w:rFonts w:cs="Times New Roman"/>
          <w:color w:val="auto"/>
          <w:highlight w:val="none"/>
        </w:rPr>
        <w:t>%＜10%，根据《环境影响评价技术导则 大气环境》（HJ2.2-2018）中的评价等级判定依据，确定本项目大气环境影响评价等级为二级。</w:t>
      </w:r>
    </w:p>
    <w:p w14:paraId="40DF2B28">
      <w:pPr>
        <w:pStyle w:val="5"/>
        <w:adjustRightInd w:val="0"/>
        <w:rPr>
          <w:rFonts w:cs="Times New Roman"/>
          <w:color w:val="auto"/>
          <w:highlight w:val="none"/>
        </w:rPr>
      </w:pPr>
      <w:r>
        <w:rPr>
          <w:rFonts w:cs="Times New Roman"/>
          <w:color w:val="auto"/>
          <w:highlight w:val="none"/>
        </w:rPr>
        <w:t>评价范围</w:t>
      </w:r>
    </w:p>
    <w:p w14:paraId="4C876B4E">
      <w:pPr>
        <w:adjustRightInd w:val="0"/>
        <w:ind w:firstLine="480"/>
        <w:rPr>
          <w:rFonts w:cs="Times New Roman"/>
          <w:color w:val="auto"/>
          <w:highlight w:val="none"/>
        </w:rPr>
      </w:pPr>
      <w:r>
        <w:rPr>
          <w:rFonts w:cs="Times New Roman"/>
          <w:color w:val="auto"/>
          <w:highlight w:val="none"/>
        </w:rPr>
        <w:t>根据《环境影响评价技术导则 大气环境》（HJ2.2-2018），确定本项目大气环境影响评价范围为以项目所在地为中心，以5km为边长的矩形区域。</w:t>
      </w:r>
    </w:p>
    <w:p w14:paraId="022C7E02">
      <w:pPr>
        <w:pStyle w:val="58"/>
        <w:rPr>
          <w:color w:val="auto"/>
          <w:highlight w:val="none"/>
        </w:rPr>
      </w:pPr>
      <w:r>
        <w:rPr>
          <w:rFonts w:hint="eastAsia"/>
          <w:color w:val="auto"/>
          <w:highlight w:val="none"/>
        </w:rPr>
        <w:drawing>
          <wp:inline distT="0" distB="0" distL="114300" distR="114300">
            <wp:extent cx="5273675" cy="3728085"/>
            <wp:effectExtent l="0" t="0" r="3175" b="5715"/>
            <wp:docPr id="30" name="图片 30"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无标题"/>
                    <pic:cNvPicPr>
                      <a:picLocks noChangeAspect="1"/>
                    </pic:cNvPicPr>
                  </pic:nvPicPr>
                  <pic:blipFill>
                    <a:blip r:embed="rId22"/>
                    <a:stretch>
                      <a:fillRect/>
                    </a:stretch>
                  </pic:blipFill>
                  <pic:spPr>
                    <a:xfrm>
                      <a:off x="0" y="0"/>
                      <a:ext cx="5273675" cy="3728085"/>
                    </a:xfrm>
                    <a:prstGeom prst="rect">
                      <a:avLst/>
                    </a:prstGeom>
                  </pic:spPr>
                </pic:pic>
              </a:graphicData>
            </a:graphic>
          </wp:inline>
        </w:drawing>
      </w:r>
    </w:p>
    <w:p w14:paraId="7FEAD110">
      <w:pPr>
        <w:pStyle w:val="12"/>
        <w:keepNext w:val="0"/>
        <w:adjustRightInd w:val="0"/>
        <w:rPr>
          <w:rFonts w:cs="Times New Roman"/>
          <w:color w:val="auto"/>
          <w:highlight w:val="none"/>
        </w:rPr>
      </w:pPr>
      <w:r>
        <w:rPr>
          <w:rFonts w:cs="Times New Roman"/>
          <w:color w:val="auto"/>
          <w:highlight w:val="none"/>
        </w:rPr>
        <w:t xml:space="preserve">图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大气评价范围图</w:t>
      </w:r>
    </w:p>
    <w:p w14:paraId="6E6357CF">
      <w:pPr>
        <w:pStyle w:val="4"/>
        <w:adjustRightInd w:val="0"/>
        <w:rPr>
          <w:rFonts w:cs="Times New Roman"/>
          <w:color w:val="auto"/>
          <w:highlight w:val="none"/>
        </w:rPr>
      </w:pPr>
      <w:bookmarkStart w:id="70" w:name="_Toc29496"/>
      <w:bookmarkStart w:id="71" w:name="_Toc3920"/>
      <w:bookmarkStart w:id="72" w:name="_Toc365381216"/>
      <w:bookmarkStart w:id="73" w:name="_Toc6273"/>
      <w:r>
        <w:rPr>
          <w:rFonts w:cs="Times New Roman"/>
          <w:color w:val="auto"/>
          <w:highlight w:val="none"/>
        </w:rPr>
        <w:t>声环境评价工作等级</w:t>
      </w:r>
      <w:bookmarkEnd w:id="70"/>
      <w:bookmarkEnd w:id="71"/>
      <w:bookmarkEnd w:id="72"/>
      <w:bookmarkEnd w:id="73"/>
    </w:p>
    <w:p w14:paraId="742CA0D9">
      <w:pPr>
        <w:pStyle w:val="5"/>
        <w:adjustRightInd w:val="0"/>
        <w:rPr>
          <w:rFonts w:cs="Times New Roman"/>
          <w:color w:val="auto"/>
          <w:highlight w:val="none"/>
        </w:rPr>
      </w:pPr>
      <w:r>
        <w:rPr>
          <w:rFonts w:cs="Times New Roman"/>
          <w:color w:val="auto"/>
          <w:highlight w:val="none"/>
        </w:rPr>
        <w:t>评价等级</w:t>
      </w:r>
    </w:p>
    <w:p w14:paraId="6F23A063">
      <w:pPr>
        <w:adjustRightInd w:val="0"/>
        <w:ind w:firstLine="480"/>
        <w:rPr>
          <w:rFonts w:cs="Times New Roman"/>
          <w:color w:val="auto"/>
          <w:highlight w:val="none"/>
        </w:rPr>
      </w:pPr>
      <w:r>
        <w:rPr>
          <w:rFonts w:cs="Times New Roman"/>
          <w:color w:val="auto"/>
          <w:highlight w:val="none"/>
        </w:rPr>
        <w:t>根据《环境影响评价技术导则 声环境》（HJ 2.4-2021），依据建设项目所在区域的声环境功能区类别、建设项目建设前后所在区域的声环境质量变化程度及受建设项目影响人口的数量确定项目声环境影响评价工作等级。</w:t>
      </w:r>
    </w:p>
    <w:p w14:paraId="44CCE409">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57</w:t>
      </w:r>
      <w:r>
        <w:rPr>
          <w:rFonts w:cs="Times New Roman"/>
          <w:color w:val="auto"/>
          <w:highlight w:val="none"/>
        </w:rPr>
        <w:fldChar w:fldCharType="end"/>
      </w:r>
      <w:r>
        <w:rPr>
          <w:rFonts w:cs="Times New Roman"/>
          <w:color w:val="auto"/>
          <w:highlight w:val="none"/>
        </w:rPr>
        <w:t>声环境影响评价等级划分依据</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1215"/>
        <w:gridCol w:w="6651"/>
      </w:tblGrid>
      <w:tr w14:paraId="64D56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382" w:type="pct"/>
            <w:vAlign w:val="center"/>
          </w:tcPr>
          <w:p w14:paraId="035500AB">
            <w:pPr>
              <w:pStyle w:val="37"/>
              <w:adjustRightInd w:val="0"/>
              <w:rPr>
                <w:b/>
                <w:bCs/>
                <w:color w:val="auto"/>
                <w:highlight w:val="none"/>
              </w:rPr>
            </w:pPr>
            <w:r>
              <w:rPr>
                <w:b/>
                <w:bCs/>
                <w:color w:val="auto"/>
                <w:highlight w:val="none"/>
              </w:rPr>
              <w:t>序号</w:t>
            </w:r>
          </w:p>
        </w:tc>
        <w:tc>
          <w:tcPr>
            <w:tcW w:w="713" w:type="pct"/>
            <w:vAlign w:val="center"/>
          </w:tcPr>
          <w:p w14:paraId="6F0759F7">
            <w:pPr>
              <w:pStyle w:val="37"/>
              <w:adjustRightInd w:val="0"/>
              <w:rPr>
                <w:b/>
                <w:bCs/>
                <w:color w:val="auto"/>
                <w:highlight w:val="none"/>
              </w:rPr>
            </w:pPr>
            <w:r>
              <w:rPr>
                <w:b/>
                <w:bCs/>
                <w:color w:val="auto"/>
                <w:highlight w:val="none"/>
              </w:rPr>
              <w:t>评价工作等级</w:t>
            </w:r>
          </w:p>
        </w:tc>
        <w:tc>
          <w:tcPr>
            <w:tcW w:w="3903" w:type="pct"/>
            <w:vAlign w:val="center"/>
          </w:tcPr>
          <w:p w14:paraId="08133B44">
            <w:pPr>
              <w:pStyle w:val="37"/>
              <w:adjustRightInd w:val="0"/>
              <w:rPr>
                <w:b/>
                <w:bCs/>
                <w:color w:val="auto"/>
                <w:highlight w:val="none"/>
              </w:rPr>
            </w:pPr>
            <w:r>
              <w:rPr>
                <w:b/>
                <w:bCs/>
                <w:color w:val="auto"/>
                <w:highlight w:val="none"/>
              </w:rPr>
              <w:t>判定依据</w:t>
            </w:r>
          </w:p>
        </w:tc>
      </w:tr>
      <w:tr w14:paraId="22B99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Align w:val="center"/>
          </w:tcPr>
          <w:p w14:paraId="69857F1E">
            <w:pPr>
              <w:pStyle w:val="37"/>
              <w:adjustRightInd w:val="0"/>
              <w:rPr>
                <w:color w:val="auto"/>
                <w:highlight w:val="none"/>
              </w:rPr>
            </w:pPr>
            <w:r>
              <w:rPr>
                <w:color w:val="auto"/>
                <w:highlight w:val="none"/>
              </w:rPr>
              <w:t>1</w:t>
            </w:r>
          </w:p>
        </w:tc>
        <w:tc>
          <w:tcPr>
            <w:tcW w:w="713" w:type="pct"/>
            <w:vAlign w:val="center"/>
          </w:tcPr>
          <w:p w14:paraId="416A9C68">
            <w:pPr>
              <w:pStyle w:val="37"/>
              <w:adjustRightInd w:val="0"/>
              <w:rPr>
                <w:color w:val="auto"/>
                <w:highlight w:val="none"/>
              </w:rPr>
            </w:pPr>
            <w:r>
              <w:rPr>
                <w:color w:val="auto"/>
                <w:highlight w:val="none"/>
              </w:rPr>
              <w:t>一级</w:t>
            </w:r>
          </w:p>
        </w:tc>
        <w:tc>
          <w:tcPr>
            <w:tcW w:w="3903" w:type="pct"/>
            <w:vAlign w:val="center"/>
          </w:tcPr>
          <w:p w14:paraId="31FF1AF2">
            <w:pPr>
              <w:pStyle w:val="37"/>
              <w:adjustRightInd w:val="0"/>
              <w:rPr>
                <w:color w:val="auto"/>
                <w:highlight w:val="none"/>
              </w:rPr>
            </w:pPr>
            <w:r>
              <w:rPr>
                <w:color w:val="auto"/>
                <w:highlight w:val="none"/>
              </w:rPr>
              <w:t>评价范围内有适用于GB3096规定的0类声环境功能区域，或建设项目建设前后评价范围内声环境保护目标噪声级增量达5dB（A）以上（不含5dB（A）），或受影响人口数量显著增加时，按一级评价。</w:t>
            </w:r>
          </w:p>
        </w:tc>
      </w:tr>
      <w:tr w14:paraId="184AF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Align w:val="center"/>
          </w:tcPr>
          <w:p w14:paraId="44ACE6B3">
            <w:pPr>
              <w:pStyle w:val="37"/>
              <w:adjustRightInd w:val="0"/>
              <w:rPr>
                <w:color w:val="auto"/>
                <w:highlight w:val="none"/>
              </w:rPr>
            </w:pPr>
            <w:r>
              <w:rPr>
                <w:color w:val="auto"/>
                <w:highlight w:val="none"/>
              </w:rPr>
              <w:t>2</w:t>
            </w:r>
          </w:p>
        </w:tc>
        <w:tc>
          <w:tcPr>
            <w:tcW w:w="713" w:type="pct"/>
            <w:vAlign w:val="center"/>
          </w:tcPr>
          <w:p w14:paraId="381B2BE2">
            <w:pPr>
              <w:pStyle w:val="37"/>
              <w:adjustRightInd w:val="0"/>
              <w:rPr>
                <w:color w:val="auto"/>
                <w:highlight w:val="none"/>
              </w:rPr>
            </w:pPr>
            <w:r>
              <w:rPr>
                <w:color w:val="auto"/>
                <w:highlight w:val="none"/>
              </w:rPr>
              <w:t>二级</w:t>
            </w:r>
          </w:p>
        </w:tc>
        <w:tc>
          <w:tcPr>
            <w:tcW w:w="3903" w:type="pct"/>
            <w:vAlign w:val="center"/>
          </w:tcPr>
          <w:p w14:paraId="056F4230">
            <w:pPr>
              <w:pStyle w:val="37"/>
              <w:adjustRightInd w:val="0"/>
              <w:rPr>
                <w:color w:val="auto"/>
                <w:highlight w:val="none"/>
              </w:rPr>
            </w:pPr>
            <w:r>
              <w:rPr>
                <w:color w:val="auto"/>
                <w:highlight w:val="none"/>
              </w:rPr>
              <w:t>建设项目所处的声环境功能区为GB3096规定的1类、2类地区，或建设项目建设前后评价范围内声环境保护目标噪声级增量达3dB（A）~5dB（A），或受噪声影响人口数量增加较多时，按二级评价。</w:t>
            </w:r>
          </w:p>
        </w:tc>
      </w:tr>
      <w:tr w14:paraId="1B700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2" w:type="pct"/>
            <w:vAlign w:val="center"/>
          </w:tcPr>
          <w:p w14:paraId="0E0E2963">
            <w:pPr>
              <w:pStyle w:val="37"/>
              <w:adjustRightInd w:val="0"/>
              <w:rPr>
                <w:color w:val="auto"/>
                <w:highlight w:val="none"/>
              </w:rPr>
            </w:pPr>
            <w:r>
              <w:rPr>
                <w:color w:val="auto"/>
                <w:highlight w:val="none"/>
              </w:rPr>
              <w:t>3</w:t>
            </w:r>
          </w:p>
        </w:tc>
        <w:tc>
          <w:tcPr>
            <w:tcW w:w="713" w:type="pct"/>
            <w:vAlign w:val="center"/>
          </w:tcPr>
          <w:p w14:paraId="50566E24">
            <w:pPr>
              <w:pStyle w:val="37"/>
              <w:adjustRightInd w:val="0"/>
              <w:rPr>
                <w:color w:val="auto"/>
                <w:highlight w:val="none"/>
              </w:rPr>
            </w:pPr>
            <w:r>
              <w:rPr>
                <w:color w:val="auto"/>
                <w:highlight w:val="none"/>
              </w:rPr>
              <w:t>三级</w:t>
            </w:r>
          </w:p>
        </w:tc>
        <w:tc>
          <w:tcPr>
            <w:tcW w:w="3903" w:type="pct"/>
            <w:vAlign w:val="center"/>
          </w:tcPr>
          <w:p w14:paraId="1ECC373E">
            <w:pPr>
              <w:pStyle w:val="37"/>
              <w:adjustRightInd w:val="0"/>
              <w:rPr>
                <w:color w:val="auto"/>
                <w:highlight w:val="none"/>
              </w:rPr>
            </w:pPr>
            <w:r>
              <w:rPr>
                <w:color w:val="auto"/>
                <w:highlight w:val="none"/>
              </w:rPr>
              <w:t>建设项目所处的声环境功能区为GB3096规定的3类、4类地区，或建设项目建设前后评价范围内声环境保护目标噪声级增量在3dB（A）以下（不含3dB（A）），且受影响人口数量变化不大时，按三级评价。</w:t>
            </w:r>
          </w:p>
        </w:tc>
      </w:tr>
    </w:tbl>
    <w:p w14:paraId="34176AFF">
      <w:pPr>
        <w:adjustRightInd w:val="0"/>
        <w:ind w:firstLine="480"/>
        <w:rPr>
          <w:rFonts w:cs="Times New Roman"/>
          <w:color w:val="auto"/>
          <w:highlight w:val="none"/>
        </w:rPr>
      </w:pPr>
      <w:r>
        <w:rPr>
          <w:rFonts w:cs="Times New Roman"/>
          <w:color w:val="auto"/>
          <w:highlight w:val="none"/>
        </w:rPr>
        <w:t>本项目位于3类声环境功能区，项目周边为生产性企业，西侧为凤凰路，建设前后评价范围内声环境保护目标噪声级增量在3dB（A）以下（居民区夜间噪声级增量0.3dB（A））且受影响人口数量变化不大，因此本项目的声环境影响评价工作等级为</w:t>
      </w:r>
      <w:r>
        <w:rPr>
          <w:rFonts w:cs="Times New Roman"/>
          <w:b/>
          <w:bCs/>
          <w:color w:val="auto"/>
          <w:highlight w:val="none"/>
        </w:rPr>
        <w:t>三级</w:t>
      </w:r>
      <w:r>
        <w:rPr>
          <w:rFonts w:cs="Times New Roman"/>
          <w:color w:val="auto"/>
          <w:highlight w:val="none"/>
        </w:rPr>
        <w:t>。</w:t>
      </w:r>
    </w:p>
    <w:p w14:paraId="0170927B">
      <w:pPr>
        <w:pStyle w:val="5"/>
        <w:adjustRightInd w:val="0"/>
        <w:rPr>
          <w:rFonts w:cs="Times New Roman"/>
          <w:color w:val="auto"/>
          <w:highlight w:val="none"/>
        </w:rPr>
      </w:pPr>
      <w:r>
        <w:rPr>
          <w:rFonts w:cs="Times New Roman"/>
          <w:color w:val="auto"/>
          <w:highlight w:val="none"/>
        </w:rPr>
        <w:t>评价范围</w:t>
      </w:r>
    </w:p>
    <w:p w14:paraId="56B023FE">
      <w:pPr>
        <w:adjustRightInd w:val="0"/>
        <w:ind w:firstLine="480"/>
        <w:rPr>
          <w:rFonts w:cs="Times New Roman"/>
          <w:color w:val="auto"/>
          <w:highlight w:val="none"/>
        </w:rPr>
      </w:pPr>
      <w:r>
        <w:rPr>
          <w:rFonts w:cs="Times New Roman"/>
          <w:color w:val="auto"/>
          <w:highlight w:val="none"/>
        </w:rPr>
        <w:t>根据《环境影响评价技术导则 声环境》（HJ 2.4-2021），确定本项目声环境影响评价范围为厂界200m。</w:t>
      </w:r>
    </w:p>
    <w:p w14:paraId="3E61A0AA">
      <w:pPr>
        <w:pStyle w:val="4"/>
        <w:adjustRightInd w:val="0"/>
        <w:rPr>
          <w:rFonts w:cs="Times New Roman"/>
          <w:color w:val="auto"/>
          <w:highlight w:val="none"/>
        </w:rPr>
      </w:pPr>
      <w:bookmarkStart w:id="74" w:name="_Toc28"/>
      <w:bookmarkStart w:id="75" w:name="_Toc14644"/>
      <w:bookmarkStart w:id="76" w:name="_Toc7095"/>
      <w:r>
        <w:rPr>
          <w:rFonts w:cs="Times New Roman"/>
          <w:color w:val="auto"/>
          <w:highlight w:val="none"/>
        </w:rPr>
        <w:t>土壤环境评价</w:t>
      </w:r>
      <w:bookmarkEnd w:id="74"/>
      <w:bookmarkEnd w:id="75"/>
      <w:bookmarkEnd w:id="76"/>
    </w:p>
    <w:p w14:paraId="425D7372">
      <w:pPr>
        <w:pStyle w:val="5"/>
        <w:rPr>
          <w:color w:val="auto"/>
          <w:highlight w:val="none"/>
        </w:rPr>
      </w:pPr>
      <w:r>
        <w:rPr>
          <w:rFonts w:hint="eastAsia"/>
          <w:color w:val="auto"/>
          <w:highlight w:val="none"/>
        </w:rPr>
        <w:t>评价等级</w:t>
      </w:r>
    </w:p>
    <w:p w14:paraId="1622C684">
      <w:pPr>
        <w:adjustRightInd w:val="0"/>
        <w:ind w:firstLine="480"/>
        <w:rPr>
          <w:rFonts w:cs="Times New Roman"/>
          <w:color w:val="auto"/>
          <w:highlight w:val="none"/>
        </w:rPr>
      </w:pPr>
      <w:r>
        <w:rPr>
          <w:rFonts w:cs="Times New Roman"/>
          <w:color w:val="auto"/>
          <w:highlight w:val="none"/>
        </w:rPr>
        <w:t>根据《环境影响评价技术导则 土壤环境（试行）》（HJ964-2018），建设项目土壤环境影响评价工作等级的划分应依据建设项目行业分类和土壤环境敏感程度分级进行判定。本项目属于污染影响型项目，根据导则中附录A确定本项目所属土壤环境影响评价项目类别。</w:t>
      </w:r>
    </w:p>
    <w:p w14:paraId="4F267139">
      <w:pPr>
        <w:pStyle w:val="12"/>
        <w:adjustRightInd w:val="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58</w:t>
      </w:r>
      <w:r>
        <w:rPr>
          <w:rFonts w:cs="Times New Roman"/>
          <w:color w:val="auto"/>
          <w:highlight w:val="none"/>
        </w:rPr>
        <w:fldChar w:fldCharType="end"/>
      </w:r>
      <w:r>
        <w:rPr>
          <w:rFonts w:cs="Times New Roman"/>
          <w:bCs/>
          <w:color w:val="auto"/>
          <w:kern w:val="21"/>
          <w:szCs w:val="21"/>
          <w:highlight w:val="none"/>
        </w:rPr>
        <w:t>土壤环境影响评价项目类别</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872"/>
        <w:gridCol w:w="1872"/>
        <w:gridCol w:w="1872"/>
        <w:gridCol w:w="1879"/>
      </w:tblGrid>
      <w:tr w14:paraId="48F5C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3" w:type="pct"/>
            <w:vMerge w:val="restart"/>
            <w:vAlign w:val="center"/>
          </w:tcPr>
          <w:p w14:paraId="10D26530">
            <w:pPr>
              <w:pStyle w:val="37"/>
              <w:adjustRightInd w:val="0"/>
              <w:rPr>
                <w:b/>
                <w:bCs/>
                <w:color w:val="auto"/>
                <w:highlight w:val="none"/>
              </w:rPr>
            </w:pPr>
            <w:r>
              <w:rPr>
                <w:b/>
                <w:bCs/>
                <w:color w:val="auto"/>
                <w:highlight w:val="none"/>
              </w:rPr>
              <w:t>行业类别</w:t>
            </w:r>
          </w:p>
        </w:tc>
        <w:tc>
          <w:tcPr>
            <w:tcW w:w="4396" w:type="pct"/>
            <w:gridSpan w:val="4"/>
            <w:vAlign w:val="center"/>
          </w:tcPr>
          <w:p w14:paraId="72808EDE">
            <w:pPr>
              <w:pStyle w:val="37"/>
              <w:adjustRightInd w:val="0"/>
              <w:rPr>
                <w:b/>
                <w:bCs/>
                <w:color w:val="auto"/>
                <w:highlight w:val="none"/>
              </w:rPr>
            </w:pPr>
            <w:r>
              <w:rPr>
                <w:b/>
                <w:bCs/>
                <w:color w:val="auto"/>
                <w:highlight w:val="none"/>
              </w:rPr>
              <w:t>项目类别</w:t>
            </w:r>
          </w:p>
        </w:tc>
      </w:tr>
      <w:tr w14:paraId="4BFE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3" w:type="pct"/>
            <w:vMerge w:val="continue"/>
            <w:vAlign w:val="center"/>
          </w:tcPr>
          <w:p w14:paraId="193321E1">
            <w:pPr>
              <w:pStyle w:val="37"/>
              <w:adjustRightInd w:val="0"/>
              <w:rPr>
                <w:b/>
                <w:bCs/>
                <w:color w:val="auto"/>
                <w:highlight w:val="none"/>
              </w:rPr>
            </w:pPr>
          </w:p>
        </w:tc>
        <w:tc>
          <w:tcPr>
            <w:tcW w:w="1098" w:type="pct"/>
            <w:vAlign w:val="center"/>
          </w:tcPr>
          <w:p w14:paraId="59A7861C">
            <w:pPr>
              <w:pStyle w:val="37"/>
              <w:adjustRightInd w:val="0"/>
              <w:rPr>
                <w:b/>
                <w:bCs/>
                <w:color w:val="auto"/>
                <w:highlight w:val="none"/>
              </w:rPr>
            </w:pPr>
            <w:r>
              <w:rPr>
                <w:b/>
                <w:bCs/>
                <w:color w:val="auto"/>
                <w:highlight w:val="none"/>
              </w:rPr>
              <w:t>Ⅰ类</w:t>
            </w:r>
          </w:p>
        </w:tc>
        <w:tc>
          <w:tcPr>
            <w:tcW w:w="1098" w:type="pct"/>
            <w:vAlign w:val="center"/>
          </w:tcPr>
          <w:p w14:paraId="0AD0C40E">
            <w:pPr>
              <w:pStyle w:val="37"/>
              <w:adjustRightInd w:val="0"/>
              <w:rPr>
                <w:b/>
                <w:bCs/>
                <w:color w:val="auto"/>
                <w:highlight w:val="none"/>
              </w:rPr>
            </w:pPr>
            <w:r>
              <w:rPr>
                <w:b/>
                <w:bCs/>
                <w:color w:val="auto"/>
                <w:highlight w:val="none"/>
              </w:rPr>
              <w:t>Ⅱ类</w:t>
            </w:r>
          </w:p>
        </w:tc>
        <w:tc>
          <w:tcPr>
            <w:tcW w:w="1098" w:type="pct"/>
            <w:vAlign w:val="center"/>
          </w:tcPr>
          <w:p w14:paraId="05FE0570">
            <w:pPr>
              <w:pStyle w:val="37"/>
              <w:adjustRightInd w:val="0"/>
              <w:rPr>
                <w:b/>
                <w:bCs/>
                <w:color w:val="auto"/>
                <w:highlight w:val="none"/>
              </w:rPr>
            </w:pPr>
            <w:r>
              <w:rPr>
                <w:b/>
                <w:bCs/>
                <w:color w:val="auto"/>
                <w:highlight w:val="none"/>
              </w:rPr>
              <w:t>Ⅲ类</w:t>
            </w:r>
          </w:p>
        </w:tc>
        <w:tc>
          <w:tcPr>
            <w:tcW w:w="1100" w:type="pct"/>
            <w:vAlign w:val="center"/>
          </w:tcPr>
          <w:p w14:paraId="7D233D93">
            <w:pPr>
              <w:pStyle w:val="37"/>
              <w:adjustRightInd w:val="0"/>
              <w:rPr>
                <w:b/>
                <w:bCs/>
                <w:color w:val="auto"/>
                <w:highlight w:val="none"/>
              </w:rPr>
            </w:pPr>
            <w:r>
              <w:rPr>
                <w:b/>
                <w:bCs/>
                <w:color w:val="auto"/>
                <w:highlight w:val="none"/>
              </w:rPr>
              <w:t>Ⅳ类</w:t>
            </w:r>
          </w:p>
        </w:tc>
      </w:tr>
      <w:tr w14:paraId="6C4E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3" w:type="pct"/>
            <w:vAlign w:val="center"/>
          </w:tcPr>
          <w:p w14:paraId="71A41BBD">
            <w:pPr>
              <w:pStyle w:val="37"/>
              <w:adjustRightInd w:val="0"/>
              <w:rPr>
                <w:color w:val="auto"/>
                <w:highlight w:val="none"/>
              </w:rPr>
            </w:pPr>
            <w:r>
              <w:rPr>
                <w:color w:val="auto"/>
                <w:highlight w:val="none"/>
              </w:rPr>
              <w:t>采矿业</w:t>
            </w:r>
          </w:p>
        </w:tc>
        <w:tc>
          <w:tcPr>
            <w:tcW w:w="1098" w:type="pct"/>
            <w:vAlign w:val="center"/>
          </w:tcPr>
          <w:p w14:paraId="3FC922FD">
            <w:pPr>
              <w:pStyle w:val="37"/>
              <w:adjustRightInd w:val="0"/>
              <w:rPr>
                <w:color w:val="auto"/>
                <w:highlight w:val="none"/>
              </w:rPr>
            </w:pPr>
            <w:r>
              <w:rPr>
                <w:color w:val="auto"/>
                <w:highlight w:val="none"/>
              </w:rPr>
              <w:t>金属矿、石油、页岩油开采</w:t>
            </w:r>
          </w:p>
        </w:tc>
        <w:tc>
          <w:tcPr>
            <w:tcW w:w="1098" w:type="pct"/>
            <w:vAlign w:val="center"/>
          </w:tcPr>
          <w:p w14:paraId="22500B2B">
            <w:pPr>
              <w:pStyle w:val="37"/>
              <w:adjustRightInd w:val="0"/>
              <w:rPr>
                <w:color w:val="auto"/>
                <w:highlight w:val="none"/>
              </w:rPr>
            </w:pPr>
            <w:r>
              <w:rPr>
                <w:color w:val="auto"/>
                <w:highlight w:val="none"/>
              </w:rPr>
              <w:t>化学矿采选；石棉矿采选；煤矿采选、天然气开采、页岩气开采、砂岩气开采、煤层气开采（含净化、液化）</w:t>
            </w:r>
          </w:p>
        </w:tc>
        <w:tc>
          <w:tcPr>
            <w:tcW w:w="1098" w:type="pct"/>
            <w:vAlign w:val="center"/>
          </w:tcPr>
          <w:p w14:paraId="73C9407E">
            <w:pPr>
              <w:pStyle w:val="37"/>
              <w:adjustRightInd w:val="0"/>
              <w:rPr>
                <w:color w:val="auto"/>
                <w:highlight w:val="none"/>
              </w:rPr>
            </w:pPr>
            <w:r>
              <w:rPr>
                <w:b/>
                <w:bCs/>
                <w:color w:val="auto"/>
                <w:highlight w:val="none"/>
              </w:rPr>
              <w:t>其他</w:t>
            </w:r>
          </w:p>
        </w:tc>
        <w:tc>
          <w:tcPr>
            <w:tcW w:w="1100" w:type="pct"/>
            <w:vAlign w:val="center"/>
          </w:tcPr>
          <w:p w14:paraId="0ABC13BE">
            <w:pPr>
              <w:pStyle w:val="37"/>
              <w:adjustRightInd w:val="0"/>
              <w:rPr>
                <w:color w:val="auto"/>
                <w:highlight w:val="none"/>
              </w:rPr>
            </w:pPr>
          </w:p>
        </w:tc>
      </w:tr>
    </w:tbl>
    <w:p w14:paraId="0BE714D0">
      <w:pPr>
        <w:adjustRightInd w:val="0"/>
        <w:ind w:firstLine="480"/>
        <w:rPr>
          <w:rFonts w:cs="Times New Roman"/>
          <w:color w:val="auto"/>
          <w:highlight w:val="none"/>
        </w:rPr>
      </w:pPr>
      <w:r>
        <w:rPr>
          <w:rFonts w:cs="Times New Roman"/>
          <w:color w:val="auto"/>
          <w:highlight w:val="none"/>
        </w:rPr>
        <w:t>由上表可知，本项目属于</w:t>
      </w:r>
      <w:r>
        <w:rPr>
          <w:rFonts w:hint="eastAsia" w:cs="Times New Roman"/>
          <w:color w:val="auto"/>
          <w:highlight w:val="none"/>
        </w:rPr>
        <w:t>“</w:t>
      </w:r>
      <w:r>
        <w:rPr>
          <w:rFonts w:cs="Times New Roman"/>
          <w:color w:val="auto"/>
          <w:highlight w:val="none"/>
        </w:rPr>
        <w:t>采矿业</w:t>
      </w:r>
      <w:r>
        <w:rPr>
          <w:rFonts w:hint="eastAsia" w:cs="Times New Roman"/>
          <w:color w:val="auto"/>
          <w:highlight w:val="none"/>
        </w:rPr>
        <w:t>”</w:t>
      </w:r>
      <w:r>
        <w:rPr>
          <w:rFonts w:cs="Times New Roman"/>
          <w:color w:val="auto"/>
          <w:highlight w:val="none"/>
        </w:rPr>
        <w:t>中</w:t>
      </w:r>
      <w:r>
        <w:rPr>
          <w:rFonts w:hint="eastAsia" w:cs="Times New Roman"/>
          <w:color w:val="auto"/>
          <w:highlight w:val="none"/>
        </w:rPr>
        <w:t>“</w:t>
      </w:r>
      <w:r>
        <w:rPr>
          <w:rFonts w:cs="Times New Roman"/>
          <w:color w:val="auto"/>
          <w:highlight w:val="none"/>
        </w:rPr>
        <w:t>其他</w:t>
      </w:r>
      <w:r>
        <w:rPr>
          <w:rFonts w:hint="eastAsia" w:cs="Times New Roman"/>
          <w:color w:val="auto"/>
          <w:highlight w:val="none"/>
        </w:rPr>
        <w:t>”</w:t>
      </w:r>
      <w:r>
        <w:rPr>
          <w:rFonts w:cs="Times New Roman"/>
          <w:color w:val="auto"/>
          <w:highlight w:val="none"/>
        </w:rPr>
        <w:t>项目，土壤环境影响评价项目类别为Ⅲ类。</w:t>
      </w:r>
    </w:p>
    <w:p w14:paraId="3B1618D9">
      <w:pPr>
        <w:adjustRightInd w:val="0"/>
        <w:ind w:firstLine="480"/>
        <w:rPr>
          <w:rFonts w:cs="Times New Roman"/>
          <w:color w:val="auto"/>
          <w:highlight w:val="none"/>
        </w:rPr>
      </w:pPr>
      <w:r>
        <w:rPr>
          <w:rFonts w:cs="Times New Roman"/>
          <w:color w:val="auto"/>
          <w:highlight w:val="none"/>
        </w:rPr>
        <w:t>将建设项目占地规模分为大型（≥50hm</w:t>
      </w:r>
      <w:r>
        <w:rPr>
          <w:rFonts w:cs="Times New Roman"/>
          <w:color w:val="auto"/>
          <w:highlight w:val="none"/>
          <w:vertAlign w:val="superscript"/>
        </w:rPr>
        <w:t>2</w:t>
      </w:r>
      <w:r>
        <w:rPr>
          <w:rFonts w:cs="Times New Roman"/>
          <w:color w:val="auto"/>
          <w:highlight w:val="none"/>
        </w:rPr>
        <w:t>）、中型（5~50hm</w:t>
      </w:r>
      <w:r>
        <w:rPr>
          <w:rFonts w:cs="Times New Roman"/>
          <w:color w:val="auto"/>
          <w:highlight w:val="none"/>
          <w:vertAlign w:val="superscript"/>
        </w:rPr>
        <w:t>2</w:t>
      </w:r>
      <w:r>
        <w:rPr>
          <w:rFonts w:cs="Times New Roman"/>
          <w:color w:val="auto"/>
          <w:highlight w:val="none"/>
        </w:rPr>
        <w:t>）、小型（≤5hm</w:t>
      </w:r>
      <w:r>
        <w:rPr>
          <w:rFonts w:cs="Times New Roman"/>
          <w:color w:val="auto"/>
          <w:highlight w:val="none"/>
          <w:vertAlign w:val="superscript"/>
        </w:rPr>
        <w:t>2</w:t>
      </w:r>
      <w:r>
        <w:rPr>
          <w:rFonts w:cs="Times New Roman"/>
          <w:color w:val="auto"/>
          <w:highlight w:val="none"/>
        </w:rPr>
        <w:t>），建设项目占地主要为永久占地。本项目占地面积</w:t>
      </w:r>
      <w:r>
        <w:rPr>
          <w:rFonts w:hint="eastAsia" w:cs="Times New Roman"/>
          <w:color w:val="auto"/>
          <w:highlight w:val="none"/>
        </w:rPr>
        <w:t>2.12</w:t>
      </w:r>
      <w:r>
        <w:rPr>
          <w:rFonts w:cs="Times New Roman"/>
          <w:color w:val="auto"/>
          <w:highlight w:val="none"/>
        </w:rPr>
        <w:t>hm</w:t>
      </w:r>
      <w:r>
        <w:rPr>
          <w:rFonts w:cs="Times New Roman"/>
          <w:color w:val="auto"/>
          <w:highlight w:val="none"/>
          <w:vertAlign w:val="superscript"/>
        </w:rPr>
        <w:t>2</w:t>
      </w:r>
      <w:r>
        <w:rPr>
          <w:rFonts w:hint="eastAsia" w:cs="Times New Roman"/>
          <w:color w:val="auto"/>
          <w:highlight w:val="none"/>
        </w:rPr>
        <w:t>（31.8亩）</w:t>
      </w:r>
      <w:r>
        <w:rPr>
          <w:rFonts w:cs="Times New Roman"/>
          <w:color w:val="auto"/>
          <w:highlight w:val="none"/>
        </w:rPr>
        <w:t>，占地规模属于</w:t>
      </w:r>
      <w:r>
        <w:rPr>
          <w:rFonts w:hint="eastAsia" w:cs="Times New Roman"/>
          <w:color w:val="auto"/>
          <w:highlight w:val="none"/>
        </w:rPr>
        <w:t>小</w:t>
      </w:r>
      <w:r>
        <w:rPr>
          <w:rFonts w:cs="Times New Roman"/>
          <w:color w:val="auto"/>
          <w:highlight w:val="none"/>
        </w:rPr>
        <w:t>型。</w:t>
      </w:r>
    </w:p>
    <w:p w14:paraId="59C419E4">
      <w:pPr>
        <w:adjustRightInd w:val="0"/>
        <w:ind w:firstLine="480"/>
        <w:rPr>
          <w:rFonts w:cs="Times New Roman"/>
          <w:color w:val="auto"/>
          <w:highlight w:val="none"/>
        </w:rPr>
      </w:pPr>
      <w:r>
        <w:rPr>
          <w:rFonts w:cs="Times New Roman"/>
          <w:color w:val="auto"/>
          <w:highlight w:val="none"/>
        </w:rPr>
        <w:t>建设项目所在地周边的土壤环境敏感程度分为敏感、较敏感、不敏感，判别依据见下表。</w:t>
      </w:r>
    </w:p>
    <w:p w14:paraId="53223098">
      <w:pPr>
        <w:pStyle w:val="12"/>
        <w:keepNext w:val="0"/>
        <w:overflowPunct w:val="0"/>
        <w:adjustRightInd w:val="0"/>
        <w:spacing w:before="65" w:beforeLines="20" w:after="65" w:afterLines="20"/>
        <w:rPr>
          <w:rFonts w:cs="Times New Roman"/>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59</w:t>
      </w:r>
      <w:r>
        <w:rPr>
          <w:rFonts w:cs="Times New Roman"/>
          <w:color w:val="auto"/>
          <w:highlight w:val="none"/>
        </w:rPr>
        <w:fldChar w:fldCharType="end"/>
      </w:r>
      <w:r>
        <w:rPr>
          <w:rFonts w:cs="Times New Roman"/>
          <w:bCs/>
          <w:color w:val="auto"/>
          <w:kern w:val="21"/>
          <w:szCs w:val="21"/>
          <w:highlight w:val="none"/>
        </w:rPr>
        <w:t>污染影响型敏感程度分级表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4473"/>
        <w:gridCol w:w="2931"/>
      </w:tblGrid>
      <w:tr w14:paraId="36A0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656" w:type="pct"/>
            <w:vAlign w:val="center"/>
          </w:tcPr>
          <w:p w14:paraId="61AF1F38">
            <w:pPr>
              <w:pStyle w:val="37"/>
              <w:adjustRightInd w:val="0"/>
              <w:rPr>
                <w:b/>
                <w:bCs/>
                <w:color w:val="auto"/>
                <w:highlight w:val="none"/>
              </w:rPr>
            </w:pPr>
            <w:r>
              <w:rPr>
                <w:b/>
                <w:bCs/>
                <w:color w:val="auto"/>
                <w:highlight w:val="none"/>
              </w:rPr>
              <w:t>敏感程度</w:t>
            </w:r>
          </w:p>
        </w:tc>
        <w:tc>
          <w:tcPr>
            <w:tcW w:w="2624" w:type="pct"/>
            <w:vAlign w:val="center"/>
          </w:tcPr>
          <w:p w14:paraId="164D85AE">
            <w:pPr>
              <w:pStyle w:val="37"/>
              <w:adjustRightInd w:val="0"/>
              <w:rPr>
                <w:b/>
                <w:bCs/>
                <w:color w:val="auto"/>
                <w:highlight w:val="none"/>
              </w:rPr>
            </w:pPr>
            <w:r>
              <w:rPr>
                <w:b/>
                <w:bCs/>
                <w:color w:val="auto"/>
                <w:highlight w:val="none"/>
              </w:rPr>
              <w:t>判别依据</w:t>
            </w:r>
          </w:p>
        </w:tc>
        <w:tc>
          <w:tcPr>
            <w:tcW w:w="1719" w:type="pct"/>
            <w:vAlign w:val="center"/>
          </w:tcPr>
          <w:p w14:paraId="370E31FD">
            <w:pPr>
              <w:pStyle w:val="37"/>
              <w:adjustRightInd w:val="0"/>
              <w:rPr>
                <w:b/>
                <w:bCs/>
                <w:color w:val="auto"/>
                <w:highlight w:val="none"/>
              </w:rPr>
            </w:pPr>
            <w:r>
              <w:rPr>
                <w:b/>
                <w:bCs/>
                <w:color w:val="auto"/>
                <w:highlight w:val="none"/>
              </w:rPr>
              <w:t>本项目</w:t>
            </w:r>
          </w:p>
        </w:tc>
      </w:tr>
      <w:tr w14:paraId="3CA2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Align w:val="center"/>
          </w:tcPr>
          <w:p w14:paraId="463D45AF">
            <w:pPr>
              <w:pStyle w:val="37"/>
              <w:adjustRightInd w:val="0"/>
              <w:rPr>
                <w:color w:val="auto"/>
                <w:highlight w:val="none"/>
              </w:rPr>
            </w:pPr>
            <w:r>
              <w:rPr>
                <w:color w:val="auto"/>
                <w:highlight w:val="none"/>
              </w:rPr>
              <w:t>敏感</w:t>
            </w:r>
          </w:p>
        </w:tc>
        <w:tc>
          <w:tcPr>
            <w:tcW w:w="2624" w:type="pct"/>
            <w:vAlign w:val="center"/>
          </w:tcPr>
          <w:p w14:paraId="37A72936">
            <w:pPr>
              <w:pStyle w:val="37"/>
              <w:adjustRightInd w:val="0"/>
              <w:rPr>
                <w:color w:val="auto"/>
                <w:highlight w:val="none"/>
              </w:rPr>
            </w:pPr>
            <w:r>
              <w:rPr>
                <w:color w:val="auto"/>
                <w:highlight w:val="none"/>
              </w:rPr>
              <w:t>建设项目周边存在耕地、园地、牧草地饮用水水源地或居民区、学校、医院、疗养院、养老院等土壤环境敏感目标的</w:t>
            </w:r>
          </w:p>
        </w:tc>
        <w:tc>
          <w:tcPr>
            <w:tcW w:w="1719" w:type="pct"/>
            <w:vMerge w:val="restart"/>
            <w:vAlign w:val="center"/>
          </w:tcPr>
          <w:p w14:paraId="22E4BFE8">
            <w:pPr>
              <w:pStyle w:val="37"/>
              <w:adjustRightInd w:val="0"/>
              <w:rPr>
                <w:color w:val="auto"/>
                <w:highlight w:val="none"/>
              </w:rPr>
            </w:pPr>
            <w:r>
              <w:rPr>
                <w:color w:val="auto"/>
                <w:highlight w:val="none"/>
              </w:rPr>
              <w:t>本项目</w:t>
            </w:r>
            <w:r>
              <w:rPr>
                <w:rFonts w:hint="eastAsia"/>
                <w:color w:val="auto"/>
                <w:highlight w:val="none"/>
              </w:rPr>
              <w:t>主要污染物为颗粒物，通过大气沉降可能对项目周边土壤造成一定影响，考虑到</w:t>
            </w:r>
            <w:r>
              <w:rPr>
                <w:color w:val="auto"/>
                <w:highlight w:val="none"/>
              </w:rPr>
              <w:t>周边（东南侧1</w:t>
            </w:r>
            <w:r>
              <w:rPr>
                <w:rFonts w:hint="eastAsia"/>
                <w:color w:val="auto"/>
                <w:highlight w:val="none"/>
              </w:rPr>
              <w:t>1</w:t>
            </w:r>
            <w:r>
              <w:rPr>
                <w:color w:val="auto"/>
                <w:highlight w:val="none"/>
              </w:rPr>
              <w:t>0m处）分布有农田。因此，本项目区域土壤敏感程度为敏感</w:t>
            </w:r>
          </w:p>
        </w:tc>
      </w:tr>
      <w:tr w14:paraId="10FDC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Align w:val="center"/>
          </w:tcPr>
          <w:p w14:paraId="4F55CEA6">
            <w:pPr>
              <w:pStyle w:val="37"/>
              <w:adjustRightInd w:val="0"/>
              <w:rPr>
                <w:color w:val="auto"/>
                <w:highlight w:val="none"/>
              </w:rPr>
            </w:pPr>
            <w:r>
              <w:rPr>
                <w:color w:val="auto"/>
                <w:highlight w:val="none"/>
              </w:rPr>
              <w:t>较敏感</w:t>
            </w:r>
          </w:p>
        </w:tc>
        <w:tc>
          <w:tcPr>
            <w:tcW w:w="2624" w:type="pct"/>
            <w:vAlign w:val="center"/>
          </w:tcPr>
          <w:p w14:paraId="29E586DB">
            <w:pPr>
              <w:pStyle w:val="37"/>
              <w:adjustRightInd w:val="0"/>
              <w:rPr>
                <w:color w:val="auto"/>
                <w:highlight w:val="none"/>
              </w:rPr>
            </w:pPr>
            <w:r>
              <w:rPr>
                <w:color w:val="auto"/>
                <w:highlight w:val="none"/>
              </w:rPr>
              <w:t>建设项目周边存在其他土壤环境敏感目标的</w:t>
            </w:r>
          </w:p>
        </w:tc>
        <w:tc>
          <w:tcPr>
            <w:tcW w:w="1719" w:type="pct"/>
            <w:vMerge w:val="continue"/>
            <w:vAlign w:val="center"/>
          </w:tcPr>
          <w:p w14:paraId="65733D26">
            <w:pPr>
              <w:pStyle w:val="37"/>
              <w:adjustRightInd w:val="0"/>
              <w:rPr>
                <w:color w:val="auto"/>
                <w:highlight w:val="none"/>
              </w:rPr>
            </w:pPr>
          </w:p>
        </w:tc>
      </w:tr>
      <w:tr w14:paraId="098AF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6" w:type="pct"/>
            <w:vAlign w:val="center"/>
          </w:tcPr>
          <w:p w14:paraId="71CE1B2D">
            <w:pPr>
              <w:pStyle w:val="37"/>
              <w:adjustRightInd w:val="0"/>
              <w:rPr>
                <w:color w:val="auto"/>
                <w:highlight w:val="none"/>
              </w:rPr>
            </w:pPr>
            <w:r>
              <w:rPr>
                <w:color w:val="auto"/>
                <w:highlight w:val="none"/>
              </w:rPr>
              <w:t>不敏感</w:t>
            </w:r>
          </w:p>
        </w:tc>
        <w:tc>
          <w:tcPr>
            <w:tcW w:w="2624" w:type="pct"/>
            <w:vAlign w:val="center"/>
          </w:tcPr>
          <w:p w14:paraId="0AF58E27">
            <w:pPr>
              <w:pStyle w:val="37"/>
              <w:adjustRightInd w:val="0"/>
              <w:rPr>
                <w:color w:val="auto"/>
                <w:highlight w:val="none"/>
              </w:rPr>
            </w:pPr>
            <w:r>
              <w:rPr>
                <w:color w:val="auto"/>
                <w:highlight w:val="none"/>
              </w:rPr>
              <w:t>其他情况</w:t>
            </w:r>
          </w:p>
        </w:tc>
        <w:tc>
          <w:tcPr>
            <w:tcW w:w="1719" w:type="pct"/>
            <w:vMerge w:val="continue"/>
            <w:vAlign w:val="center"/>
          </w:tcPr>
          <w:p w14:paraId="095B2AF0">
            <w:pPr>
              <w:pStyle w:val="37"/>
              <w:adjustRightInd w:val="0"/>
              <w:rPr>
                <w:color w:val="auto"/>
                <w:highlight w:val="none"/>
              </w:rPr>
            </w:pPr>
          </w:p>
        </w:tc>
      </w:tr>
    </w:tbl>
    <w:p w14:paraId="336F12DE">
      <w:pPr>
        <w:adjustRightInd w:val="0"/>
        <w:ind w:firstLine="480"/>
        <w:rPr>
          <w:rFonts w:cs="Times New Roman"/>
          <w:color w:val="auto"/>
          <w:highlight w:val="none"/>
        </w:rPr>
      </w:pPr>
      <w:r>
        <w:rPr>
          <w:rFonts w:cs="Times New Roman"/>
          <w:color w:val="auto"/>
          <w:highlight w:val="none"/>
        </w:rPr>
        <w:t>根据项目区域土地利用现状图及实际土地利用现状，项目周边（东南侧1</w:t>
      </w:r>
      <w:r>
        <w:rPr>
          <w:rFonts w:hint="eastAsia" w:cs="Times New Roman"/>
          <w:color w:val="auto"/>
          <w:highlight w:val="none"/>
        </w:rPr>
        <w:t>1</w:t>
      </w:r>
      <w:r>
        <w:rPr>
          <w:rFonts w:cs="Times New Roman"/>
          <w:color w:val="auto"/>
          <w:highlight w:val="none"/>
        </w:rPr>
        <w:t>0m处）分布有农田。因此，本项目区域土壤敏感程度为敏感。</w:t>
      </w:r>
    </w:p>
    <w:p w14:paraId="4733A4F7">
      <w:pPr>
        <w:adjustRightInd w:val="0"/>
        <w:ind w:firstLine="480"/>
        <w:rPr>
          <w:rFonts w:cs="Times New Roman"/>
          <w:color w:val="auto"/>
          <w:highlight w:val="none"/>
        </w:rPr>
      </w:pPr>
      <w:r>
        <w:rPr>
          <w:rFonts w:cs="Times New Roman"/>
          <w:color w:val="auto"/>
          <w:highlight w:val="none"/>
        </w:rPr>
        <w:t>按照《环境影响评价技术导则 土壤环境（试行）》（HJ 964-2018）中表4评价工作等级分级表的划分方法进行确定，其判据详见下表。</w:t>
      </w:r>
    </w:p>
    <w:p w14:paraId="234C7B2A">
      <w:pPr>
        <w:pStyle w:val="12"/>
        <w:keepNext w:val="0"/>
        <w:overflowPunct w:val="0"/>
        <w:adjustRightInd w:val="0"/>
        <w:spacing w:before="65" w:beforeLines="20" w:after="65" w:afterLines="2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60</w:t>
      </w:r>
      <w:r>
        <w:rPr>
          <w:rFonts w:cs="Times New Roman"/>
          <w:color w:val="auto"/>
          <w:highlight w:val="none"/>
        </w:rPr>
        <w:fldChar w:fldCharType="end"/>
      </w:r>
      <w:r>
        <w:rPr>
          <w:rFonts w:cs="Times New Roman"/>
          <w:bCs/>
          <w:color w:val="auto"/>
          <w:kern w:val="21"/>
          <w:szCs w:val="21"/>
          <w:highlight w:val="none"/>
        </w:rPr>
        <w:t>污染型评价工作等级划分表</w:t>
      </w:r>
    </w:p>
    <w:tbl>
      <w:tblPr>
        <w:tblStyle w:val="7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8"/>
        <w:gridCol w:w="709"/>
        <w:gridCol w:w="709"/>
        <w:gridCol w:w="709"/>
        <w:gridCol w:w="709"/>
        <w:gridCol w:w="707"/>
        <w:gridCol w:w="707"/>
        <w:gridCol w:w="709"/>
        <w:gridCol w:w="707"/>
        <w:gridCol w:w="628"/>
      </w:tblGrid>
      <w:tr w14:paraId="09180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blHeader/>
        </w:trPr>
        <w:tc>
          <w:tcPr>
            <w:tcW w:w="1307" w:type="pct"/>
            <w:vMerge w:val="restart"/>
            <w:vAlign w:val="center"/>
          </w:tcPr>
          <w:p w14:paraId="481DAF28">
            <w:pPr>
              <w:overflowPunct w:val="0"/>
              <w:adjustRightInd w:val="0"/>
              <w:spacing w:before="65" w:beforeLines="20" w:after="65" w:afterLines="20" w:line="240" w:lineRule="auto"/>
              <w:ind w:firstLine="0" w:firstLineChars="0"/>
              <w:jc w:val="right"/>
              <w:rPr>
                <w:rFonts w:cs="Times New Roman"/>
                <w:b/>
                <w:color w:val="auto"/>
                <w:kern w:val="21"/>
                <w:sz w:val="21"/>
                <w:highlight w:val="none"/>
              </w:rPr>
            </w:pPr>
            <w:r>
              <w:rPr>
                <w:rFonts w:cs="Times New Roman"/>
                <w:b/>
                <w:color w:val="auto"/>
                <w:kern w:val="21"/>
                <w:sz w:val="21"/>
                <w:highlight w:val="none"/>
              </w:rPr>
              <mc:AlternateContent>
                <mc:Choice Requires="wps">
                  <w:drawing>
                    <wp:anchor distT="0" distB="0" distL="114300" distR="114300" simplePos="0" relativeHeight="251661312" behindDoc="0" locked="0" layoutInCell="1" allowOverlap="1">
                      <wp:simplePos x="0" y="0"/>
                      <wp:positionH relativeFrom="column">
                        <wp:posOffset>497205</wp:posOffset>
                      </wp:positionH>
                      <wp:positionV relativeFrom="paragraph">
                        <wp:posOffset>2540</wp:posOffset>
                      </wp:positionV>
                      <wp:extent cx="844550" cy="695960"/>
                      <wp:effectExtent l="3175" t="3810" r="9525" b="5080"/>
                      <wp:wrapNone/>
                      <wp:docPr id="37" name="直接连接符 37"/>
                      <wp:cNvGraphicFramePr/>
                      <a:graphic xmlns:a="http://schemas.openxmlformats.org/drawingml/2006/main">
                        <a:graphicData uri="http://schemas.microsoft.com/office/word/2010/wordprocessingShape">
                          <wps:wsp>
                            <wps:cNvCnPr/>
                            <wps:spPr>
                              <a:xfrm>
                                <a:off x="0" y="0"/>
                                <a:ext cx="844550" cy="695960"/>
                              </a:xfrm>
                              <a:prstGeom prst="line">
                                <a:avLst/>
                              </a:prstGeom>
                              <a:noFill/>
                              <a:ln w="9525"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margin-left:39.15pt;margin-top:0.2pt;height:54.8pt;width:66.5pt;z-index:251661312;mso-width-relative:page;mso-height-relative:page;" filled="f" stroked="t" coordsize="21600,21600" o:gfxdata="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2axNvUAAAABwEAAA8AAAAAAAAAAQAgAAAAIgAAAGRycy9kb3ducmV2LnhtbFBLAQIUABQAAAAI&#10;AIdO4kDp3CjI8QEAAMIDAAAOAAAAAAAAAAEAIAAAACMBAABkcnMvZTJvRG9jLnhtbFBLBQYAAAAA&#10;BgAGAFkBAACGBQAAAAA=&#10;">
                      <v:fill on="f" focussize="0,0"/>
                      <v:stroke color="#000000" joinstyle="round"/>
                      <v:imagedata o:title=""/>
                      <o:lock v:ext="edit" aspectratio="f"/>
                    </v:line>
                  </w:pict>
                </mc:Fallback>
              </mc:AlternateContent>
            </w:r>
            <w:r>
              <w:rPr>
                <w:rFonts w:cs="Times New Roman"/>
                <w:b/>
                <w:color w:val="auto"/>
                <w:kern w:val="21"/>
                <w:sz w:val="21"/>
                <w:highlight w:val="none"/>
              </w:rPr>
              <w:t>占地规模</w:t>
            </w:r>
          </w:p>
          <w:p w14:paraId="35D57483">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mc:AlternateContent>
                <mc:Choice Requires="wps">
                  <w:drawing>
                    <wp:anchor distT="0" distB="0" distL="114300" distR="114300" simplePos="0" relativeHeight="251662336" behindDoc="0" locked="0" layoutInCell="1" allowOverlap="1">
                      <wp:simplePos x="0" y="0"/>
                      <wp:positionH relativeFrom="column">
                        <wp:posOffset>-44450</wp:posOffset>
                      </wp:positionH>
                      <wp:positionV relativeFrom="paragraph">
                        <wp:posOffset>68580</wp:posOffset>
                      </wp:positionV>
                      <wp:extent cx="1334770" cy="354330"/>
                      <wp:effectExtent l="1270" t="4445" r="16510" b="22225"/>
                      <wp:wrapNone/>
                      <wp:docPr id="61" name="直接连接符 61"/>
                      <wp:cNvGraphicFramePr/>
                      <a:graphic xmlns:a="http://schemas.openxmlformats.org/drawingml/2006/main">
                        <a:graphicData uri="http://schemas.microsoft.com/office/word/2010/wordprocessingShape">
                          <wps:wsp>
                            <wps:cNvCnPr/>
                            <wps:spPr>
                              <a:xfrm>
                                <a:off x="0" y="0"/>
                                <a:ext cx="1334770" cy="354330"/>
                              </a:xfrm>
                              <a:prstGeom prst="line">
                                <a:avLst/>
                              </a:prstGeom>
                              <a:noFill/>
                              <a:ln w="9525" cap="flat" cmpd="sng" algn="ctr">
                                <a:solidFill>
                                  <a:sysClr val="windowText" lastClr="000000"/>
                                </a:solidFill>
                                <a:prstDash val="solid"/>
                              </a:ln>
                              <a:effectLst/>
                            </wps:spPr>
                            <wps:bodyPr/>
                          </wps:wsp>
                        </a:graphicData>
                      </a:graphic>
                    </wp:anchor>
                  </w:drawing>
                </mc:Choice>
                <mc:Fallback>
                  <w:pict>
                    <v:line id="_x0000_s1026" o:spid="_x0000_s1026" o:spt="20" style="position:absolute;left:0pt;margin-left:-3.5pt;margin-top:5.4pt;height:27.9pt;width:105.1pt;z-index:251662336;mso-width-relative:page;mso-height-relative:page;" filled="f" stroked="t" coordsize="21600,21600" o:gfxdata="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O/+qfWAAAACAEAAA8AAAAAAAAAAQAgAAAAIgAAAGRycy9kb3ducmV2LnhtbFBLAQIUABQA&#10;AAAIAIdO4kDo5TkB8gEAAMMDAAAOAAAAAAAAAAEAIAAAACUBAABkcnMvZTJvRG9jLnhtbFBLBQYA&#10;AAAABgAGAFkBAACJBQAAAAA=&#10;">
                      <v:fill on="f" focussize="0,0"/>
                      <v:stroke color="#000000" joinstyle="round"/>
                      <v:imagedata o:title=""/>
                      <o:lock v:ext="edit" aspectratio="f"/>
                    </v:line>
                  </w:pict>
                </mc:Fallback>
              </mc:AlternateContent>
            </w:r>
            <w:r>
              <w:rPr>
                <w:rFonts w:cs="Times New Roman"/>
                <w:b/>
                <w:color w:val="auto"/>
                <w:kern w:val="21"/>
                <w:sz w:val="21"/>
                <w:highlight w:val="none"/>
              </w:rPr>
              <w:t>评价工作等级</w:t>
            </w:r>
          </w:p>
          <w:p w14:paraId="58E39D68">
            <w:pPr>
              <w:overflowPunct w:val="0"/>
              <w:adjustRightInd w:val="0"/>
              <w:spacing w:before="65" w:beforeLines="20" w:after="65" w:afterLines="20" w:line="240" w:lineRule="auto"/>
              <w:ind w:firstLine="0" w:firstLineChars="0"/>
              <w:jc w:val="left"/>
              <w:rPr>
                <w:rFonts w:cs="Times New Roman"/>
                <w:b/>
                <w:color w:val="auto"/>
                <w:kern w:val="21"/>
                <w:sz w:val="21"/>
                <w:highlight w:val="none"/>
              </w:rPr>
            </w:pPr>
            <w:r>
              <w:rPr>
                <w:rFonts w:cs="Times New Roman"/>
                <w:b/>
                <w:color w:val="auto"/>
                <w:kern w:val="21"/>
                <w:sz w:val="21"/>
                <w:highlight w:val="none"/>
              </w:rPr>
              <w:t>敏感程度</w:t>
            </w:r>
          </w:p>
        </w:tc>
        <w:tc>
          <w:tcPr>
            <w:tcW w:w="1248" w:type="pct"/>
            <w:gridSpan w:val="3"/>
            <w:vAlign w:val="center"/>
          </w:tcPr>
          <w:p w14:paraId="2F1A7420">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Ⅰ类</w:t>
            </w:r>
          </w:p>
        </w:tc>
        <w:tc>
          <w:tcPr>
            <w:tcW w:w="1246" w:type="pct"/>
            <w:gridSpan w:val="3"/>
            <w:vAlign w:val="center"/>
          </w:tcPr>
          <w:p w14:paraId="24E5C532">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Ⅱ类</w:t>
            </w:r>
          </w:p>
        </w:tc>
        <w:tc>
          <w:tcPr>
            <w:tcW w:w="1198" w:type="pct"/>
            <w:gridSpan w:val="3"/>
            <w:vAlign w:val="center"/>
          </w:tcPr>
          <w:p w14:paraId="1DCAD347">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Ⅲ类</w:t>
            </w:r>
          </w:p>
        </w:tc>
      </w:tr>
      <w:tr w14:paraId="1C83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307" w:type="pct"/>
            <w:vMerge w:val="continue"/>
            <w:vAlign w:val="center"/>
          </w:tcPr>
          <w:p w14:paraId="7926475D">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416" w:type="pct"/>
            <w:vAlign w:val="center"/>
          </w:tcPr>
          <w:p w14:paraId="4C8CB5D1">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大</w:t>
            </w:r>
          </w:p>
        </w:tc>
        <w:tc>
          <w:tcPr>
            <w:tcW w:w="416" w:type="pct"/>
            <w:vAlign w:val="center"/>
          </w:tcPr>
          <w:p w14:paraId="4D27F6A8">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中</w:t>
            </w:r>
          </w:p>
        </w:tc>
        <w:tc>
          <w:tcPr>
            <w:tcW w:w="416" w:type="pct"/>
            <w:vAlign w:val="center"/>
          </w:tcPr>
          <w:p w14:paraId="112E5BCF">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小</w:t>
            </w:r>
          </w:p>
        </w:tc>
        <w:tc>
          <w:tcPr>
            <w:tcW w:w="416" w:type="pct"/>
            <w:vAlign w:val="center"/>
          </w:tcPr>
          <w:p w14:paraId="3A84C055">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大</w:t>
            </w:r>
          </w:p>
        </w:tc>
        <w:tc>
          <w:tcPr>
            <w:tcW w:w="415" w:type="pct"/>
            <w:vAlign w:val="center"/>
          </w:tcPr>
          <w:p w14:paraId="11D35632">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中</w:t>
            </w:r>
          </w:p>
        </w:tc>
        <w:tc>
          <w:tcPr>
            <w:tcW w:w="415" w:type="pct"/>
            <w:vAlign w:val="center"/>
          </w:tcPr>
          <w:p w14:paraId="739E836B">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小</w:t>
            </w:r>
          </w:p>
        </w:tc>
        <w:tc>
          <w:tcPr>
            <w:tcW w:w="416" w:type="pct"/>
            <w:vAlign w:val="center"/>
          </w:tcPr>
          <w:p w14:paraId="2324961C">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大</w:t>
            </w:r>
          </w:p>
        </w:tc>
        <w:tc>
          <w:tcPr>
            <w:tcW w:w="415" w:type="pct"/>
            <w:vAlign w:val="center"/>
          </w:tcPr>
          <w:p w14:paraId="4D9F7BED">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中</w:t>
            </w:r>
          </w:p>
        </w:tc>
        <w:tc>
          <w:tcPr>
            <w:tcW w:w="366" w:type="pct"/>
            <w:vAlign w:val="center"/>
          </w:tcPr>
          <w:p w14:paraId="7A61FF12">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小</w:t>
            </w:r>
          </w:p>
        </w:tc>
      </w:tr>
      <w:tr w14:paraId="3B22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pct"/>
            <w:vAlign w:val="center"/>
          </w:tcPr>
          <w:p w14:paraId="768B5F9C">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敏感</w:t>
            </w:r>
          </w:p>
        </w:tc>
        <w:tc>
          <w:tcPr>
            <w:tcW w:w="416" w:type="pct"/>
            <w:vAlign w:val="center"/>
          </w:tcPr>
          <w:p w14:paraId="5BDFE6A5">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一级</w:t>
            </w:r>
          </w:p>
        </w:tc>
        <w:tc>
          <w:tcPr>
            <w:tcW w:w="416" w:type="pct"/>
            <w:vAlign w:val="center"/>
          </w:tcPr>
          <w:p w14:paraId="37A03543">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一级</w:t>
            </w:r>
          </w:p>
        </w:tc>
        <w:tc>
          <w:tcPr>
            <w:tcW w:w="416" w:type="pct"/>
            <w:vAlign w:val="center"/>
          </w:tcPr>
          <w:p w14:paraId="182825B5">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一级</w:t>
            </w:r>
          </w:p>
        </w:tc>
        <w:tc>
          <w:tcPr>
            <w:tcW w:w="416" w:type="pct"/>
            <w:vAlign w:val="center"/>
          </w:tcPr>
          <w:p w14:paraId="573B467A">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二级</w:t>
            </w:r>
          </w:p>
        </w:tc>
        <w:tc>
          <w:tcPr>
            <w:tcW w:w="415" w:type="pct"/>
            <w:vAlign w:val="center"/>
          </w:tcPr>
          <w:p w14:paraId="180B993A">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二级</w:t>
            </w:r>
          </w:p>
        </w:tc>
        <w:tc>
          <w:tcPr>
            <w:tcW w:w="415" w:type="pct"/>
            <w:vAlign w:val="center"/>
          </w:tcPr>
          <w:p w14:paraId="100216EC">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二级</w:t>
            </w:r>
          </w:p>
        </w:tc>
        <w:tc>
          <w:tcPr>
            <w:tcW w:w="416" w:type="pct"/>
            <w:vAlign w:val="center"/>
          </w:tcPr>
          <w:p w14:paraId="3B360ED6">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三级</w:t>
            </w:r>
          </w:p>
        </w:tc>
        <w:tc>
          <w:tcPr>
            <w:tcW w:w="415" w:type="pct"/>
            <w:vAlign w:val="center"/>
          </w:tcPr>
          <w:p w14:paraId="23E3FCF0">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color w:val="auto"/>
                <w:kern w:val="21"/>
                <w:sz w:val="21"/>
                <w:highlight w:val="none"/>
              </w:rPr>
              <w:t>三级</w:t>
            </w:r>
          </w:p>
        </w:tc>
        <w:tc>
          <w:tcPr>
            <w:tcW w:w="366" w:type="pct"/>
            <w:vAlign w:val="center"/>
          </w:tcPr>
          <w:p w14:paraId="7C6B4AD1">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bCs/>
                <w:color w:val="auto"/>
                <w:kern w:val="21"/>
                <w:sz w:val="21"/>
                <w:highlight w:val="none"/>
              </w:rPr>
              <w:t>三级</w:t>
            </w:r>
          </w:p>
        </w:tc>
      </w:tr>
      <w:tr w14:paraId="3263E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pct"/>
            <w:vAlign w:val="center"/>
          </w:tcPr>
          <w:p w14:paraId="28313F0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较敏感</w:t>
            </w:r>
          </w:p>
        </w:tc>
        <w:tc>
          <w:tcPr>
            <w:tcW w:w="416" w:type="pct"/>
            <w:vAlign w:val="center"/>
          </w:tcPr>
          <w:p w14:paraId="044B435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一级</w:t>
            </w:r>
          </w:p>
        </w:tc>
        <w:tc>
          <w:tcPr>
            <w:tcW w:w="416" w:type="pct"/>
            <w:vAlign w:val="center"/>
          </w:tcPr>
          <w:p w14:paraId="56630DA3">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一级</w:t>
            </w:r>
          </w:p>
        </w:tc>
        <w:tc>
          <w:tcPr>
            <w:tcW w:w="416" w:type="pct"/>
            <w:vAlign w:val="center"/>
          </w:tcPr>
          <w:p w14:paraId="310F066D">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6" w:type="pct"/>
            <w:vAlign w:val="center"/>
          </w:tcPr>
          <w:p w14:paraId="28763FC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5" w:type="pct"/>
            <w:vAlign w:val="center"/>
          </w:tcPr>
          <w:p w14:paraId="5B79169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5" w:type="pct"/>
            <w:vAlign w:val="center"/>
          </w:tcPr>
          <w:p w14:paraId="4F63CD1C">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416" w:type="pct"/>
            <w:vAlign w:val="center"/>
          </w:tcPr>
          <w:p w14:paraId="42C07E7E">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415" w:type="pct"/>
            <w:vAlign w:val="center"/>
          </w:tcPr>
          <w:p w14:paraId="6DC18103">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366" w:type="pct"/>
            <w:vAlign w:val="center"/>
          </w:tcPr>
          <w:p w14:paraId="337F36BE">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w:t>
            </w:r>
          </w:p>
        </w:tc>
      </w:tr>
      <w:tr w14:paraId="69A2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7" w:type="pct"/>
            <w:vAlign w:val="center"/>
          </w:tcPr>
          <w:p w14:paraId="3E41A9C9">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不敏感</w:t>
            </w:r>
          </w:p>
        </w:tc>
        <w:tc>
          <w:tcPr>
            <w:tcW w:w="416" w:type="pct"/>
            <w:vAlign w:val="center"/>
          </w:tcPr>
          <w:p w14:paraId="781B63B3">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一级</w:t>
            </w:r>
          </w:p>
        </w:tc>
        <w:tc>
          <w:tcPr>
            <w:tcW w:w="416" w:type="pct"/>
            <w:vAlign w:val="center"/>
          </w:tcPr>
          <w:p w14:paraId="4DCCC88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6" w:type="pct"/>
            <w:vAlign w:val="center"/>
          </w:tcPr>
          <w:p w14:paraId="4434EE1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6" w:type="pct"/>
            <w:vAlign w:val="center"/>
          </w:tcPr>
          <w:p w14:paraId="3D9E60B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二级</w:t>
            </w:r>
          </w:p>
        </w:tc>
        <w:tc>
          <w:tcPr>
            <w:tcW w:w="415" w:type="pct"/>
            <w:vAlign w:val="center"/>
          </w:tcPr>
          <w:p w14:paraId="7FF11216">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415" w:type="pct"/>
            <w:vAlign w:val="center"/>
          </w:tcPr>
          <w:p w14:paraId="5E4FCC6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416" w:type="pct"/>
            <w:vAlign w:val="center"/>
          </w:tcPr>
          <w:p w14:paraId="36607EC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三级</w:t>
            </w:r>
          </w:p>
        </w:tc>
        <w:tc>
          <w:tcPr>
            <w:tcW w:w="415" w:type="pct"/>
            <w:vAlign w:val="center"/>
          </w:tcPr>
          <w:p w14:paraId="2EEC7475">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w:t>
            </w:r>
          </w:p>
        </w:tc>
        <w:tc>
          <w:tcPr>
            <w:tcW w:w="366" w:type="pct"/>
            <w:vAlign w:val="center"/>
          </w:tcPr>
          <w:p w14:paraId="403C700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w:t>
            </w:r>
          </w:p>
        </w:tc>
      </w:tr>
      <w:tr w14:paraId="6403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10"/>
            <w:vAlign w:val="center"/>
          </w:tcPr>
          <w:p w14:paraId="0A39BC8E">
            <w:pPr>
              <w:overflowPunct w:val="0"/>
              <w:adjustRightInd w:val="0"/>
              <w:spacing w:before="65" w:beforeLines="20" w:after="65" w:afterLines="20" w:line="240" w:lineRule="auto"/>
              <w:ind w:firstLine="0" w:firstLineChars="0"/>
              <w:rPr>
                <w:rFonts w:cs="Times New Roman"/>
                <w:color w:val="auto"/>
                <w:kern w:val="21"/>
                <w:sz w:val="21"/>
                <w:highlight w:val="none"/>
              </w:rPr>
            </w:pPr>
            <w:r>
              <w:rPr>
                <w:rFonts w:cs="Times New Roman"/>
                <w:color w:val="auto"/>
                <w:kern w:val="21"/>
                <w:sz w:val="21"/>
                <w:highlight w:val="none"/>
              </w:rPr>
              <w:t>注：</w:t>
            </w:r>
            <w:r>
              <w:rPr>
                <w:rFonts w:hint="eastAsia" w:cs="Times New Roman"/>
                <w:color w:val="auto"/>
                <w:kern w:val="21"/>
                <w:sz w:val="21"/>
                <w:highlight w:val="none"/>
              </w:rPr>
              <w:t>“</w:t>
            </w:r>
            <w:r>
              <w:rPr>
                <w:rFonts w:cs="Times New Roman"/>
                <w:color w:val="auto"/>
                <w:kern w:val="21"/>
                <w:sz w:val="21"/>
                <w:highlight w:val="none"/>
              </w:rPr>
              <w:t>-</w:t>
            </w:r>
            <w:r>
              <w:rPr>
                <w:rFonts w:hint="eastAsia" w:cs="Times New Roman"/>
                <w:color w:val="auto"/>
                <w:kern w:val="21"/>
                <w:sz w:val="21"/>
                <w:highlight w:val="none"/>
              </w:rPr>
              <w:t>”</w:t>
            </w:r>
            <w:r>
              <w:rPr>
                <w:rFonts w:cs="Times New Roman"/>
                <w:color w:val="auto"/>
                <w:kern w:val="21"/>
                <w:sz w:val="21"/>
                <w:highlight w:val="none"/>
              </w:rPr>
              <w:t>表示可不开展土壤环境影响评价工作。</w:t>
            </w:r>
          </w:p>
        </w:tc>
      </w:tr>
    </w:tbl>
    <w:p w14:paraId="6B90B094">
      <w:pPr>
        <w:overflowPunct w:val="0"/>
        <w:adjustRightInd w:val="0"/>
        <w:ind w:firstLine="480"/>
        <w:rPr>
          <w:color w:val="auto"/>
          <w:highlight w:val="none"/>
        </w:rPr>
      </w:pPr>
      <w:r>
        <w:rPr>
          <w:rFonts w:cs="Times New Roman"/>
          <w:color w:val="auto"/>
          <w:kern w:val="21"/>
          <w:szCs w:val="24"/>
          <w:highlight w:val="none"/>
        </w:rPr>
        <w:t>综上所述，按照《环境影响评价技术导则 土壤环境（试行）》（HJ964-2018）中表4评价工作等级划分表，本项目土壤评价等级为</w:t>
      </w:r>
      <w:r>
        <w:rPr>
          <w:rFonts w:cs="Times New Roman"/>
          <w:b/>
          <w:bCs/>
          <w:color w:val="auto"/>
          <w:kern w:val="21"/>
          <w:szCs w:val="24"/>
          <w:highlight w:val="none"/>
        </w:rPr>
        <w:t>三级</w:t>
      </w:r>
      <w:r>
        <w:rPr>
          <w:rFonts w:cs="Times New Roman"/>
          <w:color w:val="auto"/>
          <w:kern w:val="21"/>
          <w:szCs w:val="24"/>
          <w:highlight w:val="none"/>
        </w:rPr>
        <w:t>。</w:t>
      </w:r>
    </w:p>
    <w:p w14:paraId="28D3125B">
      <w:pPr>
        <w:pStyle w:val="5"/>
        <w:rPr>
          <w:color w:val="auto"/>
          <w:highlight w:val="none"/>
        </w:rPr>
      </w:pPr>
      <w:r>
        <w:rPr>
          <w:rFonts w:hint="eastAsia"/>
          <w:color w:val="auto"/>
          <w:highlight w:val="none"/>
        </w:rPr>
        <w:t>评价范围</w:t>
      </w:r>
    </w:p>
    <w:p w14:paraId="4473F8D0">
      <w:pPr>
        <w:ind w:firstLine="480"/>
        <w:rPr>
          <w:color w:val="auto"/>
          <w:highlight w:val="none"/>
        </w:rPr>
      </w:pPr>
      <w:r>
        <w:rPr>
          <w:color w:val="auto"/>
          <w:highlight w:val="none"/>
        </w:rPr>
        <w:t>根据《环境影响评价技术导则 土壤环境（试行）》（HJ964-2018），确定本项目</w:t>
      </w:r>
      <w:r>
        <w:rPr>
          <w:rFonts w:hint="eastAsia"/>
          <w:color w:val="auto"/>
          <w:highlight w:val="none"/>
        </w:rPr>
        <w:t>土壤</w:t>
      </w:r>
      <w:r>
        <w:rPr>
          <w:color w:val="auto"/>
          <w:highlight w:val="none"/>
        </w:rPr>
        <w:t>环境影响评价范围为厂界</w:t>
      </w:r>
      <w:r>
        <w:rPr>
          <w:rFonts w:hint="eastAsia"/>
          <w:color w:val="auto"/>
          <w:highlight w:val="none"/>
        </w:rPr>
        <w:t>5</w:t>
      </w:r>
      <w:r>
        <w:rPr>
          <w:color w:val="auto"/>
          <w:highlight w:val="none"/>
        </w:rPr>
        <w:t>0m。</w:t>
      </w:r>
    </w:p>
    <w:p w14:paraId="301D0F8B">
      <w:pPr>
        <w:pStyle w:val="4"/>
        <w:adjustRightInd w:val="0"/>
        <w:rPr>
          <w:rFonts w:cs="Times New Roman"/>
          <w:color w:val="auto"/>
          <w:highlight w:val="none"/>
        </w:rPr>
      </w:pPr>
      <w:bookmarkStart w:id="77" w:name="_Toc17896"/>
      <w:bookmarkStart w:id="78" w:name="_Toc12471"/>
      <w:bookmarkStart w:id="79" w:name="_Toc16383"/>
      <w:bookmarkStart w:id="80" w:name="_Toc489883437"/>
      <w:bookmarkStart w:id="81" w:name="_Toc485748131"/>
      <w:bookmarkStart w:id="82" w:name="_Toc485856773"/>
      <w:r>
        <w:rPr>
          <w:rFonts w:cs="Times New Roman"/>
          <w:color w:val="auto"/>
          <w:highlight w:val="none"/>
        </w:rPr>
        <w:t>生态环境评价</w:t>
      </w:r>
      <w:bookmarkEnd w:id="77"/>
      <w:bookmarkEnd w:id="78"/>
      <w:bookmarkEnd w:id="79"/>
    </w:p>
    <w:p w14:paraId="65EA0203">
      <w:pPr>
        <w:adjustRightInd w:val="0"/>
        <w:ind w:firstLine="480"/>
        <w:rPr>
          <w:rFonts w:cs="Times New Roman"/>
          <w:color w:val="auto"/>
          <w:highlight w:val="none"/>
        </w:rPr>
      </w:pPr>
      <w:r>
        <w:rPr>
          <w:rFonts w:cs="Times New Roman"/>
          <w:color w:val="auto"/>
          <w:highlight w:val="none"/>
        </w:rPr>
        <w:t>根据《环境影响评价技术导则 生态影响》（HJ19-2022），依据建设项目影响区域的生态敏感性和影响程度，评价等级划分为一级、二级和三级，具体要求如下。</w:t>
      </w:r>
    </w:p>
    <w:p w14:paraId="5D5C27F9">
      <w:pPr>
        <w:adjustRightInd w:val="0"/>
        <w:ind w:firstLine="480"/>
        <w:rPr>
          <w:rFonts w:cs="Times New Roman"/>
          <w:color w:val="auto"/>
          <w:highlight w:val="none"/>
        </w:rPr>
      </w:pPr>
      <w:r>
        <w:rPr>
          <w:rFonts w:cs="Times New Roman"/>
          <w:color w:val="auto"/>
          <w:highlight w:val="none"/>
        </w:rPr>
        <w:t>a）涉及国家公园、自然保护区、世界自然遗产、重要生境时，评价等级为一级；</w:t>
      </w:r>
    </w:p>
    <w:p w14:paraId="3376511A">
      <w:pPr>
        <w:adjustRightInd w:val="0"/>
        <w:ind w:firstLine="480"/>
        <w:rPr>
          <w:rFonts w:cs="Times New Roman"/>
          <w:color w:val="auto"/>
          <w:highlight w:val="none"/>
        </w:rPr>
      </w:pPr>
      <w:r>
        <w:rPr>
          <w:rFonts w:cs="Times New Roman"/>
          <w:color w:val="auto"/>
          <w:highlight w:val="none"/>
        </w:rPr>
        <w:t>b）涉及自然公园时，评价等级为二级；</w:t>
      </w:r>
    </w:p>
    <w:p w14:paraId="5D121D86">
      <w:pPr>
        <w:adjustRightInd w:val="0"/>
        <w:ind w:firstLine="480"/>
        <w:rPr>
          <w:rFonts w:cs="Times New Roman"/>
          <w:color w:val="auto"/>
          <w:highlight w:val="none"/>
        </w:rPr>
      </w:pPr>
      <w:r>
        <w:rPr>
          <w:rFonts w:cs="Times New Roman"/>
          <w:color w:val="auto"/>
          <w:highlight w:val="none"/>
        </w:rPr>
        <w:t>c）涉及生态保护红线时，评价等级不低于二级；</w:t>
      </w:r>
    </w:p>
    <w:p w14:paraId="1B0377AC">
      <w:pPr>
        <w:adjustRightInd w:val="0"/>
        <w:ind w:firstLine="480"/>
        <w:rPr>
          <w:rFonts w:cs="Times New Roman"/>
          <w:color w:val="auto"/>
          <w:highlight w:val="none"/>
        </w:rPr>
      </w:pPr>
      <w:r>
        <w:rPr>
          <w:rFonts w:cs="Times New Roman"/>
          <w:color w:val="auto"/>
          <w:highlight w:val="none"/>
        </w:rPr>
        <w:t>d）根据HJ2.3判断属于水文要素影响型且地表水评价等级不低于二级的建设项目，生态影响评价等级不低于二级；</w:t>
      </w:r>
    </w:p>
    <w:p w14:paraId="6F12BABA">
      <w:pPr>
        <w:adjustRightInd w:val="0"/>
        <w:ind w:firstLine="480"/>
        <w:rPr>
          <w:rFonts w:cs="Times New Roman"/>
          <w:color w:val="auto"/>
          <w:highlight w:val="none"/>
        </w:rPr>
      </w:pPr>
      <w:r>
        <w:rPr>
          <w:rFonts w:cs="Times New Roman"/>
          <w:color w:val="auto"/>
          <w:highlight w:val="none"/>
        </w:rPr>
        <w:t>e）根据HJ610、HJ964判断地下水水位或土壤影响范围内分布有天然林、公益林、湿地等生态保护目标的建设项目，生态影响评价等级不低于二级；</w:t>
      </w:r>
    </w:p>
    <w:p w14:paraId="3C926915">
      <w:pPr>
        <w:adjustRightInd w:val="0"/>
        <w:ind w:firstLine="480"/>
        <w:rPr>
          <w:rFonts w:cs="Times New Roman"/>
          <w:color w:val="auto"/>
          <w:highlight w:val="none"/>
        </w:rPr>
      </w:pPr>
      <w:r>
        <w:rPr>
          <w:rFonts w:cs="Times New Roman"/>
          <w:color w:val="auto"/>
          <w:highlight w:val="none"/>
        </w:rPr>
        <w:t>f）当工程占地规模大于20km</w:t>
      </w:r>
      <w:r>
        <w:rPr>
          <w:rFonts w:cs="Times New Roman"/>
          <w:color w:val="auto"/>
          <w:highlight w:val="none"/>
          <w:vertAlign w:val="superscript"/>
        </w:rPr>
        <w:t>2</w:t>
      </w:r>
      <w:r>
        <w:rPr>
          <w:rFonts w:cs="Times New Roman"/>
          <w:color w:val="auto"/>
          <w:highlight w:val="none"/>
        </w:rPr>
        <w:t>时（包括永久和临时占用陆域和水域），评价等级不低于二级；改扩建项目的占地范围以新增占地（包括陆域和水域）确定；</w:t>
      </w:r>
    </w:p>
    <w:p w14:paraId="57D619AD">
      <w:pPr>
        <w:adjustRightInd w:val="0"/>
        <w:ind w:firstLine="480"/>
        <w:rPr>
          <w:rFonts w:cs="Times New Roman"/>
          <w:color w:val="auto"/>
          <w:highlight w:val="none"/>
        </w:rPr>
      </w:pPr>
      <w:r>
        <w:rPr>
          <w:rFonts w:cs="Times New Roman"/>
          <w:color w:val="auto"/>
          <w:highlight w:val="none"/>
        </w:rPr>
        <w:t>g）除本条a）、b）、c）、d）、e）、f）以外的情况，评价等级为三级；</w:t>
      </w:r>
    </w:p>
    <w:p w14:paraId="4BA3F3E3">
      <w:pPr>
        <w:adjustRightInd w:val="0"/>
        <w:ind w:firstLine="480"/>
        <w:rPr>
          <w:rFonts w:cs="Times New Roman"/>
          <w:color w:val="auto"/>
          <w:highlight w:val="none"/>
        </w:rPr>
      </w:pPr>
      <w:r>
        <w:rPr>
          <w:rFonts w:cs="Times New Roman"/>
          <w:color w:val="auto"/>
          <w:highlight w:val="none"/>
        </w:rPr>
        <w:t>h）当评价等级判定同时符合上述多种情况时，应采用其中最高的评价等级。</w:t>
      </w:r>
    </w:p>
    <w:p w14:paraId="6BD036D6">
      <w:pPr>
        <w:adjustRightInd w:val="0"/>
        <w:ind w:firstLine="480"/>
        <w:rPr>
          <w:rFonts w:cs="Times New Roman"/>
          <w:color w:val="auto"/>
          <w:highlight w:val="none"/>
        </w:rPr>
      </w:pPr>
      <w:r>
        <w:rPr>
          <w:rFonts w:cs="Times New Roman"/>
          <w:color w:val="auto"/>
          <w:highlight w:val="none"/>
        </w:rPr>
        <w:t>根据《环境影响评价技术导则 生态影响》（HJ 19-2022），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p w14:paraId="2DD494BF">
      <w:pPr>
        <w:adjustRightInd w:val="0"/>
        <w:ind w:firstLine="480"/>
        <w:rPr>
          <w:rFonts w:cs="Times New Roman"/>
          <w:color w:val="auto"/>
          <w:highlight w:val="none"/>
        </w:rPr>
      </w:pPr>
      <w:r>
        <w:rPr>
          <w:rFonts w:cs="Times New Roman"/>
          <w:color w:val="auto"/>
          <w:highlight w:val="none"/>
        </w:rPr>
        <w:t>本项目位于四川乐山沙湾经济开发区内，四川乐山沙湾经济开发区属于已批准规划环评的产业园区，且本项目建设符合规划环评及审查意见要求，本项目建设范围内无保护和珍稀陆生动植物，也不涉及陆域生态环境敏感区。</w:t>
      </w:r>
    </w:p>
    <w:p w14:paraId="4F5B3788">
      <w:pPr>
        <w:adjustRightInd w:val="0"/>
        <w:ind w:firstLine="480"/>
        <w:rPr>
          <w:rFonts w:cs="Times New Roman"/>
          <w:color w:val="auto"/>
          <w:highlight w:val="none"/>
        </w:rPr>
      </w:pPr>
      <w:r>
        <w:rPr>
          <w:rFonts w:cs="Times New Roman"/>
          <w:color w:val="auto"/>
          <w:highlight w:val="none"/>
        </w:rPr>
        <w:t>根据《环境影响评价技术导则 生态影响》（HJ 19-2022），确定本项目直接进行生态影响简单分析。</w:t>
      </w:r>
    </w:p>
    <w:bookmarkEnd w:id="80"/>
    <w:bookmarkEnd w:id="81"/>
    <w:bookmarkEnd w:id="82"/>
    <w:p w14:paraId="796E3591">
      <w:pPr>
        <w:pStyle w:val="4"/>
        <w:adjustRightInd w:val="0"/>
        <w:rPr>
          <w:rFonts w:cs="Times New Roman"/>
          <w:color w:val="auto"/>
          <w:highlight w:val="none"/>
        </w:rPr>
      </w:pPr>
      <w:bookmarkStart w:id="83" w:name="_Toc19839"/>
      <w:bookmarkStart w:id="84" w:name="_Toc2845"/>
      <w:bookmarkStart w:id="85" w:name="_Toc17922"/>
      <w:bookmarkStart w:id="86" w:name="_Toc31313"/>
      <w:bookmarkStart w:id="87" w:name="_Toc25690"/>
      <w:r>
        <w:rPr>
          <w:rFonts w:cs="Times New Roman"/>
          <w:color w:val="auto"/>
          <w:highlight w:val="none"/>
        </w:rPr>
        <w:t>环境风险</w:t>
      </w:r>
      <w:bookmarkEnd w:id="83"/>
      <w:bookmarkEnd w:id="84"/>
      <w:bookmarkEnd w:id="85"/>
      <w:bookmarkEnd w:id="86"/>
      <w:bookmarkEnd w:id="87"/>
    </w:p>
    <w:p w14:paraId="140A01BA">
      <w:pPr>
        <w:adjustRightInd w:val="0"/>
        <w:ind w:firstLine="480"/>
        <w:rPr>
          <w:rFonts w:cs="Times New Roman"/>
          <w:color w:val="auto"/>
          <w:highlight w:val="none"/>
        </w:rPr>
      </w:pPr>
      <w:r>
        <w:rPr>
          <w:rFonts w:cs="Times New Roman"/>
          <w:color w:val="auto"/>
          <w:highlight w:val="none"/>
        </w:rPr>
        <w:t>根据《建设项目环境风险评价技术导则》（HJ169-2018）中关于风险评价等级的划分方法确定环境风险评价的工作等级。</w:t>
      </w:r>
    </w:p>
    <w:p w14:paraId="5EF0EE65">
      <w:pPr>
        <w:adjustRightInd w:val="0"/>
        <w:ind w:firstLine="482"/>
        <w:rPr>
          <w:rFonts w:cs="Times New Roman"/>
          <w:b/>
          <w:bCs/>
          <w:color w:val="auto"/>
          <w:highlight w:val="none"/>
        </w:rPr>
      </w:pPr>
      <w:r>
        <w:rPr>
          <w:rFonts w:cs="Times New Roman"/>
          <w:b/>
          <w:bCs/>
          <w:color w:val="auto"/>
          <w:highlight w:val="none"/>
        </w:rPr>
        <w:t>一、风险潜势判定</w:t>
      </w:r>
    </w:p>
    <w:p w14:paraId="5BF690E0">
      <w:pPr>
        <w:adjustRightInd w:val="0"/>
        <w:ind w:firstLine="480"/>
        <w:rPr>
          <w:rFonts w:cs="Times New Roman"/>
          <w:color w:val="auto"/>
          <w:highlight w:val="none"/>
        </w:rPr>
      </w:pPr>
      <w:r>
        <w:rPr>
          <w:rFonts w:cs="Times New Roman"/>
          <w:color w:val="auto"/>
          <w:highlight w:val="none"/>
        </w:rPr>
        <w:t>根据《建设项目环境风险评价技术导则》（HJ 169-2018），建设项目环境风险潜势划分为Ⅰ、Ⅱ、Ⅲ、Ⅳ/Ⅳ+级。根据建设项目涉及的物质和工艺系统的危险性及其所在地的环境敏感程度，结合事故情形下环境影响途径，对建设项目潜在环境危害程度进行概化分析，确定环境风险潜势。</w:t>
      </w:r>
    </w:p>
    <w:p w14:paraId="1D20C8B4">
      <w:pPr>
        <w:adjustRightInd w:val="0"/>
        <w:ind w:firstLine="480"/>
        <w:rPr>
          <w:rFonts w:cs="Times New Roman"/>
          <w:color w:val="auto"/>
          <w:highlight w:val="none"/>
        </w:rPr>
      </w:pPr>
      <w:r>
        <w:rPr>
          <w:rFonts w:cs="Times New Roman"/>
          <w:color w:val="auto"/>
          <w:highlight w:val="none"/>
        </w:rPr>
        <w:t>查阅《建设项目环境风险评价技术导则》（HJ 169-2018）附录B，本工程涉及的主要风险物质为机油</w:t>
      </w:r>
      <w:r>
        <w:rPr>
          <w:rFonts w:hint="eastAsia" w:cs="Times New Roman"/>
          <w:color w:val="auto"/>
          <w:highlight w:val="none"/>
        </w:rPr>
        <w:t>、汽油</w:t>
      </w:r>
      <w:r>
        <w:rPr>
          <w:rFonts w:cs="Times New Roman"/>
          <w:color w:val="auto"/>
          <w:highlight w:val="none"/>
        </w:rPr>
        <w:t>、废机油，其Q值计算见下表。</w:t>
      </w:r>
    </w:p>
    <w:p w14:paraId="0DC06761">
      <w:pPr>
        <w:pStyle w:val="12"/>
        <w:adjustRightInd w:val="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61</w:t>
      </w:r>
      <w:r>
        <w:rPr>
          <w:rFonts w:cs="Times New Roman"/>
          <w:color w:val="auto"/>
          <w:highlight w:val="none"/>
        </w:rPr>
        <w:fldChar w:fldCharType="end"/>
      </w:r>
      <w:r>
        <w:rPr>
          <w:rFonts w:cs="Times New Roman"/>
          <w:bCs/>
          <w:color w:val="auto"/>
          <w:kern w:val="21"/>
          <w:szCs w:val="21"/>
          <w:highlight w:val="none"/>
        </w:rPr>
        <w:t>存量与临界量对照表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1616"/>
        <w:gridCol w:w="1171"/>
        <w:gridCol w:w="1548"/>
        <w:gridCol w:w="1045"/>
        <w:gridCol w:w="1204"/>
        <w:gridCol w:w="1004"/>
      </w:tblGrid>
      <w:tr w14:paraId="2EB19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548" w:type="pct"/>
            <w:vAlign w:val="center"/>
          </w:tcPr>
          <w:p w14:paraId="294A9A61">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序号</w:t>
            </w:r>
          </w:p>
        </w:tc>
        <w:tc>
          <w:tcPr>
            <w:tcW w:w="948" w:type="pct"/>
            <w:vAlign w:val="center"/>
          </w:tcPr>
          <w:p w14:paraId="2E11402C">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危化品名称</w:t>
            </w:r>
          </w:p>
        </w:tc>
        <w:tc>
          <w:tcPr>
            <w:tcW w:w="687" w:type="pct"/>
            <w:vAlign w:val="center"/>
          </w:tcPr>
          <w:p w14:paraId="66D7B604">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临界量（t）</w:t>
            </w:r>
          </w:p>
        </w:tc>
        <w:tc>
          <w:tcPr>
            <w:tcW w:w="908" w:type="pct"/>
            <w:vAlign w:val="center"/>
          </w:tcPr>
          <w:p w14:paraId="7C6EB614">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最大存储量（t）</w:t>
            </w:r>
          </w:p>
        </w:tc>
        <w:tc>
          <w:tcPr>
            <w:tcW w:w="613" w:type="pct"/>
            <w:vAlign w:val="center"/>
          </w:tcPr>
          <w:p w14:paraId="3E4C1C6B">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qi/Qi</w:t>
            </w:r>
          </w:p>
        </w:tc>
        <w:tc>
          <w:tcPr>
            <w:tcW w:w="702" w:type="pct"/>
            <w:vAlign w:val="center"/>
          </w:tcPr>
          <w:p w14:paraId="08EB1828">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∑qi/Qi</w:t>
            </w:r>
          </w:p>
        </w:tc>
        <w:tc>
          <w:tcPr>
            <w:tcW w:w="589" w:type="pct"/>
            <w:vAlign w:val="center"/>
          </w:tcPr>
          <w:p w14:paraId="3E0A5D7F">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Q值</w:t>
            </w:r>
          </w:p>
        </w:tc>
      </w:tr>
      <w:tr w14:paraId="6B448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pct"/>
            <w:vAlign w:val="center"/>
          </w:tcPr>
          <w:p w14:paraId="6DD42EB3">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1</w:t>
            </w:r>
          </w:p>
        </w:tc>
        <w:tc>
          <w:tcPr>
            <w:tcW w:w="948" w:type="pct"/>
            <w:vAlign w:val="center"/>
          </w:tcPr>
          <w:p w14:paraId="00108BC8">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机油</w:t>
            </w:r>
          </w:p>
        </w:tc>
        <w:tc>
          <w:tcPr>
            <w:tcW w:w="687" w:type="pct"/>
            <w:vAlign w:val="center"/>
          </w:tcPr>
          <w:p w14:paraId="15CF29C9">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2500</w:t>
            </w:r>
          </w:p>
        </w:tc>
        <w:tc>
          <w:tcPr>
            <w:tcW w:w="908" w:type="pct"/>
            <w:vAlign w:val="center"/>
          </w:tcPr>
          <w:p w14:paraId="4782CB5A">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0.1</w:t>
            </w:r>
          </w:p>
        </w:tc>
        <w:tc>
          <w:tcPr>
            <w:tcW w:w="613" w:type="pct"/>
            <w:vAlign w:val="center"/>
          </w:tcPr>
          <w:p w14:paraId="7FC02030">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0.00004</w:t>
            </w:r>
          </w:p>
        </w:tc>
        <w:tc>
          <w:tcPr>
            <w:tcW w:w="702" w:type="pct"/>
            <w:vAlign w:val="center"/>
          </w:tcPr>
          <w:p w14:paraId="089FE008">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0.00004</w:t>
            </w:r>
          </w:p>
        </w:tc>
        <w:tc>
          <w:tcPr>
            <w:tcW w:w="589" w:type="pct"/>
            <w:vAlign w:val="center"/>
          </w:tcPr>
          <w:p w14:paraId="7862397E">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0.00004</w:t>
            </w:r>
          </w:p>
        </w:tc>
      </w:tr>
      <w:tr w14:paraId="6B219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pct"/>
            <w:vAlign w:val="center"/>
          </w:tcPr>
          <w:p w14:paraId="3EC304C6">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hint="eastAsia" w:cs="Times New Roman"/>
                <w:bCs/>
                <w:color w:val="auto"/>
                <w:kern w:val="21"/>
                <w:sz w:val="21"/>
                <w:highlight w:val="none"/>
              </w:rPr>
              <w:t>2</w:t>
            </w:r>
          </w:p>
        </w:tc>
        <w:tc>
          <w:tcPr>
            <w:tcW w:w="948" w:type="pct"/>
            <w:vAlign w:val="center"/>
          </w:tcPr>
          <w:p w14:paraId="5A9B087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汽油</w:t>
            </w:r>
          </w:p>
        </w:tc>
        <w:tc>
          <w:tcPr>
            <w:tcW w:w="687" w:type="pct"/>
            <w:vAlign w:val="center"/>
          </w:tcPr>
          <w:p w14:paraId="08A032E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2500</w:t>
            </w:r>
          </w:p>
        </w:tc>
        <w:tc>
          <w:tcPr>
            <w:tcW w:w="908" w:type="pct"/>
            <w:vAlign w:val="center"/>
          </w:tcPr>
          <w:p w14:paraId="04CD2C20">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hint="eastAsia" w:cs="Times New Roman"/>
                <w:bCs/>
                <w:color w:val="auto"/>
                <w:kern w:val="21"/>
                <w:sz w:val="21"/>
                <w:highlight w:val="none"/>
              </w:rPr>
              <w:t>0.1</w:t>
            </w:r>
          </w:p>
        </w:tc>
        <w:tc>
          <w:tcPr>
            <w:tcW w:w="613" w:type="pct"/>
            <w:vAlign w:val="center"/>
          </w:tcPr>
          <w:p w14:paraId="4E226C3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c>
          <w:tcPr>
            <w:tcW w:w="702" w:type="pct"/>
            <w:vAlign w:val="center"/>
          </w:tcPr>
          <w:p w14:paraId="199D5FD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c>
          <w:tcPr>
            <w:tcW w:w="589" w:type="pct"/>
            <w:vAlign w:val="center"/>
          </w:tcPr>
          <w:p w14:paraId="4573160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r>
      <w:tr w14:paraId="16918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8" w:type="pct"/>
            <w:vAlign w:val="center"/>
          </w:tcPr>
          <w:p w14:paraId="033ADA80">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hint="eastAsia" w:cs="Times New Roman"/>
                <w:color w:val="auto"/>
                <w:kern w:val="21"/>
                <w:sz w:val="21"/>
                <w:highlight w:val="none"/>
              </w:rPr>
              <w:t>3</w:t>
            </w:r>
          </w:p>
        </w:tc>
        <w:tc>
          <w:tcPr>
            <w:tcW w:w="948" w:type="pct"/>
            <w:vAlign w:val="center"/>
          </w:tcPr>
          <w:p w14:paraId="03DD01B2">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废机油</w:t>
            </w:r>
          </w:p>
        </w:tc>
        <w:tc>
          <w:tcPr>
            <w:tcW w:w="687" w:type="pct"/>
            <w:vAlign w:val="center"/>
          </w:tcPr>
          <w:p w14:paraId="5096CF0D">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2500</w:t>
            </w:r>
          </w:p>
        </w:tc>
        <w:tc>
          <w:tcPr>
            <w:tcW w:w="908" w:type="pct"/>
            <w:vAlign w:val="center"/>
          </w:tcPr>
          <w:p w14:paraId="4491F7D6">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0.1</w:t>
            </w:r>
          </w:p>
        </w:tc>
        <w:tc>
          <w:tcPr>
            <w:tcW w:w="613" w:type="pct"/>
            <w:vAlign w:val="center"/>
          </w:tcPr>
          <w:p w14:paraId="2EDD9A4B">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c>
          <w:tcPr>
            <w:tcW w:w="702" w:type="pct"/>
            <w:vAlign w:val="center"/>
          </w:tcPr>
          <w:p w14:paraId="06750904">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c>
          <w:tcPr>
            <w:tcW w:w="589" w:type="pct"/>
            <w:vAlign w:val="center"/>
          </w:tcPr>
          <w:p w14:paraId="52E782CB">
            <w:pPr>
              <w:widowControl/>
              <w:overflowPunct w:val="0"/>
              <w:adjustRightInd w:val="0"/>
              <w:spacing w:before="65" w:beforeLines="20" w:after="65" w:afterLines="20" w:line="240" w:lineRule="auto"/>
              <w:ind w:firstLine="0" w:firstLineChars="0"/>
              <w:jc w:val="center"/>
              <w:rPr>
                <w:rFonts w:cs="Times New Roman"/>
                <w:color w:val="auto"/>
                <w:kern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r>
      <w:tr w14:paraId="44EF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0" w:type="pct"/>
            <w:gridSpan w:val="6"/>
            <w:vAlign w:val="center"/>
          </w:tcPr>
          <w:p w14:paraId="676548D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合计</w:t>
            </w:r>
          </w:p>
        </w:tc>
        <w:tc>
          <w:tcPr>
            <w:tcW w:w="589" w:type="pct"/>
            <w:vAlign w:val="center"/>
          </w:tcPr>
          <w:p w14:paraId="33A7BC4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w:t>
            </w:r>
            <w:r>
              <w:rPr>
                <w:rFonts w:hint="eastAsia" w:cs="Times New Roman"/>
                <w:color w:val="auto"/>
                <w:kern w:val="21"/>
                <w:sz w:val="21"/>
                <w:highlight w:val="none"/>
              </w:rPr>
              <w:t>12</w:t>
            </w:r>
          </w:p>
        </w:tc>
      </w:tr>
    </w:tbl>
    <w:p w14:paraId="29FC0B3E">
      <w:pPr>
        <w:adjustRightInd w:val="0"/>
        <w:ind w:firstLine="480"/>
        <w:rPr>
          <w:rFonts w:cs="Times New Roman"/>
          <w:color w:val="auto"/>
          <w:highlight w:val="none"/>
        </w:rPr>
      </w:pPr>
      <w:r>
        <w:rPr>
          <w:rFonts w:cs="Times New Roman"/>
          <w:color w:val="auto"/>
          <w:highlight w:val="none"/>
        </w:rPr>
        <w:t>根据《建设项目环境风险评价技术导则》（HJ 169-2018）当存在多种危险物质时，则按以下公式计算物质总量与其临界量比值（Q）：</w:t>
      </w:r>
    </w:p>
    <w:p w14:paraId="4548094A">
      <w:pPr>
        <w:overflowPunct w:val="0"/>
        <w:adjustRightInd w:val="0"/>
        <w:spacing w:line="240" w:lineRule="auto"/>
        <w:ind w:firstLine="480"/>
        <w:jc w:val="center"/>
        <w:rPr>
          <w:rFonts w:cs="Times New Roman"/>
          <w:color w:val="auto"/>
          <w:kern w:val="21"/>
          <w:szCs w:val="24"/>
          <w:highlight w:val="none"/>
        </w:rPr>
      </w:pPr>
      <w:r>
        <w:rPr>
          <w:rFonts w:cs="Times New Roman"/>
          <w:color w:val="auto"/>
          <w:kern w:val="21"/>
          <w:szCs w:val="24"/>
          <w:highlight w:val="none"/>
        </w:rPr>
        <w:object>
          <v:shape id="_x0000_i1027" o:spt="75" type="#_x0000_t75" style="height:33.65pt;width:134.65pt;" o:ole="t" filled="f" o:preferrelative="t" stroked="f" coordsize="21600,21600">
            <v:path/>
            <v:fill on="f" focussize="0,0"/>
            <v:stroke on="f" joinstyle="miter"/>
            <v:imagedata r:id="rId24" o:title=""/>
            <o:lock v:ext="edit" aspectratio="t"/>
            <w10:wrap type="none"/>
            <w10:anchorlock/>
          </v:shape>
          <o:OLEObject Type="Embed" ProgID="Equation.3" ShapeID="_x0000_i1027" DrawAspect="Content" ObjectID="_1468075727" r:id="rId23">
            <o:LockedField>false</o:LockedField>
          </o:OLEObject>
        </w:object>
      </w:r>
    </w:p>
    <w:p w14:paraId="77992576">
      <w:pPr>
        <w:adjustRightInd w:val="0"/>
        <w:ind w:firstLine="480"/>
        <w:rPr>
          <w:rFonts w:cs="Times New Roman"/>
          <w:color w:val="auto"/>
          <w:highlight w:val="none"/>
        </w:rPr>
      </w:pPr>
      <w:r>
        <w:rPr>
          <w:rFonts w:cs="Times New Roman"/>
          <w:color w:val="auto"/>
          <w:highlight w:val="none"/>
        </w:rPr>
        <w:t>式中：</w:t>
      </w:r>
    </w:p>
    <w:p w14:paraId="493F07F1">
      <w:pPr>
        <w:adjustRightInd w:val="0"/>
        <w:ind w:firstLine="480"/>
        <w:rPr>
          <w:rFonts w:cs="Times New Roman"/>
          <w:color w:val="auto"/>
          <w:highlight w:val="none"/>
        </w:rPr>
      </w:pPr>
      <w:r>
        <w:rPr>
          <w:rFonts w:cs="Times New Roman"/>
          <w:color w:val="auto"/>
          <w:highlight w:val="none"/>
        </w:rPr>
        <w:t>q1，q2，…，qn——每种危险物质的最大存在总量，t；</w:t>
      </w:r>
    </w:p>
    <w:p w14:paraId="12208DEF">
      <w:pPr>
        <w:adjustRightInd w:val="0"/>
        <w:ind w:firstLine="480"/>
        <w:rPr>
          <w:rFonts w:cs="Times New Roman"/>
          <w:color w:val="auto"/>
          <w:highlight w:val="none"/>
        </w:rPr>
      </w:pPr>
      <w:r>
        <w:rPr>
          <w:rFonts w:cs="Times New Roman"/>
          <w:color w:val="auto"/>
          <w:highlight w:val="none"/>
        </w:rPr>
        <w:t>Q1，Q2，…，Qn——每种危险物质的临界量，t。</w:t>
      </w:r>
    </w:p>
    <w:p w14:paraId="05F1B416">
      <w:pPr>
        <w:adjustRightInd w:val="0"/>
        <w:ind w:firstLine="480"/>
        <w:rPr>
          <w:rFonts w:cs="Times New Roman"/>
          <w:color w:val="auto"/>
          <w:highlight w:val="none"/>
        </w:rPr>
      </w:pPr>
      <w:r>
        <w:rPr>
          <w:rFonts w:cs="Times New Roman"/>
          <w:color w:val="auto"/>
          <w:highlight w:val="none"/>
        </w:rPr>
        <w:t>当Q＜1时，该项目环境风险潜势为Ⅰ。</w:t>
      </w:r>
    </w:p>
    <w:p w14:paraId="2496748E">
      <w:pPr>
        <w:adjustRightInd w:val="0"/>
        <w:ind w:firstLine="480"/>
        <w:rPr>
          <w:rFonts w:cs="Times New Roman"/>
          <w:color w:val="auto"/>
          <w:highlight w:val="none"/>
        </w:rPr>
      </w:pPr>
      <w:r>
        <w:rPr>
          <w:rFonts w:cs="Times New Roman"/>
          <w:color w:val="auto"/>
          <w:highlight w:val="none"/>
        </w:rPr>
        <w:t>当Q≥1时，将Q值划分为：（1）1≤Q＜10；（2）10≤Q＜100；（3）Q≥100。</w:t>
      </w:r>
    </w:p>
    <w:p w14:paraId="3B0226C8">
      <w:pPr>
        <w:adjustRightInd w:val="0"/>
        <w:ind w:firstLine="480"/>
        <w:rPr>
          <w:rFonts w:cs="Times New Roman"/>
          <w:color w:val="auto"/>
          <w:highlight w:val="none"/>
        </w:rPr>
      </w:pPr>
      <w:r>
        <w:rPr>
          <w:rFonts w:cs="Times New Roman"/>
          <w:color w:val="auto"/>
          <w:highlight w:val="none"/>
        </w:rPr>
        <w:t>经计算，Q=0.0000</w:t>
      </w:r>
      <w:r>
        <w:rPr>
          <w:rFonts w:hint="eastAsia" w:cs="Times New Roman"/>
          <w:color w:val="auto"/>
          <w:highlight w:val="none"/>
        </w:rPr>
        <w:t>12</w:t>
      </w:r>
      <w:r>
        <w:rPr>
          <w:rFonts w:cs="Times New Roman"/>
          <w:color w:val="auto"/>
          <w:highlight w:val="none"/>
        </w:rPr>
        <w:t>＜1，该项目环境风险潜势为Ⅰ。</w:t>
      </w:r>
    </w:p>
    <w:p w14:paraId="5C968D2A">
      <w:pPr>
        <w:adjustRightInd w:val="0"/>
        <w:ind w:firstLine="482"/>
        <w:rPr>
          <w:rFonts w:cs="Times New Roman"/>
          <w:b/>
          <w:bCs/>
          <w:color w:val="auto"/>
          <w:highlight w:val="none"/>
        </w:rPr>
      </w:pPr>
      <w:r>
        <w:rPr>
          <w:rFonts w:cs="Times New Roman"/>
          <w:b/>
          <w:bCs/>
          <w:color w:val="auto"/>
          <w:highlight w:val="none"/>
        </w:rPr>
        <w:t>二、环境风险评价工作等级确定</w:t>
      </w:r>
    </w:p>
    <w:p w14:paraId="16B25B2D">
      <w:pPr>
        <w:adjustRightInd w:val="0"/>
        <w:ind w:firstLine="480"/>
        <w:rPr>
          <w:rFonts w:cs="Times New Roman"/>
          <w:color w:val="auto"/>
          <w:highlight w:val="none"/>
        </w:rPr>
      </w:pPr>
      <w:r>
        <w:rPr>
          <w:rFonts w:cs="Times New Roman"/>
          <w:color w:val="auto"/>
          <w:highlight w:val="none"/>
        </w:rPr>
        <w:t>根据《建设项目环境风险评价技术导则》（HJ169-2018）环境风险评价工作等级划分为一级、二级、三级。根据建设项目涉及的物质及工艺系统危险性和所在地的环境敏感性确定环境风险潜势确定评价工作等级，具体见下表。</w:t>
      </w:r>
    </w:p>
    <w:p w14:paraId="53609BCC">
      <w:pPr>
        <w:pStyle w:val="12"/>
        <w:adjustRightInd w:val="0"/>
        <w:rPr>
          <w:rFonts w:cs="Times New Roman"/>
          <w:bCs/>
          <w:color w:val="auto"/>
          <w:kern w:val="21"/>
          <w:szCs w:val="21"/>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62</w:t>
      </w:r>
      <w:r>
        <w:rPr>
          <w:rFonts w:cs="Times New Roman"/>
          <w:color w:val="auto"/>
          <w:highlight w:val="none"/>
        </w:rPr>
        <w:fldChar w:fldCharType="end"/>
      </w:r>
      <w:r>
        <w:rPr>
          <w:rFonts w:cs="Times New Roman"/>
          <w:bCs/>
          <w:color w:val="auto"/>
          <w:kern w:val="21"/>
          <w:szCs w:val="21"/>
          <w:highlight w:val="none"/>
        </w:rPr>
        <w:t>建设项目环境风险评价工作等级判断表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2"/>
        <w:gridCol w:w="1502"/>
        <w:gridCol w:w="1502"/>
        <w:gridCol w:w="1502"/>
        <w:gridCol w:w="1509"/>
      </w:tblGrid>
      <w:tr w14:paraId="5FB8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469" w:type="pct"/>
            <w:vAlign w:val="center"/>
          </w:tcPr>
          <w:p w14:paraId="3C45C1C4">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环境风险潜势</w:t>
            </w:r>
          </w:p>
        </w:tc>
        <w:tc>
          <w:tcPr>
            <w:tcW w:w="882" w:type="pct"/>
            <w:vAlign w:val="center"/>
          </w:tcPr>
          <w:p w14:paraId="5B27622E">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Ⅳ、Ⅳ+</w:t>
            </w:r>
          </w:p>
        </w:tc>
        <w:tc>
          <w:tcPr>
            <w:tcW w:w="882" w:type="pct"/>
            <w:vAlign w:val="center"/>
          </w:tcPr>
          <w:p w14:paraId="10EE60B8">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Ⅲ</w:t>
            </w:r>
          </w:p>
        </w:tc>
        <w:tc>
          <w:tcPr>
            <w:tcW w:w="882" w:type="pct"/>
            <w:vAlign w:val="center"/>
          </w:tcPr>
          <w:p w14:paraId="24013CCD">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Ⅱ</w:t>
            </w:r>
          </w:p>
        </w:tc>
        <w:tc>
          <w:tcPr>
            <w:tcW w:w="882" w:type="pct"/>
            <w:vAlign w:val="center"/>
          </w:tcPr>
          <w:p w14:paraId="5E8642A9">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Ⅰ</w:t>
            </w:r>
          </w:p>
        </w:tc>
      </w:tr>
      <w:tr w14:paraId="5878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9" w:type="pct"/>
            <w:vAlign w:val="center"/>
          </w:tcPr>
          <w:p w14:paraId="3B270808">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评价等级</w:t>
            </w:r>
          </w:p>
        </w:tc>
        <w:tc>
          <w:tcPr>
            <w:tcW w:w="882" w:type="pct"/>
            <w:vAlign w:val="center"/>
          </w:tcPr>
          <w:p w14:paraId="636BF857">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一</w:t>
            </w:r>
          </w:p>
        </w:tc>
        <w:tc>
          <w:tcPr>
            <w:tcW w:w="882" w:type="pct"/>
            <w:vAlign w:val="center"/>
          </w:tcPr>
          <w:p w14:paraId="40230EDA">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二</w:t>
            </w:r>
          </w:p>
        </w:tc>
        <w:tc>
          <w:tcPr>
            <w:tcW w:w="882" w:type="pct"/>
            <w:vAlign w:val="center"/>
          </w:tcPr>
          <w:p w14:paraId="1BFD9498">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三</w:t>
            </w:r>
          </w:p>
        </w:tc>
        <w:tc>
          <w:tcPr>
            <w:tcW w:w="882" w:type="pct"/>
            <w:vAlign w:val="center"/>
          </w:tcPr>
          <w:p w14:paraId="6A3A4510">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简单分析（√）</w:t>
            </w:r>
          </w:p>
        </w:tc>
      </w:tr>
      <w:tr w14:paraId="07582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vAlign w:val="center"/>
          </w:tcPr>
          <w:p w14:paraId="1C085957">
            <w:pPr>
              <w:widowControl/>
              <w:overflowPunct w:val="0"/>
              <w:adjustRightInd w:val="0"/>
              <w:spacing w:before="65" w:beforeLines="20" w:after="65" w:afterLines="20" w:line="240" w:lineRule="auto"/>
              <w:ind w:firstLine="0" w:firstLineChars="0"/>
              <w:rPr>
                <w:rFonts w:cs="Times New Roman"/>
                <w:bCs/>
                <w:color w:val="auto"/>
                <w:kern w:val="21"/>
                <w:sz w:val="21"/>
                <w:highlight w:val="none"/>
              </w:rPr>
            </w:pPr>
            <w:r>
              <w:rPr>
                <w:rFonts w:cs="Times New Roman"/>
                <w:bCs/>
                <w:color w:val="auto"/>
                <w:kern w:val="21"/>
                <w:sz w:val="21"/>
                <w:highlight w:val="none"/>
              </w:rPr>
              <w:t>a.是相对于详细评价工作内容而言，在描述危险物质、环境影响途径、环境危害后果、风险防范措施等方面给出定性的说明。见附录A。</w:t>
            </w:r>
          </w:p>
        </w:tc>
      </w:tr>
    </w:tbl>
    <w:p w14:paraId="5BC29E62">
      <w:pPr>
        <w:adjustRightInd w:val="0"/>
        <w:ind w:firstLine="480"/>
        <w:rPr>
          <w:rFonts w:cs="Times New Roman"/>
          <w:color w:val="auto"/>
          <w:highlight w:val="none"/>
        </w:rPr>
      </w:pPr>
      <w:r>
        <w:rPr>
          <w:rFonts w:cs="Times New Roman"/>
          <w:color w:val="auto"/>
          <w:highlight w:val="none"/>
        </w:rPr>
        <w:t>本项目环境风险评价工作等级为简单分析。</w:t>
      </w:r>
    </w:p>
    <w:p w14:paraId="5442EED7">
      <w:pPr>
        <w:pStyle w:val="3"/>
        <w:adjustRightInd w:val="0"/>
        <w:rPr>
          <w:rFonts w:cs="Times New Roman"/>
          <w:color w:val="auto"/>
          <w:highlight w:val="none"/>
        </w:rPr>
      </w:pPr>
      <w:bookmarkStart w:id="88" w:name="_Toc11920"/>
      <w:bookmarkStart w:id="89" w:name="_Toc30749"/>
      <w:bookmarkStart w:id="90" w:name="_Toc23710"/>
      <w:bookmarkStart w:id="91" w:name="_Toc13027"/>
      <w:r>
        <w:rPr>
          <w:rFonts w:cs="Times New Roman"/>
          <w:color w:val="auto"/>
          <w:highlight w:val="none"/>
        </w:rPr>
        <w:t>外环境关系及环境保护目标</w:t>
      </w:r>
      <w:bookmarkEnd w:id="88"/>
      <w:bookmarkEnd w:id="89"/>
      <w:bookmarkEnd w:id="90"/>
      <w:bookmarkEnd w:id="91"/>
    </w:p>
    <w:p w14:paraId="26D194C2">
      <w:pPr>
        <w:pStyle w:val="4"/>
        <w:adjustRightInd w:val="0"/>
        <w:rPr>
          <w:rFonts w:cs="Times New Roman"/>
          <w:color w:val="auto"/>
          <w:highlight w:val="none"/>
        </w:rPr>
      </w:pPr>
      <w:bookmarkStart w:id="92" w:name="_Toc21165"/>
      <w:bookmarkStart w:id="93" w:name="_Toc25698"/>
      <w:bookmarkStart w:id="94" w:name="_Toc30323219"/>
      <w:bookmarkStart w:id="95" w:name="_Toc1771"/>
      <w:r>
        <w:rPr>
          <w:rFonts w:cs="Times New Roman"/>
          <w:color w:val="auto"/>
          <w:highlight w:val="none"/>
        </w:rPr>
        <w:t>外环境关系</w:t>
      </w:r>
      <w:bookmarkEnd w:id="92"/>
      <w:bookmarkEnd w:id="93"/>
      <w:bookmarkEnd w:id="94"/>
      <w:bookmarkEnd w:id="95"/>
    </w:p>
    <w:p w14:paraId="5144AA78">
      <w:pPr>
        <w:adjustRightInd w:val="0"/>
        <w:ind w:firstLine="480"/>
        <w:rPr>
          <w:rFonts w:cs="Times New Roman"/>
          <w:color w:val="auto"/>
          <w:highlight w:val="none"/>
        </w:rPr>
      </w:pPr>
      <w:r>
        <w:rPr>
          <w:rFonts w:cs="Times New Roman"/>
          <w:color w:val="auto"/>
          <w:highlight w:val="none"/>
        </w:rPr>
        <w:t>本项目位于四川乐山沙湾经济开发区，地理坐标为：E103.613885°，N29.506931°，海拔386m。根据现场踏勘可知，项目东面约6</w:t>
      </w:r>
      <w:r>
        <w:rPr>
          <w:rFonts w:hint="eastAsia" w:cs="Times New Roman"/>
          <w:color w:val="auto"/>
          <w:highlight w:val="none"/>
        </w:rPr>
        <w:t>55</w:t>
      </w:r>
      <w:r>
        <w:rPr>
          <w:rFonts w:cs="Times New Roman"/>
          <w:color w:val="auto"/>
          <w:highlight w:val="none"/>
        </w:rPr>
        <w:t>m为大渡河</w:t>
      </w:r>
      <w:r>
        <w:rPr>
          <w:rFonts w:hint="eastAsia" w:cs="Times New Roman"/>
          <w:color w:val="auto"/>
          <w:highlight w:val="none"/>
        </w:rPr>
        <w:t>生态河，</w:t>
      </w:r>
      <w:r>
        <w:rPr>
          <w:rFonts w:cs="Times New Roman"/>
          <w:color w:val="auto"/>
          <w:highlight w:val="none"/>
        </w:rPr>
        <w:t>北面1600m为乐山市市中区罗汉镇主城区，西面约600m为山坡，南面约850m处为乐山市沙湾区嘉龙镇主城区。</w:t>
      </w:r>
      <w:r>
        <w:rPr>
          <w:rFonts w:hint="eastAsia" w:cs="Times New Roman"/>
          <w:color w:val="auto"/>
          <w:highlight w:val="none"/>
        </w:rPr>
        <w:t>项目厂界北侧外10m为红猫堰（泄洪渠），向北汇入大渡河</w:t>
      </w:r>
      <w:r>
        <w:rPr>
          <w:rFonts w:cs="Times New Roman"/>
          <w:color w:val="auto"/>
          <w:highlight w:val="none"/>
        </w:rPr>
        <w:t>。厂界外东南侧6</w:t>
      </w:r>
      <w:r>
        <w:rPr>
          <w:rFonts w:hint="eastAsia" w:cs="Times New Roman"/>
          <w:color w:val="auto"/>
          <w:highlight w:val="none"/>
        </w:rPr>
        <w:t>5</w:t>
      </w:r>
      <w:r>
        <w:rPr>
          <w:rFonts w:cs="Times New Roman"/>
          <w:color w:val="auto"/>
          <w:highlight w:val="none"/>
        </w:rPr>
        <w:t>5m为大渡河生态河，厂界外东南侧12</w:t>
      </w:r>
      <w:r>
        <w:rPr>
          <w:rFonts w:hint="eastAsia" w:cs="Times New Roman"/>
          <w:color w:val="auto"/>
          <w:highlight w:val="none"/>
        </w:rPr>
        <w:t>59</w:t>
      </w:r>
      <w:r>
        <w:rPr>
          <w:rFonts w:cs="Times New Roman"/>
          <w:color w:val="auto"/>
          <w:highlight w:val="none"/>
        </w:rPr>
        <w:t>m为乐山市大渡河安谷电站库区集中式饮用水水源</w:t>
      </w:r>
      <w:r>
        <w:rPr>
          <w:rFonts w:hint="eastAsia" w:cs="Times New Roman"/>
          <w:color w:val="auto"/>
          <w:highlight w:val="none"/>
        </w:rPr>
        <w:t>二级</w:t>
      </w:r>
      <w:r>
        <w:rPr>
          <w:rFonts w:cs="Times New Roman"/>
          <w:color w:val="auto"/>
          <w:highlight w:val="none"/>
        </w:rPr>
        <w:t>保护区（厂界外东南侧约18</w:t>
      </w:r>
      <w:r>
        <w:rPr>
          <w:rFonts w:hint="eastAsia" w:cs="Times New Roman"/>
          <w:color w:val="auto"/>
          <w:highlight w:val="none"/>
        </w:rPr>
        <w:t>15</w:t>
      </w:r>
      <w:r>
        <w:rPr>
          <w:rFonts w:cs="Times New Roman"/>
          <w:color w:val="auto"/>
          <w:highlight w:val="none"/>
        </w:rPr>
        <w:t>m为乐山市大渡河安谷电站库区集中式饮用水水源保护区取水口），厂界外东南侧</w:t>
      </w:r>
      <w:r>
        <w:rPr>
          <w:rFonts w:hint="eastAsia" w:cs="Times New Roman"/>
          <w:color w:val="auto"/>
          <w:highlight w:val="none"/>
        </w:rPr>
        <w:t>655m</w:t>
      </w:r>
      <w:r>
        <w:rPr>
          <w:rFonts w:cs="Times New Roman"/>
          <w:color w:val="auto"/>
          <w:highlight w:val="none"/>
        </w:rPr>
        <w:t>为四川沙湾大渡河国家湿地公园</w:t>
      </w:r>
      <w:r>
        <w:rPr>
          <w:rFonts w:hint="eastAsia" w:cs="Times New Roman"/>
          <w:color w:val="auto"/>
          <w:highlight w:val="none"/>
        </w:rPr>
        <w:t>恢复重建区</w:t>
      </w:r>
      <w:r>
        <w:rPr>
          <w:rFonts w:cs="Times New Roman"/>
          <w:color w:val="auto"/>
          <w:highlight w:val="none"/>
        </w:rPr>
        <w:t>。</w:t>
      </w:r>
    </w:p>
    <w:p w14:paraId="524CAF2F">
      <w:pPr>
        <w:pStyle w:val="4"/>
        <w:adjustRightInd w:val="0"/>
        <w:rPr>
          <w:rFonts w:cs="Times New Roman"/>
          <w:color w:val="auto"/>
          <w:highlight w:val="none"/>
        </w:rPr>
      </w:pPr>
      <w:bookmarkStart w:id="96" w:name="_Toc13468"/>
      <w:r>
        <w:rPr>
          <w:rFonts w:cs="Times New Roman"/>
          <w:color w:val="auto"/>
          <w:highlight w:val="none"/>
        </w:rPr>
        <w:t>项目环境保护目标</w:t>
      </w:r>
      <w:bookmarkEnd w:id="96"/>
    </w:p>
    <w:p w14:paraId="62E985FF">
      <w:pPr>
        <w:adjustRightInd w:val="0"/>
        <w:ind w:firstLine="480"/>
        <w:rPr>
          <w:rFonts w:cs="Times New Roman"/>
          <w:color w:val="auto"/>
          <w:highlight w:val="none"/>
        </w:rPr>
      </w:pPr>
      <w:r>
        <w:rPr>
          <w:rFonts w:cs="Times New Roman"/>
          <w:color w:val="auto"/>
          <w:highlight w:val="none"/>
        </w:rPr>
        <w:t>本项目主要环境保护目标如下表。</w:t>
      </w:r>
    </w:p>
    <w:p w14:paraId="33C6855E">
      <w:pPr>
        <w:pStyle w:val="42"/>
        <w:adjustRightInd w:val="0"/>
        <w:ind w:firstLine="480"/>
        <w:rPr>
          <w:color w:val="auto"/>
          <w:highlight w:val="none"/>
        </w:rPr>
        <w:sectPr>
          <w:pgSz w:w="11906" w:h="16838"/>
          <w:pgMar w:top="1440" w:right="1800" w:bottom="1440" w:left="1800" w:header="851" w:footer="992" w:gutter="0"/>
          <w:cols w:space="425" w:num="1"/>
          <w:docGrid w:type="lines" w:linePitch="326" w:charSpace="0"/>
        </w:sectPr>
      </w:pPr>
    </w:p>
    <w:p w14:paraId="61F7390B">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63</w:t>
      </w:r>
      <w:r>
        <w:rPr>
          <w:rFonts w:cs="Times New Roman"/>
          <w:color w:val="auto"/>
          <w:highlight w:val="none"/>
        </w:rPr>
        <w:fldChar w:fldCharType="end"/>
      </w:r>
      <w:r>
        <w:rPr>
          <w:rFonts w:cs="Times New Roman"/>
          <w:color w:val="auto"/>
          <w:highlight w:val="none"/>
        </w:rPr>
        <w:t>项目环境保护目标一览表</w:t>
      </w:r>
    </w:p>
    <w:tbl>
      <w:tblPr>
        <w:tblStyle w:val="31"/>
        <w:tblW w:w="4999" w:type="pct"/>
        <w:tblInd w:w="0" w:type="dxa"/>
        <w:tblLayout w:type="fixed"/>
        <w:tblCellMar>
          <w:top w:w="0" w:type="dxa"/>
          <w:left w:w="108" w:type="dxa"/>
          <w:bottom w:w="0" w:type="dxa"/>
          <w:right w:w="108" w:type="dxa"/>
        </w:tblCellMar>
      </w:tblPr>
      <w:tblGrid>
        <w:gridCol w:w="1013"/>
        <w:gridCol w:w="853"/>
        <w:gridCol w:w="2131"/>
        <w:gridCol w:w="1783"/>
        <w:gridCol w:w="1534"/>
        <w:gridCol w:w="991"/>
        <w:gridCol w:w="1462"/>
        <w:gridCol w:w="1790"/>
        <w:gridCol w:w="808"/>
        <w:gridCol w:w="1806"/>
      </w:tblGrid>
      <w:tr w14:paraId="3C1881DD">
        <w:tblPrEx>
          <w:tblCellMar>
            <w:top w:w="0" w:type="dxa"/>
            <w:left w:w="108" w:type="dxa"/>
            <w:bottom w:w="0" w:type="dxa"/>
            <w:right w:w="108" w:type="dxa"/>
          </w:tblCellMar>
        </w:tblPrEx>
        <w:trPr>
          <w:trHeight w:val="270" w:hRule="atLeast"/>
          <w:tblHeader/>
        </w:trPr>
        <w:tc>
          <w:tcPr>
            <w:tcW w:w="357"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6454494A">
            <w:pPr>
              <w:pStyle w:val="69"/>
              <w:spacing w:before="65" w:after="65"/>
              <w:rPr>
                <w:rFonts w:cs="Times New Roman"/>
                <w:b/>
                <w:bCs w:val="0"/>
                <w:color w:val="auto"/>
                <w:highlight w:val="none"/>
              </w:rPr>
            </w:pPr>
            <w:r>
              <w:rPr>
                <w:rFonts w:cs="Times New Roman"/>
                <w:b/>
                <w:bCs w:val="0"/>
                <w:color w:val="auto"/>
                <w:highlight w:val="none"/>
              </w:rPr>
              <w:t>环境要素</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C841C">
            <w:pPr>
              <w:pStyle w:val="69"/>
              <w:spacing w:before="65" w:after="65"/>
              <w:rPr>
                <w:rFonts w:cs="Times New Roman"/>
                <w:b/>
                <w:bCs w:val="0"/>
                <w:color w:val="auto"/>
                <w:highlight w:val="none"/>
              </w:rPr>
            </w:pPr>
            <w:r>
              <w:rPr>
                <w:rFonts w:cs="Times New Roman"/>
                <w:b/>
                <w:bCs w:val="0"/>
                <w:color w:val="auto"/>
                <w:highlight w:val="none"/>
              </w:rPr>
              <w:t>距离范围</w:t>
            </w:r>
          </w:p>
        </w:tc>
        <w:tc>
          <w:tcPr>
            <w:tcW w:w="75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4F30C">
            <w:pPr>
              <w:pStyle w:val="69"/>
              <w:spacing w:before="65" w:after="65"/>
              <w:rPr>
                <w:rFonts w:cs="Times New Roman"/>
                <w:b/>
                <w:bCs w:val="0"/>
                <w:color w:val="auto"/>
                <w:highlight w:val="none"/>
              </w:rPr>
            </w:pPr>
            <w:r>
              <w:rPr>
                <w:rFonts w:cs="Times New Roman"/>
                <w:b/>
                <w:bCs w:val="0"/>
                <w:color w:val="auto"/>
                <w:highlight w:val="none"/>
              </w:rPr>
              <w:t>保护目标</w:t>
            </w:r>
          </w:p>
        </w:tc>
        <w:tc>
          <w:tcPr>
            <w:tcW w:w="1170"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CFB23">
            <w:pPr>
              <w:pStyle w:val="69"/>
              <w:spacing w:before="65" w:after="65"/>
              <w:rPr>
                <w:rFonts w:cs="Times New Roman"/>
                <w:b/>
                <w:bCs w:val="0"/>
                <w:color w:val="auto"/>
                <w:highlight w:val="none"/>
              </w:rPr>
            </w:pPr>
            <w:r>
              <w:rPr>
                <w:rFonts w:cs="Times New Roman"/>
                <w:b/>
                <w:bCs w:val="0"/>
                <w:color w:val="auto"/>
                <w:highlight w:val="none"/>
              </w:rPr>
              <w:t>坐标</w:t>
            </w:r>
          </w:p>
        </w:tc>
        <w:tc>
          <w:tcPr>
            <w:tcW w:w="350"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B3739">
            <w:pPr>
              <w:pStyle w:val="69"/>
              <w:spacing w:before="65" w:after="65"/>
              <w:rPr>
                <w:rFonts w:cs="Times New Roman"/>
                <w:b/>
                <w:bCs w:val="0"/>
                <w:color w:val="auto"/>
                <w:highlight w:val="none"/>
              </w:rPr>
            </w:pPr>
            <w:r>
              <w:rPr>
                <w:rFonts w:cs="Times New Roman"/>
                <w:b/>
                <w:bCs w:val="0"/>
                <w:color w:val="auto"/>
                <w:highlight w:val="none"/>
              </w:rPr>
              <w:t>方位</w:t>
            </w:r>
          </w:p>
        </w:tc>
        <w:tc>
          <w:tcPr>
            <w:tcW w:w="516"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24074">
            <w:pPr>
              <w:pStyle w:val="69"/>
              <w:spacing w:before="65" w:after="65"/>
              <w:rPr>
                <w:rFonts w:cs="Times New Roman"/>
                <w:b/>
                <w:bCs w:val="0"/>
                <w:color w:val="auto"/>
                <w:highlight w:val="none"/>
              </w:rPr>
            </w:pPr>
            <w:r>
              <w:rPr>
                <w:rFonts w:cs="Times New Roman"/>
                <w:b/>
                <w:bCs w:val="0"/>
                <w:color w:val="auto"/>
                <w:highlight w:val="none"/>
              </w:rPr>
              <w:t>与厂界距离（m）</w:t>
            </w:r>
          </w:p>
        </w:tc>
        <w:tc>
          <w:tcPr>
            <w:tcW w:w="63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F6534">
            <w:pPr>
              <w:pStyle w:val="69"/>
              <w:spacing w:before="65" w:after="65"/>
              <w:rPr>
                <w:rFonts w:cs="Times New Roman"/>
                <w:b/>
                <w:bCs w:val="0"/>
                <w:color w:val="auto"/>
                <w:highlight w:val="none"/>
              </w:rPr>
            </w:pPr>
            <w:r>
              <w:rPr>
                <w:rFonts w:cs="Times New Roman"/>
                <w:b/>
                <w:bCs w:val="0"/>
                <w:color w:val="auto"/>
                <w:highlight w:val="none"/>
              </w:rPr>
              <w:t>与生产车间距离（m）</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A452B">
            <w:pPr>
              <w:pStyle w:val="69"/>
              <w:spacing w:before="65" w:after="65"/>
              <w:rPr>
                <w:rFonts w:cs="Times New Roman"/>
                <w:b/>
                <w:bCs w:val="0"/>
                <w:color w:val="auto"/>
                <w:highlight w:val="none"/>
              </w:rPr>
            </w:pPr>
            <w:r>
              <w:rPr>
                <w:rFonts w:cs="Times New Roman"/>
                <w:b/>
                <w:bCs w:val="0"/>
                <w:color w:val="auto"/>
                <w:highlight w:val="none"/>
              </w:rPr>
              <w:t>人数(人)</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C752F">
            <w:pPr>
              <w:pStyle w:val="69"/>
              <w:spacing w:before="65" w:after="65"/>
              <w:rPr>
                <w:rFonts w:cs="Times New Roman"/>
                <w:b/>
                <w:bCs w:val="0"/>
                <w:color w:val="auto"/>
                <w:highlight w:val="none"/>
              </w:rPr>
            </w:pPr>
            <w:r>
              <w:rPr>
                <w:rFonts w:cs="Times New Roman"/>
                <w:b/>
                <w:bCs w:val="0"/>
                <w:color w:val="auto"/>
                <w:highlight w:val="none"/>
              </w:rPr>
              <w:t>标准</w:t>
            </w:r>
          </w:p>
        </w:tc>
      </w:tr>
      <w:tr w14:paraId="5FBC0783">
        <w:tblPrEx>
          <w:tblCellMar>
            <w:top w:w="0" w:type="dxa"/>
            <w:left w:w="108" w:type="dxa"/>
            <w:bottom w:w="0" w:type="dxa"/>
            <w:right w:w="108" w:type="dxa"/>
          </w:tblCellMar>
        </w:tblPrEx>
        <w:trPr>
          <w:trHeight w:val="270" w:hRule="atLeast"/>
          <w:tblHeader/>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3AC372">
            <w:pPr>
              <w:pStyle w:val="69"/>
              <w:spacing w:before="65" w:after="65"/>
              <w:rPr>
                <w:rFonts w:cs="Times New Roman"/>
                <w:color w:val="auto"/>
                <w:highlight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689CD1">
            <w:pPr>
              <w:pStyle w:val="69"/>
              <w:spacing w:before="65" w:after="65"/>
              <w:rPr>
                <w:rFonts w:cs="Times New Roman"/>
                <w:color w:val="auto"/>
                <w:highlight w:val="none"/>
              </w:rPr>
            </w:pPr>
          </w:p>
        </w:tc>
        <w:tc>
          <w:tcPr>
            <w:tcW w:w="75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54E4CD">
            <w:pPr>
              <w:pStyle w:val="69"/>
              <w:spacing w:before="65" w:after="65"/>
              <w:rPr>
                <w:rFonts w:cs="Times New Roman"/>
                <w:color w:val="auto"/>
                <w:highlight w:val="none"/>
              </w:rPr>
            </w:pP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DA755F">
            <w:pPr>
              <w:pStyle w:val="69"/>
              <w:spacing w:before="65" w:after="65"/>
              <w:rPr>
                <w:rFonts w:cs="Times New Roman"/>
                <w:b/>
                <w:bCs w:val="0"/>
                <w:color w:val="auto"/>
                <w:highlight w:val="none"/>
              </w:rPr>
            </w:pPr>
            <w:r>
              <w:rPr>
                <w:rFonts w:cs="Times New Roman"/>
                <w:b/>
                <w:bCs w:val="0"/>
                <w:color w:val="auto"/>
                <w:highlight w:val="none"/>
              </w:rPr>
              <w:t>经度°</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D5A2BE">
            <w:pPr>
              <w:pStyle w:val="69"/>
              <w:spacing w:before="65" w:after="65"/>
              <w:rPr>
                <w:rFonts w:cs="Times New Roman"/>
                <w:b/>
                <w:bCs w:val="0"/>
                <w:color w:val="auto"/>
                <w:highlight w:val="none"/>
              </w:rPr>
            </w:pPr>
            <w:r>
              <w:rPr>
                <w:rFonts w:cs="Times New Roman"/>
                <w:b/>
                <w:bCs w:val="0"/>
                <w:color w:val="auto"/>
                <w:highlight w:val="none"/>
              </w:rPr>
              <w:t>纬度°</w:t>
            </w:r>
          </w:p>
        </w:tc>
        <w:tc>
          <w:tcPr>
            <w:tcW w:w="350"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115B6">
            <w:pPr>
              <w:pStyle w:val="69"/>
              <w:spacing w:before="65" w:after="65"/>
              <w:rPr>
                <w:rFonts w:cs="Times New Roman"/>
                <w:color w:val="auto"/>
                <w:highlight w:val="none"/>
              </w:rPr>
            </w:pPr>
          </w:p>
        </w:tc>
        <w:tc>
          <w:tcPr>
            <w:tcW w:w="51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AB3EC">
            <w:pPr>
              <w:pStyle w:val="69"/>
              <w:spacing w:before="65" w:after="65"/>
              <w:rPr>
                <w:rFonts w:cs="Times New Roman"/>
                <w:color w:val="auto"/>
                <w:highlight w:val="none"/>
              </w:rPr>
            </w:pPr>
          </w:p>
        </w:tc>
        <w:tc>
          <w:tcPr>
            <w:tcW w:w="63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151F2E">
            <w:pPr>
              <w:pStyle w:val="69"/>
              <w:spacing w:before="65" w:after="65"/>
              <w:rPr>
                <w:rFonts w:cs="Times New Roman"/>
                <w:color w:val="auto"/>
                <w:highlight w:val="none"/>
              </w:rPr>
            </w:pP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9F543">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2E51B">
            <w:pPr>
              <w:pStyle w:val="69"/>
              <w:spacing w:before="65" w:after="65"/>
              <w:rPr>
                <w:rFonts w:cs="Times New Roman"/>
                <w:color w:val="auto"/>
                <w:highlight w:val="none"/>
              </w:rPr>
            </w:pPr>
          </w:p>
        </w:tc>
      </w:tr>
      <w:tr w14:paraId="001FBE2A">
        <w:tblPrEx>
          <w:tblCellMar>
            <w:top w:w="0" w:type="dxa"/>
            <w:left w:w="108" w:type="dxa"/>
            <w:bottom w:w="0" w:type="dxa"/>
            <w:right w:w="108" w:type="dxa"/>
          </w:tblCellMar>
        </w:tblPrEx>
        <w:trPr>
          <w:trHeight w:val="270" w:hRule="atLeast"/>
        </w:trPr>
        <w:tc>
          <w:tcPr>
            <w:tcW w:w="357"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4B790A1A">
            <w:pPr>
              <w:pStyle w:val="69"/>
              <w:spacing w:before="65" w:after="65"/>
              <w:rPr>
                <w:rFonts w:cs="Times New Roman"/>
                <w:color w:val="auto"/>
                <w:highlight w:val="none"/>
              </w:rPr>
            </w:pPr>
            <w:r>
              <w:rPr>
                <w:rFonts w:cs="Times New Roman"/>
                <w:color w:val="auto"/>
                <w:highlight w:val="none"/>
              </w:rPr>
              <w:t>大气环境</w:t>
            </w: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5554B">
            <w:pPr>
              <w:pStyle w:val="69"/>
              <w:spacing w:before="65" w:after="65"/>
              <w:rPr>
                <w:rFonts w:cs="Times New Roman"/>
                <w:color w:val="auto"/>
                <w:highlight w:val="none"/>
              </w:rPr>
            </w:pPr>
            <w:r>
              <w:rPr>
                <w:rFonts w:cs="Times New Roman"/>
                <w:color w:val="auto"/>
                <w:highlight w:val="none"/>
              </w:rPr>
              <w:t>0-0.5km</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613E1">
            <w:pPr>
              <w:pStyle w:val="69"/>
              <w:spacing w:before="65" w:after="65"/>
              <w:rPr>
                <w:rFonts w:cs="Times New Roman"/>
                <w:color w:val="auto"/>
                <w:highlight w:val="none"/>
              </w:rPr>
            </w:pPr>
            <w:r>
              <w:rPr>
                <w:rFonts w:cs="Times New Roman"/>
                <w:color w:val="auto"/>
                <w:highlight w:val="none"/>
              </w:rPr>
              <w:t>罗山珶居民点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5A5D5">
            <w:pPr>
              <w:pStyle w:val="69"/>
              <w:spacing w:before="65" w:after="65"/>
              <w:rPr>
                <w:rFonts w:cs="Times New Roman"/>
                <w:color w:val="auto"/>
                <w:highlight w:val="none"/>
              </w:rPr>
            </w:pPr>
            <w:r>
              <w:rPr>
                <w:rFonts w:cs="Times New Roman"/>
                <w:color w:val="auto"/>
                <w:highlight w:val="none"/>
              </w:rPr>
              <w:t>103.612830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47C967">
            <w:pPr>
              <w:pStyle w:val="69"/>
              <w:spacing w:before="65" w:after="65"/>
              <w:rPr>
                <w:rFonts w:cs="Times New Roman"/>
                <w:color w:val="auto"/>
                <w:highlight w:val="none"/>
              </w:rPr>
            </w:pPr>
            <w:r>
              <w:rPr>
                <w:rFonts w:cs="Times New Roman"/>
                <w:color w:val="auto"/>
                <w:highlight w:val="none"/>
              </w:rPr>
              <w:t>29.512859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632FC">
            <w:pPr>
              <w:pStyle w:val="69"/>
              <w:spacing w:before="65" w:after="65"/>
              <w:rPr>
                <w:rFonts w:cs="Times New Roman"/>
                <w:color w:val="auto"/>
                <w:highlight w:val="none"/>
              </w:rPr>
            </w:pPr>
            <w:r>
              <w:rPr>
                <w:rFonts w:cs="Times New Roman"/>
                <w:color w:val="auto"/>
                <w:highlight w:val="none"/>
              </w:rPr>
              <w:t>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EBAB9">
            <w:pPr>
              <w:pStyle w:val="69"/>
              <w:spacing w:before="65" w:after="65"/>
              <w:rPr>
                <w:rFonts w:cs="Times New Roman"/>
                <w:color w:val="auto"/>
                <w:highlight w:val="none"/>
              </w:rPr>
            </w:pPr>
            <w:r>
              <w:rPr>
                <w:rFonts w:hint="eastAsia" w:cs="Times New Roman"/>
                <w:color w:val="auto"/>
                <w:highlight w:val="none"/>
              </w:rPr>
              <w:t>482</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E287F">
            <w:pPr>
              <w:pStyle w:val="69"/>
              <w:spacing w:before="65" w:after="65"/>
              <w:rPr>
                <w:rFonts w:cs="Times New Roman"/>
                <w:color w:val="auto"/>
                <w:highlight w:val="none"/>
              </w:rPr>
            </w:pPr>
            <w:r>
              <w:rPr>
                <w:rFonts w:cs="Times New Roman"/>
                <w:color w:val="auto"/>
                <w:highlight w:val="none"/>
              </w:rPr>
              <w:t>4</w:t>
            </w:r>
            <w:r>
              <w:rPr>
                <w:rFonts w:hint="eastAsia" w:cs="Times New Roman"/>
                <w:color w:val="auto"/>
                <w:highlight w:val="none"/>
              </w:rPr>
              <w:t>95</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44915">
            <w:pPr>
              <w:pStyle w:val="69"/>
              <w:spacing w:before="65" w:after="65"/>
              <w:rPr>
                <w:rFonts w:cs="Times New Roman"/>
                <w:color w:val="auto"/>
                <w:highlight w:val="none"/>
              </w:rPr>
            </w:pPr>
            <w:r>
              <w:rPr>
                <w:rFonts w:cs="Times New Roman"/>
                <w:color w:val="auto"/>
                <w:highlight w:val="none"/>
              </w:rPr>
              <w:t>29</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48645">
            <w:pPr>
              <w:pStyle w:val="69"/>
              <w:spacing w:before="65" w:after="65"/>
              <w:rPr>
                <w:rFonts w:cs="Times New Roman"/>
                <w:color w:val="auto"/>
                <w:highlight w:val="none"/>
              </w:rPr>
            </w:pPr>
            <w:r>
              <w:rPr>
                <w:rFonts w:cs="Times New Roman"/>
                <w:color w:val="auto"/>
                <w:highlight w:val="none"/>
              </w:rPr>
              <w:t>GB3095-20</w:t>
            </w:r>
            <w:r>
              <w:rPr>
                <w:rFonts w:hint="eastAsia" w:cs="Times New Roman"/>
                <w:color w:val="auto"/>
                <w:highlight w:val="none"/>
                <w:lang w:val="en-US" w:eastAsia="zh-CN"/>
              </w:rPr>
              <w:t>26</w:t>
            </w:r>
            <w:r>
              <w:rPr>
                <w:rFonts w:cs="Times New Roman"/>
                <w:color w:val="auto"/>
                <w:highlight w:val="none"/>
              </w:rPr>
              <w:t>二级标准</w:t>
            </w:r>
          </w:p>
        </w:tc>
      </w:tr>
      <w:tr w14:paraId="10760C6C">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F1478">
            <w:pPr>
              <w:pStyle w:val="69"/>
              <w:spacing w:before="65" w:after="65"/>
              <w:rPr>
                <w:rFonts w:cs="Times New Roman"/>
                <w:color w:val="auto"/>
                <w:highlight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116D1">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4FBE9">
            <w:pPr>
              <w:pStyle w:val="69"/>
              <w:spacing w:before="65" w:after="65"/>
              <w:rPr>
                <w:rFonts w:cs="Times New Roman"/>
                <w:color w:val="auto"/>
                <w:highlight w:val="none"/>
              </w:rPr>
            </w:pPr>
            <w:r>
              <w:rPr>
                <w:rFonts w:cs="Times New Roman"/>
                <w:color w:val="auto"/>
                <w:highlight w:val="none"/>
              </w:rPr>
              <w:t>玉龙村</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0E506">
            <w:pPr>
              <w:pStyle w:val="69"/>
              <w:spacing w:before="65" w:after="65"/>
              <w:rPr>
                <w:rFonts w:cs="Times New Roman"/>
                <w:color w:val="auto"/>
                <w:highlight w:val="none"/>
              </w:rPr>
            </w:pPr>
            <w:r>
              <w:rPr>
                <w:rFonts w:cs="Times New Roman"/>
                <w:color w:val="auto"/>
                <w:highlight w:val="none"/>
              </w:rPr>
              <w:t>103.614621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EE6AD">
            <w:pPr>
              <w:pStyle w:val="69"/>
              <w:spacing w:before="65" w:after="65"/>
              <w:rPr>
                <w:rFonts w:cs="Times New Roman"/>
                <w:color w:val="auto"/>
                <w:highlight w:val="none"/>
              </w:rPr>
            </w:pPr>
            <w:r>
              <w:rPr>
                <w:rFonts w:cs="Times New Roman"/>
                <w:color w:val="auto"/>
                <w:highlight w:val="none"/>
              </w:rPr>
              <w:t>29.502466</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47056">
            <w:pPr>
              <w:pStyle w:val="69"/>
              <w:spacing w:before="65" w:after="65"/>
              <w:rPr>
                <w:rFonts w:cs="Times New Roman"/>
                <w:color w:val="auto"/>
                <w:highlight w:val="none"/>
              </w:rPr>
            </w:pPr>
            <w:r>
              <w:rPr>
                <w:rFonts w:cs="Times New Roman"/>
                <w:color w:val="auto"/>
                <w:highlight w:val="none"/>
              </w:rPr>
              <w:t>西南侧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3665E4">
            <w:pPr>
              <w:pStyle w:val="69"/>
              <w:spacing w:before="65" w:after="65"/>
              <w:rPr>
                <w:rFonts w:cs="Times New Roman"/>
                <w:color w:val="auto"/>
                <w:highlight w:val="none"/>
              </w:rPr>
            </w:pPr>
            <w:r>
              <w:rPr>
                <w:rFonts w:hint="eastAsia" w:cs="Times New Roman"/>
                <w:color w:val="auto"/>
                <w:highlight w:val="none"/>
              </w:rPr>
              <w:t>301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F9CB8">
            <w:pPr>
              <w:pStyle w:val="69"/>
              <w:spacing w:before="65" w:after="65"/>
              <w:rPr>
                <w:rFonts w:cs="Times New Roman"/>
                <w:color w:val="auto"/>
                <w:highlight w:val="none"/>
              </w:rPr>
            </w:pPr>
            <w:r>
              <w:rPr>
                <w:rFonts w:hint="eastAsia" w:cs="Times New Roman"/>
                <w:color w:val="auto"/>
                <w:highlight w:val="none"/>
              </w:rPr>
              <w:t>316</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BFDDC">
            <w:pPr>
              <w:pStyle w:val="69"/>
              <w:spacing w:before="65" w:after="65"/>
              <w:rPr>
                <w:rFonts w:cs="Times New Roman"/>
                <w:color w:val="auto"/>
                <w:highlight w:val="none"/>
              </w:rPr>
            </w:pPr>
            <w:r>
              <w:rPr>
                <w:rFonts w:cs="Times New Roman"/>
                <w:color w:val="auto"/>
                <w:highlight w:val="none"/>
              </w:rPr>
              <w:t>296</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26B18C">
            <w:pPr>
              <w:pStyle w:val="69"/>
              <w:spacing w:before="65" w:after="65"/>
              <w:rPr>
                <w:rFonts w:cs="Times New Roman"/>
                <w:color w:val="auto"/>
                <w:highlight w:val="none"/>
              </w:rPr>
            </w:pPr>
          </w:p>
        </w:tc>
      </w:tr>
      <w:tr w14:paraId="78B05545">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7466E">
            <w:pPr>
              <w:pStyle w:val="69"/>
              <w:spacing w:before="65" w:after="65"/>
              <w:rPr>
                <w:rFonts w:cs="Times New Roman"/>
                <w:color w:val="auto"/>
                <w:highlight w:val="none"/>
              </w:rPr>
            </w:pPr>
          </w:p>
        </w:tc>
        <w:tc>
          <w:tcPr>
            <w:tcW w:w="30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5B078">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FC282">
            <w:pPr>
              <w:pStyle w:val="69"/>
              <w:spacing w:before="65" w:after="65"/>
              <w:rPr>
                <w:rFonts w:cs="Times New Roman"/>
                <w:color w:val="auto"/>
                <w:highlight w:val="none"/>
              </w:rPr>
            </w:pPr>
            <w:r>
              <w:rPr>
                <w:rFonts w:cs="Times New Roman"/>
                <w:color w:val="auto"/>
                <w:highlight w:val="none"/>
              </w:rPr>
              <w:t>嘉龙小学</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5EA0B">
            <w:pPr>
              <w:pStyle w:val="69"/>
              <w:spacing w:before="65" w:after="65"/>
              <w:rPr>
                <w:rFonts w:cs="Times New Roman"/>
                <w:color w:val="auto"/>
                <w:highlight w:val="none"/>
              </w:rPr>
            </w:pPr>
            <w:r>
              <w:rPr>
                <w:rFonts w:cs="Times New Roman"/>
                <w:color w:val="auto"/>
                <w:highlight w:val="none"/>
              </w:rPr>
              <w:t>103.616787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0625D">
            <w:pPr>
              <w:pStyle w:val="69"/>
              <w:spacing w:before="65" w:after="65"/>
              <w:rPr>
                <w:rFonts w:cs="Times New Roman"/>
                <w:color w:val="auto"/>
                <w:highlight w:val="none"/>
              </w:rPr>
            </w:pPr>
            <w:r>
              <w:rPr>
                <w:rFonts w:cs="Times New Roman"/>
                <w:color w:val="auto"/>
                <w:highlight w:val="none"/>
              </w:rPr>
              <w:t>29.502252</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A76BB">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9C1D1">
            <w:pPr>
              <w:pStyle w:val="69"/>
              <w:spacing w:before="65" w:after="65"/>
              <w:rPr>
                <w:rFonts w:cs="Times New Roman"/>
                <w:color w:val="auto"/>
                <w:highlight w:val="none"/>
              </w:rPr>
            </w:pPr>
            <w:r>
              <w:rPr>
                <w:rFonts w:hint="eastAsia" w:cs="Times New Roman"/>
                <w:color w:val="auto"/>
                <w:highlight w:val="none"/>
              </w:rPr>
              <w:t>396</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3D5F9E">
            <w:pPr>
              <w:pStyle w:val="69"/>
              <w:spacing w:before="65" w:after="65"/>
              <w:rPr>
                <w:rFonts w:cs="Times New Roman"/>
                <w:color w:val="auto"/>
                <w:highlight w:val="none"/>
              </w:rPr>
            </w:pPr>
            <w:r>
              <w:rPr>
                <w:rFonts w:hint="eastAsia" w:cs="Times New Roman"/>
                <w:color w:val="auto"/>
                <w:highlight w:val="none"/>
              </w:rPr>
              <w:t>413</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8A116F">
            <w:pPr>
              <w:pStyle w:val="69"/>
              <w:spacing w:before="65" w:after="65"/>
              <w:rPr>
                <w:rFonts w:cs="Times New Roman"/>
                <w:color w:val="auto"/>
                <w:highlight w:val="none"/>
              </w:rPr>
            </w:pPr>
            <w:r>
              <w:rPr>
                <w:rFonts w:cs="Times New Roman"/>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B8B6C">
            <w:pPr>
              <w:pStyle w:val="69"/>
              <w:spacing w:before="65" w:after="65"/>
              <w:rPr>
                <w:rFonts w:cs="Times New Roman"/>
                <w:color w:val="auto"/>
                <w:highlight w:val="none"/>
              </w:rPr>
            </w:pPr>
          </w:p>
        </w:tc>
      </w:tr>
      <w:tr w14:paraId="5E877C84">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C42A43">
            <w:pPr>
              <w:pStyle w:val="69"/>
              <w:spacing w:before="65" w:after="65"/>
              <w:rPr>
                <w:rFonts w:cs="Times New Roman"/>
                <w:color w:val="auto"/>
                <w:highlight w:val="none"/>
              </w:rPr>
            </w:pPr>
          </w:p>
        </w:tc>
        <w:tc>
          <w:tcPr>
            <w:tcW w:w="30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61000">
            <w:pPr>
              <w:pStyle w:val="69"/>
              <w:spacing w:before="65" w:after="65"/>
              <w:rPr>
                <w:rFonts w:cs="Times New Roman"/>
                <w:color w:val="auto"/>
                <w:highlight w:val="none"/>
              </w:rPr>
            </w:pPr>
            <w:r>
              <w:rPr>
                <w:rFonts w:cs="Times New Roman"/>
                <w:color w:val="auto"/>
                <w:highlight w:val="none"/>
              </w:rPr>
              <w:t>0.5km-5km</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0AAA9">
            <w:pPr>
              <w:pStyle w:val="69"/>
              <w:spacing w:before="65" w:after="65"/>
              <w:rPr>
                <w:rFonts w:cs="Times New Roman"/>
                <w:color w:val="auto"/>
                <w:highlight w:val="none"/>
              </w:rPr>
            </w:pPr>
            <w:r>
              <w:rPr>
                <w:rFonts w:cs="Times New Roman"/>
                <w:color w:val="auto"/>
                <w:highlight w:val="none"/>
              </w:rPr>
              <w:t>欣欣幼儿园</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D00D5B">
            <w:pPr>
              <w:pStyle w:val="69"/>
              <w:spacing w:before="65" w:after="65"/>
              <w:rPr>
                <w:rFonts w:cs="Times New Roman"/>
                <w:color w:val="auto"/>
                <w:highlight w:val="none"/>
              </w:rPr>
            </w:pPr>
            <w:r>
              <w:rPr>
                <w:rFonts w:cs="Times New Roman"/>
                <w:color w:val="auto"/>
                <w:highlight w:val="none"/>
              </w:rPr>
              <w:t>103.611321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D2E8E">
            <w:pPr>
              <w:pStyle w:val="69"/>
              <w:spacing w:before="65" w:after="65"/>
              <w:rPr>
                <w:rFonts w:cs="Times New Roman"/>
                <w:color w:val="auto"/>
                <w:highlight w:val="none"/>
              </w:rPr>
            </w:pPr>
            <w:r>
              <w:rPr>
                <w:rFonts w:cs="Times New Roman"/>
                <w:color w:val="auto"/>
                <w:highlight w:val="none"/>
              </w:rPr>
              <w:t>29.499973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FD6E7">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4232E">
            <w:pPr>
              <w:pStyle w:val="69"/>
              <w:spacing w:before="65" w:after="65"/>
              <w:rPr>
                <w:rFonts w:cs="Times New Roman"/>
                <w:color w:val="auto"/>
                <w:highlight w:val="none"/>
              </w:rPr>
            </w:pPr>
            <w:r>
              <w:rPr>
                <w:rFonts w:cs="Times New Roman"/>
                <w:color w:val="auto"/>
                <w:highlight w:val="none"/>
              </w:rPr>
              <w:t>593</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64538">
            <w:pPr>
              <w:pStyle w:val="69"/>
              <w:spacing w:before="65" w:after="65"/>
              <w:rPr>
                <w:rFonts w:cs="Times New Roman"/>
                <w:color w:val="auto"/>
                <w:highlight w:val="none"/>
              </w:rPr>
            </w:pPr>
            <w:r>
              <w:rPr>
                <w:rFonts w:cs="Times New Roman"/>
                <w:color w:val="auto"/>
                <w:highlight w:val="none"/>
              </w:rPr>
              <w:t>670</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8A674F">
            <w:pPr>
              <w:pStyle w:val="69"/>
              <w:spacing w:before="65" w:after="65"/>
              <w:rPr>
                <w:rFonts w:cs="Times New Roman"/>
                <w:color w:val="auto"/>
                <w:highlight w:val="none"/>
              </w:rPr>
            </w:pPr>
            <w:r>
              <w:rPr>
                <w:rFonts w:cs="Times New Roman"/>
                <w:color w:val="auto"/>
                <w:highlight w:val="none"/>
              </w:rPr>
              <w:t>嘉农镇约2.4万人</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A262E">
            <w:pPr>
              <w:pStyle w:val="69"/>
              <w:spacing w:before="65" w:after="65"/>
              <w:rPr>
                <w:rFonts w:cs="Times New Roman"/>
                <w:color w:val="auto"/>
                <w:highlight w:val="none"/>
              </w:rPr>
            </w:pPr>
          </w:p>
        </w:tc>
      </w:tr>
      <w:tr w14:paraId="068A50D7">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0EC0AA93">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05C7BFB">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D16F6">
            <w:pPr>
              <w:pStyle w:val="69"/>
              <w:spacing w:before="65" w:after="65"/>
              <w:rPr>
                <w:rFonts w:cs="Times New Roman"/>
                <w:color w:val="auto"/>
                <w:highlight w:val="none"/>
              </w:rPr>
            </w:pPr>
            <w:r>
              <w:rPr>
                <w:rFonts w:cs="Times New Roman"/>
                <w:color w:val="auto"/>
                <w:highlight w:val="none"/>
              </w:rPr>
              <w:t>爱家花园</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6BFD8">
            <w:pPr>
              <w:pStyle w:val="69"/>
              <w:spacing w:before="65" w:after="65"/>
              <w:rPr>
                <w:rFonts w:cs="Times New Roman"/>
                <w:color w:val="auto"/>
                <w:highlight w:val="none"/>
              </w:rPr>
            </w:pPr>
            <w:r>
              <w:rPr>
                <w:rFonts w:cs="Times New Roman"/>
                <w:color w:val="auto"/>
                <w:highlight w:val="none"/>
              </w:rPr>
              <w:t>103.611729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AB190">
            <w:pPr>
              <w:pStyle w:val="69"/>
              <w:spacing w:before="65" w:after="65"/>
              <w:rPr>
                <w:rFonts w:cs="Times New Roman"/>
                <w:color w:val="auto"/>
                <w:highlight w:val="none"/>
              </w:rPr>
            </w:pPr>
            <w:r>
              <w:rPr>
                <w:rFonts w:cs="Times New Roman"/>
                <w:color w:val="auto"/>
                <w:highlight w:val="none"/>
              </w:rPr>
              <w:t>29.498868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AB0F7">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3AA6E">
            <w:pPr>
              <w:pStyle w:val="69"/>
              <w:spacing w:before="65" w:after="65"/>
              <w:rPr>
                <w:rFonts w:cs="Times New Roman"/>
                <w:color w:val="auto"/>
                <w:highlight w:val="none"/>
              </w:rPr>
            </w:pPr>
            <w:r>
              <w:rPr>
                <w:rFonts w:cs="Times New Roman"/>
                <w:color w:val="auto"/>
                <w:highlight w:val="none"/>
              </w:rPr>
              <w:t>675</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E085D">
            <w:pPr>
              <w:pStyle w:val="69"/>
              <w:spacing w:before="65" w:after="65"/>
              <w:rPr>
                <w:rFonts w:cs="Times New Roman"/>
                <w:color w:val="auto"/>
                <w:highlight w:val="none"/>
              </w:rPr>
            </w:pPr>
            <w:r>
              <w:rPr>
                <w:rFonts w:cs="Times New Roman"/>
                <w:color w:val="auto"/>
                <w:highlight w:val="none"/>
              </w:rPr>
              <w:t>756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3BFC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1605B">
            <w:pPr>
              <w:pStyle w:val="69"/>
              <w:spacing w:before="65" w:after="65"/>
              <w:rPr>
                <w:rFonts w:cs="Times New Roman"/>
                <w:color w:val="auto"/>
                <w:highlight w:val="none"/>
              </w:rPr>
            </w:pPr>
          </w:p>
        </w:tc>
      </w:tr>
      <w:tr w14:paraId="68F0EDE7">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034BEA0D">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25EB311">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084B73">
            <w:pPr>
              <w:pStyle w:val="69"/>
              <w:spacing w:before="65" w:after="65"/>
              <w:rPr>
                <w:rFonts w:cs="Times New Roman"/>
                <w:color w:val="auto"/>
                <w:highlight w:val="none"/>
              </w:rPr>
            </w:pPr>
            <w:r>
              <w:rPr>
                <w:rFonts w:cs="Times New Roman"/>
                <w:color w:val="auto"/>
                <w:highlight w:val="none"/>
              </w:rPr>
              <w:t>燎原安置小区</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35512">
            <w:pPr>
              <w:pStyle w:val="69"/>
              <w:spacing w:before="65" w:after="65"/>
              <w:rPr>
                <w:rFonts w:cs="Times New Roman"/>
                <w:color w:val="auto"/>
                <w:highlight w:val="none"/>
              </w:rPr>
            </w:pPr>
            <w:r>
              <w:rPr>
                <w:rFonts w:cs="Times New Roman"/>
                <w:color w:val="auto"/>
                <w:highlight w:val="none"/>
              </w:rPr>
              <w:t>103.614894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3424C">
            <w:pPr>
              <w:pStyle w:val="69"/>
              <w:spacing w:before="65" w:after="65"/>
              <w:rPr>
                <w:rFonts w:cs="Times New Roman"/>
                <w:color w:val="auto"/>
                <w:highlight w:val="none"/>
              </w:rPr>
            </w:pPr>
            <w:r>
              <w:rPr>
                <w:rFonts w:cs="Times New Roman"/>
                <w:color w:val="auto"/>
                <w:highlight w:val="none"/>
              </w:rPr>
              <w:t>29.499265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31E46">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9D33E8">
            <w:pPr>
              <w:pStyle w:val="69"/>
              <w:spacing w:before="65" w:after="65"/>
              <w:rPr>
                <w:rFonts w:cs="Times New Roman"/>
                <w:color w:val="auto"/>
                <w:highlight w:val="none"/>
              </w:rPr>
            </w:pPr>
            <w:r>
              <w:rPr>
                <w:rFonts w:cs="Times New Roman"/>
                <w:color w:val="auto"/>
                <w:highlight w:val="none"/>
              </w:rPr>
              <w:t>635</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D01E8">
            <w:pPr>
              <w:pStyle w:val="69"/>
              <w:spacing w:before="65" w:after="65"/>
              <w:rPr>
                <w:rFonts w:cs="Times New Roman"/>
                <w:color w:val="auto"/>
                <w:highlight w:val="none"/>
              </w:rPr>
            </w:pPr>
            <w:r>
              <w:rPr>
                <w:rFonts w:cs="Times New Roman"/>
                <w:color w:val="auto"/>
                <w:highlight w:val="none"/>
              </w:rPr>
              <w:t>701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EE4B8">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92C9A">
            <w:pPr>
              <w:pStyle w:val="69"/>
              <w:spacing w:before="65" w:after="65"/>
              <w:rPr>
                <w:rFonts w:cs="Times New Roman"/>
                <w:color w:val="auto"/>
                <w:highlight w:val="none"/>
              </w:rPr>
            </w:pPr>
          </w:p>
        </w:tc>
      </w:tr>
      <w:tr w14:paraId="17D15FE7">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DE3AE93">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22AD40AE">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70FAD">
            <w:pPr>
              <w:pStyle w:val="69"/>
              <w:spacing w:before="65" w:after="65"/>
              <w:rPr>
                <w:rFonts w:cs="Times New Roman"/>
                <w:color w:val="auto"/>
                <w:highlight w:val="none"/>
              </w:rPr>
            </w:pPr>
            <w:r>
              <w:rPr>
                <w:rFonts w:hint="eastAsia"/>
                <w:color w:val="auto"/>
                <w:highlight w:val="none"/>
              </w:rPr>
              <w:t>魏山顶居民点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15018">
            <w:pPr>
              <w:pStyle w:val="69"/>
              <w:spacing w:before="65" w:after="65"/>
              <w:rPr>
                <w:rFonts w:cs="Times New Roman"/>
                <w:color w:val="auto"/>
                <w:highlight w:val="none"/>
              </w:rPr>
            </w:pPr>
            <w:r>
              <w:rPr>
                <w:rFonts w:hint="eastAsia"/>
                <w:color w:val="auto"/>
                <w:highlight w:val="none"/>
              </w:rPr>
              <w:t>103.588537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AA6017">
            <w:pPr>
              <w:pStyle w:val="69"/>
              <w:spacing w:before="65" w:after="65"/>
              <w:rPr>
                <w:rFonts w:cs="Times New Roman"/>
                <w:color w:val="auto"/>
                <w:highlight w:val="none"/>
              </w:rPr>
            </w:pPr>
            <w:r>
              <w:rPr>
                <w:rFonts w:hint="eastAsia"/>
                <w:color w:val="auto"/>
                <w:highlight w:val="none"/>
              </w:rPr>
              <w:t>29.528313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35351D">
            <w:pPr>
              <w:pStyle w:val="69"/>
              <w:spacing w:before="65" w:after="65"/>
              <w:rPr>
                <w:rFonts w:cs="Times New Roman"/>
                <w:color w:val="auto"/>
                <w:highlight w:val="none"/>
              </w:rPr>
            </w:pPr>
            <w:r>
              <w:rPr>
                <w:rFonts w:hint="eastAsia"/>
                <w:color w:val="auto"/>
                <w:highlight w:val="none"/>
              </w:rPr>
              <w:t>西北侧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35C98">
            <w:pPr>
              <w:pStyle w:val="69"/>
              <w:spacing w:before="65" w:after="65"/>
              <w:rPr>
                <w:rFonts w:cs="Times New Roman"/>
                <w:color w:val="auto"/>
                <w:highlight w:val="none"/>
              </w:rPr>
            </w:pPr>
            <w:r>
              <w:rPr>
                <w:rFonts w:hint="eastAsia"/>
                <w:color w:val="auto"/>
                <w:highlight w:val="none"/>
              </w:rPr>
              <w:t>3300</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422DD">
            <w:pPr>
              <w:pStyle w:val="69"/>
              <w:spacing w:before="65" w:after="65"/>
              <w:rPr>
                <w:rFonts w:cs="Times New Roman"/>
                <w:color w:val="auto"/>
                <w:highlight w:val="none"/>
              </w:rPr>
            </w:pPr>
            <w:r>
              <w:rPr>
                <w:rFonts w:hint="eastAsia"/>
                <w:color w:val="auto"/>
                <w:highlight w:val="none"/>
              </w:rPr>
              <w:t>3450</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A447D">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23ED6">
            <w:pPr>
              <w:pStyle w:val="69"/>
              <w:spacing w:before="65" w:after="65"/>
              <w:rPr>
                <w:rFonts w:cs="Times New Roman"/>
                <w:color w:val="auto"/>
                <w:highlight w:val="none"/>
              </w:rPr>
            </w:pPr>
          </w:p>
        </w:tc>
      </w:tr>
      <w:tr w14:paraId="1ECE165F">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658D152">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28631DAB">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5EBA7">
            <w:pPr>
              <w:pStyle w:val="69"/>
              <w:spacing w:before="65" w:after="65"/>
              <w:rPr>
                <w:rFonts w:cs="Times New Roman"/>
                <w:color w:val="auto"/>
                <w:highlight w:val="none"/>
              </w:rPr>
            </w:pPr>
            <w:r>
              <w:rPr>
                <w:rFonts w:hint="eastAsia"/>
                <w:color w:val="auto"/>
                <w:highlight w:val="none"/>
              </w:rPr>
              <w:t>蒋坪居民点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E7143">
            <w:pPr>
              <w:pStyle w:val="69"/>
              <w:spacing w:before="65" w:after="65"/>
              <w:rPr>
                <w:rFonts w:cs="Times New Roman"/>
                <w:color w:val="auto"/>
                <w:highlight w:val="none"/>
              </w:rPr>
            </w:pPr>
            <w:r>
              <w:rPr>
                <w:rFonts w:hint="eastAsia"/>
                <w:color w:val="auto"/>
                <w:highlight w:val="none"/>
              </w:rPr>
              <w:t>103.599006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BDA1B">
            <w:pPr>
              <w:pStyle w:val="69"/>
              <w:spacing w:before="65" w:after="65"/>
              <w:rPr>
                <w:rFonts w:cs="Times New Roman"/>
                <w:color w:val="auto"/>
                <w:highlight w:val="none"/>
              </w:rPr>
            </w:pPr>
            <w:r>
              <w:rPr>
                <w:rFonts w:hint="eastAsia"/>
                <w:color w:val="auto"/>
                <w:highlight w:val="none"/>
              </w:rPr>
              <w:t>29.515999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AEB36">
            <w:pPr>
              <w:pStyle w:val="69"/>
              <w:spacing w:before="65" w:after="65"/>
              <w:rPr>
                <w:rFonts w:cs="Times New Roman"/>
                <w:color w:val="auto"/>
                <w:highlight w:val="none"/>
              </w:rPr>
            </w:pPr>
            <w:r>
              <w:rPr>
                <w:rFonts w:hint="eastAsia"/>
                <w:color w:val="auto"/>
                <w:highlight w:val="none"/>
              </w:rPr>
              <w:t>西北侧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7E79AA">
            <w:pPr>
              <w:pStyle w:val="69"/>
              <w:spacing w:before="65" w:after="65"/>
              <w:rPr>
                <w:rFonts w:cs="Times New Roman"/>
                <w:color w:val="auto"/>
                <w:highlight w:val="none"/>
              </w:rPr>
            </w:pPr>
            <w:r>
              <w:rPr>
                <w:rFonts w:hint="eastAsia"/>
                <w:color w:val="auto"/>
                <w:highlight w:val="none"/>
              </w:rPr>
              <w:t>1668</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E631F">
            <w:pPr>
              <w:pStyle w:val="69"/>
              <w:spacing w:before="65" w:after="65"/>
              <w:rPr>
                <w:rFonts w:cs="Times New Roman"/>
                <w:color w:val="auto"/>
                <w:highlight w:val="none"/>
              </w:rPr>
            </w:pPr>
            <w:r>
              <w:rPr>
                <w:rFonts w:hint="eastAsia"/>
                <w:color w:val="auto"/>
                <w:highlight w:val="none"/>
              </w:rPr>
              <w:t>1801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D797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9EF4B">
            <w:pPr>
              <w:pStyle w:val="69"/>
              <w:spacing w:before="65" w:after="65"/>
              <w:rPr>
                <w:rFonts w:cs="Times New Roman"/>
                <w:color w:val="auto"/>
                <w:highlight w:val="none"/>
              </w:rPr>
            </w:pPr>
          </w:p>
        </w:tc>
      </w:tr>
      <w:tr w14:paraId="2375A5A9">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633CF361">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451CB46">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FF9A5">
            <w:pPr>
              <w:pStyle w:val="69"/>
              <w:spacing w:before="65" w:after="65"/>
              <w:rPr>
                <w:rFonts w:cs="Times New Roman"/>
                <w:color w:val="auto"/>
                <w:highlight w:val="none"/>
              </w:rPr>
            </w:pPr>
            <w:r>
              <w:rPr>
                <w:rFonts w:hint="eastAsia"/>
                <w:color w:val="auto"/>
                <w:highlight w:val="none"/>
              </w:rPr>
              <w:t>熊湾居民点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91824">
            <w:pPr>
              <w:pStyle w:val="69"/>
              <w:spacing w:before="65" w:after="65"/>
              <w:rPr>
                <w:rFonts w:cs="Times New Roman"/>
                <w:color w:val="auto"/>
                <w:highlight w:val="none"/>
              </w:rPr>
            </w:pPr>
            <w:r>
              <w:rPr>
                <w:rFonts w:hint="eastAsia"/>
                <w:color w:val="auto"/>
                <w:highlight w:val="none"/>
              </w:rPr>
              <w:t>103.599006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FF7D0">
            <w:pPr>
              <w:pStyle w:val="69"/>
              <w:spacing w:before="65" w:after="65"/>
              <w:rPr>
                <w:rFonts w:cs="Times New Roman"/>
                <w:color w:val="auto"/>
                <w:highlight w:val="none"/>
              </w:rPr>
            </w:pPr>
            <w:r>
              <w:rPr>
                <w:rFonts w:hint="eastAsia"/>
                <w:color w:val="auto"/>
                <w:highlight w:val="none"/>
              </w:rPr>
              <w:t>29.506065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2E57D">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AE139">
            <w:pPr>
              <w:pStyle w:val="69"/>
              <w:spacing w:before="65" w:after="65"/>
              <w:rPr>
                <w:rFonts w:cs="Times New Roman"/>
                <w:color w:val="auto"/>
                <w:highlight w:val="none"/>
              </w:rPr>
            </w:pPr>
            <w:r>
              <w:rPr>
                <w:rFonts w:hint="eastAsia"/>
                <w:color w:val="auto"/>
                <w:highlight w:val="none"/>
              </w:rPr>
              <w:t>1217</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F285D">
            <w:pPr>
              <w:pStyle w:val="69"/>
              <w:spacing w:before="65" w:after="65"/>
              <w:rPr>
                <w:rFonts w:cs="Times New Roman"/>
                <w:color w:val="auto"/>
                <w:highlight w:val="none"/>
              </w:rPr>
            </w:pPr>
            <w:r>
              <w:rPr>
                <w:rFonts w:hint="eastAsia"/>
                <w:color w:val="auto"/>
                <w:highlight w:val="none"/>
              </w:rPr>
              <w:t>1368</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C5DC3">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35E3EB">
            <w:pPr>
              <w:pStyle w:val="69"/>
              <w:spacing w:before="65" w:after="65"/>
              <w:rPr>
                <w:rFonts w:cs="Times New Roman"/>
                <w:color w:val="auto"/>
                <w:highlight w:val="none"/>
              </w:rPr>
            </w:pPr>
          </w:p>
        </w:tc>
      </w:tr>
      <w:tr w14:paraId="4589B35C">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360FE76">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6B0EEC4D">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C347E">
            <w:pPr>
              <w:pStyle w:val="69"/>
              <w:spacing w:before="65" w:after="65"/>
              <w:rPr>
                <w:rFonts w:cs="Times New Roman"/>
                <w:color w:val="auto"/>
                <w:highlight w:val="none"/>
              </w:rPr>
            </w:pPr>
            <w:r>
              <w:rPr>
                <w:rFonts w:hint="eastAsia"/>
                <w:color w:val="auto"/>
                <w:highlight w:val="none"/>
              </w:rPr>
              <w:t>童湾居民点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69C9E">
            <w:pPr>
              <w:pStyle w:val="69"/>
              <w:spacing w:before="65" w:after="65"/>
              <w:rPr>
                <w:rFonts w:cs="Times New Roman"/>
                <w:color w:val="auto"/>
                <w:highlight w:val="none"/>
              </w:rPr>
            </w:pPr>
            <w:r>
              <w:rPr>
                <w:rFonts w:hint="eastAsia"/>
                <w:color w:val="auto"/>
                <w:highlight w:val="none"/>
              </w:rPr>
              <w:t>103.596805</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320E1">
            <w:pPr>
              <w:pStyle w:val="69"/>
              <w:spacing w:before="65" w:after="65"/>
              <w:rPr>
                <w:rFonts w:cs="Times New Roman"/>
                <w:color w:val="auto"/>
                <w:highlight w:val="none"/>
              </w:rPr>
            </w:pPr>
            <w:r>
              <w:rPr>
                <w:rFonts w:hint="eastAsia"/>
                <w:color w:val="auto"/>
                <w:highlight w:val="none"/>
              </w:rPr>
              <w:t>29.501544</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13C84">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3B798F">
            <w:pPr>
              <w:pStyle w:val="69"/>
              <w:spacing w:before="65" w:after="65"/>
              <w:rPr>
                <w:rFonts w:cs="Times New Roman"/>
                <w:color w:val="auto"/>
                <w:highlight w:val="none"/>
              </w:rPr>
            </w:pPr>
            <w:r>
              <w:rPr>
                <w:rFonts w:hint="eastAsia"/>
                <w:color w:val="auto"/>
                <w:highlight w:val="none"/>
              </w:rPr>
              <w:t>1619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3221D">
            <w:pPr>
              <w:pStyle w:val="69"/>
              <w:spacing w:before="65" w:after="65"/>
              <w:rPr>
                <w:rFonts w:cs="Times New Roman"/>
                <w:color w:val="auto"/>
                <w:highlight w:val="none"/>
              </w:rPr>
            </w:pPr>
            <w:r>
              <w:rPr>
                <w:rFonts w:hint="eastAsia"/>
                <w:color w:val="auto"/>
                <w:highlight w:val="none"/>
              </w:rPr>
              <w:t>1768</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30911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3B2867">
            <w:pPr>
              <w:pStyle w:val="69"/>
              <w:spacing w:before="65" w:after="65"/>
              <w:rPr>
                <w:rFonts w:cs="Times New Roman"/>
                <w:color w:val="auto"/>
                <w:highlight w:val="none"/>
              </w:rPr>
            </w:pPr>
          </w:p>
        </w:tc>
      </w:tr>
      <w:tr w14:paraId="00CE9D36">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4EB2B640">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9068952">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EE0FC">
            <w:pPr>
              <w:pStyle w:val="69"/>
              <w:spacing w:before="65" w:after="65"/>
              <w:rPr>
                <w:rFonts w:cs="Times New Roman"/>
                <w:color w:val="auto"/>
                <w:highlight w:val="none"/>
              </w:rPr>
            </w:pPr>
            <w:r>
              <w:rPr>
                <w:rFonts w:hint="eastAsia"/>
                <w:color w:val="auto"/>
                <w:highlight w:val="none"/>
              </w:rPr>
              <w:t>范湾居民点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A0759">
            <w:pPr>
              <w:pStyle w:val="69"/>
              <w:spacing w:before="65" w:after="65"/>
              <w:rPr>
                <w:rFonts w:cs="Times New Roman"/>
                <w:color w:val="auto"/>
                <w:highlight w:val="none"/>
              </w:rPr>
            </w:pPr>
            <w:r>
              <w:rPr>
                <w:rFonts w:hint="eastAsia"/>
                <w:color w:val="auto"/>
                <w:highlight w:val="none"/>
              </w:rPr>
              <w:t>103.593028</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8DF70">
            <w:pPr>
              <w:pStyle w:val="69"/>
              <w:spacing w:before="65" w:after="65"/>
              <w:rPr>
                <w:rFonts w:cs="Times New Roman"/>
                <w:color w:val="auto"/>
                <w:highlight w:val="none"/>
              </w:rPr>
            </w:pPr>
            <w:r>
              <w:rPr>
                <w:rFonts w:hint="eastAsia"/>
                <w:color w:val="auto"/>
                <w:highlight w:val="none"/>
              </w:rPr>
              <w:t>29.499551</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09A23">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6115F">
            <w:pPr>
              <w:pStyle w:val="69"/>
              <w:spacing w:before="65" w:after="65"/>
              <w:rPr>
                <w:rFonts w:cs="Times New Roman"/>
                <w:color w:val="auto"/>
                <w:highlight w:val="none"/>
              </w:rPr>
            </w:pPr>
            <w:r>
              <w:rPr>
                <w:rFonts w:hint="eastAsia"/>
                <w:color w:val="auto"/>
                <w:highlight w:val="none"/>
              </w:rPr>
              <w:t>1974</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54F7E">
            <w:pPr>
              <w:pStyle w:val="69"/>
              <w:spacing w:before="65" w:after="65"/>
              <w:rPr>
                <w:rFonts w:cs="Times New Roman"/>
                <w:color w:val="auto"/>
                <w:highlight w:val="none"/>
              </w:rPr>
            </w:pPr>
            <w:r>
              <w:rPr>
                <w:rFonts w:hint="eastAsia"/>
                <w:color w:val="auto"/>
                <w:highlight w:val="none"/>
              </w:rPr>
              <w:t>2054</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7506B">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4E2D4">
            <w:pPr>
              <w:pStyle w:val="69"/>
              <w:spacing w:before="65" w:after="65"/>
              <w:rPr>
                <w:rFonts w:cs="Times New Roman"/>
                <w:color w:val="auto"/>
                <w:highlight w:val="none"/>
              </w:rPr>
            </w:pPr>
          </w:p>
        </w:tc>
      </w:tr>
      <w:tr w14:paraId="48B060A2">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1171CAF4">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5583BE2B">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3608F">
            <w:pPr>
              <w:pStyle w:val="69"/>
              <w:spacing w:before="65" w:after="65"/>
              <w:rPr>
                <w:rFonts w:cs="Times New Roman"/>
                <w:color w:val="auto"/>
                <w:highlight w:val="none"/>
              </w:rPr>
            </w:pPr>
            <w:r>
              <w:rPr>
                <w:rFonts w:hint="eastAsia"/>
                <w:color w:val="auto"/>
                <w:highlight w:val="none"/>
              </w:rPr>
              <w:t>李湾居民点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3C2384">
            <w:pPr>
              <w:pStyle w:val="69"/>
              <w:spacing w:before="65" w:after="65"/>
              <w:rPr>
                <w:rFonts w:cs="Times New Roman"/>
                <w:color w:val="auto"/>
                <w:highlight w:val="none"/>
              </w:rPr>
            </w:pPr>
            <w:r>
              <w:rPr>
                <w:rFonts w:hint="eastAsia"/>
                <w:color w:val="auto"/>
                <w:highlight w:val="none"/>
              </w:rPr>
              <w:t>103.590857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2B696C">
            <w:pPr>
              <w:pStyle w:val="69"/>
              <w:spacing w:before="65" w:after="65"/>
              <w:rPr>
                <w:rFonts w:cs="Times New Roman"/>
                <w:color w:val="auto"/>
                <w:highlight w:val="none"/>
              </w:rPr>
            </w:pPr>
            <w:r>
              <w:rPr>
                <w:rFonts w:hint="eastAsia"/>
                <w:color w:val="auto"/>
                <w:highlight w:val="none"/>
              </w:rPr>
              <w:t>29.493275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7858C8">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2D6EF">
            <w:pPr>
              <w:pStyle w:val="69"/>
              <w:spacing w:before="65" w:after="65"/>
              <w:rPr>
                <w:rFonts w:cs="Times New Roman"/>
                <w:color w:val="auto"/>
                <w:highlight w:val="none"/>
              </w:rPr>
            </w:pPr>
            <w:r>
              <w:rPr>
                <w:rFonts w:hint="eastAsia"/>
                <w:color w:val="auto"/>
                <w:highlight w:val="none"/>
              </w:rPr>
              <w:t>2419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2C6657">
            <w:pPr>
              <w:pStyle w:val="69"/>
              <w:spacing w:before="65" w:after="65"/>
              <w:rPr>
                <w:rFonts w:cs="Times New Roman"/>
                <w:color w:val="auto"/>
                <w:highlight w:val="none"/>
              </w:rPr>
            </w:pPr>
            <w:r>
              <w:rPr>
                <w:rFonts w:hint="eastAsia"/>
                <w:color w:val="auto"/>
                <w:highlight w:val="none"/>
              </w:rPr>
              <w:t>2651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EF770">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769BD">
            <w:pPr>
              <w:pStyle w:val="69"/>
              <w:spacing w:before="65" w:after="65"/>
              <w:rPr>
                <w:rFonts w:cs="Times New Roman"/>
                <w:color w:val="auto"/>
                <w:highlight w:val="none"/>
              </w:rPr>
            </w:pPr>
          </w:p>
        </w:tc>
      </w:tr>
      <w:tr w14:paraId="0A5E2517">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3178130D">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667F9849">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21C0F">
            <w:pPr>
              <w:pStyle w:val="69"/>
              <w:spacing w:before="65" w:after="65"/>
              <w:rPr>
                <w:rFonts w:cs="Times New Roman"/>
                <w:color w:val="auto"/>
                <w:highlight w:val="none"/>
              </w:rPr>
            </w:pPr>
            <w:r>
              <w:rPr>
                <w:rFonts w:hint="eastAsia"/>
                <w:color w:val="auto"/>
                <w:highlight w:val="none"/>
              </w:rPr>
              <w:t>大坪山居民点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FB48BD">
            <w:pPr>
              <w:pStyle w:val="69"/>
              <w:spacing w:before="65" w:after="65"/>
              <w:rPr>
                <w:rFonts w:cs="Times New Roman"/>
                <w:color w:val="auto"/>
                <w:highlight w:val="none"/>
              </w:rPr>
            </w:pPr>
            <w:r>
              <w:rPr>
                <w:rFonts w:hint="eastAsia"/>
                <w:color w:val="auto"/>
                <w:highlight w:val="none"/>
              </w:rPr>
              <w:t>103.596954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2339B">
            <w:pPr>
              <w:pStyle w:val="69"/>
              <w:spacing w:before="65" w:after="65"/>
              <w:rPr>
                <w:rFonts w:cs="Times New Roman"/>
                <w:color w:val="auto"/>
                <w:highlight w:val="none"/>
              </w:rPr>
            </w:pPr>
            <w:r>
              <w:rPr>
                <w:rFonts w:hint="eastAsia"/>
                <w:color w:val="auto"/>
                <w:highlight w:val="none"/>
              </w:rPr>
              <w:t>29.494465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29CF1">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BCF60">
            <w:pPr>
              <w:pStyle w:val="69"/>
              <w:spacing w:before="65" w:after="65"/>
              <w:rPr>
                <w:rFonts w:cs="Times New Roman"/>
                <w:color w:val="auto"/>
                <w:highlight w:val="none"/>
              </w:rPr>
            </w:pPr>
            <w:r>
              <w:rPr>
                <w:rFonts w:hint="eastAsia"/>
                <w:color w:val="auto"/>
                <w:highlight w:val="none"/>
              </w:rPr>
              <w:t>1939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7F593B">
            <w:pPr>
              <w:pStyle w:val="69"/>
              <w:spacing w:before="65" w:after="65"/>
              <w:rPr>
                <w:rFonts w:cs="Times New Roman"/>
                <w:color w:val="auto"/>
                <w:highlight w:val="none"/>
              </w:rPr>
            </w:pPr>
            <w:r>
              <w:rPr>
                <w:rFonts w:hint="eastAsia"/>
                <w:color w:val="auto"/>
                <w:highlight w:val="none"/>
              </w:rPr>
              <w:t>2096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F37F3">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24782">
            <w:pPr>
              <w:pStyle w:val="69"/>
              <w:spacing w:before="65" w:after="65"/>
              <w:rPr>
                <w:rFonts w:cs="Times New Roman"/>
                <w:color w:val="auto"/>
                <w:highlight w:val="none"/>
              </w:rPr>
            </w:pPr>
          </w:p>
        </w:tc>
      </w:tr>
      <w:tr w14:paraId="794790EF">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8C1952E">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584FDE6">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D2185">
            <w:pPr>
              <w:pStyle w:val="69"/>
              <w:spacing w:before="65" w:after="65"/>
              <w:rPr>
                <w:rFonts w:cs="Times New Roman"/>
                <w:color w:val="auto"/>
                <w:highlight w:val="none"/>
              </w:rPr>
            </w:pPr>
            <w:r>
              <w:rPr>
                <w:rFonts w:hint="eastAsia"/>
                <w:color w:val="auto"/>
                <w:highlight w:val="none"/>
              </w:rPr>
              <w:t>蚂蚁湾居民点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BB14C">
            <w:pPr>
              <w:pStyle w:val="69"/>
              <w:spacing w:before="65" w:after="65"/>
              <w:rPr>
                <w:rFonts w:cs="Times New Roman"/>
                <w:color w:val="auto"/>
                <w:highlight w:val="none"/>
              </w:rPr>
            </w:pPr>
            <w:r>
              <w:rPr>
                <w:rFonts w:hint="eastAsia"/>
                <w:color w:val="auto"/>
                <w:highlight w:val="none"/>
              </w:rPr>
              <w:t>103.597281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DA37A">
            <w:pPr>
              <w:pStyle w:val="69"/>
              <w:spacing w:before="65" w:after="65"/>
              <w:rPr>
                <w:rFonts w:cs="Times New Roman"/>
                <w:color w:val="auto"/>
                <w:highlight w:val="none"/>
              </w:rPr>
            </w:pPr>
            <w:r>
              <w:rPr>
                <w:rFonts w:hint="eastAsia"/>
                <w:color w:val="auto"/>
                <w:highlight w:val="none"/>
              </w:rPr>
              <w:t>29.511538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54442">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84FA6">
            <w:pPr>
              <w:pStyle w:val="69"/>
              <w:spacing w:before="65" w:after="65"/>
              <w:rPr>
                <w:rFonts w:cs="Times New Roman"/>
                <w:color w:val="auto"/>
                <w:highlight w:val="none"/>
              </w:rPr>
            </w:pPr>
            <w:r>
              <w:rPr>
                <w:rFonts w:hint="eastAsia"/>
                <w:color w:val="auto"/>
                <w:highlight w:val="none"/>
              </w:rPr>
              <w:t>1568</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46B91">
            <w:pPr>
              <w:pStyle w:val="69"/>
              <w:spacing w:before="65" w:after="65"/>
              <w:rPr>
                <w:rFonts w:cs="Times New Roman"/>
                <w:color w:val="auto"/>
                <w:highlight w:val="none"/>
              </w:rPr>
            </w:pPr>
            <w:r>
              <w:rPr>
                <w:rFonts w:hint="eastAsia"/>
                <w:color w:val="auto"/>
                <w:highlight w:val="none"/>
              </w:rPr>
              <w:t>1702</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1F98D4">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36E04B">
            <w:pPr>
              <w:pStyle w:val="69"/>
              <w:spacing w:before="65" w:after="65"/>
              <w:rPr>
                <w:rFonts w:cs="Times New Roman"/>
                <w:color w:val="auto"/>
                <w:highlight w:val="none"/>
              </w:rPr>
            </w:pPr>
          </w:p>
        </w:tc>
      </w:tr>
      <w:tr w14:paraId="38F4EE77">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49900C0C">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62AFF80">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8B4DB">
            <w:pPr>
              <w:pStyle w:val="69"/>
              <w:spacing w:before="65" w:after="65"/>
              <w:rPr>
                <w:rFonts w:cs="Times New Roman"/>
                <w:color w:val="auto"/>
                <w:highlight w:val="none"/>
              </w:rPr>
            </w:pPr>
            <w:r>
              <w:rPr>
                <w:rFonts w:hint="eastAsia"/>
                <w:color w:val="auto"/>
                <w:highlight w:val="none"/>
              </w:rPr>
              <w:t>丁店子居民点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F09DA">
            <w:pPr>
              <w:pStyle w:val="69"/>
              <w:spacing w:before="65" w:after="65"/>
              <w:rPr>
                <w:rFonts w:cs="Times New Roman"/>
                <w:color w:val="auto"/>
                <w:highlight w:val="none"/>
              </w:rPr>
            </w:pPr>
            <w:r>
              <w:rPr>
                <w:rFonts w:hint="eastAsia"/>
                <w:color w:val="auto"/>
                <w:highlight w:val="none"/>
              </w:rPr>
              <w:t>103.590494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9D74C">
            <w:pPr>
              <w:pStyle w:val="69"/>
              <w:spacing w:before="65" w:after="65"/>
              <w:rPr>
                <w:rFonts w:cs="Times New Roman"/>
                <w:color w:val="auto"/>
                <w:highlight w:val="none"/>
              </w:rPr>
            </w:pPr>
            <w:r>
              <w:rPr>
                <w:rFonts w:hint="eastAsia"/>
                <w:color w:val="auto"/>
                <w:highlight w:val="none"/>
              </w:rPr>
              <w:t>29.505500</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95560D">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30996">
            <w:pPr>
              <w:pStyle w:val="69"/>
              <w:spacing w:before="65" w:after="65"/>
              <w:rPr>
                <w:rFonts w:cs="Times New Roman"/>
                <w:color w:val="auto"/>
                <w:highlight w:val="none"/>
              </w:rPr>
            </w:pPr>
            <w:r>
              <w:rPr>
                <w:rFonts w:hint="eastAsia"/>
                <w:color w:val="auto"/>
                <w:highlight w:val="none"/>
              </w:rPr>
              <w:t>2301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3A9AA">
            <w:pPr>
              <w:pStyle w:val="69"/>
              <w:spacing w:before="65" w:after="65"/>
              <w:rPr>
                <w:rFonts w:cs="Times New Roman"/>
                <w:color w:val="auto"/>
                <w:highlight w:val="none"/>
              </w:rPr>
            </w:pPr>
            <w:r>
              <w:rPr>
                <w:rFonts w:hint="eastAsia"/>
                <w:color w:val="auto"/>
                <w:highlight w:val="none"/>
              </w:rPr>
              <w:t>2456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C75C">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CDDC7">
            <w:pPr>
              <w:pStyle w:val="69"/>
              <w:spacing w:before="65" w:after="65"/>
              <w:rPr>
                <w:rFonts w:cs="Times New Roman"/>
                <w:color w:val="auto"/>
                <w:highlight w:val="none"/>
              </w:rPr>
            </w:pPr>
          </w:p>
        </w:tc>
      </w:tr>
      <w:tr w14:paraId="51AA724E">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276D1689">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F064E4D">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6B338">
            <w:pPr>
              <w:pStyle w:val="69"/>
              <w:spacing w:before="65" w:after="65"/>
              <w:rPr>
                <w:rFonts w:cs="Times New Roman"/>
                <w:color w:val="auto"/>
                <w:highlight w:val="none"/>
              </w:rPr>
            </w:pPr>
            <w:r>
              <w:rPr>
                <w:rFonts w:hint="eastAsia"/>
                <w:color w:val="auto"/>
                <w:highlight w:val="none"/>
              </w:rPr>
              <w:t>方村居民点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63D9D">
            <w:pPr>
              <w:pStyle w:val="69"/>
              <w:spacing w:before="65" w:after="65"/>
              <w:rPr>
                <w:rFonts w:cs="Times New Roman"/>
                <w:color w:val="auto"/>
                <w:highlight w:val="none"/>
              </w:rPr>
            </w:pPr>
            <w:r>
              <w:rPr>
                <w:rFonts w:hint="eastAsia"/>
                <w:color w:val="auto"/>
                <w:highlight w:val="none"/>
              </w:rPr>
              <w:t>103.592814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69AD0">
            <w:pPr>
              <w:pStyle w:val="69"/>
              <w:spacing w:before="65" w:after="65"/>
              <w:rPr>
                <w:rFonts w:cs="Times New Roman"/>
                <w:color w:val="auto"/>
                <w:highlight w:val="none"/>
              </w:rPr>
            </w:pPr>
            <w:r>
              <w:rPr>
                <w:rFonts w:hint="eastAsia"/>
                <w:color w:val="auto"/>
                <w:highlight w:val="none"/>
              </w:rPr>
              <w:t>29.489855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5DCAD1">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AA90B">
            <w:pPr>
              <w:pStyle w:val="69"/>
              <w:spacing w:before="65" w:after="65"/>
              <w:rPr>
                <w:rFonts w:cs="Times New Roman"/>
                <w:color w:val="auto"/>
                <w:highlight w:val="none"/>
              </w:rPr>
            </w:pPr>
            <w:r>
              <w:rPr>
                <w:rFonts w:hint="eastAsia"/>
                <w:color w:val="auto"/>
                <w:highlight w:val="none"/>
              </w:rPr>
              <w:t>2594</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73BAE0">
            <w:pPr>
              <w:pStyle w:val="69"/>
              <w:spacing w:before="65" w:after="65"/>
              <w:rPr>
                <w:rFonts w:cs="Times New Roman"/>
                <w:color w:val="auto"/>
                <w:highlight w:val="none"/>
              </w:rPr>
            </w:pPr>
            <w:r>
              <w:rPr>
                <w:rFonts w:hint="eastAsia"/>
                <w:color w:val="auto"/>
                <w:highlight w:val="none"/>
              </w:rPr>
              <w:t>2713</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4FFD6">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679420">
            <w:pPr>
              <w:pStyle w:val="69"/>
              <w:spacing w:before="65" w:after="65"/>
              <w:rPr>
                <w:rFonts w:cs="Times New Roman"/>
                <w:color w:val="auto"/>
                <w:highlight w:val="none"/>
              </w:rPr>
            </w:pPr>
          </w:p>
        </w:tc>
      </w:tr>
      <w:tr w14:paraId="5FD01264">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12EFFCA5">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BBC0569">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283ADB">
            <w:pPr>
              <w:pStyle w:val="69"/>
              <w:spacing w:before="65" w:after="65"/>
              <w:rPr>
                <w:rFonts w:cs="Times New Roman"/>
                <w:color w:val="auto"/>
                <w:highlight w:val="none"/>
              </w:rPr>
            </w:pPr>
            <w:r>
              <w:rPr>
                <w:rFonts w:hint="eastAsia"/>
                <w:color w:val="auto"/>
                <w:highlight w:val="none"/>
              </w:rPr>
              <w:t>季珶居民点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68F63">
            <w:pPr>
              <w:pStyle w:val="69"/>
              <w:spacing w:before="65" w:after="65"/>
              <w:rPr>
                <w:rFonts w:cs="Times New Roman"/>
                <w:color w:val="auto"/>
                <w:highlight w:val="none"/>
              </w:rPr>
            </w:pPr>
            <w:r>
              <w:rPr>
                <w:rFonts w:hint="eastAsia"/>
                <w:color w:val="auto"/>
                <w:highlight w:val="none"/>
              </w:rPr>
              <w:t>103.599536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7D321">
            <w:pPr>
              <w:pStyle w:val="69"/>
              <w:spacing w:before="65" w:after="65"/>
              <w:rPr>
                <w:rFonts w:cs="Times New Roman"/>
                <w:color w:val="auto"/>
                <w:highlight w:val="none"/>
              </w:rPr>
            </w:pPr>
            <w:r>
              <w:rPr>
                <w:rFonts w:hint="eastAsia"/>
                <w:color w:val="auto"/>
                <w:highlight w:val="none"/>
              </w:rPr>
              <w:t>29.493008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B9717">
            <w:pPr>
              <w:pStyle w:val="69"/>
              <w:spacing w:before="65" w:after="65"/>
              <w:rPr>
                <w:rFonts w:cs="Times New Roman"/>
                <w:color w:val="auto"/>
                <w:highlight w:val="none"/>
              </w:rPr>
            </w:pPr>
            <w:r>
              <w:rPr>
                <w:rFonts w:hint="eastAsia"/>
                <w:color w:val="auto"/>
                <w:highlight w:val="none"/>
              </w:rPr>
              <w:t>西侧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04219">
            <w:pPr>
              <w:pStyle w:val="69"/>
              <w:spacing w:before="65" w:after="65"/>
              <w:rPr>
                <w:rFonts w:cs="Times New Roman"/>
                <w:color w:val="auto"/>
                <w:highlight w:val="none"/>
              </w:rPr>
            </w:pPr>
            <w:r>
              <w:rPr>
                <w:rFonts w:hint="eastAsia"/>
                <w:color w:val="auto"/>
                <w:highlight w:val="none"/>
              </w:rPr>
              <w:t>1882</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46C8E">
            <w:pPr>
              <w:pStyle w:val="69"/>
              <w:spacing w:before="65" w:after="65"/>
              <w:rPr>
                <w:rFonts w:cs="Times New Roman"/>
                <w:color w:val="auto"/>
                <w:highlight w:val="none"/>
              </w:rPr>
            </w:pPr>
            <w:r>
              <w:rPr>
                <w:rFonts w:hint="eastAsia"/>
                <w:color w:val="auto"/>
                <w:highlight w:val="none"/>
              </w:rPr>
              <w:t>2010</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A57B9F">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845C27">
            <w:pPr>
              <w:pStyle w:val="69"/>
              <w:spacing w:before="65" w:after="65"/>
              <w:rPr>
                <w:rFonts w:cs="Times New Roman"/>
                <w:color w:val="auto"/>
                <w:highlight w:val="none"/>
              </w:rPr>
            </w:pPr>
          </w:p>
        </w:tc>
      </w:tr>
      <w:tr w14:paraId="31A9511D">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4C5E7872">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5F3F7964">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0D236">
            <w:pPr>
              <w:pStyle w:val="69"/>
              <w:spacing w:before="65" w:after="65"/>
              <w:rPr>
                <w:rFonts w:cs="Times New Roman"/>
                <w:color w:val="auto"/>
                <w:highlight w:val="none"/>
              </w:rPr>
            </w:pPr>
            <w:r>
              <w:rPr>
                <w:rFonts w:hint="eastAsia"/>
                <w:color w:val="auto"/>
                <w:highlight w:val="none"/>
              </w:rPr>
              <w:t>桥路子居民点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D3624">
            <w:pPr>
              <w:pStyle w:val="69"/>
              <w:spacing w:before="65" w:after="65"/>
              <w:rPr>
                <w:rFonts w:cs="Times New Roman"/>
                <w:color w:val="auto"/>
                <w:highlight w:val="none"/>
              </w:rPr>
            </w:pPr>
            <w:r>
              <w:rPr>
                <w:rFonts w:hint="eastAsia"/>
                <w:color w:val="auto"/>
                <w:highlight w:val="none"/>
              </w:rPr>
              <w:t>103.601261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82B25B">
            <w:pPr>
              <w:pStyle w:val="69"/>
              <w:spacing w:before="65" w:after="65"/>
              <w:rPr>
                <w:rFonts w:cs="Times New Roman"/>
                <w:color w:val="auto"/>
                <w:highlight w:val="none"/>
              </w:rPr>
            </w:pPr>
            <w:r>
              <w:rPr>
                <w:rFonts w:hint="eastAsia"/>
                <w:color w:val="auto"/>
                <w:highlight w:val="none"/>
              </w:rPr>
              <w:t>29.487356</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13E81">
            <w:pPr>
              <w:pStyle w:val="69"/>
              <w:spacing w:before="65" w:after="65"/>
              <w:rPr>
                <w:rFonts w:cs="Times New Roman"/>
                <w:color w:val="auto"/>
                <w:highlight w:val="none"/>
              </w:rPr>
            </w:pPr>
            <w:r>
              <w:rPr>
                <w:rFonts w:hint="eastAsia"/>
                <w:color w:val="auto"/>
                <w:highlight w:val="none"/>
              </w:rPr>
              <w:t>西南侧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7A591">
            <w:pPr>
              <w:pStyle w:val="69"/>
              <w:spacing w:before="65" w:after="65"/>
              <w:rPr>
                <w:rFonts w:cs="Times New Roman"/>
                <w:color w:val="auto"/>
                <w:highlight w:val="none"/>
              </w:rPr>
            </w:pPr>
            <w:r>
              <w:rPr>
                <w:rFonts w:hint="eastAsia"/>
                <w:color w:val="auto"/>
                <w:highlight w:val="none"/>
              </w:rPr>
              <w:t>2289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78930">
            <w:pPr>
              <w:pStyle w:val="69"/>
              <w:spacing w:before="65" w:after="65"/>
              <w:rPr>
                <w:rFonts w:cs="Times New Roman"/>
                <w:color w:val="auto"/>
                <w:highlight w:val="none"/>
              </w:rPr>
            </w:pPr>
            <w:r>
              <w:rPr>
                <w:rFonts w:hint="eastAsia"/>
                <w:color w:val="auto"/>
                <w:highlight w:val="none"/>
              </w:rPr>
              <w:t>2402</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C6C44A">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51A29">
            <w:pPr>
              <w:pStyle w:val="69"/>
              <w:spacing w:before="65" w:after="65"/>
              <w:rPr>
                <w:rFonts w:cs="Times New Roman"/>
                <w:color w:val="auto"/>
                <w:highlight w:val="none"/>
              </w:rPr>
            </w:pPr>
          </w:p>
        </w:tc>
      </w:tr>
      <w:tr w14:paraId="689D476D">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4799A48B">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6C4A4E9F">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719B4">
            <w:pPr>
              <w:pStyle w:val="69"/>
              <w:spacing w:before="65" w:after="65"/>
              <w:rPr>
                <w:rFonts w:cs="Times New Roman"/>
                <w:color w:val="auto"/>
                <w:highlight w:val="none"/>
              </w:rPr>
            </w:pPr>
            <w:r>
              <w:rPr>
                <w:rFonts w:hint="eastAsia"/>
                <w:color w:val="auto"/>
                <w:highlight w:val="none"/>
              </w:rPr>
              <w:t>生姜坡居民点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1F69F">
            <w:pPr>
              <w:pStyle w:val="69"/>
              <w:spacing w:before="65" w:after="65"/>
              <w:rPr>
                <w:rFonts w:cs="Times New Roman"/>
                <w:color w:val="auto"/>
                <w:highlight w:val="none"/>
              </w:rPr>
            </w:pPr>
            <w:r>
              <w:rPr>
                <w:rFonts w:hint="eastAsia"/>
                <w:color w:val="auto"/>
                <w:highlight w:val="none"/>
              </w:rPr>
              <w:t>103.631199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ED859">
            <w:pPr>
              <w:pStyle w:val="69"/>
              <w:spacing w:before="65" w:after="65"/>
              <w:rPr>
                <w:rFonts w:cs="Times New Roman"/>
                <w:color w:val="auto"/>
                <w:highlight w:val="none"/>
              </w:rPr>
            </w:pPr>
            <w:r>
              <w:rPr>
                <w:rFonts w:hint="eastAsia"/>
                <w:color w:val="auto"/>
                <w:highlight w:val="none"/>
              </w:rPr>
              <w:t>29.496048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FEBD15">
            <w:pPr>
              <w:pStyle w:val="69"/>
              <w:spacing w:before="65" w:after="65"/>
              <w:rPr>
                <w:rFonts w:cs="Times New Roman"/>
                <w:color w:val="auto"/>
                <w:highlight w:val="none"/>
              </w:rPr>
            </w:pPr>
            <w:r>
              <w:rPr>
                <w:rFonts w:hint="eastAsia"/>
                <w:color w:val="auto"/>
                <w:highlight w:val="none"/>
              </w:rPr>
              <w:t>东南侧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87BF5">
            <w:pPr>
              <w:pStyle w:val="69"/>
              <w:spacing w:before="65" w:after="65"/>
              <w:rPr>
                <w:rFonts w:cs="Times New Roman"/>
                <w:color w:val="auto"/>
                <w:highlight w:val="none"/>
              </w:rPr>
            </w:pPr>
            <w:r>
              <w:rPr>
                <w:rFonts w:hint="eastAsia"/>
                <w:color w:val="auto"/>
                <w:highlight w:val="none"/>
              </w:rPr>
              <w:t>1965</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86215">
            <w:pPr>
              <w:pStyle w:val="69"/>
              <w:spacing w:before="65" w:after="65"/>
              <w:rPr>
                <w:rFonts w:cs="Times New Roman"/>
                <w:color w:val="auto"/>
                <w:highlight w:val="none"/>
              </w:rPr>
            </w:pPr>
            <w:r>
              <w:rPr>
                <w:rFonts w:hint="eastAsia"/>
                <w:color w:val="auto"/>
                <w:highlight w:val="none"/>
              </w:rPr>
              <w:t>1975</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7B80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C2D92">
            <w:pPr>
              <w:pStyle w:val="69"/>
              <w:spacing w:before="65" w:after="65"/>
              <w:rPr>
                <w:rFonts w:cs="Times New Roman"/>
                <w:color w:val="auto"/>
                <w:highlight w:val="none"/>
              </w:rPr>
            </w:pPr>
          </w:p>
        </w:tc>
      </w:tr>
      <w:tr w14:paraId="594004C0">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4CA1782">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7F4BA2F">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975C8A">
            <w:pPr>
              <w:pStyle w:val="69"/>
              <w:spacing w:before="65" w:after="65"/>
              <w:rPr>
                <w:rFonts w:cs="Times New Roman"/>
                <w:color w:val="auto"/>
                <w:highlight w:val="none"/>
              </w:rPr>
            </w:pPr>
            <w:r>
              <w:rPr>
                <w:rFonts w:hint="eastAsia"/>
                <w:color w:val="auto"/>
                <w:highlight w:val="none"/>
              </w:rPr>
              <w:t>牛郎庙居民点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5EE35">
            <w:pPr>
              <w:pStyle w:val="69"/>
              <w:spacing w:before="65" w:after="65"/>
              <w:rPr>
                <w:rFonts w:cs="Times New Roman"/>
                <w:color w:val="auto"/>
                <w:highlight w:val="none"/>
              </w:rPr>
            </w:pPr>
            <w:r>
              <w:rPr>
                <w:rFonts w:hint="eastAsia"/>
                <w:color w:val="auto"/>
                <w:highlight w:val="none"/>
              </w:rPr>
              <w:t>103.629486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01317">
            <w:pPr>
              <w:pStyle w:val="69"/>
              <w:spacing w:before="65" w:after="65"/>
              <w:rPr>
                <w:rFonts w:cs="Times New Roman"/>
                <w:color w:val="auto"/>
                <w:highlight w:val="none"/>
              </w:rPr>
            </w:pPr>
            <w:r>
              <w:rPr>
                <w:rFonts w:hint="eastAsia"/>
                <w:color w:val="auto"/>
                <w:highlight w:val="none"/>
              </w:rPr>
              <w:t>29.493264</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916CC">
            <w:pPr>
              <w:pStyle w:val="69"/>
              <w:spacing w:before="65" w:after="65"/>
              <w:rPr>
                <w:rFonts w:cs="Times New Roman"/>
                <w:color w:val="auto"/>
                <w:highlight w:val="none"/>
              </w:rPr>
            </w:pPr>
            <w:r>
              <w:rPr>
                <w:rFonts w:hint="eastAsia"/>
                <w:color w:val="auto"/>
                <w:highlight w:val="none"/>
              </w:rPr>
              <w:t>东南侧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C67DA">
            <w:pPr>
              <w:pStyle w:val="69"/>
              <w:spacing w:before="65" w:after="65"/>
              <w:rPr>
                <w:rFonts w:cs="Times New Roman"/>
                <w:color w:val="auto"/>
                <w:highlight w:val="none"/>
              </w:rPr>
            </w:pPr>
            <w:r>
              <w:rPr>
                <w:rFonts w:hint="eastAsia"/>
                <w:color w:val="auto"/>
                <w:highlight w:val="none"/>
              </w:rPr>
              <w:t>2023</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8E492">
            <w:pPr>
              <w:pStyle w:val="69"/>
              <w:spacing w:before="65" w:after="65"/>
              <w:rPr>
                <w:rFonts w:cs="Times New Roman"/>
                <w:color w:val="auto"/>
                <w:highlight w:val="none"/>
              </w:rPr>
            </w:pPr>
            <w:r>
              <w:rPr>
                <w:rFonts w:hint="eastAsia"/>
                <w:color w:val="auto"/>
                <w:highlight w:val="none"/>
              </w:rPr>
              <w:t>2056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458EBA">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15FAC">
            <w:pPr>
              <w:pStyle w:val="69"/>
              <w:spacing w:before="65" w:after="65"/>
              <w:rPr>
                <w:rFonts w:cs="Times New Roman"/>
                <w:color w:val="auto"/>
                <w:highlight w:val="none"/>
              </w:rPr>
            </w:pPr>
          </w:p>
        </w:tc>
      </w:tr>
      <w:tr w14:paraId="41D50E0E">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08032D98">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7CF8CCA6">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FF17D">
            <w:pPr>
              <w:pStyle w:val="69"/>
              <w:spacing w:before="65" w:after="65"/>
              <w:rPr>
                <w:rFonts w:cs="Times New Roman"/>
                <w:color w:val="auto"/>
                <w:highlight w:val="none"/>
              </w:rPr>
            </w:pPr>
            <w:r>
              <w:rPr>
                <w:rFonts w:hint="eastAsia"/>
                <w:color w:val="auto"/>
                <w:highlight w:val="none"/>
              </w:rPr>
              <w:t>牛毛冲居民点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04BEA">
            <w:pPr>
              <w:pStyle w:val="69"/>
              <w:spacing w:before="65" w:after="65"/>
              <w:rPr>
                <w:rFonts w:cs="Times New Roman"/>
                <w:color w:val="auto"/>
                <w:highlight w:val="none"/>
              </w:rPr>
            </w:pPr>
            <w:r>
              <w:rPr>
                <w:rFonts w:hint="eastAsia"/>
                <w:color w:val="auto"/>
                <w:highlight w:val="none"/>
              </w:rPr>
              <w:t>103.627273</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CFB17">
            <w:pPr>
              <w:pStyle w:val="69"/>
              <w:spacing w:before="65" w:after="65"/>
              <w:rPr>
                <w:rFonts w:cs="Times New Roman"/>
                <w:color w:val="auto"/>
                <w:highlight w:val="none"/>
              </w:rPr>
            </w:pPr>
            <w:r>
              <w:rPr>
                <w:rFonts w:hint="eastAsia"/>
                <w:color w:val="auto"/>
                <w:highlight w:val="none"/>
              </w:rPr>
              <w:t>29.490338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98C34">
            <w:pPr>
              <w:pStyle w:val="69"/>
              <w:spacing w:before="65" w:after="65"/>
              <w:rPr>
                <w:rFonts w:cs="Times New Roman"/>
                <w:color w:val="auto"/>
                <w:highlight w:val="none"/>
              </w:rPr>
            </w:pPr>
            <w:r>
              <w:rPr>
                <w:rFonts w:hint="eastAsia"/>
                <w:color w:val="auto"/>
                <w:highlight w:val="none"/>
              </w:rPr>
              <w:t>东南侧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E4817B">
            <w:pPr>
              <w:pStyle w:val="69"/>
              <w:spacing w:before="65" w:after="65"/>
              <w:rPr>
                <w:rFonts w:cs="Times New Roman"/>
                <w:color w:val="auto"/>
                <w:highlight w:val="none"/>
              </w:rPr>
            </w:pPr>
            <w:r>
              <w:rPr>
                <w:rFonts w:hint="eastAsia"/>
                <w:color w:val="auto"/>
                <w:highlight w:val="none"/>
              </w:rPr>
              <w:t>2091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81650">
            <w:pPr>
              <w:pStyle w:val="69"/>
              <w:spacing w:before="65" w:after="65"/>
              <w:rPr>
                <w:rFonts w:cs="Times New Roman"/>
                <w:color w:val="auto"/>
                <w:highlight w:val="none"/>
              </w:rPr>
            </w:pPr>
            <w:r>
              <w:rPr>
                <w:rFonts w:hint="eastAsia"/>
                <w:color w:val="auto"/>
                <w:highlight w:val="none"/>
              </w:rPr>
              <w:t>2140</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CD19B">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1F947">
            <w:pPr>
              <w:pStyle w:val="69"/>
              <w:spacing w:before="65" w:after="65"/>
              <w:rPr>
                <w:rFonts w:cs="Times New Roman"/>
                <w:color w:val="auto"/>
                <w:highlight w:val="none"/>
              </w:rPr>
            </w:pPr>
          </w:p>
        </w:tc>
      </w:tr>
      <w:tr w14:paraId="2EB6E5E4">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25891344">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16B4EBED">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B9CDE">
            <w:pPr>
              <w:pStyle w:val="69"/>
              <w:spacing w:before="65" w:after="65"/>
              <w:rPr>
                <w:rFonts w:cs="Times New Roman"/>
                <w:color w:val="auto"/>
                <w:highlight w:val="none"/>
              </w:rPr>
            </w:pPr>
            <w:r>
              <w:rPr>
                <w:rFonts w:hint="eastAsia"/>
                <w:color w:val="auto"/>
                <w:highlight w:val="none"/>
              </w:rPr>
              <w:t>杉木冲居民点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DCC36">
            <w:pPr>
              <w:pStyle w:val="69"/>
              <w:spacing w:before="65" w:after="65"/>
              <w:rPr>
                <w:rFonts w:cs="Times New Roman"/>
                <w:color w:val="auto"/>
                <w:highlight w:val="none"/>
              </w:rPr>
            </w:pPr>
            <w:r>
              <w:rPr>
                <w:rFonts w:hint="eastAsia"/>
                <w:color w:val="auto"/>
                <w:highlight w:val="none"/>
              </w:rPr>
              <w:t>103.635553</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00C1B">
            <w:pPr>
              <w:pStyle w:val="69"/>
              <w:spacing w:before="65" w:after="65"/>
              <w:rPr>
                <w:rFonts w:cs="Times New Roman"/>
                <w:color w:val="auto"/>
                <w:highlight w:val="none"/>
              </w:rPr>
            </w:pPr>
            <w:r>
              <w:rPr>
                <w:rFonts w:hint="eastAsia"/>
                <w:color w:val="auto"/>
                <w:highlight w:val="none"/>
              </w:rPr>
              <w:t>29.487768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D5582">
            <w:pPr>
              <w:pStyle w:val="69"/>
              <w:spacing w:before="65" w:after="65"/>
              <w:rPr>
                <w:rFonts w:cs="Times New Roman"/>
                <w:color w:val="auto"/>
                <w:highlight w:val="none"/>
              </w:rPr>
            </w:pPr>
            <w:r>
              <w:rPr>
                <w:rFonts w:hint="eastAsia"/>
                <w:color w:val="auto"/>
                <w:highlight w:val="none"/>
              </w:rPr>
              <w:t>东南侧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60CB6">
            <w:pPr>
              <w:pStyle w:val="69"/>
              <w:spacing w:before="65" w:after="65"/>
              <w:rPr>
                <w:rFonts w:cs="Times New Roman"/>
                <w:color w:val="auto"/>
                <w:highlight w:val="none"/>
              </w:rPr>
            </w:pPr>
            <w:r>
              <w:rPr>
                <w:rFonts w:hint="eastAsia"/>
                <w:color w:val="auto"/>
                <w:highlight w:val="none"/>
              </w:rPr>
              <w:t>2856</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2433D">
            <w:pPr>
              <w:pStyle w:val="69"/>
              <w:spacing w:before="65" w:after="65"/>
              <w:rPr>
                <w:rFonts w:cs="Times New Roman"/>
                <w:color w:val="auto"/>
                <w:highlight w:val="none"/>
              </w:rPr>
            </w:pPr>
            <w:r>
              <w:rPr>
                <w:rFonts w:hint="eastAsia"/>
                <w:color w:val="auto"/>
                <w:highlight w:val="none"/>
              </w:rPr>
              <w:t>2902</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A3994">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BFA202">
            <w:pPr>
              <w:pStyle w:val="69"/>
              <w:spacing w:before="65" w:after="65"/>
              <w:rPr>
                <w:rFonts w:cs="Times New Roman"/>
                <w:color w:val="auto"/>
                <w:highlight w:val="none"/>
              </w:rPr>
            </w:pPr>
          </w:p>
        </w:tc>
      </w:tr>
      <w:tr w14:paraId="6BA3865C">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399E3A63">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632CAA6">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4FE3F">
            <w:pPr>
              <w:pStyle w:val="69"/>
              <w:spacing w:before="65" w:after="65"/>
              <w:rPr>
                <w:rFonts w:cs="Times New Roman"/>
                <w:color w:val="auto"/>
                <w:highlight w:val="none"/>
              </w:rPr>
            </w:pPr>
            <w:r>
              <w:rPr>
                <w:rFonts w:cs="Times New Roman"/>
                <w:color w:val="auto"/>
                <w:highlight w:val="none"/>
              </w:rPr>
              <w:t>乐山市沙湾区嘉农镇人民政府</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A9CB7">
            <w:pPr>
              <w:pStyle w:val="69"/>
              <w:spacing w:before="65" w:after="65"/>
              <w:rPr>
                <w:rFonts w:cs="Times New Roman"/>
                <w:color w:val="auto"/>
                <w:highlight w:val="none"/>
              </w:rPr>
            </w:pPr>
            <w:r>
              <w:rPr>
                <w:rFonts w:cs="Times New Roman"/>
                <w:color w:val="auto"/>
                <w:highlight w:val="none"/>
              </w:rPr>
              <w:t>103.611407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AEC8E">
            <w:pPr>
              <w:pStyle w:val="69"/>
              <w:spacing w:before="65" w:after="65"/>
              <w:rPr>
                <w:rFonts w:cs="Times New Roman"/>
                <w:color w:val="auto"/>
                <w:highlight w:val="none"/>
              </w:rPr>
            </w:pPr>
            <w:r>
              <w:rPr>
                <w:rFonts w:cs="Times New Roman"/>
                <w:color w:val="auto"/>
                <w:highlight w:val="none"/>
              </w:rPr>
              <w:t>29.497473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1AF6C">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D37FAD">
            <w:pPr>
              <w:pStyle w:val="69"/>
              <w:spacing w:before="65" w:after="65"/>
              <w:rPr>
                <w:rFonts w:cs="Times New Roman"/>
                <w:color w:val="auto"/>
                <w:highlight w:val="none"/>
              </w:rPr>
            </w:pPr>
            <w:r>
              <w:rPr>
                <w:rFonts w:cs="Times New Roman"/>
                <w:color w:val="auto"/>
                <w:highlight w:val="none"/>
              </w:rPr>
              <w:t>858</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5E797">
            <w:pPr>
              <w:pStyle w:val="69"/>
              <w:spacing w:before="65" w:after="65"/>
              <w:rPr>
                <w:rFonts w:cs="Times New Roman"/>
                <w:color w:val="auto"/>
                <w:highlight w:val="none"/>
              </w:rPr>
            </w:pPr>
            <w:r>
              <w:rPr>
                <w:rFonts w:cs="Times New Roman"/>
                <w:color w:val="auto"/>
                <w:highlight w:val="none"/>
              </w:rPr>
              <w:t>911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25A3C">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EC6320">
            <w:pPr>
              <w:pStyle w:val="69"/>
              <w:spacing w:before="65" w:after="65"/>
              <w:rPr>
                <w:rFonts w:cs="Times New Roman"/>
                <w:color w:val="auto"/>
                <w:highlight w:val="none"/>
              </w:rPr>
            </w:pPr>
          </w:p>
        </w:tc>
      </w:tr>
      <w:tr w14:paraId="600FE3D0">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B66590D">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20733BA4">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3B60D">
            <w:pPr>
              <w:pStyle w:val="69"/>
              <w:spacing w:before="65" w:after="65"/>
              <w:rPr>
                <w:rFonts w:cs="Times New Roman"/>
                <w:color w:val="auto"/>
                <w:highlight w:val="none"/>
              </w:rPr>
            </w:pPr>
            <w:r>
              <w:rPr>
                <w:rFonts w:cs="Times New Roman"/>
                <w:color w:val="auto"/>
                <w:highlight w:val="none"/>
              </w:rPr>
              <w:t>嘉农一中</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2C08C3">
            <w:pPr>
              <w:pStyle w:val="69"/>
              <w:spacing w:before="65" w:after="65"/>
              <w:rPr>
                <w:rFonts w:cs="Times New Roman"/>
                <w:color w:val="auto"/>
                <w:highlight w:val="none"/>
              </w:rPr>
            </w:pPr>
            <w:r>
              <w:rPr>
                <w:rFonts w:cs="Times New Roman"/>
                <w:color w:val="auto"/>
                <w:highlight w:val="none"/>
              </w:rPr>
              <w:t>103.610774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58D404">
            <w:pPr>
              <w:pStyle w:val="69"/>
              <w:spacing w:before="65" w:after="65"/>
              <w:rPr>
                <w:rFonts w:cs="Times New Roman"/>
                <w:color w:val="auto"/>
                <w:highlight w:val="none"/>
              </w:rPr>
            </w:pPr>
            <w:r>
              <w:rPr>
                <w:rFonts w:cs="Times New Roman"/>
                <w:color w:val="auto"/>
                <w:highlight w:val="none"/>
              </w:rPr>
              <w:t>29.496647</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A799D">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865E9">
            <w:pPr>
              <w:pStyle w:val="69"/>
              <w:spacing w:before="65" w:after="65"/>
              <w:rPr>
                <w:rFonts w:cs="Times New Roman"/>
                <w:color w:val="auto"/>
                <w:highlight w:val="none"/>
              </w:rPr>
            </w:pPr>
            <w:r>
              <w:rPr>
                <w:rFonts w:cs="Times New Roman"/>
                <w:color w:val="auto"/>
                <w:highlight w:val="none"/>
              </w:rPr>
              <w:t>930</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A6872">
            <w:pPr>
              <w:pStyle w:val="69"/>
              <w:spacing w:before="65" w:after="65"/>
              <w:rPr>
                <w:rFonts w:cs="Times New Roman"/>
                <w:color w:val="auto"/>
                <w:highlight w:val="none"/>
              </w:rPr>
            </w:pPr>
            <w:r>
              <w:rPr>
                <w:rFonts w:cs="Times New Roman"/>
                <w:color w:val="auto"/>
                <w:highlight w:val="none"/>
              </w:rPr>
              <w:t>997</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5BE38">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F5E41">
            <w:pPr>
              <w:pStyle w:val="69"/>
              <w:spacing w:before="65" w:after="65"/>
              <w:rPr>
                <w:rFonts w:cs="Times New Roman"/>
                <w:color w:val="auto"/>
                <w:highlight w:val="none"/>
              </w:rPr>
            </w:pPr>
          </w:p>
        </w:tc>
      </w:tr>
      <w:tr w14:paraId="1CA7193C">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CA39AAC">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B7198D8">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16093">
            <w:pPr>
              <w:pStyle w:val="69"/>
              <w:spacing w:before="65" w:after="65"/>
              <w:rPr>
                <w:rFonts w:cs="Times New Roman"/>
                <w:color w:val="auto"/>
                <w:highlight w:val="none"/>
              </w:rPr>
            </w:pPr>
            <w:r>
              <w:rPr>
                <w:rFonts w:cs="Times New Roman"/>
                <w:color w:val="auto"/>
                <w:highlight w:val="none"/>
              </w:rPr>
              <w:t>乐山市中医医院康养中心</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E2B387">
            <w:pPr>
              <w:pStyle w:val="69"/>
              <w:spacing w:before="65" w:after="65"/>
              <w:rPr>
                <w:rFonts w:cs="Times New Roman"/>
                <w:color w:val="auto"/>
                <w:highlight w:val="none"/>
              </w:rPr>
            </w:pPr>
            <w:r>
              <w:rPr>
                <w:rFonts w:cs="Times New Roman"/>
                <w:color w:val="auto"/>
                <w:highlight w:val="none"/>
              </w:rPr>
              <w:t>103.617555</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0E30DC">
            <w:pPr>
              <w:pStyle w:val="69"/>
              <w:spacing w:before="65" w:after="65"/>
              <w:rPr>
                <w:rFonts w:cs="Times New Roman"/>
                <w:color w:val="auto"/>
                <w:highlight w:val="none"/>
              </w:rPr>
            </w:pPr>
            <w:r>
              <w:rPr>
                <w:rFonts w:cs="Times New Roman"/>
                <w:color w:val="auto"/>
                <w:highlight w:val="none"/>
              </w:rPr>
              <w:t>29.495595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55AA4">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2FC92">
            <w:pPr>
              <w:pStyle w:val="69"/>
              <w:spacing w:before="65" w:after="65"/>
              <w:rPr>
                <w:rFonts w:cs="Times New Roman"/>
                <w:color w:val="auto"/>
                <w:highlight w:val="none"/>
              </w:rPr>
            </w:pPr>
            <w:r>
              <w:rPr>
                <w:rFonts w:cs="Times New Roman"/>
                <w:color w:val="auto"/>
                <w:highlight w:val="none"/>
              </w:rPr>
              <w:t>1114</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079AD">
            <w:pPr>
              <w:pStyle w:val="69"/>
              <w:spacing w:before="65" w:after="65"/>
              <w:rPr>
                <w:rFonts w:cs="Times New Roman"/>
                <w:color w:val="auto"/>
                <w:highlight w:val="none"/>
              </w:rPr>
            </w:pPr>
            <w:r>
              <w:rPr>
                <w:rFonts w:cs="Times New Roman"/>
                <w:color w:val="auto"/>
                <w:highlight w:val="none"/>
              </w:rPr>
              <w:t>1161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88DFCD">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EA25A">
            <w:pPr>
              <w:pStyle w:val="69"/>
              <w:spacing w:before="65" w:after="65"/>
              <w:rPr>
                <w:rFonts w:cs="Times New Roman"/>
                <w:color w:val="auto"/>
                <w:highlight w:val="none"/>
              </w:rPr>
            </w:pPr>
          </w:p>
        </w:tc>
      </w:tr>
      <w:tr w14:paraId="2A8E9738">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17FD1A9">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2F9B2972">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91C737">
            <w:pPr>
              <w:pStyle w:val="69"/>
              <w:spacing w:before="65" w:after="65"/>
              <w:rPr>
                <w:rFonts w:cs="Times New Roman"/>
                <w:color w:val="auto"/>
                <w:highlight w:val="none"/>
              </w:rPr>
            </w:pPr>
            <w:r>
              <w:rPr>
                <w:rFonts w:cs="Times New Roman"/>
                <w:color w:val="auto"/>
                <w:highlight w:val="none"/>
              </w:rPr>
              <w:t>乐山市中医医院(新区)医疗中心</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469C9">
            <w:pPr>
              <w:pStyle w:val="69"/>
              <w:spacing w:before="65" w:after="65"/>
              <w:rPr>
                <w:rFonts w:cs="Times New Roman"/>
                <w:color w:val="auto"/>
                <w:highlight w:val="none"/>
              </w:rPr>
            </w:pPr>
            <w:r>
              <w:rPr>
                <w:rFonts w:cs="Times New Roman"/>
                <w:color w:val="auto"/>
                <w:highlight w:val="none"/>
              </w:rPr>
              <w:t>103.615109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B37EE">
            <w:pPr>
              <w:pStyle w:val="69"/>
              <w:spacing w:before="65" w:after="65"/>
              <w:rPr>
                <w:rFonts w:cs="Times New Roman"/>
                <w:color w:val="auto"/>
                <w:highlight w:val="none"/>
              </w:rPr>
            </w:pPr>
            <w:r>
              <w:rPr>
                <w:rFonts w:cs="Times New Roman"/>
                <w:color w:val="auto"/>
                <w:highlight w:val="none"/>
              </w:rPr>
              <w:t>29.492055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DA597">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65CB5">
            <w:pPr>
              <w:pStyle w:val="69"/>
              <w:spacing w:before="65" w:after="65"/>
              <w:rPr>
                <w:rFonts w:cs="Times New Roman"/>
                <w:color w:val="auto"/>
                <w:highlight w:val="none"/>
              </w:rPr>
            </w:pPr>
            <w:r>
              <w:rPr>
                <w:rFonts w:cs="Times New Roman"/>
                <w:color w:val="auto"/>
                <w:highlight w:val="none"/>
              </w:rPr>
              <w:t>1457</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F7733">
            <w:pPr>
              <w:pStyle w:val="69"/>
              <w:spacing w:before="65" w:after="65"/>
              <w:rPr>
                <w:rFonts w:cs="Times New Roman"/>
                <w:color w:val="auto"/>
                <w:highlight w:val="none"/>
              </w:rPr>
            </w:pPr>
            <w:r>
              <w:rPr>
                <w:rFonts w:cs="Times New Roman"/>
                <w:color w:val="auto"/>
                <w:highlight w:val="none"/>
              </w:rPr>
              <w:t>1506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CCB80">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7BD85">
            <w:pPr>
              <w:pStyle w:val="69"/>
              <w:spacing w:before="65" w:after="65"/>
              <w:rPr>
                <w:rFonts w:cs="Times New Roman"/>
                <w:color w:val="auto"/>
                <w:highlight w:val="none"/>
              </w:rPr>
            </w:pPr>
          </w:p>
        </w:tc>
      </w:tr>
      <w:tr w14:paraId="2924093C">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3B4C1B95">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71CAED9B">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A4248">
            <w:pPr>
              <w:pStyle w:val="69"/>
              <w:spacing w:before="65" w:after="65"/>
              <w:rPr>
                <w:rFonts w:cs="Times New Roman"/>
                <w:color w:val="auto"/>
                <w:highlight w:val="none"/>
              </w:rPr>
            </w:pPr>
            <w:r>
              <w:rPr>
                <w:rFonts w:cs="Times New Roman"/>
                <w:color w:val="auto"/>
                <w:highlight w:val="none"/>
              </w:rPr>
              <w:t>沙湾区高山寺</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9D7815">
            <w:pPr>
              <w:pStyle w:val="69"/>
              <w:spacing w:before="65" w:after="65"/>
              <w:rPr>
                <w:rFonts w:cs="Times New Roman"/>
                <w:color w:val="auto"/>
                <w:highlight w:val="none"/>
              </w:rPr>
            </w:pPr>
            <w:r>
              <w:rPr>
                <w:rFonts w:cs="Times New Roman"/>
                <w:color w:val="auto"/>
                <w:highlight w:val="none"/>
              </w:rPr>
              <w:t>103.606075</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492C0">
            <w:pPr>
              <w:pStyle w:val="69"/>
              <w:spacing w:before="65" w:after="65"/>
              <w:rPr>
                <w:rFonts w:cs="Times New Roman"/>
                <w:color w:val="auto"/>
                <w:highlight w:val="none"/>
              </w:rPr>
            </w:pPr>
            <w:r>
              <w:rPr>
                <w:rFonts w:cs="Times New Roman"/>
                <w:color w:val="auto"/>
                <w:highlight w:val="none"/>
              </w:rPr>
              <w:t>29.509833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E906A">
            <w:pPr>
              <w:pStyle w:val="69"/>
              <w:spacing w:before="65" w:after="65"/>
              <w:rPr>
                <w:rFonts w:cs="Times New Roman"/>
                <w:color w:val="auto"/>
                <w:highlight w:val="none"/>
              </w:rPr>
            </w:pPr>
            <w:r>
              <w:rPr>
                <w:rFonts w:cs="Times New Roman"/>
                <w:color w:val="auto"/>
                <w:highlight w:val="none"/>
              </w:rPr>
              <w:t>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702FB">
            <w:pPr>
              <w:pStyle w:val="69"/>
              <w:spacing w:before="65" w:after="65"/>
              <w:rPr>
                <w:rFonts w:cs="Times New Roman"/>
                <w:color w:val="auto"/>
                <w:highlight w:val="none"/>
              </w:rPr>
            </w:pPr>
            <w:r>
              <w:rPr>
                <w:rFonts w:cs="Times New Roman"/>
                <w:color w:val="auto"/>
                <w:highlight w:val="none"/>
              </w:rPr>
              <w:t>716</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0A342C">
            <w:pPr>
              <w:pStyle w:val="69"/>
              <w:spacing w:before="65" w:after="65"/>
              <w:rPr>
                <w:rFonts w:cs="Times New Roman"/>
                <w:color w:val="auto"/>
                <w:highlight w:val="none"/>
              </w:rPr>
            </w:pPr>
            <w:r>
              <w:rPr>
                <w:rFonts w:cs="Times New Roman"/>
                <w:color w:val="auto"/>
                <w:highlight w:val="none"/>
              </w:rPr>
              <w:t>736</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03F6C">
            <w:pPr>
              <w:pStyle w:val="69"/>
              <w:spacing w:before="65" w:after="65"/>
              <w:rPr>
                <w:rFonts w:cs="Times New Roman"/>
                <w:color w:val="auto"/>
                <w:highlight w:val="none"/>
              </w:rPr>
            </w:pPr>
            <w:r>
              <w:rPr>
                <w:rFonts w:cs="Times New Roman"/>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DD7FE">
            <w:pPr>
              <w:pStyle w:val="69"/>
              <w:spacing w:before="65" w:after="65"/>
              <w:rPr>
                <w:rFonts w:cs="Times New Roman"/>
                <w:color w:val="auto"/>
                <w:highlight w:val="none"/>
              </w:rPr>
            </w:pPr>
          </w:p>
        </w:tc>
      </w:tr>
      <w:tr w14:paraId="6D831FFD">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66831418">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4DA6B9A1">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2C3852">
            <w:pPr>
              <w:pStyle w:val="69"/>
              <w:spacing w:before="65" w:after="65"/>
              <w:rPr>
                <w:rFonts w:cs="Times New Roman"/>
                <w:color w:val="auto"/>
                <w:highlight w:val="none"/>
              </w:rPr>
            </w:pPr>
            <w:r>
              <w:rPr>
                <w:rFonts w:cs="Times New Roman"/>
                <w:color w:val="auto"/>
                <w:highlight w:val="none"/>
              </w:rPr>
              <w:t>乐山市沙湾区罗汉镇人民政府</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96BAC">
            <w:pPr>
              <w:pStyle w:val="69"/>
              <w:spacing w:before="65" w:after="65"/>
              <w:rPr>
                <w:rFonts w:cs="Times New Roman"/>
                <w:color w:val="auto"/>
                <w:highlight w:val="none"/>
              </w:rPr>
            </w:pPr>
            <w:r>
              <w:rPr>
                <w:rFonts w:cs="Times New Roman"/>
                <w:color w:val="auto"/>
                <w:highlight w:val="none"/>
              </w:rPr>
              <w:t>103.630569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245CB5">
            <w:pPr>
              <w:pStyle w:val="69"/>
              <w:spacing w:before="65" w:after="65"/>
              <w:rPr>
                <w:rFonts w:cs="Times New Roman"/>
                <w:color w:val="auto"/>
                <w:highlight w:val="none"/>
              </w:rPr>
            </w:pPr>
            <w:r>
              <w:rPr>
                <w:rFonts w:cs="Times New Roman"/>
                <w:color w:val="auto"/>
                <w:highlight w:val="none"/>
              </w:rPr>
              <w:t>29.513867</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056093">
            <w:pPr>
              <w:pStyle w:val="69"/>
              <w:spacing w:before="65" w:after="65"/>
              <w:rPr>
                <w:rFonts w:cs="Times New Roman"/>
                <w:color w:val="auto"/>
                <w:highlight w:val="none"/>
              </w:rPr>
            </w:pPr>
            <w:r>
              <w:rPr>
                <w:rFonts w:cs="Times New Roman"/>
                <w:color w:val="auto"/>
                <w:highlight w:val="none"/>
              </w:rPr>
              <w:t>西北侧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56B28F">
            <w:pPr>
              <w:pStyle w:val="69"/>
              <w:spacing w:before="65" w:after="65"/>
              <w:rPr>
                <w:rFonts w:cs="Times New Roman"/>
                <w:color w:val="auto"/>
                <w:highlight w:val="none"/>
              </w:rPr>
            </w:pPr>
            <w:r>
              <w:rPr>
                <w:rFonts w:cs="Times New Roman"/>
                <w:color w:val="auto"/>
                <w:highlight w:val="none"/>
              </w:rPr>
              <w:t>1671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0CD28B">
            <w:pPr>
              <w:pStyle w:val="69"/>
              <w:spacing w:before="65" w:after="65"/>
              <w:rPr>
                <w:rFonts w:cs="Times New Roman"/>
                <w:color w:val="auto"/>
                <w:highlight w:val="none"/>
              </w:rPr>
            </w:pPr>
            <w:r>
              <w:rPr>
                <w:rFonts w:cs="Times New Roman"/>
                <w:color w:val="auto"/>
                <w:highlight w:val="none"/>
              </w:rPr>
              <w:t>1689</w:t>
            </w:r>
          </w:p>
        </w:tc>
        <w:tc>
          <w:tcPr>
            <w:tcW w:w="28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F5F9FB">
            <w:pPr>
              <w:pStyle w:val="69"/>
              <w:spacing w:before="65" w:after="65"/>
              <w:rPr>
                <w:rFonts w:cs="Times New Roman"/>
                <w:color w:val="auto"/>
                <w:highlight w:val="none"/>
              </w:rPr>
            </w:pPr>
            <w:r>
              <w:rPr>
                <w:rFonts w:hint="eastAsia" w:cs="Times New Roman"/>
                <w:color w:val="auto"/>
                <w:highlight w:val="none"/>
              </w:rPr>
              <w:t>罗汉</w:t>
            </w:r>
            <w:r>
              <w:rPr>
                <w:rFonts w:cs="Times New Roman"/>
                <w:color w:val="auto"/>
                <w:highlight w:val="none"/>
              </w:rPr>
              <w:t>镇约1.2万人</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840A12">
            <w:pPr>
              <w:pStyle w:val="69"/>
              <w:spacing w:before="65" w:after="65"/>
              <w:rPr>
                <w:rFonts w:cs="Times New Roman"/>
                <w:color w:val="auto"/>
                <w:highlight w:val="none"/>
              </w:rPr>
            </w:pPr>
          </w:p>
        </w:tc>
      </w:tr>
      <w:tr w14:paraId="0404C7D4">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A6F29BD">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75A1292C">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5844E">
            <w:pPr>
              <w:pStyle w:val="69"/>
              <w:spacing w:before="65" w:after="65"/>
              <w:rPr>
                <w:rFonts w:cs="Times New Roman"/>
                <w:color w:val="auto"/>
                <w:highlight w:val="none"/>
              </w:rPr>
            </w:pPr>
            <w:r>
              <w:rPr>
                <w:rFonts w:hint="eastAsia"/>
                <w:color w:val="auto"/>
                <w:highlight w:val="none"/>
              </w:rPr>
              <w:t>罗村居民点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17FF9">
            <w:pPr>
              <w:pStyle w:val="69"/>
              <w:spacing w:before="65" w:after="65"/>
              <w:rPr>
                <w:rFonts w:cs="Times New Roman"/>
                <w:color w:val="auto"/>
                <w:highlight w:val="none"/>
              </w:rPr>
            </w:pPr>
            <w:r>
              <w:rPr>
                <w:rFonts w:hint="eastAsia"/>
                <w:color w:val="auto"/>
                <w:highlight w:val="none"/>
              </w:rPr>
              <w:t>103.617458</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52EA">
            <w:pPr>
              <w:pStyle w:val="69"/>
              <w:spacing w:before="65" w:after="65"/>
              <w:rPr>
                <w:rFonts w:cs="Times New Roman"/>
                <w:color w:val="auto"/>
                <w:highlight w:val="none"/>
              </w:rPr>
            </w:pPr>
            <w:r>
              <w:rPr>
                <w:rFonts w:hint="eastAsia"/>
                <w:color w:val="auto"/>
                <w:highlight w:val="none"/>
              </w:rPr>
              <w:t>29.511003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4C494">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65F6B">
            <w:pPr>
              <w:pStyle w:val="69"/>
              <w:spacing w:before="65" w:after="65"/>
              <w:rPr>
                <w:rFonts w:cs="Times New Roman"/>
                <w:color w:val="auto"/>
                <w:highlight w:val="none"/>
              </w:rPr>
            </w:pPr>
            <w:r>
              <w:rPr>
                <w:rFonts w:hint="eastAsia"/>
                <w:color w:val="auto"/>
                <w:highlight w:val="none"/>
              </w:rPr>
              <w:t>515</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77D3E">
            <w:pPr>
              <w:pStyle w:val="69"/>
              <w:spacing w:before="65" w:after="65"/>
              <w:rPr>
                <w:rFonts w:cs="Times New Roman"/>
                <w:color w:val="auto"/>
                <w:highlight w:val="none"/>
              </w:rPr>
            </w:pPr>
            <w:r>
              <w:rPr>
                <w:rFonts w:hint="eastAsia"/>
                <w:color w:val="auto"/>
                <w:highlight w:val="none"/>
              </w:rPr>
              <w:t>525</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C602F">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2A870">
            <w:pPr>
              <w:pStyle w:val="69"/>
              <w:spacing w:before="65" w:after="65"/>
              <w:rPr>
                <w:rFonts w:cs="Times New Roman"/>
                <w:color w:val="auto"/>
                <w:highlight w:val="none"/>
              </w:rPr>
            </w:pPr>
          </w:p>
        </w:tc>
      </w:tr>
      <w:tr w14:paraId="4E09F985">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4672BC26">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AA8D71F">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518784">
            <w:pPr>
              <w:pStyle w:val="69"/>
              <w:spacing w:before="65" w:after="65"/>
              <w:rPr>
                <w:rFonts w:cs="Times New Roman"/>
                <w:color w:val="auto"/>
                <w:highlight w:val="none"/>
              </w:rPr>
            </w:pPr>
            <w:r>
              <w:rPr>
                <w:rFonts w:hint="eastAsia"/>
                <w:color w:val="auto"/>
                <w:highlight w:val="none"/>
              </w:rPr>
              <w:t>罗山珶居民点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8C931">
            <w:pPr>
              <w:pStyle w:val="69"/>
              <w:spacing w:before="65" w:after="65"/>
              <w:rPr>
                <w:rFonts w:cs="Times New Roman"/>
                <w:color w:val="auto"/>
                <w:highlight w:val="none"/>
              </w:rPr>
            </w:pPr>
            <w:r>
              <w:rPr>
                <w:rFonts w:hint="eastAsia"/>
                <w:color w:val="auto"/>
                <w:highlight w:val="none"/>
              </w:rPr>
              <w:t>103.612830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B288E">
            <w:pPr>
              <w:pStyle w:val="69"/>
              <w:spacing w:before="65" w:after="65"/>
              <w:rPr>
                <w:rFonts w:cs="Times New Roman"/>
                <w:color w:val="auto"/>
                <w:highlight w:val="none"/>
              </w:rPr>
            </w:pPr>
            <w:r>
              <w:rPr>
                <w:rFonts w:hint="eastAsia"/>
                <w:color w:val="auto"/>
                <w:highlight w:val="none"/>
              </w:rPr>
              <w:t>29.512859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F9B91">
            <w:pPr>
              <w:pStyle w:val="69"/>
              <w:spacing w:before="65" w:after="65"/>
              <w:rPr>
                <w:rFonts w:cs="Times New Roman"/>
                <w:color w:val="auto"/>
                <w:highlight w:val="none"/>
              </w:rPr>
            </w:pPr>
            <w:r>
              <w:rPr>
                <w:rFonts w:hint="eastAsia"/>
                <w:color w:val="auto"/>
                <w:highlight w:val="none"/>
              </w:rPr>
              <w:t>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EFC433">
            <w:pPr>
              <w:pStyle w:val="69"/>
              <w:spacing w:before="65" w:after="65"/>
              <w:rPr>
                <w:rFonts w:cs="Times New Roman"/>
                <w:color w:val="auto"/>
                <w:highlight w:val="none"/>
              </w:rPr>
            </w:pPr>
            <w:r>
              <w:rPr>
                <w:rFonts w:hint="eastAsia"/>
                <w:color w:val="auto"/>
                <w:highlight w:val="none"/>
              </w:rPr>
              <w:t>482</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686AF">
            <w:pPr>
              <w:pStyle w:val="69"/>
              <w:spacing w:before="65" w:after="65"/>
              <w:rPr>
                <w:rFonts w:cs="Times New Roman"/>
                <w:color w:val="auto"/>
                <w:highlight w:val="none"/>
              </w:rPr>
            </w:pPr>
            <w:r>
              <w:rPr>
                <w:rFonts w:hint="eastAsia"/>
                <w:color w:val="auto"/>
                <w:highlight w:val="none"/>
              </w:rPr>
              <w:t>495</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9BD3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CEF6D">
            <w:pPr>
              <w:pStyle w:val="69"/>
              <w:spacing w:before="65" w:after="65"/>
              <w:rPr>
                <w:rFonts w:cs="Times New Roman"/>
                <w:color w:val="auto"/>
                <w:highlight w:val="none"/>
              </w:rPr>
            </w:pPr>
          </w:p>
        </w:tc>
      </w:tr>
      <w:tr w14:paraId="3C8FBC61">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6FB643BF">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E51EDD3">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D7FCE">
            <w:pPr>
              <w:pStyle w:val="69"/>
              <w:spacing w:before="65" w:after="65"/>
              <w:rPr>
                <w:rFonts w:cs="Times New Roman"/>
                <w:color w:val="auto"/>
                <w:highlight w:val="none"/>
              </w:rPr>
            </w:pPr>
            <w:r>
              <w:rPr>
                <w:rFonts w:hint="eastAsia"/>
                <w:color w:val="auto"/>
                <w:highlight w:val="none"/>
              </w:rPr>
              <w:t>红苗儿居民点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CFEF7">
            <w:pPr>
              <w:pStyle w:val="69"/>
              <w:spacing w:before="65" w:after="65"/>
              <w:rPr>
                <w:rFonts w:cs="Times New Roman"/>
                <w:color w:val="auto"/>
                <w:highlight w:val="none"/>
              </w:rPr>
            </w:pPr>
            <w:r>
              <w:rPr>
                <w:rFonts w:hint="eastAsia"/>
                <w:color w:val="auto"/>
                <w:highlight w:val="none"/>
              </w:rPr>
              <w:t>103.623064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E309B">
            <w:pPr>
              <w:pStyle w:val="69"/>
              <w:spacing w:before="65" w:after="65"/>
              <w:rPr>
                <w:rFonts w:cs="Times New Roman"/>
                <w:color w:val="auto"/>
                <w:highlight w:val="none"/>
              </w:rPr>
            </w:pPr>
            <w:r>
              <w:rPr>
                <w:rFonts w:hint="eastAsia"/>
                <w:color w:val="auto"/>
                <w:highlight w:val="none"/>
              </w:rPr>
              <w:t>29.512117</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EB9335">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B3D7C">
            <w:pPr>
              <w:pStyle w:val="69"/>
              <w:spacing w:before="65" w:after="65"/>
              <w:rPr>
                <w:rFonts w:cs="Times New Roman"/>
                <w:color w:val="auto"/>
                <w:highlight w:val="none"/>
              </w:rPr>
            </w:pPr>
            <w:r>
              <w:rPr>
                <w:rFonts w:hint="eastAsia"/>
                <w:color w:val="auto"/>
                <w:highlight w:val="none"/>
              </w:rPr>
              <w:t>942</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F280BC">
            <w:pPr>
              <w:pStyle w:val="69"/>
              <w:spacing w:before="65" w:after="65"/>
              <w:rPr>
                <w:rFonts w:cs="Times New Roman"/>
                <w:color w:val="auto"/>
                <w:highlight w:val="none"/>
              </w:rPr>
            </w:pPr>
            <w:r>
              <w:rPr>
                <w:rFonts w:hint="eastAsia"/>
                <w:color w:val="auto"/>
                <w:highlight w:val="none"/>
              </w:rPr>
              <w:t>953</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1791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F94E4">
            <w:pPr>
              <w:pStyle w:val="69"/>
              <w:spacing w:before="65" w:after="65"/>
              <w:rPr>
                <w:rFonts w:cs="Times New Roman"/>
                <w:color w:val="auto"/>
                <w:highlight w:val="none"/>
              </w:rPr>
            </w:pPr>
          </w:p>
        </w:tc>
      </w:tr>
      <w:tr w14:paraId="7DFE66C1">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13AAF00">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73588410">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F5DC3">
            <w:pPr>
              <w:pStyle w:val="69"/>
              <w:spacing w:before="65" w:after="65"/>
              <w:rPr>
                <w:rFonts w:cs="Times New Roman"/>
                <w:color w:val="auto"/>
                <w:highlight w:val="none"/>
              </w:rPr>
            </w:pPr>
            <w:r>
              <w:rPr>
                <w:rFonts w:hint="eastAsia"/>
                <w:color w:val="auto"/>
                <w:highlight w:val="none"/>
              </w:rPr>
              <w:t>牛杠居民点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D6BC">
            <w:pPr>
              <w:pStyle w:val="69"/>
              <w:spacing w:before="65" w:after="65"/>
              <w:rPr>
                <w:rFonts w:cs="Times New Roman"/>
                <w:color w:val="auto"/>
                <w:highlight w:val="none"/>
              </w:rPr>
            </w:pPr>
            <w:r>
              <w:rPr>
                <w:rFonts w:hint="eastAsia"/>
                <w:color w:val="auto"/>
                <w:highlight w:val="none"/>
              </w:rPr>
              <w:t>103.621113</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6BC6B">
            <w:pPr>
              <w:pStyle w:val="69"/>
              <w:spacing w:before="65" w:after="65"/>
              <w:rPr>
                <w:rFonts w:cs="Times New Roman"/>
                <w:color w:val="auto"/>
                <w:highlight w:val="none"/>
              </w:rPr>
            </w:pPr>
            <w:r>
              <w:rPr>
                <w:rFonts w:hint="eastAsia"/>
                <w:color w:val="auto"/>
                <w:highlight w:val="none"/>
              </w:rPr>
              <w:t>29.516590</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731B6">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AC89D">
            <w:pPr>
              <w:pStyle w:val="69"/>
              <w:spacing w:before="65" w:after="65"/>
              <w:rPr>
                <w:rFonts w:cs="Times New Roman"/>
                <w:color w:val="auto"/>
                <w:highlight w:val="none"/>
              </w:rPr>
            </w:pPr>
            <w:r>
              <w:rPr>
                <w:rFonts w:hint="eastAsia"/>
                <w:color w:val="auto"/>
                <w:highlight w:val="none"/>
              </w:rPr>
              <w:t>1180</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F2367">
            <w:pPr>
              <w:pStyle w:val="69"/>
              <w:spacing w:before="65" w:after="65"/>
              <w:rPr>
                <w:rFonts w:cs="Times New Roman"/>
                <w:color w:val="auto"/>
                <w:highlight w:val="none"/>
              </w:rPr>
            </w:pPr>
            <w:r>
              <w:rPr>
                <w:rFonts w:hint="eastAsia"/>
                <w:color w:val="auto"/>
                <w:highlight w:val="none"/>
              </w:rPr>
              <w:t>1190</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DDD45">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E520C">
            <w:pPr>
              <w:pStyle w:val="69"/>
              <w:spacing w:before="65" w:after="65"/>
              <w:rPr>
                <w:rFonts w:cs="Times New Roman"/>
                <w:color w:val="auto"/>
                <w:highlight w:val="none"/>
              </w:rPr>
            </w:pPr>
          </w:p>
        </w:tc>
      </w:tr>
      <w:tr w14:paraId="545C83F0">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23B8F67F">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9D52DB2">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46CB0C">
            <w:pPr>
              <w:pStyle w:val="69"/>
              <w:spacing w:before="65" w:after="65"/>
              <w:rPr>
                <w:rFonts w:cs="Times New Roman"/>
                <w:color w:val="auto"/>
                <w:highlight w:val="none"/>
              </w:rPr>
            </w:pPr>
            <w:r>
              <w:rPr>
                <w:rFonts w:hint="eastAsia"/>
                <w:color w:val="auto"/>
                <w:highlight w:val="none"/>
              </w:rPr>
              <w:t>洪桥儿居民点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86CD8">
            <w:pPr>
              <w:pStyle w:val="69"/>
              <w:spacing w:before="65" w:after="65"/>
              <w:rPr>
                <w:rFonts w:cs="Times New Roman"/>
                <w:color w:val="auto"/>
                <w:highlight w:val="none"/>
              </w:rPr>
            </w:pPr>
            <w:r>
              <w:rPr>
                <w:rFonts w:hint="eastAsia"/>
                <w:color w:val="auto"/>
                <w:highlight w:val="none"/>
              </w:rPr>
              <w:t>103.624920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45A01">
            <w:pPr>
              <w:pStyle w:val="69"/>
              <w:spacing w:before="65" w:after="65"/>
              <w:rPr>
                <w:rFonts w:cs="Times New Roman"/>
                <w:color w:val="auto"/>
                <w:highlight w:val="none"/>
              </w:rPr>
            </w:pPr>
            <w:r>
              <w:rPr>
                <w:rFonts w:hint="eastAsia"/>
                <w:color w:val="auto"/>
                <w:highlight w:val="none"/>
              </w:rPr>
              <w:t>29.518589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DD9C5">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80DE5">
            <w:pPr>
              <w:pStyle w:val="69"/>
              <w:spacing w:before="65" w:after="65"/>
              <w:rPr>
                <w:rFonts w:cs="Times New Roman"/>
                <w:color w:val="auto"/>
                <w:highlight w:val="none"/>
              </w:rPr>
            </w:pPr>
            <w:r>
              <w:rPr>
                <w:rFonts w:hint="eastAsia"/>
                <w:color w:val="auto"/>
                <w:highlight w:val="none"/>
              </w:rPr>
              <w:t>1576</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9CDEE">
            <w:pPr>
              <w:pStyle w:val="69"/>
              <w:spacing w:before="65" w:after="65"/>
              <w:rPr>
                <w:rFonts w:cs="Times New Roman"/>
                <w:color w:val="auto"/>
                <w:highlight w:val="none"/>
              </w:rPr>
            </w:pPr>
            <w:r>
              <w:rPr>
                <w:rFonts w:hint="eastAsia"/>
                <w:color w:val="auto"/>
                <w:highlight w:val="none"/>
              </w:rPr>
              <w:t>1586</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DDEBB">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67969">
            <w:pPr>
              <w:pStyle w:val="69"/>
              <w:spacing w:before="65" w:after="65"/>
              <w:rPr>
                <w:rFonts w:cs="Times New Roman"/>
                <w:color w:val="auto"/>
                <w:highlight w:val="none"/>
              </w:rPr>
            </w:pPr>
          </w:p>
        </w:tc>
      </w:tr>
      <w:tr w14:paraId="4D9DB08E">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7C3E835F">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542D704">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F5F89">
            <w:pPr>
              <w:pStyle w:val="69"/>
              <w:spacing w:before="65" w:after="65"/>
              <w:rPr>
                <w:rFonts w:cs="Times New Roman"/>
                <w:color w:val="auto"/>
                <w:highlight w:val="none"/>
              </w:rPr>
            </w:pPr>
            <w:r>
              <w:rPr>
                <w:rFonts w:hint="eastAsia"/>
                <w:color w:val="auto"/>
                <w:highlight w:val="none"/>
              </w:rPr>
              <w:t>影槐村居民点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0F59E">
            <w:pPr>
              <w:pStyle w:val="69"/>
              <w:spacing w:before="65" w:after="65"/>
              <w:rPr>
                <w:rFonts w:cs="Times New Roman"/>
                <w:color w:val="auto"/>
                <w:highlight w:val="none"/>
              </w:rPr>
            </w:pPr>
            <w:r>
              <w:rPr>
                <w:rFonts w:hint="eastAsia"/>
                <w:color w:val="auto"/>
                <w:highlight w:val="none"/>
              </w:rPr>
              <w:t>103.629251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B8923">
            <w:pPr>
              <w:pStyle w:val="69"/>
              <w:spacing w:before="65" w:after="65"/>
              <w:rPr>
                <w:rFonts w:cs="Times New Roman"/>
                <w:color w:val="auto"/>
                <w:highlight w:val="none"/>
              </w:rPr>
            </w:pPr>
            <w:r>
              <w:rPr>
                <w:rFonts w:hint="eastAsia"/>
                <w:color w:val="auto"/>
                <w:highlight w:val="none"/>
              </w:rPr>
              <w:t>29.521016</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68DC47">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D78476">
            <w:pPr>
              <w:pStyle w:val="69"/>
              <w:spacing w:before="65" w:after="65"/>
              <w:rPr>
                <w:rFonts w:cs="Times New Roman"/>
                <w:color w:val="auto"/>
                <w:highlight w:val="none"/>
              </w:rPr>
            </w:pPr>
            <w:r>
              <w:rPr>
                <w:rFonts w:hint="eastAsia"/>
                <w:color w:val="auto"/>
                <w:highlight w:val="none"/>
              </w:rPr>
              <w:t>2131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14F4D">
            <w:pPr>
              <w:pStyle w:val="69"/>
              <w:spacing w:before="65" w:after="65"/>
              <w:rPr>
                <w:rFonts w:cs="Times New Roman"/>
                <w:color w:val="auto"/>
                <w:highlight w:val="none"/>
              </w:rPr>
            </w:pPr>
            <w:r>
              <w:rPr>
                <w:rFonts w:hint="eastAsia"/>
                <w:color w:val="auto"/>
                <w:highlight w:val="none"/>
              </w:rPr>
              <w:t>2141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4C0BCE">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D853F">
            <w:pPr>
              <w:pStyle w:val="69"/>
              <w:spacing w:before="65" w:after="65"/>
              <w:rPr>
                <w:rFonts w:cs="Times New Roman"/>
                <w:color w:val="auto"/>
                <w:highlight w:val="none"/>
              </w:rPr>
            </w:pPr>
          </w:p>
        </w:tc>
      </w:tr>
      <w:tr w14:paraId="39B58360">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358B27C1">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680EDBB">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CF7E1">
            <w:pPr>
              <w:pStyle w:val="69"/>
              <w:spacing w:before="65" w:after="65"/>
              <w:rPr>
                <w:rFonts w:cs="Times New Roman"/>
                <w:color w:val="auto"/>
                <w:highlight w:val="none"/>
              </w:rPr>
            </w:pPr>
            <w:r>
              <w:rPr>
                <w:rFonts w:hint="eastAsia"/>
                <w:color w:val="auto"/>
                <w:highlight w:val="none"/>
              </w:rPr>
              <w:t>胡巷巷居民点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E1727">
            <w:pPr>
              <w:pStyle w:val="69"/>
              <w:spacing w:before="65" w:after="65"/>
              <w:rPr>
                <w:rFonts w:cs="Times New Roman"/>
                <w:color w:val="auto"/>
                <w:highlight w:val="none"/>
              </w:rPr>
            </w:pPr>
            <w:r>
              <w:rPr>
                <w:rFonts w:hint="eastAsia"/>
                <w:color w:val="auto"/>
                <w:highlight w:val="none"/>
              </w:rPr>
              <w:t>103.634010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B17A6">
            <w:pPr>
              <w:pStyle w:val="69"/>
              <w:spacing w:before="65" w:after="65"/>
              <w:rPr>
                <w:rFonts w:cs="Times New Roman"/>
                <w:color w:val="auto"/>
                <w:highlight w:val="none"/>
              </w:rPr>
            </w:pPr>
            <w:r>
              <w:rPr>
                <w:rFonts w:hint="eastAsia"/>
                <w:color w:val="auto"/>
                <w:highlight w:val="none"/>
              </w:rPr>
              <w:t>29.525680</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70508">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58F9EC">
            <w:pPr>
              <w:pStyle w:val="69"/>
              <w:spacing w:before="65" w:after="65"/>
              <w:rPr>
                <w:rFonts w:cs="Times New Roman"/>
                <w:color w:val="auto"/>
                <w:highlight w:val="none"/>
              </w:rPr>
            </w:pPr>
            <w:r>
              <w:rPr>
                <w:rFonts w:hint="eastAsia"/>
                <w:color w:val="auto"/>
                <w:highlight w:val="none"/>
              </w:rPr>
              <w:t>2731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8896F">
            <w:pPr>
              <w:pStyle w:val="69"/>
              <w:spacing w:before="65" w:after="65"/>
              <w:rPr>
                <w:rFonts w:cs="Times New Roman"/>
                <w:color w:val="auto"/>
                <w:highlight w:val="none"/>
              </w:rPr>
            </w:pPr>
            <w:r>
              <w:rPr>
                <w:rFonts w:hint="eastAsia"/>
                <w:color w:val="auto"/>
                <w:highlight w:val="none"/>
              </w:rPr>
              <w:t>2831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D31BB">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99492">
            <w:pPr>
              <w:pStyle w:val="69"/>
              <w:spacing w:before="65" w:after="65"/>
              <w:rPr>
                <w:rFonts w:cs="Times New Roman"/>
                <w:color w:val="auto"/>
                <w:highlight w:val="none"/>
              </w:rPr>
            </w:pPr>
          </w:p>
        </w:tc>
      </w:tr>
      <w:tr w14:paraId="19989BA6">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037DC7A8">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0B6119FA">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E4A2A">
            <w:pPr>
              <w:pStyle w:val="69"/>
              <w:spacing w:before="65" w:after="65"/>
              <w:rPr>
                <w:rFonts w:cs="Times New Roman"/>
                <w:color w:val="auto"/>
                <w:highlight w:val="none"/>
              </w:rPr>
            </w:pPr>
            <w:r>
              <w:rPr>
                <w:rFonts w:hint="eastAsia"/>
                <w:color w:val="auto"/>
                <w:highlight w:val="none"/>
              </w:rPr>
              <w:t>金子坝居民点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FE588">
            <w:pPr>
              <w:pStyle w:val="69"/>
              <w:spacing w:before="65" w:after="65"/>
              <w:rPr>
                <w:rFonts w:cs="Times New Roman"/>
                <w:color w:val="auto"/>
                <w:highlight w:val="none"/>
              </w:rPr>
            </w:pPr>
            <w:r>
              <w:rPr>
                <w:rFonts w:hint="eastAsia"/>
                <w:color w:val="auto"/>
                <w:highlight w:val="none"/>
              </w:rPr>
              <w:t>103.629108</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7555B1">
            <w:pPr>
              <w:pStyle w:val="69"/>
              <w:spacing w:before="65" w:after="65"/>
              <w:rPr>
                <w:rFonts w:cs="Times New Roman"/>
                <w:color w:val="auto"/>
                <w:highlight w:val="none"/>
              </w:rPr>
            </w:pPr>
            <w:r>
              <w:rPr>
                <w:rFonts w:hint="eastAsia"/>
                <w:color w:val="auto"/>
                <w:highlight w:val="none"/>
              </w:rPr>
              <w:t>29.510356</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5457C">
            <w:pPr>
              <w:pStyle w:val="69"/>
              <w:spacing w:before="65" w:after="65"/>
              <w:rPr>
                <w:rFonts w:cs="Times New Roman"/>
                <w:color w:val="auto"/>
                <w:highlight w:val="none"/>
              </w:rPr>
            </w:pPr>
            <w:r>
              <w:rPr>
                <w:rFonts w:hint="eastAsia"/>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78C40">
            <w:pPr>
              <w:pStyle w:val="69"/>
              <w:spacing w:before="65" w:after="65"/>
              <w:rPr>
                <w:rFonts w:cs="Times New Roman"/>
                <w:color w:val="auto"/>
                <w:highlight w:val="none"/>
              </w:rPr>
            </w:pPr>
            <w:r>
              <w:rPr>
                <w:rFonts w:hint="eastAsia"/>
                <w:color w:val="auto"/>
                <w:highlight w:val="none"/>
              </w:rPr>
              <w:t>1391</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C43CC">
            <w:pPr>
              <w:pStyle w:val="69"/>
              <w:spacing w:before="65" w:after="65"/>
              <w:rPr>
                <w:rFonts w:cs="Times New Roman"/>
                <w:color w:val="auto"/>
                <w:highlight w:val="none"/>
              </w:rPr>
            </w:pPr>
            <w:r>
              <w:rPr>
                <w:rFonts w:hint="eastAsia"/>
                <w:color w:val="auto"/>
                <w:highlight w:val="none"/>
              </w:rPr>
              <w:t>1491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01CD10">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4C4A4">
            <w:pPr>
              <w:pStyle w:val="69"/>
              <w:spacing w:before="65" w:after="65"/>
              <w:rPr>
                <w:rFonts w:cs="Times New Roman"/>
                <w:color w:val="auto"/>
                <w:highlight w:val="none"/>
              </w:rPr>
            </w:pPr>
          </w:p>
        </w:tc>
      </w:tr>
      <w:tr w14:paraId="373F604F">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0E980181">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787E6F4D">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0DB14">
            <w:pPr>
              <w:pStyle w:val="69"/>
              <w:spacing w:before="65" w:after="65"/>
              <w:rPr>
                <w:rFonts w:cs="Times New Roman"/>
                <w:color w:val="auto"/>
                <w:highlight w:val="none"/>
              </w:rPr>
            </w:pPr>
            <w:r>
              <w:rPr>
                <w:rFonts w:hint="eastAsia"/>
                <w:color w:val="auto"/>
                <w:highlight w:val="none"/>
              </w:rPr>
              <w:t>易山顶居民点</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615CB7">
            <w:pPr>
              <w:pStyle w:val="69"/>
              <w:spacing w:before="65" w:after="65"/>
              <w:rPr>
                <w:rFonts w:cs="Times New Roman"/>
                <w:color w:val="auto"/>
                <w:highlight w:val="none"/>
              </w:rPr>
            </w:pPr>
            <w:r>
              <w:rPr>
                <w:rFonts w:hint="eastAsia"/>
                <w:color w:val="auto"/>
                <w:highlight w:val="none"/>
              </w:rPr>
              <w:t>103.612928</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2EB923">
            <w:pPr>
              <w:pStyle w:val="69"/>
              <w:spacing w:before="65" w:after="65"/>
              <w:rPr>
                <w:rFonts w:cs="Times New Roman"/>
                <w:color w:val="auto"/>
                <w:highlight w:val="none"/>
              </w:rPr>
            </w:pPr>
            <w:r>
              <w:rPr>
                <w:rFonts w:hint="eastAsia"/>
                <w:color w:val="auto"/>
                <w:highlight w:val="none"/>
              </w:rPr>
              <w:t>29.524538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159B1">
            <w:pPr>
              <w:pStyle w:val="69"/>
              <w:spacing w:before="65" w:after="65"/>
              <w:rPr>
                <w:rFonts w:cs="Times New Roman"/>
                <w:color w:val="auto"/>
                <w:highlight w:val="none"/>
              </w:rPr>
            </w:pPr>
            <w:r>
              <w:rPr>
                <w:rFonts w:hint="eastAsia"/>
                <w:color w:val="auto"/>
                <w:highlight w:val="none"/>
              </w:rPr>
              <w:t>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ABD4E">
            <w:pPr>
              <w:pStyle w:val="69"/>
              <w:spacing w:before="65" w:after="65"/>
              <w:rPr>
                <w:rFonts w:cs="Times New Roman"/>
                <w:color w:val="auto"/>
                <w:highlight w:val="none"/>
              </w:rPr>
            </w:pPr>
            <w:r>
              <w:rPr>
                <w:rFonts w:hint="eastAsia"/>
                <w:color w:val="auto"/>
                <w:highlight w:val="none"/>
              </w:rPr>
              <w:t>1813</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D49A8">
            <w:pPr>
              <w:pStyle w:val="69"/>
              <w:spacing w:before="65" w:after="65"/>
              <w:rPr>
                <w:rFonts w:cs="Times New Roman"/>
                <w:color w:val="auto"/>
                <w:highlight w:val="none"/>
              </w:rPr>
            </w:pPr>
            <w:r>
              <w:rPr>
                <w:rFonts w:hint="eastAsia"/>
                <w:color w:val="auto"/>
                <w:highlight w:val="none"/>
              </w:rPr>
              <w:t>1835</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9F7039">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10B68">
            <w:pPr>
              <w:pStyle w:val="69"/>
              <w:spacing w:before="65" w:after="65"/>
              <w:rPr>
                <w:rFonts w:cs="Times New Roman"/>
                <w:color w:val="auto"/>
                <w:highlight w:val="none"/>
              </w:rPr>
            </w:pPr>
          </w:p>
        </w:tc>
      </w:tr>
      <w:tr w14:paraId="387C91F0">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155E9423">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6865C998">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3C5FB">
            <w:pPr>
              <w:pStyle w:val="69"/>
              <w:spacing w:before="65" w:after="65"/>
              <w:rPr>
                <w:rFonts w:cs="Times New Roman"/>
                <w:color w:val="auto"/>
                <w:highlight w:val="none"/>
              </w:rPr>
            </w:pPr>
            <w:r>
              <w:rPr>
                <w:rFonts w:cs="Times New Roman"/>
                <w:color w:val="auto"/>
                <w:highlight w:val="none"/>
              </w:rPr>
              <w:t>罗汉小学</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EE807">
            <w:pPr>
              <w:pStyle w:val="69"/>
              <w:spacing w:before="65" w:after="65"/>
              <w:rPr>
                <w:rFonts w:cs="Times New Roman"/>
                <w:color w:val="auto"/>
                <w:highlight w:val="none"/>
              </w:rPr>
            </w:pPr>
            <w:r>
              <w:rPr>
                <w:rFonts w:cs="Times New Roman"/>
                <w:color w:val="auto"/>
                <w:highlight w:val="none"/>
              </w:rPr>
              <w:t>103.629517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83713">
            <w:pPr>
              <w:pStyle w:val="69"/>
              <w:spacing w:before="65" w:after="65"/>
              <w:rPr>
                <w:rFonts w:cs="Times New Roman"/>
                <w:color w:val="auto"/>
                <w:highlight w:val="none"/>
              </w:rPr>
            </w:pPr>
            <w:r>
              <w:rPr>
                <w:rFonts w:cs="Times New Roman"/>
                <w:color w:val="auto"/>
                <w:highlight w:val="none"/>
              </w:rPr>
              <w:t>29.514360</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5A845">
            <w:pPr>
              <w:pStyle w:val="69"/>
              <w:spacing w:before="65" w:after="65"/>
              <w:rPr>
                <w:rFonts w:cs="Times New Roman"/>
                <w:color w:val="auto"/>
                <w:highlight w:val="none"/>
              </w:rPr>
            </w:pPr>
            <w:r>
              <w:rPr>
                <w:rFonts w:cs="Times New Roman"/>
                <w:color w:val="auto"/>
                <w:highlight w:val="none"/>
              </w:rPr>
              <w:t>西南侧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54D23">
            <w:pPr>
              <w:pStyle w:val="69"/>
              <w:spacing w:before="65" w:after="65"/>
              <w:rPr>
                <w:rFonts w:cs="Times New Roman"/>
                <w:color w:val="auto"/>
                <w:highlight w:val="none"/>
              </w:rPr>
            </w:pPr>
            <w:r>
              <w:rPr>
                <w:rFonts w:cs="Times New Roman"/>
                <w:color w:val="auto"/>
                <w:highlight w:val="none"/>
              </w:rPr>
              <w:t>1557</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D0B1C">
            <w:pPr>
              <w:pStyle w:val="69"/>
              <w:spacing w:before="65" w:after="65"/>
              <w:rPr>
                <w:rFonts w:cs="Times New Roman"/>
                <w:color w:val="auto"/>
                <w:highlight w:val="none"/>
              </w:rPr>
            </w:pPr>
            <w:r>
              <w:rPr>
                <w:rFonts w:cs="Times New Roman"/>
                <w:color w:val="auto"/>
                <w:highlight w:val="none"/>
              </w:rPr>
              <w:t>1567</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01162">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798C5">
            <w:pPr>
              <w:pStyle w:val="69"/>
              <w:spacing w:before="65" w:after="65"/>
              <w:rPr>
                <w:rFonts w:cs="Times New Roman"/>
                <w:color w:val="auto"/>
                <w:highlight w:val="none"/>
              </w:rPr>
            </w:pPr>
          </w:p>
        </w:tc>
      </w:tr>
      <w:tr w14:paraId="1F8279E9">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1DF76BE5">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37F30383">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DA91D5">
            <w:pPr>
              <w:pStyle w:val="69"/>
              <w:spacing w:before="65" w:after="65"/>
              <w:rPr>
                <w:rFonts w:cs="Times New Roman"/>
                <w:color w:val="auto"/>
                <w:highlight w:val="none"/>
              </w:rPr>
            </w:pPr>
            <w:r>
              <w:rPr>
                <w:rFonts w:cs="Times New Roman"/>
                <w:color w:val="auto"/>
                <w:highlight w:val="none"/>
              </w:rPr>
              <w:t>乐山市市中区罗汉镇卫生院</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958AA">
            <w:pPr>
              <w:pStyle w:val="69"/>
              <w:spacing w:before="65" w:after="65"/>
              <w:rPr>
                <w:rFonts w:cs="Times New Roman"/>
                <w:color w:val="auto"/>
                <w:highlight w:val="none"/>
              </w:rPr>
            </w:pPr>
            <w:r>
              <w:rPr>
                <w:rFonts w:cs="Times New Roman"/>
                <w:color w:val="auto"/>
                <w:highlight w:val="none"/>
              </w:rPr>
              <w:t>103.634496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6B6C1E">
            <w:pPr>
              <w:pStyle w:val="69"/>
              <w:spacing w:before="65" w:after="65"/>
              <w:rPr>
                <w:rFonts w:cs="Times New Roman"/>
                <w:color w:val="auto"/>
                <w:highlight w:val="none"/>
              </w:rPr>
            </w:pPr>
            <w:r>
              <w:rPr>
                <w:rFonts w:cs="Times New Roman"/>
                <w:color w:val="auto"/>
                <w:highlight w:val="none"/>
              </w:rPr>
              <w:t>29.512729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F9197">
            <w:pPr>
              <w:pStyle w:val="69"/>
              <w:spacing w:before="65" w:after="65"/>
              <w:rPr>
                <w:rFonts w:cs="Times New Roman"/>
                <w:color w:val="auto"/>
                <w:highlight w:val="none"/>
              </w:rPr>
            </w:pPr>
            <w:r>
              <w:rPr>
                <w:rFonts w:cs="Times New Roman"/>
                <w:color w:val="auto"/>
                <w:highlight w:val="none"/>
              </w:rPr>
              <w:t>西南侧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12DC3">
            <w:pPr>
              <w:pStyle w:val="69"/>
              <w:spacing w:before="65" w:after="65"/>
              <w:rPr>
                <w:rFonts w:cs="Times New Roman"/>
                <w:color w:val="auto"/>
                <w:highlight w:val="none"/>
              </w:rPr>
            </w:pPr>
            <w:r>
              <w:rPr>
                <w:rFonts w:cs="Times New Roman"/>
                <w:color w:val="auto"/>
                <w:highlight w:val="none"/>
              </w:rPr>
              <w:t>1929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57EDC">
            <w:pPr>
              <w:pStyle w:val="69"/>
              <w:spacing w:before="65" w:after="65"/>
              <w:rPr>
                <w:rFonts w:cs="Times New Roman"/>
                <w:color w:val="auto"/>
                <w:highlight w:val="none"/>
              </w:rPr>
            </w:pPr>
            <w:r>
              <w:rPr>
                <w:rFonts w:cs="Times New Roman"/>
                <w:color w:val="auto"/>
                <w:highlight w:val="none"/>
              </w:rPr>
              <w:t>1941</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40A2C7">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17280">
            <w:pPr>
              <w:pStyle w:val="69"/>
              <w:spacing w:before="65" w:after="65"/>
              <w:rPr>
                <w:rFonts w:cs="Times New Roman"/>
                <w:color w:val="auto"/>
                <w:highlight w:val="none"/>
              </w:rPr>
            </w:pPr>
          </w:p>
        </w:tc>
      </w:tr>
      <w:tr w14:paraId="0977FFE1">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6B8B9837">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655B5523">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E13ED">
            <w:pPr>
              <w:pStyle w:val="69"/>
              <w:spacing w:before="65" w:after="65"/>
              <w:rPr>
                <w:rFonts w:cs="Times New Roman"/>
                <w:color w:val="auto"/>
                <w:highlight w:val="none"/>
              </w:rPr>
            </w:pPr>
            <w:r>
              <w:rPr>
                <w:rFonts w:cs="Times New Roman"/>
                <w:color w:val="auto"/>
                <w:highlight w:val="none"/>
              </w:rPr>
              <w:t>水口镇中心幼儿园罗汉分园</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F60BD">
            <w:pPr>
              <w:pStyle w:val="69"/>
              <w:spacing w:before="65" w:after="65"/>
              <w:rPr>
                <w:rFonts w:cs="Times New Roman"/>
                <w:color w:val="auto"/>
                <w:highlight w:val="none"/>
              </w:rPr>
            </w:pPr>
            <w:r>
              <w:rPr>
                <w:rFonts w:cs="Times New Roman"/>
                <w:color w:val="auto"/>
                <w:highlight w:val="none"/>
              </w:rPr>
              <w:t>103.630011</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1EED08">
            <w:pPr>
              <w:pStyle w:val="69"/>
              <w:spacing w:before="65" w:after="65"/>
              <w:rPr>
                <w:rFonts w:cs="Times New Roman"/>
                <w:color w:val="auto"/>
                <w:highlight w:val="none"/>
              </w:rPr>
            </w:pPr>
            <w:r>
              <w:rPr>
                <w:rFonts w:cs="Times New Roman"/>
                <w:color w:val="auto"/>
                <w:highlight w:val="none"/>
              </w:rPr>
              <w:t>29.515369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8127E">
            <w:pPr>
              <w:pStyle w:val="69"/>
              <w:spacing w:before="65" w:after="65"/>
              <w:rPr>
                <w:rFonts w:cs="Times New Roman"/>
                <w:color w:val="auto"/>
                <w:highlight w:val="none"/>
              </w:rPr>
            </w:pPr>
            <w:r>
              <w:rPr>
                <w:rFonts w:cs="Times New Roman"/>
                <w:color w:val="auto"/>
                <w:highlight w:val="none"/>
              </w:rPr>
              <w:t>西南侧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A234B">
            <w:pPr>
              <w:pStyle w:val="69"/>
              <w:spacing w:before="65" w:after="65"/>
              <w:rPr>
                <w:rFonts w:cs="Times New Roman"/>
                <w:color w:val="auto"/>
                <w:highlight w:val="none"/>
              </w:rPr>
            </w:pPr>
            <w:r>
              <w:rPr>
                <w:rFonts w:cs="Times New Roman"/>
                <w:color w:val="auto"/>
                <w:highlight w:val="none"/>
              </w:rPr>
              <w:t>1704</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D8E4F0">
            <w:pPr>
              <w:pStyle w:val="69"/>
              <w:spacing w:before="65" w:after="65"/>
              <w:rPr>
                <w:rFonts w:cs="Times New Roman"/>
                <w:color w:val="auto"/>
                <w:highlight w:val="none"/>
              </w:rPr>
            </w:pPr>
            <w:r>
              <w:rPr>
                <w:rFonts w:cs="Times New Roman"/>
                <w:color w:val="auto"/>
                <w:highlight w:val="none"/>
              </w:rPr>
              <w:t>1720</w:t>
            </w:r>
          </w:p>
        </w:tc>
        <w:tc>
          <w:tcPr>
            <w:tcW w:w="28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3AC38">
            <w:pPr>
              <w:pStyle w:val="69"/>
              <w:spacing w:before="65" w:after="65"/>
              <w:rPr>
                <w:rFonts w:cs="Times New Roman"/>
                <w:color w:val="auto"/>
                <w:highlight w:val="none"/>
              </w:rPr>
            </w:pP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82C2CD">
            <w:pPr>
              <w:pStyle w:val="69"/>
              <w:spacing w:before="65" w:after="65"/>
              <w:rPr>
                <w:rFonts w:cs="Times New Roman"/>
                <w:color w:val="auto"/>
                <w:highlight w:val="none"/>
              </w:rPr>
            </w:pPr>
          </w:p>
        </w:tc>
      </w:tr>
      <w:tr w14:paraId="72CC5A8A">
        <w:tblPrEx>
          <w:tblCellMar>
            <w:top w:w="0" w:type="dxa"/>
            <w:left w:w="108" w:type="dxa"/>
            <w:bottom w:w="0" w:type="dxa"/>
            <w:right w:w="108" w:type="dxa"/>
          </w:tblCellMar>
        </w:tblPrEx>
        <w:trPr>
          <w:trHeight w:val="270" w:hRule="atLeast"/>
        </w:trPr>
        <w:tc>
          <w:tcPr>
            <w:tcW w:w="357" w:type="pct"/>
            <w:vMerge w:val="continue"/>
            <w:tcBorders>
              <w:left w:val="single" w:color="000000" w:sz="4" w:space="0"/>
              <w:right w:val="single" w:color="000000" w:sz="4" w:space="0"/>
            </w:tcBorders>
            <w:shd w:val="clear" w:color="auto" w:fill="FFFFFF"/>
            <w:noWrap/>
            <w:vAlign w:val="center"/>
          </w:tcPr>
          <w:p w14:paraId="5BA00033">
            <w:pPr>
              <w:pStyle w:val="69"/>
              <w:spacing w:before="65" w:after="65"/>
              <w:rPr>
                <w:rFonts w:cs="Times New Roman"/>
                <w:color w:val="auto"/>
                <w:highlight w:val="none"/>
              </w:rPr>
            </w:pPr>
          </w:p>
        </w:tc>
        <w:tc>
          <w:tcPr>
            <w:tcW w:w="301" w:type="pct"/>
            <w:vMerge w:val="continue"/>
            <w:tcBorders>
              <w:left w:val="single" w:color="000000" w:sz="4" w:space="0"/>
              <w:right w:val="single" w:color="000000" w:sz="4" w:space="0"/>
            </w:tcBorders>
            <w:shd w:val="clear" w:color="auto" w:fill="FFFFFF"/>
            <w:noWrap/>
            <w:vAlign w:val="center"/>
          </w:tcPr>
          <w:p w14:paraId="24349DD7">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7F782">
            <w:pPr>
              <w:pStyle w:val="69"/>
              <w:spacing w:before="65" w:after="65"/>
              <w:rPr>
                <w:rFonts w:cs="Times New Roman"/>
                <w:color w:val="auto"/>
                <w:highlight w:val="none"/>
              </w:rPr>
            </w:pPr>
            <w:r>
              <w:rPr>
                <w:rFonts w:cs="Times New Roman"/>
                <w:color w:val="auto"/>
                <w:highlight w:val="none"/>
              </w:rPr>
              <w:t>罗汉中学</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EE4C3">
            <w:pPr>
              <w:pStyle w:val="69"/>
              <w:spacing w:before="65" w:after="65"/>
              <w:rPr>
                <w:rFonts w:cs="Times New Roman"/>
                <w:color w:val="auto"/>
                <w:highlight w:val="none"/>
              </w:rPr>
            </w:pPr>
            <w:r>
              <w:rPr>
                <w:rFonts w:cs="Times New Roman"/>
                <w:color w:val="auto"/>
                <w:highlight w:val="none"/>
              </w:rPr>
              <w:t>103.636255</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AB89A">
            <w:pPr>
              <w:pStyle w:val="69"/>
              <w:spacing w:before="65" w:after="65"/>
              <w:rPr>
                <w:rFonts w:cs="Times New Roman"/>
                <w:color w:val="auto"/>
                <w:highlight w:val="none"/>
              </w:rPr>
            </w:pPr>
            <w:r>
              <w:rPr>
                <w:rFonts w:cs="Times New Roman"/>
                <w:color w:val="auto"/>
                <w:highlight w:val="none"/>
              </w:rPr>
              <w:t>29.523802</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8A26A">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BBEBB">
            <w:pPr>
              <w:pStyle w:val="69"/>
              <w:spacing w:before="65" w:after="65"/>
              <w:rPr>
                <w:rFonts w:cs="Times New Roman"/>
                <w:color w:val="auto"/>
                <w:highlight w:val="none"/>
              </w:rPr>
            </w:pPr>
            <w:r>
              <w:rPr>
                <w:rFonts w:cs="Times New Roman"/>
                <w:color w:val="auto"/>
                <w:highlight w:val="none"/>
              </w:rPr>
              <w:t>2769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10072">
            <w:pPr>
              <w:pStyle w:val="69"/>
              <w:spacing w:before="65" w:after="65"/>
              <w:rPr>
                <w:rFonts w:cs="Times New Roman"/>
                <w:color w:val="auto"/>
                <w:highlight w:val="none"/>
              </w:rPr>
            </w:pPr>
            <w:r>
              <w:rPr>
                <w:rFonts w:cs="Times New Roman"/>
                <w:color w:val="auto"/>
                <w:highlight w:val="none"/>
              </w:rPr>
              <w:t>2783</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B00A2">
            <w:pPr>
              <w:pStyle w:val="69"/>
              <w:spacing w:before="65" w:after="65"/>
              <w:rPr>
                <w:rFonts w:cs="Times New Roman"/>
                <w:color w:val="auto"/>
                <w:highlight w:val="none"/>
              </w:rPr>
            </w:pPr>
            <w:r>
              <w:rPr>
                <w:rFonts w:hint="eastAsia" w:cs="Times New Roman"/>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44449">
            <w:pPr>
              <w:pStyle w:val="69"/>
              <w:spacing w:before="65" w:after="65"/>
              <w:rPr>
                <w:rFonts w:cs="Times New Roman"/>
                <w:color w:val="auto"/>
                <w:highlight w:val="none"/>
              </w:rPr>
            </w:pPr>
          </w:p>
        </w:tc>
      </w:tr>
      <w:tr w14:paraId="1AC6D4FF">
        <w:tblPrEx>
          <w:tblCellMar>
            <w:top w:w="0" w:type="dxa"/>
            <w:left w:w="108" w:type="dxa"/>
            <w:bottom w:w="0" w:type="dxa"/>
            <w:right w:w="108" w:type="dxa"/>
          </w:tblCellMar>
        </w:tblPrEx>
        <w:trPr>
          <w:trHeight w:val="270" w:hRule="atLeast"/>
        </w:trPr>
        <w:tc>
          <w:tcPr>
            <w:tcW w:w="357" w:type="pct"/>
            <w:vMerge w:val="continue"/>
            <w:tcBorders>
              <w:left w:val="single" w:color="000000" w:sz="4" w:space="0"/>
              <w:bottom w:val="single" w:color="000000" w:sz="4" w:space="0"/>
              <w:right w:val="single" w:color="000000" w:sz="4" w:space="0"/>
            </w:tcBorders>
            <w:shd w:val="clear" w:color="auto" w:fill="FFFFFF"/>
            <w:noWrap/>
            <w:vAlign w:val="center"/>
          </w:tcPr>
          <w:p w14:paraId="24BA5EEA">
            <w:pPr>
              <w:pStyle w:val="69"/>
              <w:spacing w:before="65" w:after="65"/>
              <w:rPr>
                <w:rFonts w:cs="Times New Roman"/>
                <w:color w:val="auto"/>
                <w:highlight w:val="none"/>
              </w:rPr>
            </w:pPr>
          </w:p>
        </w:tc>
        <w:tc>
          <w:tcPr>
            <w:tcW w:w="301" w:type="pct"/>
            <w:vMerge w:val="continue"/>
            <w:tcBorders>
              <w:left w:val="single" w:color="000000" w:sz="4" w:space="0"/>
              <w:bottom w:val="single" w:color="000000" w:sz="4" w:space="0"/>
              <w:right w:val="single" w:color="000000" w:sz="4" w:space="0"/>
            </w:tcBorders>
            <w:shd w:val="clear" w:color="auto" w:fill="FFFFFF"/>
            <w:noWrap/>
            <w:vAlign w:val="center"/>
          </w:tcPr>
          <w:p w14:paraId="1CD7F760">
            <w:pPr>
              <w:pStyle w:val="69"/>
              <w:spacing w:before="65" w:after="65"/>
              <w:rPr>
                <w:rFonts w:cs="Times New Roman"/>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9D27A">
            <w:pPr>
              <w:pStyle w:val="69"/>
              <w:spacing w:before="65" w:after="65"/>
              <w:rPr>
                <w:rFonts w:cs="Times New Roman"/>
                <w:color w:val="auto"/>
                <w:highlight w:val="none"/>
              </w:rPr>
            </w:pPr>
            <w:r>
              <w:rPr>
                <w:rFonts w:cs="Times New Roman"/>
                <w:color w:val="auto"/>
                <w:highlight w:val="none"/>
              </w:rPr>
              <w:t>红猫堰</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C596D">
            <w:pPr>
              <w:pStyle w:val="69"/>
              <w:spacing w:before="65" w:after="65"/>
              <w:rPr>
                <w:rFonts w:cs="Times New Roman"/>
                <w:color w:val="auto"/>
                <w:highlight w:val="none"/>
              </w:rPr>
            </w:pPr>
            <w:r>
              <w:rPr>
                <w:rFonts w:hint="eastAsia" w:cs="Times New Roman"/>
                <w:color w:val="auto"/>
                <w:highlight w:val="none"/>
              </w:rPr>
              <w:t>/</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F92E5">
            <w:pPr>
              <w:pStyle w:val="69"/>
              <w:spacing w:before="65" w:after="65"/>
              <w:rPr>
                <w:rFonts w:cs="Times New Roman"/>
                <w:color w:val="auto"/>
                <w:highlight w:val="none"/>
              </w:rPr>
            </w:pPr>
            <w:r>
              <w:rPr>
                <w:rFonts w:hint="eastAsia" w:cs="Times New Roman"/>
                <w:color w:val="auto"/>
                <w:highlight w:val="none"/>
              </w:rPr>
              <w:t>/</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35567">
            <w:pPr>
              <w:pStyle w:val="69"/>
              <w:spacing w:before="65" w:after="65"/>
              <w:rPr>
                <w:rFonts w:cs="Times New Roman"/>
                <w:color w:val="auto"/>
                <w:highlight w:val="none"/>
              </w:rPr>
            </w:pPr>
            <w:r>
              <w:rPr>
                <w:rFonts w:hint="eastAsia" w:cs="Times New Roman"/>
                <w:color w:val="auto"/>
                <w:highlight w:val="none"/>
              </w:rPr>
              <w:t>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00DB6">
            <w:pPr>
              <w:pStyle w:val="69"/>
              <w:spacing w:before="65" w:after="65"/>
              <w:rPr>
                <w:rFonts w:cs="Times New Roman"/>
                <w:color w:val="auto"/>
                <w:highlight w:val="none"/>
              </w:rPr>
            </w:pPr>
            <w:r>
              <w:rPr>
                <w:rFonts w:hint="eastAsia" w:cs="Times New Roman"/>
                <w:color w:val="auto"/>
                <w:highlight w:val="none"/>
              </w:rPr>
              <w:t>10</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AC8EC">
            <w:pPr>
              <w:pStyle w:val="69"/>
              <w:spacing w:before="65" w:after="65"/>
              <w:rPr>
                <w:rFonts w:cs="Times New Roman"/>
                <w:color w:val="auto"/>
                <w:highlight w:val="none"/>
              </w:rPr>
            </w:pPr>
            <w:r>
              <w:rPr>
                <w:rFonts w:hint="eastAsia" w:cs="Times New Roman"/>
                <w:color w:val="auto"/>
                <w:highlight w:val="none"/>
              </w:rPr>
              <w:t>30</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ADC5A">
            <w:pPr>
              <w:pStyle w:val="69"/>
              <w:spacing w:before="65" w:after="65"/>
              <w:rPr>
                <w:rFonts w:cs="Times New Roman"/>
                <w:color w:val="auto"/>
                <w:highlight w:val="none"/>
              </w:rPr>
            </w:pPr>
          </w:p>
        </w:tc>
        <w:tc>
          <w:tcPr>
            <w:tcW w:w="6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441A3">
            <w:pPr>
              <w:pStyle w:val="69"/>
              <w:spacing w:before="65" w:after="65"/>
              <w:rPr>
                <w:rFonts w:cs="Times New Roman"/>
                <w:color w:val="auto"/>
                <w:highlight w:val="none"/>
              </w:rPr>
            </w:pPr>
            <w:r>
              <w:rPr>
                <w:rFonts w:hint="eastAsia" w:cs="Times New Roman"/>
                <w:color w:val="auto"/>
                <w:highlight w:val="none"/>
              </w:rPr>
              <w:t>/</w:t>
            </w:r>
          </w:p>
        </w:tc>
      </w:tr>
      <w:tr w14:paraId="6EADBA79">
        <w:tblPrEx>
          <w:tblCellMar>
            <w:top w:w="0" w:type="dxa"/>
            <w:left w:w="108" w:type="dxa"/>
            <w:bottom w:w="0" w:type="dxa"/>
            <w:right w:w="108" w:type="dxa"/>
          </w:tblCellMar>
        </w:tblPrEx>
        <w:trPr>
          <w:trHeight w:val="27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5F8C0">
            <w:pPr>
              <w:pStyle w:val="69"/>
              <w:spacing w:before="65" w:after="65"/>
              <w:rPr>
                <w:rFonts w:cs="Times New Roman"/>
                <w:color w:val="auto"/>
                <w:highlight w:val="none"/>
              </w:rPr>
            </w:pPr>
            <w:r>
              <w:rPr>
                <w:rFonts w:cs="Times New Roman"/>
                <w:color w:val="auto"/>
                <w:highlight w:val="none"/>
              </w:rPr>
              <w:t>地表水环境</w:t>
            </w: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4CDD9">
            <w:pPr>
              <w:pStyle w:val="69"/>
              <w:spacing w:before="65" w:after="65"/>
              <w:rPr>
                <w:rFonts w:cs="Times New Roman"/>
                <w:color w:val="auto"/>
                <w:highlight w:val="none"/>
              </w:rPr>
            </w:pPr>
            <w:r>
              <w:rPr>
                <w:rFonts w:cs="Times New Roman"/>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9A71E">
            <w:pPr>
              <w:pStyle w:val="69"/>
              <w:spacing w:before="65" w:after="65"/>
              <w:rPr>
                <w:rFonts w:cs="Times New Roman"/>
                <w:color w:val="auto"/>
                <w:highlight w:val="none"/>
              </w:rPr>
            </w:pPr>
            <w:r>
              <w:rPr>
                <w:rFonts w:cs="Times New Roman"/>
                <w:color w:val="auto"/>
                <w:highlight w:val="none"/>
              </w:rPr>
              <w:t>四川沙湾大渡河国家湿地公园</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ED06F6">
            <w:pPr>
              <w:pStyle w:val="69"/>
              <w:spacing w:before="65" w:after="65"/>
              <w:rPr>
                <w:rFonts w:cs="Times New Roman"/>
                <w:color w:val="auto"/>
                <w:highlight w:val="none"/>
              </w:rPr>
            </w:pPr>
            <w:r>
              <w:rPr>
                <w:rFonts w:cs="Times New Roman"/>
                <w:color w:val="auto"/>
                <w:highlight w:val="none"/>
              </w:rPr>
              <w:t>103.616514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0D5C5">
            <w:pPr>
              <w:pStyle w:val="69"/>
              <w:spacing w:before="65" w:after="65"/>
              <w:rPr>
                <w:rFonts w:cs="Times New Roman"/>
                <w:color w:val="auto"/>
                <w:highlight w:val="none"/>
              </w:rPr>
            </w:pPr>
            <w:r>
              <w:rPr>
                <w:rFonts w:cs="Times New Roman"/>
                <w:color w:val="auto"/>
                <w:highlight w:val="none"/>
              </w:rPr>
              <w:t>29.493675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CE91">
            <w:pPr>
              <w:pStyle w:val="69"/>
              <w:spacing w:before="65" w:after="65"/>
              <w:rPr>
                <w:rFonts w:cs="Times New Roman"/>
                <w:color w:val="auto"/>
                <w:highlight w:val="none"/>
              </w:rPr>
            </w:pPr>
            <w:r>
              <w:rPr>
                <w:rFonts w:cs="Times New Roman"/>
                <w:color w:val="auto"/>
                <w:highlight w:val="none"/>
              </w:rPr>
              <w:t>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26F03">
            <w:pPr>
              <w:pStyle w:val="69"/>
              <w:spacing w:before="65" w:after="65"/>
              <w:rPr>
                <w:rFonts w:cs="Times New Roman"/>
                <w:color w:val="auto"/>
                <w:highlight w:val="none"/>
              </w:rPr>
            </w:pPr>
            <w:r>
              <w:rPr>
                <w:rFonts w:hint="eastAsia" w:cs="Times New Roman"/>
                <w:color w:val="auto"/>
                <w:highlight w:val="none"/>
              </w:rPr>
              <w:t>655</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993DD">
            <w:pPr>
              <w:pStyle w:val="69"/>
              <w:spacing w:before="65" w:after="65"/>
              <w:rPr>
                <w:rFonts w:cs="Times New Roman"/>
                <w:color w:val="auto"/>
                <w:highlight w:val="none"/>
              </w:rPr>
            </w:pPr>
            <w:r>
              <w:rPr>
                <w:rFonts w:hint="eastAsia" w:cs="Times New Roman"/>
                <w:color w:val="auto"/>
                <w:highlight w:val="none"/>
              </w:rPr>
              <w:t>679</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A73F5">
            <w:pPr>
              <w:pStyle w:val="69"/>
              <w:spacing w:before="65" w:after="65"/>
              <w:rPr>
                <w:rFonts w:cs="Times New Roman"/>
                <w:color w:val="auto"/>
                <w:highlight w:val="none"/>
              </w:rPr>
            </w:pPr>
            <w:r>
              <w:rPr>
                <w:rFonts w:cs="Times New Roman"/>
                <w:color w:val="auto"/>
                <w:highlight w:val="none"/>
              </w:rPr>
              <w:t>/</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AF3C6B">
            <w:pPr>
              <w:pStyle w:val="69"/>
              <w:spacing w:before="65" w:after="65"/>
              <w:rPr>
                <w:rFonts w:cs="Times New Roman"/>
                <w:color w:val="auto"/>
                <w:highlight w:val="none"/>
              </w:rPr>
            </w:pPr>
            <w:r>
              <w:rPr>
                <w:rFonts w:cs="Times New Roman"/>
                <w:color w:val="auto"/>
                <w:highlight w:val="none"/>
              </w:rPr>
              <w:t>GB3838-2002中Ⅲ类</w:t>
            </w:r>
          </w:p>
        </w:tc>
      </w:tr>
      <w:tr w14:paraId="340A7ACA">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7997D">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808AE">
            <w:pPr>
              <w:pStyle w:val="69"/>
              <w:spacing w:before="65" w:after="65"/>
              <w:rPr>
                <w:rFonts w:cs="Times New Roman"/>
                <w:color w:val="auto"/>
                <w:highlight w:val="none"/>
              </w:rPr>
            </w:pPr>
            <w:r>
              <w:rPr>
                <w:rFonts w:cs="Times New Roman"/>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1E4DC">
            <w:pPr>
              <w:pStyle w:val="69"/>
              <w:spacing w:before="65" w:after="65"/>
              <w:rPr>
                <w:rFonts w:cs="Times New Roman"/>
                <w:color w:val="auto"/>
                <w:highlight w:val="none"/>
              </w:rPr>
            </w:pPr>
            <w:r>
              <w:rPr>
                <w:rFonts w:cs="Times New Roman"/>
                <w:color w:val="auto"/>
                <w:highlight w:val="none"/>
              </w:rPr>
              <w:t>乐山市大渡河安谷电站库区集中式饮用水水源</w:t>
            </w:r>
            <w:r>
              <w:rPr>
                <w:rFonts w:hint="eastAsia" w:cs="Times New Roman"/>
                <w:color w:val="auto"/>
                <w:highlight w:val="none"/>
              </w:rPr>
              <w:t>二级</w:t>
            </w:r>
            <w:r>
              <w:rPr>
                <w:rFonts w:cs="Times New Roman"/>
                <w:color w:val="auto"/>
                <w:highlight w:val="none"/>
              </w:rPr>
              <w:t>保护区</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15AA42">
            <w:pPr>
              <w:pStyle w:val="69"/>
              <w:spacing w:before="65" w:after="65"/>
              <w:rPr>
                <w:rFonts w:cs="Times New Roman"/>
                <w:color w:val="auto"/>
                <w:highlight w:val="none"/>
              </w:rPr>
            </w:pPr>
            <w:r>
              <w:rPr>
                <w:rFonts w:cs="Times New Roman"/>
                <w:color w:val="auto"/>
                <w:highlight w:val="none"/>
              </w:rPr>
              <w:t>/</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173C1">
            <w:pPr>
              <w:pStyle w:val="69"/>
              <w:spacing w:before="65" w:after="65"/>
              <w:rPr>
                <w:rFonts w:cs="Times New Roman"/>
                <w:color w:val="auto"/>
                <w:highlight w:val="none"/>
              </w:rPr>
            </w:pPr>
            <w:r>
              <w:rPr>
                <w:rFonts w:cs="Times New Roman"/>
                <w:color w:val="auto"/>
                <w:highlight w:val="none"/>
              </w:rPr>
              <w:t>/</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27B6B">
            <w:pPr>
              <w:pStyle w:val="69"/>
              <w:spacing w:before="65" w:after="65"/>
              <w:rPr>
                <w:rFonts w:cs="Times New Roman"/>
                <w:color w:val="auto"/>
                <w:highlight w:val="none"/>
              </w:rPr>
            </w:pPr>
            <w:r>
              <w:rPr>
                <w:rFonts w:cs="Times New Roman"/>
                <w:color w:val="auto"/>
                <w:highlight w:val="none"/>
              </w:rPr>
              <w:t>东南侧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B59C93">
            <w:pPr>
              <w:pStyle w:val="69"/>
              <w:spacing w:before="65" w:after="65"/>
              <w:rPr>
                <w:rFonts w:cs="Times New Roman"/>
                <w:color w:val="auto"/>
                <w:highlight w:val="none"/>
              </w:rPr>
            </w:pPr>
            <w:r>
              <w:rPr>
                <w:rFonts w:cs="Times New Roman"/>
                <w:color w:val="auto"/>
                <w:highlight w:val="none"/>
              </w:rPr>
              <w:t>12</w:t>
            </w:r>
            <w:r>
              <w:rPr>
                <w:rFonts w:hint="eastAsia" w:cs="Times New Roman"/>
                <w:color w:val="auto"/>
                <w:highlight w:val="none"/>
              </w:rPr>
              <w:t>59</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49209">
            <w:pPr>
              <w:pStyle w:val="69"/>
              <w:spacing w:before="65" w:after="65"/>
              <w:rPr>
                <w:rFonts w:cs="Times New Roman"/>
                <w:color w:val="auto"/>
                <w:highlight w:val="none"/>
              </w:rPr>
            </w:pPr>
            <w:r>
              <w:rPr>
                <w:rFonts w:cs="Times New Roman"/>
                <w:color w:val="auto"/>
                <w:highlight w:val="none"/>
              </w:rPr>
              <w:t>12</w:t>
            </w:r>
            <w:r>
              <w:rPr>
                <w:rFonts w:hint="eastAsia" w:cs="Times New Roman"/>
                <w:color w:val="auto"/>
                <w:highlight w:val="none"/>
              </w:rPr>
              <w:t>69</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34CEB">
            <w:pPr>
              <w:pStyle w:val="69"/>
              <w:spacing w:before="65" w:after="65"/>
              <w:rPr>
                <w:rFonts w:cs="Times New Roman"/>
                <w:color w:val="auto"/>
                <w:highlight w:val="none"/>
              </w:rPr>
            </w:pPr>
            <w:r>
              <w:rPr>
                <w:rFonts w:cs="Times New Roman"/>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CAB18F">
            <w:pPr>
              <w:pStyle w:val="69"/>
              <w:spacing w:before="65" w:after="65"/>
              <w:rPr>
                <w:rFonts w:cs="Times New Roman"/>
                <w:color w:val="auto"/>
                <w:highlight w:val="none"/>
              </w:rPr>
            </w:pPr>
          </w:p>
        </w:tc>
      </w:tr>
      <w:tr w14:paraId="7FF06660">
        <w:tblPrEx>
          <w:tblCellMar>
            <w:top w:w="0" w:type="dxa"/>
            <w:left w:w="108" w:type="dxa"/>
            <w:bottom w:w="0" w:type="dxa"/>
            <w:right w:w="108" w:type="dxa"/>
          </w:tblCellMar>
        </w:tblPrEx>
        <w:trPr>
          <w:trHeight w:val="270" w:hRule="atLeast"/>
        </w:trPr>
        <w:tc>
          <w:tcPr>
            <w:tcW w:w="35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567EF">
            <w:pPr>
              <w:pStyle w:val="69"/>
              <w:spacing w:before="65" w:after="65"/>
              <w:rPr>
                <w:rFonts w:cs="Times New Roman"/>
                <w:color w:val="auto"/>
                <w:highlight w:val="none"/>
              </w:rPr>
            </w:pPr>
            <w:r>
              <w:rPr>
                <w:rFonts w:cs="Times New Roman"/>
                <w:color w:val="auto"/>
                <w:highlight w:val="none"/>
              </w:rPr>
              <w:t>地下水环境</w:t>
            </w: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40F969">
            <w:pPr>
              <w:pStyle w:val="69"/>
              <w:spacing w:before="65" w:after="65"/>
              <w:rPr>
                <w:rFonts w:cs="Times New Roman"/>
                <w:color w:val="auto"/>
                <w:highlight w:val="none"/>
              </w:rPr>
            </w:pPr>
            <w:r>
              <w:rPr>
                <w:rFonts w:cs="Times New Roman"/>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D3D30">
            <w:pPr>
              <w:pStyle w:val="69"/>
              <w:spacing w:before="65" w:after="65"/>
              <w:rPr>
                <w:rFonts w:cs="Times New Roman"/>
                <w:color w:val="auto"/>
                <w:highlight w:val="none"/>
              </w:rPr>
            </w:pPr>
            <w:r>
              <w:rPr>
                <w:rFonts w:cs="Times New Roman"/>
                <w:color w:val="auto"/>
                <w:highlight w:val="none"/>
              </w:rPr>
              <w:t>W1</w:t>
            </w:r>
            <w:r>
              <w:rPr>
                <w:rFonts w:hint="eastAsia"/>
                <w:color w:val="auto"/>
                <w:highlight w:val="none"/>
              </w:rPr>
              <w:t>（居民井）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120A5">
            <w:pPr>
              <w:pStyle w:val="69"/>
              <w:spacing w:before="65" w:after="65"/>
              <w:rPr>
                <w:rFonts w:cs="Times New Roman"/>
                <w:color w:val="auto"/>
                <w:highlight w:val="none"/>
              </w:rPr>
            </w:pPr>
            <w:r>
              <w:rPr>
                <w:rFonts w:cs="Times New Roman"/>
                <w:color w:val="auto"/>
                <w:highlight w:val="none"/>
              </w:rPr>
              <w:t>103.5987482</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E3B5A">
            <w:pPr>
              <w:pStyle w:val="69"/>
              <w:spacing w:before="65" w:after="65"/>
              <w:rPr>
                <w:rFonts w:cs="Times New Roman"/>
                <w:color w:val="auto"/>
                <w:highlight w:val="none"/>
              </w:rPr>
            </w:pPr>
            <w:r>
              <w:rPr>
                <w:rFonts w:cs="Times New Roman"/>
                <w:color w:val="auto"/>
                <w:highlight w:val="none"/>
              </w:rPr>
              <w:t>29.5012661</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7A444">
            <w:pPr>
              <w:pStyle w:val="69"/>
              <w:spacing w:before="65" w:after="65"/>
              <w:rPr>
                <w:rFonts w:cs="Times New Roman"/>
                <w:color w:val="auto"/>
                <w:highlight w:val="none"/>
              </w:rPr>
            </w:pPr>
            <w:r>
              <w:rPr>
                <w:rFonts w:cs="Times New Roman"/>
                <w:color w:val="auto"/>
                <w:highlight w:val="none"/>
              </w:rPr>
              <w:t>西北侧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5A3DC">
            <w:pPr>
              <w:pStyle w:val="69"/>
              <w:spacing w:before="65" w:after="65"/>
              <w:rPr>
                <w:rFonts w:cs="Times New Roman"/>
                <w:color w:val="auto"/>
                <w:highlight w:val="none"/>
              </w:rPr>
            </w:pPr>
            <w:r>
              <w:rPr>
                <w:rFonts w:cs="Times New Roman"/>
                <w:color w:val="auto"/>
                <w:highlight w:val="none"/>
              </w:rPr>
              <w:t>上游，项目西北侧约1388m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C22FC">
            <w:pPr>
              <w:pStyle w:val="69"/>
              <w:spacing w:before="65" w:after="65"/>
              <w:rPr>
                <w:rFonts w:cs="Times New Roman"/>
                <w:color w:val="auto"/>
                <w:highlight w:val="none"/>
              </w:rPr>
            </w:pPr>
            <w:r>
              <w:rPr>
                <w:rFonts w:hint="eastAsia" w:cs="Times New Roman"/>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470540">
            <w:pPr>
              <w:pStyle w:val="69"/>
              <w:spacing w:before="65" w:after="65"/>
              <w:rPr>
                <w:rFonts w:cs="Times New Roman"/>
                <w:color w:val="auto"/>
                <w:highlight w:val="none"/>
              </w:rPr>
            </w:pPr>
            <w:r>
              <w:rPr>
                <w:rFonts w:cs="Times New Roman"/>
                <w:color w:val="auto"/>
                <w:highlight w:val="none"/>
              </w:rPr>
              <w:t>/</w:t>
            </w:r>
          </w:p>
        </w:tc>
        <w:tc>
          <w:tcPr>
            <w:tcW w:w="63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A12AB6">
            <w:pPr>
              <w:pStyle w:val="69"/>
              <w:spacing w:before="65" w:after="65"/>
              <w:rPr>
                <w:rFonts w:cs="Times New Roman"/>
                <w:color w:val="auto"/>
                <w:highlight w:val="none"/>
              </w:rPr>
            </w:pPr>
            <w:r>
              <w:rPr>
                <w:rFonts w:cs="Times New Roman"/>
                <w:color w:val="auto"/>
                <w:highlight w:val="none"/>
              </w:rPr>
              <w:t>GBT/14848-2017Ⅲ类、Ⅳ类</w:t>
            </w:r>
          </w:p>
        </w:tc>
      </w:tr>
      <w:tr w14:paraId="725D155D">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4750C">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5B3716">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D05C8">
            <w:pPr>
              <w:pStyle w:val="69"/>
              <w:spacing w:before="65" w:after="65"/>
              <w:rPr>
                <w:rFonts w:cs="Times New Roman"/>
                <w:color w:val="auto"/>
                <w:highlight w:val="none"/>
              </w:rPr>
            </w:pPr>
            <w:r>
              <w:rPr>
                <w:rFonts w:hint="eastAsia" w:cs="Times New Roman"/>
                <w:color w:val="auto"/>
                <w:highlight w:val="none"/>
              </w:rPr>
              <w:t>W2（企业井）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3ABBC">
            <w:pPr>
              <w:pStyle w:val="69"/>
              <w:spacing w:before="65" w:after="65"/>
              <w:rPr>
                <w:rFonts w:cs="Times New Roman"/>
                <w:color w:val="auto"/>
                <w:highlight w:val="none"/>
              </w:rPr>
            </w:pPr>
            <w:r>
              <w:rPr>
                <w:rFonts w:hint="eastAsia"/>
                <w:color w:val="auto"/>
                <w:highlight w:val="none"/>
              </w:rPr>
              <w:t>103.6154628</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04295">
            <w:pPr>
              <w:pStyle w:val="69"/>
              <w:spacing w:before="65" w:after="65"/>
              <w:rPr>
                <w:rFonts w:cs="Times New Roman"/>
                <w:color w:val="auto"/>
                <w:highlight w:val="none"/>
              </w:rPr>
            </w:pPr>
            <w:r>
              <w:rPr>
                <w:rFonts w:cs="Times New Roman"/>
                <w:color w:val="auto"/>
                <w:highlight w:val="none"/>
              </w:rPr>
              <w:t>29.5037478</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72E90">
            <w:pPr>
              <w:pStyle w:val="69"/>
              <w:spacing w:before="65" w:after="65"/>
              <w:rPr>
                <w:rFonts w:cs="Times New Roman"/>
                <w:color w:val="auto"/>
                <w:highlight w:val="none"/>
              </w:rPr>
            </w:pPr>
            <w:r>
              <w:rPr>
                <w:rFonts w:cs="Times New Roman"/>
                <w:color w:val="auto"/>
                <w:highlight w:val="none"/>
              </w:rPr>
              <w:t>东侧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21B63">
            <w:pPr>
              <w:pStyle w:val="69"/>
              <w:spacing w:before="65" w:after="65"/>
              <w:rPr>
                <w:rFonts w:cs="Times New Roman"/>
                <w:color w:val="auto"/>
                <w:highlight w:val="none"/>
              </w:rPr>
            </w:pPr>
            <w:r>
              <w:rPr>
                <w:rFonts w:cs="Times New Roman"/>
                <w:color w:val="auto"/>
                <w:highlight w:val="none"/>
              </w:rPr>
              <w:t>侧向，项目东侧约586m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416CF9">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E554A">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AC0A3">
            <w:pPr>
              <w:pStyle w:val="69"/>
              <w:spacing w:before="65" w:after="65"/>
              <w:rPr>
                <w:rFonts w:cs="Times New Roman"/>
                <w:color w:val="auto"/>
                <w:highlight w:val="none"/>
              </w:rPr>
            </w:pPr>
          </w:p>
        </w:tc>
      </w:tr>
      <w:tr w14:paraId="1F490032">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97D0E">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F6E0F">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FE058D">
            <w:pPr>
              <w:pStyle w:val="69"/>
              <w:spacing w:before="65" w:after="65"/>
              <w:rPr>
                <w:rFonts w:cs="Times New Roman"/>
                <w:color w:val="auto"/>
                <w:highlight w:val="none"/>
              </w:rPr>
            </w:pPr>
            <w:r>
              <w:rPr>
                <w:rFonts w:hint="eastAsia" w:cs="Times New Roman"/>
                <w:color w:val="auto"/>
                <w:highlight w:val="none"/>
              </w:rPr>
              <w:t>W3（企业井）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7AC5F">
            <w:pPr>
              <w:pStyle w:val="69"/>
              <w:spacing w:before="65" w:after="65"/>
              <w:rPr>
                <w:rFonts w:cs="Times New Roman"/>
                <w:color w:val="auto"/>
                <w:highlight w:val="none"/>
              </w:rPr>
            </w:pPr>
            <w:r>
              <w:rPr>
                <w:rFonts w:cs="Times New Roman"/>
                <w:color w:val="auto"/>
                <w:highlight w:val="none"/>
              </w:rPr>
              <w:t>103.6133383</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C6A30">
            <w:pPr>
              <w:pStyle w:val="69"/>
              <w:spacing w:before="65" w:after="65"/>
              <w:rPr>
                <w:rFonts w:cs="Times New Roman"/>
                <w:color w:val="auto"/>
                <w:highlight w:val="none"/>
              </w:rPr>
            </w:pPr>
            <w:r>
              <w:rPr>
                <w:rFonts w:cs="Times New Roman"/>
                <w:color w:val="auto"/>
                <w:highlight w:val="none"/>
              </w:rPr>
              <w:t>29.5090643</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29DB0">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83225">
            <w:pPr>
              <w:pStyle w:val="69"/>
              <w:spacing w:before="65" w:after="65"/>
              <w:rPr>
                <w:color w:val="auto"/>
                <w:highlight w:val="none"/>
              </w:rPr>
            </w:pPr>
            <w:r>
              <w:rPr>
                <w:rFonts w:hint="eastAsia"/>
                <w:color w:val="auto"/>
                <w:highlight w:val="none"/>
              </w:rPr>
              <w:t>侧向，项目东北侧约511m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87AAC">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F71264">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9748C">
            <w:pPr>
              <w:pStyle w:val="69"/>
              <w:spacing w:before="65" w:after="65"/>
              <w:rPr>
                <w:rFonts w:cs="Times New Roman"/>
                <w:color w:val="auto"/>
                <w:highlight w:val="none"/>
              </w:rPr>
            </w:pPr>
          </w:p>
        </w:tc>
      </w:tr>
      <w:tr w14:paraId="64F3A1F2">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92FC4">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557B">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3E4360">
            <w:pPr>
              <w:pStyle w:val="69"/>
              <w:spacing w:before="65" w:after="65"/>
              <w:rPr>
                <w:rFonts w:cs="Times New Roman"/>
                <w:color w:val="auto"/>
                <w:highlight w:val="none"/>
              </w:rPr>
            </w:pPr>
            <w:r>
              <w:rPr>
                <w:rFonts w:hint="eastAsia" w:cs="Times New Roman"/>
                <w:color w:val="auto"/>
                <w:highlight w:val="none"/>
              </w:rPr>
              <w:t>W4（居民井）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B7EBC">
            <w:pPr>
              <w:pStyle w:val="69"/>
              <w:spacing w:before="65" w:after="65"/>
              <w:rPr>
                <w:rFonts w:cs="Times New Roman"/>
                <w:color w:val="auto"/>
                <w:highlight w:val="none"/>
              </w:rPr>
            </w:pPr>
            <w:r>
              <w:rPr>
                <w:rFonts w:cs="Times New Roman"/>
                <w:color w:val="auto"/>
                <w:highlight w:val="none"/>
              </w:rPr>
              <w:t>103.6209514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9C95D">
            <w:pPr>
              <w:pStyle w:val="69"/>
              <w:spacing w:before="65" w:after="65"/>
              <w:rPr>
                <w:rFonts w:cs="Times New Roman"/>
                <w:color w:val="auto"/>
                <w:highlight w:val="none"/>
              </w:rPr>
            </w:pPr>
            <w:r>
              <w:rPr>
                <w:rFonts w:cs="Times New Roman"/>
                <w:color w:val="auto"/>
                <w:highlight w:val="none"/>
              </w:rPr>
              <w:t>29.5088145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ED12B">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4B5D66">
            <w:pPr>
              <w:pStyle w:val="69"/>
              <w:spacing w:before="65" w:after="65"/>
              <w:rPr>
                <w:color w:val="auto"/>
                <w:highlight w:val="none"/>
              </w:rPr>
            </w:pPr>
            <w:r>
              <w:rPr>
                <w:rFonts w:hint="eastAsia"/>
                <w:color w:val="auto"/>
                <w:highlight w:val="none"/>
              </w:rPr>
              <w:t>侧向，项目东北侧约881m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4AF8C8">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6EB9E">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9F9DE">
            <w:pPr>
              <w:pStyle w:val="69"/>
              <w:spacing w:before="65" w:after="65"/>
              <w:rPr>
                <w:rFonts w:cs="Times New Roman"/>
                <w:color w:val="auto"/>
                <w:highlight w:val="none"/>
              </w:rPr>
            </w:pPr>
          </w:p>
        </w:tc>
      </w:tr>
      <w:tr w14:paraId="5952D1ED">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8BB1F">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F77EB">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B83C54">
            <w:pPr>
              <w:pStyle w:val="69"/>
              <w:spacing w:before="65" w:after="65"/>
              <w:rPr>
                <w:rFonts w:cs="Times New Roman"/>
                <w:color w:val="auto"/>
                <w:highlight w:val="none"/>
              </w:rPr>
            </w:pPr>
            <w:r>
              <w:rPr>
                <w:rFonts w:hint="eastAsia" w:cs="Times New Roman"/>
                <w:color w:val="auto"/>
                <w:highlight w:val="none"/>
              </w:rPr>
              <w:t>W5（居民井）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EF20B4">
            <w:pPr>
              <w:pStyle w:val="69"/>
              <w:spacing w:before="65" w:after="65"/>
              <w:rPr>
                <w:rFonts w:cs="Times New Roman"/>
                <w:color w:val="auto"/>
                <w:highlight w:val="none"/>
              </w:rPr>
            </w:pPr>
            <w:r>
              <w:rPr>
                <w:rFonts w:cs="Times New Roman"/>
                <w:color w:val="auto"/>
                <w:highlight w:val="none"/>
              </w:rPr>
              <w:t>103.6176189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69075">
            <w:pPr>
              <w:pStyle w:val="69"/>
              <w:spacing w:before="65" w:after="65"/>
              <w:rPr>
                <w:rFonts w:cs="Times New Roman"/>
                <w:color w:val="auto"/>
                <w:highlight w:val="none"/>
              </w:rPr>
            </w:pPr>
            <w:r>
              <w:rPr>
                <w:rFonts w:cs="Times New Roman"/>
                <w:color w:val="auto"/>
                <w:highlight w:val="none"/>
              </w:rPr>
              <w:t>29.5111606</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A094AB">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745EDB">
            <w:pPr>
              <w:pStyle w:val="69"/>
              <w:spacing w:before="65" w:after="65"/>
              <w:rPr>
                <w:color w:val="auto"/>
                <w:highlight w:val="none"/>
              </w:rPr>
            </w:pPr>
            <w:r>
              <w:rPr>
                <w:rFonts w:hint="eastAsia"/>
                <w:color w:val="auto"/>
                <w:highlight w:val="none"/>
              </w:rPr>
              <w:t>侧向，项目东北侧约1027m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7BF6B">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2726C4">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6FE33">
            <w:pPr>
              <w:pStyle w:val="69"/>
              <w:spacing w:before="65" w:after="65"/>
              <w:rPr>
                <w:rFonts w:cs="Times New Roman"/>
                <w:color w:val="auto"/>
                <w:highlight w:val="none"/>
              </w:rPr>
            </w:pPr>
          </w:p>
        </w:tc>
      </w:tr>
      <w:tr w14:paraId="06C20D84">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4C6469">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4FEE3">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33623">
            <w:pPr>
              <w:pStyle w:val="69"/>
              <w:spacing w:before="65" w:after="65"/>
              <w:rPr>
                <w:rFonts w:cs="Times New Roman"/>
                <w:color w:val="auto"/>
                <w:highlight w:val="none"/>
              </w:rPr>
            </w:pPr>
            <w:r>
              <w:rPr>
                <w:rFonts w:hint="eastAsia" w:cs="Times New Roman"/>
                <w:color w:val="auto"/>
                <w:highlight w:val="none"/>
              </w:rPr>
              <w:t>W6（居民井）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60B73B">
            <w:pPr>
              <w:pStyle w:val="69"/>
              <w:spacing w:before="65" w:after="65"/>
              <w:rPr>
                <w:rFonts w:cs="Times New Roman"/>
                <w:color w:val="auto"/>
                <w:highlight w:val="none"/>
              </w:rPr>
            </w:pPr>
            <w:r>
              <w:rPr>
                <w:rFonts w:cs="Times New Roman"/>
                <w:color w:val="auto"/>
                <w:highlight w:val="none"/>
              </w:rPr>
              <w:t>103.6225579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21618">
            <w:pPr>
              <w:pStyle w:val="69"/>
              <w:spacing w:before="65" w:after="65"/>
              <w:rPr>
                <w:rFonts w:cs="Times New Roman"/>
                <w:color w:val="auto"/>
                <w:highlight w:val="none"/>
              </w:rPr>
            </w:pPr>
            <w:r>
              <w:rPr>
                <w:rFonts w:cs="Times New Roman"/>
                <w:color w:val="auto"/>
                <w:highlight w:val="none"/>
              </w:rPr>
              <w:t>29.5117131</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67163">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688E34">
            <w:pPr>
              <w:pStyle w:val="69"/>
              <w:spacing w:before="65" w:after="65"/>
              <w:rPr>
                <w:color w:val="auto"/>
                <w:highlight w:val="none"/>
              </w:rPr>
            </w:pPr>
            <w:r>
              <w:rPr>
                <w:rFonts w:hint="eastAsia"/>
                <w:color w:val="auto"/>
                <w:highlight w:val="none"/>
              </w:rPr>
              <w:t>侧向，项目东北侧约1148m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40CF3">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1989F">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8FD82">
            <w:pPr>
              <w:pStyle w:val="69"/>
              <w:spacing w:before="65" w:after="65"/>
              <w:rPr>
                <w:rFonts w:cs="Times New Roman"/>
                <w:color w:val="auto"/>
                <w:highlight w:val="none"/>
              </w:rPr>
            </w:pPr>
          </w:p>
        </w:tc>
      </w:tr>
      <w:tr w14:paraId="11C65778">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8D37A6">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CCC13">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4DB68A">
            <w:pPr>
              <w:pStyle w:val="69"/>
              <w:spacing w:before="65" w:after="65"/>
              <w:rPr>
                <w:rFonts w:cs="Times New Roman"/>
                <w:color w:val="auto"/>
                <w:highlight w:val="none"/>
              </w:rPr>
            </w:pPr>
            <w:r>
              <w:rPr>
                <w:rFonts w:hint="eastAsia" w:cs="Times New Roman"/>
                <w:color w:val="auto"/>
                <w:highlight w:val="none"/>
              </w:rPr>
              <w:t>W7（居民井）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0AA77">
            <w:pPr>
              <w:pStyle w:val="69"/>
              <w:spacing w:before="65" w:after="65"/>
              <w:rPr>
                <w:rFonts w:cs="Times New Roman"/>
                <w:color w:val="auto"/>
                <w:highlight w:val="none"/>
              </w:rPr>
            </w:pPr>
            <w:r>
              <w:rPr>
                <w:rFonts w:cs="Times New Roman"/>
                <w:color w:val="auto"/>
                <w:highlight w:val="none"/>
              </w:rPr>
              <w:t>103.6237179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88B60">
            <w:pPr>
              <w:pStyle w:val="69"/>
              <w:spacing w:before="65" w:after="65"/>
              <w:rPr>
                <w:rFonts w:cs="Times New Roman"/>
                <w:color w:val="auto"/>
                <w:highlight w:val="none"/>
              </w:rPr>
            </w:pPr>
            <w:r>
              <w:rPr>
                <w:rFonts w:cs="Times New Roman"/>
                <w:color w:val="auto"/>
                <w:highlight w:val="none"/>
              </w:rPr>
              <w:t>29.5125459</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783D1">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D8CDA2">
            <w:pPr>
              <w:pStyle w:val="69"/>
              <w:spacing w:before="65" w:after="65"/>
              <w:rPr>
                <w:color w:val="auto"/>
                <w:highlight w:val="none"/>
              </w:rPr>
            </w:pPr>
            <w:r>
              <w:rPr>
                <w:rFonts w:hint="eastAsia"/>
                <w:color w:val="auto"/>
                <w:highlight w:val="none"/>
              </w:rPr>
              <w:t>侧向，项目东北侧约1160m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558F21">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09F36">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89344">
            <w:pPr>
              <w:pStyle w:val="69"/>
              <w:spacing w:before="65" w:after="65"/>
              <w:rPr>
                <w:rFonts w:cs="Times New Roman"/>
                <w:color w:val="auto"/>
                <w:highlight w:val="none"/>
              </w:rPr>
            </w:pPr>
          </w:p>
        </w:tc>
      </w:tr>
      <w:tr w14:paraId="274F8F94">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6602D">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4600F">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9604C1">
            <w:pPr>
              <w:pStyle w:val="69"/>
              <w:spacing w:before="65" w:after="65"/>
              <w:rPr>
                <w:rFonts w:cs="Times New Roman"/>
                <w:color w:val="auto"/>
                <w:highlight w:val="none"/>
              </w:rPr>
            </w:pPr>
            <w:r>
              <w:rPr>
                <w:rFonts w:hint="eastAsia" w:cs="Times New Roman"/>
                <w:color w:val="auto"/>
                <w:highlight w:val="none"/>
              </w:rPr>
              <w:t>W8（居民井）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41353B">
            <w:pPr>
              <w:pStyle w:val="69"/>
              <w:spacing w:before="65" w:after="65"/>
              <w:rPr>
                <w:rFonts w:cs="Times New Roman"/>
                <w:color w:val="auto"/>
                <w:highlight w:val="none"/>
              </w:rPr>
            </w:pPr>
            <w:r>
              <w:rPr>
                <w:rFonts w:cs="Times New Roman"/>
                <w:color w:val="auto"/>
                <w:highlight w:val="none"/>
              </w:rPr>
              <w:t>103.6224897</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3FF76">
            <w:pPr>
              <w:pStyle w:val="69"/>
              <w:spacing w:before="65" w:after="65"/>
              <w:rPr>
                <w:rFonts w:cs="Times New Roman"/>
                <w:color w:val="auto"/>
                <w:highlight w:val="none"/>
              </w:rPr>
            </w:pPr>
            <w:r>
              <w:rPr>
                <w:rFonts w:cs="Times New Roman"/>
                <w:color w:val="auto"/>
                <w:highlight w:val="none"/>
              </w:rPr>
              <w:t>29.5151597</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C2269">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12077">
            <w:pPr>
              <w:pStyle w:val="69"/>
              <w:spacing w:before="65" w:after="65"/>
              <w:rPr>
                <w:color w:val="auto"/>
                <w:highlight w:val="none"/>
              </w:rPr>
            </w:pPr>
            <w:r>
              <w:rPr>
                <w:rFonts w:hint="eastAsia"/>
                <w:color w:val="auto"/>
                <w:highlight w:val="none"/>
              </w:rPr>
              <w:t>侧向，项目东北侧约1245m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1734B2">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D64BC">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E527E">
            <w:pPr>
              <w:pStyle w:val="69"/>
              <w:spacing w:before="65" w:after="65"/>
              <w:rPr>
                <w:rFonts w:cs="Times New Roman"/>
                <w:color w:val="auto"/>
                <w:highlight w:val="none"/>
              </w:rPr>
            </w:pPr>
          </w:p>
        </w:tc>
      </w:tr>
      <w:tr w14:paraId="1A675EB1">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3F882">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16199">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2A2AA2">
            <w:pPr>
              <w:pStyle w:val="69"/>
              <w:spacing w:before="65" w:after="65"/>
              <w:rPr>
                <w:rFonts w:cs="Times New Roman"/>
                <w:color w:val="auto"/>
                <w:highlight w:val="none"/>
              </w:rPr>
            </w:pPr>
            <w:r>
              <w:rPr>
                <w:rFonts w:hint="eastAsia" w:cs="Times New Roman"/>
                <w:color w:val="auto"/>
                <w:highlight w:val="none"/>
              </w:rPr>
              <w:t>W9（居民井）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B27306">
            <w:pPr>
              <w:pStyle w:val="69"/>
              <w:spacing w:before="65" w:after="65"/>
              <w:rPr>
                <w:rFonts w:cs="Times New Roman"/>
                <w:color w:val="auto"/>
                <w:highlight w:val="none"/>
              </w:rPr>
            </w:pPr>
            <w:r>
              <w:rPr>
                <w:rFonts w:cs="Times New Roman"/>
                <w:color w:val="auto"/>
                <w:highlight w:val="none"/>
              </w:rPr>
              <w:t>103.6240364</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395DA">
            <w:pPr>
              <w:pStyle w:val="69"/>
              <w:spacing w:before="65" w:after="65"/>
              <w:rPr>
                <w:rFonts w:cs="Times New Roman"/>
                <w:color w:val="auto"/>
                <w:highlight w:val="none"/>
              </w:rPr>
            </w:pPr>
            <w:r>
              <w:rPr>
                <w:rFonts w:cs="Times New Roman"/>
                <w:color w:val="auto"/>
                <w:highlight w:val="none"/>
              </w:rPr>
              <w:t>29.5140652</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8C2E3">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92728">
            <w:pPr>
              <w:pStyle w:val="69"/>
              <w:spacing w:before="65" w:after="65"/>
              <w:rPr>
                <w:color w:val="auto"/>
                <w:highlight w:val="none"/>
              </w:rPr>
            </w:pPr>
            <w:r>
              <w:rPr>
                <w:rFonts w:hint="eastAsia"/>
                <w:color w:val="auto"/>
                <w:highlight w:val="none"/>
              </w:rPr>
              <w:t>侧向，项目东北侧约1540m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8FCED8">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F1FD7">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5771D">
            <w:pPr>
              <w:pStyle w:val="69"/>
              <w:spacing w:before="65" w:after="65"/>
              <w:rPr>
                <w:rFonts w:cs="Times New Roman"/>
                <w:color w:val="auto"/>
                <w:highlight w:val="none"/>
              </w:rPr>
            </w:pPr>
          </w:p>
        </w:tc>
      </w:tr>
      <w:tr w14:paraId="39D2800B">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866E6">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803AAD">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7F6BC">
            <w:pPr>
              <w:pStyle w:val="69"/>
              <w:spacing w:before="65" w:after="65"/>
              <w:rPr>
                <w:rFonts w:cs="Times New Roman"/>
                <w:color w:val="auto"/>
                <w:highlight w:val="none"/>
              </w:rPr>
            </w:pPr>
            <w:r>
              <w:rPr>
                <w:rFonts w:hint="eastAsia" w:cs="Times New Roman"/>
                <w:color w:val="auto"/>
                <w:highlight w:val="none"/>
              </w:rPr>
              <w:t>W10（居民井）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155C1">
            <w:pPr>
              <w:pStyle w:val="69"/>
              <w:spacing w:before="65" w:after="65"/>
              <w:rPr>
                <w:rFonts w:cs="Times New Roman"/>
                <w:color w:val="auto"/>
                <w:highlight w:val="none"/>
              </w:rPr>
            </w:pPr>
            <w:r>
              <w:rPr>
                <w:rFonts w:cs="Times New Roman"/>
                <w:color w:val="auto"/>
                <w:highlight w:val="none"/>
              </w:rPr>
              <w:t>103.6260589</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37D39">
            <w:pPr>
              <w:pStyle w:val="69"/>
              <w:spacing w:before="65" w:after="65"/>
              <w:rPr>
                <w:rFonts w:cs="Times New Roman"/>
                <w:color w:val="auto"/>
                <w:highlight w:val="none"/>
              </w:rPr>
            </w:pPr>
            <w:r>
              <w:rPr>
                <w:rFonts w:cs="Times New Roman"/>
                <w:color w:val="auto"/>
                <w:highlight w:val="none"/>
              </w:rPr>
              <w:t>29.5130420</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C79858">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2C615B">
            <w:pPr>
              <w:pStyle w:val="69"/>
              <w:spacing w:before="65" w:after="65"/>
              <w:rPr>
                <w:color w:val="auto"/>
                <w:highlight w:val="none"/>
              </w:rPr>
            </w:pPr>
            <w:r>
              <w:rPr>
                <w:rFonts w:hint="eastAsia"/>
                <w:color w:val="auto"/>
                <w:highlight w:val="none"/>
              </w:rPr>
              <w:t>侧向，项目东北侧约1688m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F9D6D">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72F5F">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12201">
            <w:pPr>
              <w:pStyle w:val="69"/>
              <w:spacing w:before="65" w:after="65"/>
              <w:rPr>
                <w:rFonts w:cs="Times New Roman"/>
                <w:color w:val="auto"/>
                <w:highlight w:val="none"/>
              </w:rPr>
            </w:pPr>
          </w:p>
        </w:tc>
      </w:tr>
      <w:tr w14:paraId="769E9A61">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6ED40">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8A67C">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7D504">
            <w:pPr>
              <w:pStyle w:val="69"/>
              <w:spacing w:before="65" w:after="65"/>
              <w:rPr>
                <w:rFonts w:cs="Times New Roman"/>
                <w:color w:val="auto"/>
                <w:highlight w:val="none"/>
              </w:rPr>
            </w:pPr>
            <w:r>
              <w:rPr>
                <w:rFonts w:hint="eastAsia" w:cs="Times New Roman"/>
                <w:color w:val="auto"/>
                <w:highlight w:val="none"/>
              </w:rPr>
              <w:t>W11（居民井）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3B87E">
            <w:pPr>
              <w:pStyle w:val="69"/>
              <w:spacing w:before="65" w:after="65"/>
              <w:rPr>
                <w:rFonts w:cs="Times New Roman"/>
                <w:color w:val="auto"/>
                <w:highlight w:val="none"/>
              </w:rPr>
            </w:pPr>
            <w:r>
              <w:rPr>
                <w:rFonts w:cs="Times New Roman"/>
                <w:color w:val="auto"/>
                <w:highlight w:val="none"/>
              </w:rPr>
              <w:t>103.62924745</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9A2E6">
            <w:pPr>
              <w:pStyle w:val="69"/>
              <w:spacing w:before="65" w:after="65"/>
              <w:rPr>
                <w:rFonts w:cs="Times New Roman"/>
                <w:color w:val="auto"/>
                <w:highlight w:val="none"/>
              </w:rPr>
            </w:pPr>
            <w:r>
              <w:rPr>
                <w:rFonts w:cs="Times New Roman"/>
                <w:color w:val="auto"/>
                <w:highlight w:val="none"/>
              </w:rPr>
              <w:t>29.5135655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B2553">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3BDD8">
            <w:pPr>
              <w:pStyle w:val="69"/>
              <w:spacing w:before="65" w:after="65"/>
              <w:rPr>
                <w:color w:val="auto"/>
                <w:highlight w:val="none"/>
              </w:rPr>
            </w:pPr>
            <w:r>
              <w:rPr>
                <w:rFonts w:hint="eastAsia"/>
                <w:color w:val="auto"/>
                <w:highlight w:val="none"/>
              </w:rPr>
              <w:t>侧向，项目东北侧约1827m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6AF07">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59C27">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45145">
            <w:pPr>
              <w:pStyle w:val="69"/>
              <w:spacing w:before="65" w:after="65"/>
              <w:rPr>
                <w:rFonts w:cs="Times New Roman"/>
                <w:color w:val="auto"/>
                <w:highlight w:val="none"/>
              </w:rPr>
            </w:pPr>
          </w:p>
        </w:tc>
      </w:tr>
      <w:tr w14:paraId="163A7F82">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58508">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D5F3F">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DBB778">
            <w:pPr>
              <w:pStyle w:val="69"/>
              <w:spacing w:before="65" w:after="65"/>
              <w:rPr>
                <w:rFonts w:cs="Times New Roman"/>
                <w:color w:val="auto"/>
                <w:highlight w:val="none"/>
              </w:rPr>
            </w:pPr>
            <w:r>
              <w:rPr>
                <w:rFonts w:hint="eastAsia" w:cs="Times New Roman"/>
                <w:color w:val="auto"/>
                <w:highlight w:val="none"/>
              </w:rPr>
              <w:t>W12（居民井）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A70A6">
            <w:pPr>
              <w:pStyle w:val="69"/>
              <w:spacing w:before="65" w:after="65"/>
              <w:rPr>
                <w:rFonts w:cs="Times New Roman"/>
                <w:color w:val="auto"/>
                <w:highlight w:val="none"/>
              </w:rPr>
            </w:pPr>
            <w:r>
              <w:rPr>
                <w:rFonts w:cs="Times New Roman"/>
                <w:color w:val="auto"/>
                <w:highlight w:val="none"/>
              </w:rPr>
              <w:t>103.6303420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608C77">
            <w:pPr>
              <w:pStyle w:val="69"/>
              <w:spacing w:before="65" w:after="65"/>
              <w:rPr>
                <w:rFonts w:cs="Times New Roman"/>
                <w:color w:val="auto"/>
                <w:highlight w:val="none"/>
              </w:rPr>
            </w:pPr>
            <w:r>
              <w:rPr>
                <w:rFonts w:cs="Times New Roman"/>
                <w:color w:val="auto"/>
                <w:highlight w:val="none"/>
              </w:rPr>
              <w:t>29.5145887</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963F4">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C86B9">
            <w:pPr>
              <w:pStyle w:val="69"/>
              <w:spacing w:before="65" w:after="65"/>
              <w:rPr>
                <w:color w:val="auto"/>
                <w:highlight w:val="none"/>
              </w:rPr>
            </w:pPr>
            <w:r>
              <w:rPr>
                <w:rFonts w:hint="eastAsia"/>
                <w:color w:val="auto"/>
                <w:highlight w:val="none"/>
              </w:rPr>
              <w:t>侧向，项目东北侧约1862m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91D14">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D791B">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BEFC7">
            <w:pPr>
              <w:pStyle w:val="69"/>
              <w:spacing w:before="65" w:after="65"/>
              <w:rPr>
                <w:rFonts w:cs="Times New Roman"/>
                <w:color w:val="auto"/>
                <w:highlight w:val="none"/>
              </w:rPr>
            </w:pPr>
          </w:p>
        </w:tc>
      </w:tr>
      <w:tr w14:paraId="2AB0C00E">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3A6C60">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5C8A06">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27D847">
            <w:pPr>
              <w:pStyle w:val="69"/>
              <w:spacing w:before="65" w:after="65"/>
              <w:rPr>
                <w:rFonts w:cs="Times New Roman"/>
                <w:color w:val="auto"/>
                <w:highlight w:val="none"/>
              </w:rPr>
            </w:pPr>
            <w:r>
              <w:rPr>
                <w:rFonts w:hint="eastAsia" w:cs="Times New Roman"/>
                <w:color w:val="auto"/>
                <w:highlight w:val="none"/>
              </w:rPr>
              <w:t>W13（居民井）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0FC4E">
            <w:pPr>
              <w:pStyle w:val="69"/>
              <w:spacing w:before="65" w:after="65"/>
              <w:rPr>
                <w:rFonts w:cs="Times New Roman"/>
                <w:color w:val="auto"/>
                <w:highlight w:val="none"/>
              </w:rPr>
            </w:pPr>
            <w:r>
              <w:rPr>
                <w:rFonts w:cs="Times New Roman"/>
                <w:color w:val="auto"/>
                <w:highlight w:val="none"/>
              </w:rPr>
              <w:t>103.6310796</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BEE03">
            <w:pPr>
              <w:pStyle w:val="69"/>
              <w:spacing w:before="65" w:after="65"/>
              <w:rPr>
                <w:rFonts w:cs="Times New Roman"/>
                <w:color w:val="auto"/>
                <w:highlight w:val="none"/>
              </w:rPr>
            </w:pPr>
            <w:r>
              <w:rPr>
                <w:rFonts w:cs="Times New Roman"/>
                <w:color w:val="auto"/>
                <w:highlight w:val="none"/>
              </w:rPr>
              <w:t>29.5159212</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6D356">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679D0">
            <w:pPr>
              <w:pStyle w:val="69"/>
              <w:spacing w:before="65" w:after="65"/>
              <w:rPr>
                <w:color w:val="auto"/>
                <w:highlight w:val="none"/>
              </w:rPr>
            </w:pPr>
            <w:r>
              <w:rPr>
                <w:rFonts w:hint="eastAsia"/>
                <w:color w:val="auto"/>
                <w:highlight w:val="none"/>
              </w:rPr>
              <w:t>侧向，项目东北侧约511m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BE5E0">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E7686">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C5DCB3">
            <w:pPr>
              <w:pStyle w:val="69"/>
              <w:spacing w:before="65" w:after="65"/>
              <w:rPr>
                <w:rFonts w:cs="Times New Roman"/>
                <w:color w:val="auto"/>
                <w:highlight w:val="none"/>
              </w:rPr>
            </w:pPr>
          </w:p>
        </w:tc>
      </w:tr>
      <w:tr w14:paraId="4A9C5B5C">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4AAD5">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A8DBC">
            <w:pPr>
              <w:pStyle w:val="69"/>
              <w:spacing w:before="65" w:after="65"/>
              <w:rPr>
                <w:rFonts w:cs="Times New Roman"/>
                <w:color w:val="auto"/>
                <w:highlight w:val="none"/>
              </w:rPr>
            </w:pPr>
            <w:r>
              <w:rPr>
                <w:rFonts w:hint="eastAsia"/>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7C55C4">
            <w:pPr>
              <w:pStyle w:val="69"/>
              <w:spacing w:before="65" w:after="65"/>
              <w:rPr>
                <w:rFonts w:cs="Times New Roman"/>
                <w:color w:val="auto"/>
                <w:highlight w:val="none"/>
              </w:rPr>
            </w:pPr>
            <w:r>
              <w:rPr>
                <w:rFonts w:hint="eastAsia" w:cs="Times New Roman"/>
                <w:color w:val="auto"/>
                <w:highlight w:val="none"/>
              </w:rPr>
              <w:t>W14（居民井）</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F30C54">
            <w:pPr>
              <w:pStyle w:val="69"/>
              <w:spacing w:before="65" w:after="65"/>
              <w:rPr>
                <w:rFonts w:cs="Times New Roman"/>
                <w:color w:val="auto"/>
                <w:highlight w:val="none"/>
              </w:rPr>
            </w:pPr>
            <w:r>
              <w:rPr>
                <w:rFonts w:cs="Times New Roman"/>
                <w:color w:val="auto"/>
                <w:highlight w:val="none"/>
              </w:rPr>
              <w:t>103.6299850</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CE156">
            <w:pPr>
              <w:pStyle w:val="69"/>
              <w:spacing w:before="65" w:after="65"/>
              <w:rPr>
                <w:rFonts w:cs="Times New Roman"/>
                <w:color w:val="auto"/>
                <w:highlight w:val="none"/>
              </w:rPr>
            </w:pPr>
            <w:r>
              <w:rPr>
                <w:rFonts w:cs="Times New Roman"/>
                <w:color w:val="auto"/>
                <w:highlight w:val="none"/>
              </w:rPr>
              <w:t>29.5177295</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D6C99">
            <w:pPr>
              <w:pStyle w:val="69"/>
              <w:spacing w:before="65" w:after="65"/>
              <w:rPr>
                <w:rFonts w:cs="Times New Roman"/>
                <w:color w:val="auto"/>
                <w:highlight w:val="none"/>
              </w:rPr>
            </w:pPr>
            <w:r>
              <w:rPr>
                <w:rFonts w:cs="Times New Roman"/>
                <w:color w:val="auto"/>
                <w:highlight w:val="none"/>
              </w:rPr>
              <w:t>东北侧</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BE095">
            <w:pPr>
              <w:pStyle w:val="69"/>
              <w:spacing w:before="65" w:after="65"/>
              <w:rPr>
                <w:color w:val="auto"/>
                <w:highlight w:val="none"/>
              </w:rPr>
            </w:pPr>
            <w:r>
              <w:rPr>
                <w:rFonts w:hint="eastAsia"/>
                <w:color w:val="auto"/>
                <w:highlight w:val="none"/>
              </w:rPr>
              <w:t>侧向，项目东北侧约881m</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3740C">
            <w:pPr>
              <w:pStyle w:val="69"/>
              <w:spacing w:before="65" w:after="65"/>
              <w:rPr>
                <w:rFonts w:cs="Times New Roman"/>
                <w:color w:val="auto"/>
                <w:highlight w:val="none"/>
              </w:rPr>
            </w:pPr>
            <w:r>
              <w:rPr>
                <w:rFonts w:hint="eastAsia"/>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37A182">
            <w:pPr>
              <w:pStyle w:val="69"/>
              <w:spacing w:before="65" w:after="65"/>
              <w:rPr>
                <w:rFonts w:cs="Times New Roman"/>
                <w:color w:val="auto"/>
                <w:highlight w:val="none"/>
              </w:rPr>
            </w:pPr>
            <w:r>
              <w:rPr>
                <w:rFonts w:hint="eastAsia"/>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BFE6C">
            <w:pPr>
              <w:pStyle w:val="69"/>
              <w:spacing w:before="65" w:after="65"/>
              <w:rPr>
                <w:rFonts w:cs="Times New Roman"/>
                <w:color w:val="auto"/>
                <w:highlight w:val="none"/>
              </w:rPr>
            </w:pPr>
          </w:p>
        </w:tc>
      </w:tr>
      <w:tr w14:paraId="408657CC">
        <w:tblPrEx>
          <w:tblCellMar>
            <w:top w:w="0" w:type="dxa"/>
            <w:left w:w="108" w:type="dxa"/>
            <w:bottom w:w="0" w:type="dxa"/>
            <w:right w:w="108" w:type="dxa"/>
          </w:tblCellMar>
        </w:tblPrEx>
        <w:trPr>
          <w:trHeight w:val="270" w:hRule="atLeast"/>
        </w:trPr>
        <w:tc>
          <w:tcPr>
            <w:tcW w:w="35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9C85D">
            <w:pPr>
              <w:pStyle w:val="69"/>
              <w:spacing w:before="65" w:after="65"/>
              <w:rPr>
                <w:rFonts w:cs="Times New Roman"/>
                <w:color w:val="auto"/>
                <w:highlight w:val="none"/>
              </w:rPr>
            </w:pP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87FDC">
            <w:pPr>
              <w:pStyle w:val="69"/>
              <w:spacing w:before="65" w:after="65"/>
              <w:rPr>
                <w:rFonts w:cs="Times New Roman"/>
                <w:color w:val="auto"/>
                <w:highlight w:val="none"/>
              </w:rPr>
            </w:pPr>
            <w:r>
              <w:rPr>
                <w:rFonts w:cs="Times New Roman"/>
                <w:color w:val="auto"/>
                <w:highlight w:val="none"/>
              </w:rPr>
              <w:t>/</w:t>
            </w:r>
          </w:p>
        </w:tc>
        <w:tc>
          <w:tcPr>
            <w:tcW w:w="75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8E004D">
            <w:pPr>
              <w:pStyle w:val="69"/>
              <w:spacing w:before="65" w:after="65"/>
              <w:rPr>
                <w:rFonts w:cs="Times New Roman"/>
                <w:color w:val="auto"/>
                <w:highlight w:val="none"/>
              </w:rPr>
            </w:pPr>
            <w:r>
              <w:rPr>
                <w:rFonts w:hint="eastAsia"/>
                <w:color w:val="auto"/>
                <w:highlight w:val="none"/>
              </w:rPr>
              <w:t>评价范围内具备供水意义的含水层</w:t>
            </w:r>
          </w:p>
        </w:tc>
        <w:tc>
          <w:tcPr>
            <w:tcW w:w="62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E5A98">
            <w:pPr>
              <w:pStyle w:val="69"/>
              <w:spacing w:before="65" w:after="65"/>
              <w:rPr>
                <w:rFonts w:cs="Times New Roman"/>
                <w:color w:val="auto"/>
                <w:highlight w:val="none"/>
              </w:rPr>
            </w:pPr>
            <w:r>
              <w:rPr>
                <w:rFonts w:hint="eastAsia" w:cs="Times New Roman"/>
                <w:color w:val="auto"/>
                <w:highlight w:val="none"/>
              </w:rPr>
              <w:t>/</w:t>
            </w:r>
          </w:p>
        </w:tc>
        <w:tc>
          <w:tcPr>
            <w:tcW w:w="54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66425">
            <w:pPr>
              <w:pStyle w:val="69"/>
              <w:spacing w:before="65" w:after="65"/>
              <w:rPr>
                <w:rFonts w:cs="Times New Roman"/>
                <w:color w:val="auto"/>
                <w:highlight w:val="none"/>
              </w:rPr>
            </w:pPr>
            <w:r>
              <w:rPr>
                <w:rFonts w:hint="eastAsia" w:cs="Times New Roman"/>
                <w:color w:val="auto"/>
                <w:highlight w:val="none"/>
              </w:rPr>
              <w:t>/</w:t>
            </w:r>
          </w:p>
        </w:tc>
        <w:tc>
          <w:tcPr>
            <w:tcW w:w="3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C9AA3">
            <w:pPr>
              <w:pStyle w:val="69"/>
              <w:spacing w:before="65" w:after="65"/>
              <w:rPr>
                <w:rFonts w:cs="Times New Roman"/>
                <w:color w:val="auto"/>
                <w:highlight w:val="none"/>
              </w:rPr>
            </w:pPr>
            <w:r>
              <w:rPr>
                <w:rFonts w:cs="Times New Roman"/>
                <w:color w:val="auto"/>
                <w:highlight w:val="none"/>
              </w:rPr>
              <w:t>/</w:t>
            </w:r>
          </w:p>
        </w:tc>
        <w:tc>
          <w:tcPr>
            <w:tcW w:w="51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525B8">
            <w:pPr>
              <w:pStyle w:val="69"/>
              <w:spacing w:before="65" w:after="65"/>
              <w:rPr>
                <w:rFonts w:cs="Times New Roman"/>
                <w:color w:val="auto"/>
                <w:highlight w:val="none"/>
              </w:rPr>
            </w:pPr>
            <w:r>
              <w:rPr>
                <w:rFonts w:cs="Times New Roman"/>
                <w:color w:val="auto"/>
                <w:highlight w:val="none"/>
              </w:rPr>
              <w:t>/</w:t>
            </w:r>
          </w:p>
        </w:tc>
        <w:tc>
          <w:tcPr>
            <w:tcW w:w="63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95011F">
            <w:pPr>
              <w:pStyle w:val="69"/>
              <w:spacing w:before="65" w:after="65"/>
              <w:rPr>
                <w:rFonts w:cs="Times New Roman"/>
                <w:color w:val="auto"/>
                <w:highlight w:val="none"/>
              </w:rPr>
            </w:pPr>
            <w:r>
              <w:rPr>
                <w:rFonts w:cs="Times New Roman"/>
                <w:color w:val="auto"/>
                <w:highlight w:val="none"/>
              </w:rPr>
              <w:t>/</w:t>
            </w:r>
          </w:p>
        </w:tc>
        <w:tc>
          <w:tcPr>
            <w:tcW w:w="28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8F713">
            <w:pPr>
              <w:pStyle w:val="69"/>
              <w:spacing w:before="65" w:after="65"/>
              <w:rPr>
                <w:rFonts w:cs="Times New Roman"/>
                <w:color w:val="auto"/>
                <w:highlight w:val="none"/>
              </w:rPr>
            </w:pPr>
            <w:r>
              <w:rPr>
                <w:rFonts w:cs="Times New Roman"/>
                <w:color w:val="auto"/>
                <w:highlight w:val="none"/>
              </w:rPr>
              <w:t>/</w:t>
            </w:r>
          </w:p>
        </w:tc>
        <w:tc>
          <w:tcPr>
            <w:tcW w:w="63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B74A2">
            <w:pPr>
              <w:pStyle w:val="69"/>
              <w:spacing w:before="65" w:after="65"/>
              <w:rPr>
                <w:rFonts w:cs="Times New Roman"/>
                <w:color w:val="auto"/>
                <w:highlight w:val="none"/>
              </w:rPr>
            </w:pPr>
          </w:p>
        </w:tc>
      </w:tr>
      <w:tr w14:paraId="73462E02">
        <w:tblPrEx>
          <w:tblCellMar>
            <w:top w:w="0" w:type="dxa"/>
            <w:left w:w="108" w:type="dxa"/>
            <w:bottom w:w="0" w:type="dxa"/>
            <w:right w:w="108" w:type="dxa"/>
          </w:tblCellMar>
        </w:tblPrEx>
        <w:trPr>
          <w:trHeight w:val="270" w:hRule="atLeast"/>
        </w:trPr>
        <w:tc>
          <w:tcPr>
            <w:tcW w:w="3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E30AFE">
            <w:pPr>
              <w:pStyle w:val="69"/>
              <w:spacing w:before="65" w:after="65"/>
              <w:rPr>
                <w:rFonts w:cs="Times New Roman"/>
                <w:color w:val="auto"/>
                <w:highlight w:val="none"/>
              </w:rPr>
            </w:pPr>
            <w:r>
              <w:rPr>
                <w:rFonts w:cs="Times New Roman"/>
                <w:color w:val="auto"/>
                <w:highlight w:val="none"/>
              </w:rPr>
              <w:t>土壤环境</w:t>
            </w: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9A2F8">
            <w:pPr>
              <w:pStyle w:val="69"/>
              <w:spacing w:before="65" w:after="65"/>
              <w:rPr>
                <w:rFonts w:cs="Times New Roman"/>
                <w:color w:val="auto"/>
                <w:highlight w:val="none"/>
              </w:rPr>
            </w:pPr>
            <w:r>
              <w:rPr>
                <w:rFonts w:cs="Times New Roman"/>
                <w:color w:val="auto"/>
                <w:highlight w:val="none"/>
              </w:rPr>
              <w:t>/</w:t>
            </w:r>
          </w:p>
        </w:tc>
        <w:tc>
          <w:tcPr>
            <w:tcW w:w="3703"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DBEC4">
            <w:pPr>
              <w:pStyle w:val="69"/>
              <w:spacing w:before="65" w:after="65"/>
              <w:rPr>
                <w:rFonts w:cs="Times New Roman"/>
                <w:color w:val="auto"/>
                <w:highlight w:val="none"/>
              </w:rPr>
            </w:pPr>
            <w:r>
              <w:rPr>
                <w:rFonts w:cs="Times New Roman"/>
                <w:color w:val="auto"/>
                <w:highlight w:val="none"/>
              </w:rPr>
              <w:t>厂界周边50m范围内无土壤环境保护目标</w:t>
            </w:r>
          </w:p>
        </w:tc>
        <w:tc>
          <w:tcPr>
            <w:tcW w:w="6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6C214B">
            <w:pPr>
              <w:pStyle w:val="69"/>
              <w:spacing w:before="65" w:after="65"/>
              <w:rPr>
                <w:rFonts w:cs="Times New Roman"/>
                <w:color w:val="auto"/>
                <w:highlight w:val="none"/>
              </w:rPr>
            </w:pPr>
            <w:r>
              <w:rPr>
                <w:rFonts w:cs="Times New Roman"/>
                <w:color w:val="auto"/>
                <w:highlight w:val="none"/>
              </w:rPr>
              <w:t>GB36600-2018第二类用地筛选值</w:t>
            </w:r>
          </w:p>
        </w:tc>
      </w:tr>
      <w:tr w14:paraId="2D144A93">
        <w:tblPrEx>
          <w:tblCellMar>
            <w:top w:w="0" w:type="dxa"/>
            <w:left w:w="108" w:type="dxa"/>
            <w:bottom w:w="0" w:type="dxa"/>
            <w:right w:w="108" w:type="dxa"/>
          </w:tblCellMar>
        </w:tblPrEx>
        <w:trPr>
          <w:trHeight w:val="270" w:hRule="atLeast"/>
        </w:trPr>
        <w:tc>
          <w:tcPr>
            <w:tcW w:w="35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FF4FD">
            <w:pPr>
              <w:pStyle w:val="69"/>
              <w:spacing w:before="65" w:after="65"/>
              <w:rPr>
                <w:rFonts w:cs="Times New Roman"/>
                <w:color w:val="auto"/>
                <w:highlight w:val="none"/>
              </w:rPr>
            </w:pPr>
            <w:r>
              <w:rPr>
                <w:rFonts w:cs="Times New Roman"/>
                <w:color w:val="auto"/>
                <w:highlight w:val="none"/>
              </w:rPr>
              <w:t>声环境</w:t>
            </w:r>
          </w:p>
        </w:tc>
        <w:tc>
          <w:tcPr>
            <w:tcW w:w="30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68E44">
            <w:pPr>
              <w:pStyle w:val="69"/>
              <w:spacing w:before="65" w:after="65"/>
              <w:rPr>
                <w:rFonts w:cs="Times New Roman"/>
                <w:color w:val="auto"/>
                <w:highlight w:val="none"/>
              </w:rPr>
            </w:pPr>
            <w:r>
              <w:rPr>
                <w:rFonts w:cs="Times New Roman"/>
                <w:color w:val="auto"/>
                <w:highlight w:val="none"/>
              </w:rPr>
              <w:t>/</w:t>
            </w:r>
          </w:p>
        </w:tc>
        <w:tc>
          <w:tcPr>
            <w:tcW w:w="3703"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C7FF3">
            <w:pPr>
              <w:pStyle w:val="69"/>
              <w:spacing w:before="65" w:after="65"/>
              <w:rPr>
                <w:rFonts w:cs="Times New Roman"/>
                <w:color w:val="auto"/>
                <w:highlight w:val="none"/>
              </w:rPr>
            </w:pPr>
            <w:r>
              <w:rPr>
                <w:rFonts w:cs="Times New Roman"/>
                <w:color w:val="auto"/>
                <w:highlight w:val="none"/>
              </w:rPr>
              <w:t>厂界周边200m范围内无声环境保护目标</w:t>
            </w:r>
          </w:p>
        </w:tc>
        <w:tc>
          <w:tcPr>
            <w:tcW w:w="63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55E6C">
            <w:pPr>
              <w:pStyle w:val="69"/>
              <w:spacing w:before="65" w:after="65"/>
              <w:rPr>
                <w:rFonts w:cs="Times New Roman"/>
                <w:color w:val="auto"/>
                <w:highlight w:val="none"/>
              </w:rPr>
            </w:pPr>
            <w:r>
              <w:rPr>
                <w:rFonts w:cs="Times New Roman"/>
                <w:color w:val="auto"/>
                <w:highlight w:val="none"/>
              </w:rPr>
              <w:t>GB12348-2008中3类标准</w:t>
            </w:r>
          </w:p>
        </w:tc>
      </w:tr>
    </w:tbl>
    <w:p w14:paraId="7E7DAE42">
      <w:pPr>
        <w:pStyle w:val="42"/>
        <w:adjustRightInd w:val="0"/>
        <w:ind w:firstLine="480"/>
        <w:rPr>
          <w:color w:val="auto"/>
          <w:highlight w:val="none"/>
        </w:rPr>
      </w:pPr>
    </w:p>
    <w:p w14:paraId="36931768">
      <w:pPr>
        <w:pStyle w:val="42"/>
        <w:adjustRightInd w:val="0"/>
        <w:ind w:firstLine="480"/>
        <w:rPr>
          <w:color w:val="auto"/>
          <w:highlight w:val="none"/>
        </w:rPr>
      </w:pPr>
    </w:p>
    <w:p w14:paraId="43F5CD51">
      <w:pPr>
        <w:pStyle w:val="42"/>
        <w:adjustRightInd w:val="0"/>
        <w:ind w:firstLine="480"/>
        <w:rPr>
          <w:color w:val="auto"/>
          <w:highlight w:val="none"/>
        </w:rPr>
        <w:sectPr>
          <w:pgSz w:w="16838" w:h="11906" w:orient="landscape"/>
          <w:pgMar w:top="1800" w:right="1440" w:bottom="1800" w:left="1440" w:header="851" w:footer="992" w:gutter="0"/>
          <w:cols w:space="425" w:num="1"/>
          <w:docGrid w:type="lines" w:linePitch="326" w:charSpace="0"/>
        </w:sectPr>
      </w:pPr>
    </w:p>
    <w:p w14:paraId="47D282C7">
      <w:pPr>
        <w:pStyle w:val="3"/>
        <w:adjustRightInd w:val="0"/>
        <w:rPr>
          <w:rFonts w:cs="Times New Roman"/>
          <w:color w:val="auto"/>
          <w:highlight w:val="none"/>
        </w:rPr>
      </w:pPr>
      <w:bookmarkStart w:id="97" w:name="_Toc13343"/>
      <w:r>
        <w:rPr>
          <w:rFonts w:cs="Times New Roman"/>
          <w:color w:val="auto"/>
          <w:highlight w:val="none"/>
        </w:rPr>
        <w:t>评价工作程序</w:t>
      </w:r>
      <w:bookmarkEnd w:id="97"/>
    </w:p>
    <w:p w14:paraId="71EFEAC6">
      <w:pPr>
        <w:adjustRightInd w:val="0"/>
        <w:ind w:firstLine="480"/>
        <w:rPr>
          <w:rFonts w:cs="Times New Roman"/>
          <w:color w:val="auto"/>
          <w:highlight w:val="none"/>
        </w:rPr>
      </w:pPr>
      <w:r>
        <w:rPr>
          <w:rFonts w:cs="Times New Roman"/>
          <w:color w:val="auto"/>
          <w:highlight w:val="none"/>
        </w:rPr>
        <w:t>本项目环境影响评价工作程序按照《建设项目环境影响评价技术导则 总纲》（HJ2.1-2016）要求，将工作程序划分为前期准备、调研和工作方案阶段，分析论证和预测评价阶段和环境影响评价文件编制阶段，见下图。</w:t>
      </w:r>
    </w:p>
    <w:p w14:paraId="1C0EB002">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114300" distR="114300">
            <wp:extent cx="5614670" cy="6835775"/>
            <wp:effectExtent l="0" t="0" r="5080" b="3175"/>
            <wp:docPr id="184" name="图片 184" descr="BE7E3946-197F-4867-9588-DF5D34E2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descr="BE7E3946-197F-4867-9588-DF5D34E22810"/>
                    <pic:cNvPicPr>
                      <a:picLocks noChangeAspect="1"/>
                    </pic:cNvPicPr>
                  </pic:nvPicPr>
                  <pic:blipFill>
                    <a:blip r:embed="rId25"/>
                    <a:srcRect l="1312" t="782" r="747" b="1080"/>
                    <a:stretch>
                      <a:fillRect/>
                    </a:stretch>
                  </pic:blipFill>
                  <pic:spPr>
                    <a:xfrm>
                      <a:off x="0" y="0"/>
                      <a:ext cx="5614670" cy="6835775"/>
                    </a:xfrm>
                    <a:prstGeom prst="rect">
                      <a:avLst/>
                    </a:prstGeom>
                  </pic:spPr>
                </pic:pic>
              </a:graphicData>
            </a:graphic>
          </wp:inline>
        </w:drawing>
      </w:r>
    </w:p>
    <w:p w14:paraId="7A82FCC9">
      <w:pPr>
        <w:pStyle w:val="12"/>
        <w:adjustRightInd w:val="0"/>
        <w:rPr>
          <w:rFonts w:cs="Times New Roman"/>
          <w:color w:val="auto"/>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5</w:t>
      </w:r>
      <w:r>
        <w:rPr>
          <w:color w:val="auto"/>
          <w:highlight w:val="none"/>
        </w:rPr>
        <w:fldChar w:fldCharType="end"/>
      </w:r>
      <w:r>
        <w:rPr>
          <w:rFonts w:cs="Times New Roman"/>
          <w:color w:val="auto"/>
          <w:highlight w:val="none"/>
        </w:rPr>
        <w:t>环境影响评价工作程序图</w:t>
      </w:r>
    </w:p>
    <w:p w14:paraId="0E28B6D7">
      <w:pPr>
        <w:adjustRightInd w:val="0"/>
        <w:ind w:firstLine="480"/>
        <w:rPr>
          <w:rFonts w:cs="Times New Roman"/>
          <w:color w:val="auto"/>
          <w:highlight w:val="none"/>
        </w:rPr>
      </w:pPr>
      <w:r>
        <w:rPr>
          <w:rFonts w:cs="Times New Roman"/>
          <w:color w:val="auto"/>
          <w:highlight w:val="none"/>
        </w:rPr>
        <w:t>本项目环境影响评价工作程序如下：</w:t>
      </w:r>
    </w:p>
    <w:p w14:paraId="4AFB077C">
      <w:pPr>
        <w:adjustRightInd w:val="0"/>
        <w:ind w:firstLine="480"/>
        <w:rPr>
          <w:rFonts w:cs="Times New Roman"/>
          <w:color w:val="auto"/>
          <w:highlight w:val="none"/>
        </w:rPr>
      </w:pPr>
      <w:r>
        <w:rPr>
          <w:rFonts w:cs="Times New Roman"/>
          <w:color w:val="auto"/>
          <w:highlight w:val="none"/>
        </w:rPr>
        <w:t>（1）前期准备、调研和工作方案阶段：接受环境影响评价委托后，首先是研究国家和地方有关环境保护的法规、政策、标准及相关规划等文件，确定环境影响评价文件类型。在研究相关技术文件和其他有关文件的基础上，进行初步的工程分析，同时开展初步的环境状况调查。结合初步工程分析结果和环境现状资料，可以识别建设项目的环境影响因素，筛选主要的环境影响评价因子，明确评价重点和环境保护目标，确定环境影响评价的范围，评价工作等级和评价标准，最后制定工作方案。</w:t>
      </w:r>
    </w:p>
    <w:p w14:paraId="1B5AEE6D">
      <w:pPr>
        <w:adjustRightInd w:val="0"/>
        <w:ind w:firstLine="480"/>
        <w:rPr>
          <w:rFonts w:cs="Times New Roman"/>
          <w:color w:val="auto"/>
          <w:highlight w:val="none"/>
        </w:rPr>
      </w:pPr>
      <w:r>
        <w:rPr>
          <w:rFonts w:cs="Times New Roman"/>
          <w:color w:val="auto"/>
          <w:highlight w:val="none"/>
        </w:rPr>
        <w:t>（2）分析论证和预测评价阶段：主要工作内容为进一步做好工程分析，进行充分的环境现状调查、监测并开展环境质量现状评价，之后根据污染源强和环境资料进行建设项目的环境影响预测，评价建设项目的环境影响。若建设项目需要进行多个厂址的比选，则需要对各个厂址分别进行预测和评价，并从环境保护角度推荐最佳厂址方案；如果对原选厂址得出了否定的结论，则需要对新选厂址重新进行环境影响评价。</w:t>
      </w:r>
    </w:p>
    <w:p w14:paraId="0A797EED">
      <w:pPr>
        <w:adjustRightInd w:val="0"/>
        <w:ind w:firstLine="480"/>
        <w:rPr>
          <w:rFonts w:cs="Times New Roman"/>
          <w:color w:val="auto"/>
          <w:highlight w:val="none"/>
        </w:rPr>
      </w:pPr>
      <w:r>
        <w:rPr>
          <w:rFonts w:cs="Times New Roman"/>
          <w:color w:val="auto"/>
          <w:highlight w:val="none"/>
        </w:rPr>
        <w:t>（3）环境影响评价文件编制阶段：主要工作内容是汇总、分析第二阶段工作所得各种资料、数据，根据建设项目的环境影响、法律法规和标准</w:t>
      </w:r>
      <w:r>
        <w:rPr>
          <w:rFonts w:hint="eastAsia" w:cs="Times New Roman"/>
          <w:color w:val="auto"/>
          <w:highlight w:val="none"/>
        </w:rPr>
        <w:t>等</w:t>
      </w:r>
      <w:r>
        <w:rPr>
          <w:rFonts w:cs="Times New Roman"/>
          <w:color w:val="auto"/>
          <w:highlight w:val="none"/>
        </w:rPr>
        <w:t>要求以及公众的意愿提出减少环境污染和生态影响的环境管理措施和工程措施。从环境保护的角度确定项目建设的可行性，给出评价结论和提出进一步减缓环境影响的建议，并最终完成环境影响报告书编写。</w:t>
      </w:r>
    </w:p>
    <w:p w14:paraId="72070DD5">
      <w:pPr>
        <w:adjustRightInd w:val="0"/>
        <w:ind w:firstLine="480"/>
        <w:rPr>
          <w:rFonts w:cs="Times New Roman"/>
          <w:color w:val="auto"/>
          <w:highlight w:val="none"/>
        </w:rPr>
      </w:pPr>
    </w:p>
    <w:p w14:paraId="13AA8603">
      <w:pPr>
        <w:adjustRightInd w:val="0"/>
        <w:ind w:firstLine="480"/>
        <w:rPr>
          <w:rFonts w:cs="Times New Roman"/>
          <w:color w:val="auto"/>
          <w:highlight w:val="none"/>
        </w:rPr>
      </w:pPr>
    </w:p>
    <w:p w14:paraId="0FE3EEA5">
      <w:pPr>
        <w:adjustRightInd w:val="0"/>
        <w:ind w:firstLine="480"/>
        <w:rPr>
          <w:rFonts w:cs="Times New Roman"/>
          <w:color w:val="auto"/>
          <w:highlight w:val="none"/>
        </w:rPr>
      </w:pPr>
    </w:p>
    <w:p w14:paraId="3646E358">
      <w:pPr>
        <w:adjustRightInd w:val="0"/>
        <w:ind w:firstLine="480"/>
        <w:rPr>
          <w:rFonts w:cs="Times New Roman"/>
          <w:color w:val="auto"/>
          <w:highlight w:val="none"/>
        </w:rPr>
      </w:pPr>
    </w:p>
    <w:p w14:paraId="588C71AC">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1EF1B0FF">
      <w:pPr>
        <w:pStyle w:val="2"/>
        <w:adjustRightInd w:val="0"/>
        <w:rPr>
          <w:rFonts w:cs="Times New Roman"/>
          <w:color w:val="auto"/>
          <w:highlight w:val="none"/>
        </w:rPr>
      </w:pPr>
      <w:bookmarkStart w:id="98" w:name="_Toc18947"/>
      <w:r>
        <w:rPr>
          <w:rFonts w:cs="Times New Roman"/>
          <w:color w:val="auto"/>
          <w:highlight w:val="none"/>
        </w:rPr>
        <w:t>工程概况</w:t>
      </w:r>
      <w:bookmarkEnd w:id="98"/>
    </w:p>
    <w:p w14:paraId="391FF47D">
      <w:pPr>
        <w:pStyle w:val="3"/>
        <w:adjustRightInd w:val="0"/>
        <w:rPr>
          <w:rFonts w:cs="Times New Roman"/>
          <w:color w:val="auto"/>
          <w:highlight w:val="none"/>
        </w:rPr>
      </w:pPr>
      <w:bookmarkStart w:id="99" w:name="_Toc124"/>
      <w:r>
        <w:rPr>
          <w:rFonts w:cs="Times New Roman"/>
          <w:color w:val="auto"/>
          <w:highlight w:val="none"/>
        </w:rPr>
        <w:t>建设项目概况</w:t>
      </w:r>
      <w:bookmarkEnd w:id="99"/>
    </w:p>
    <w:p w14:paraId="19F32EB0">
      <w:pPr>
        <w:adjustRightInd w:val="0"/>
        <w:ind w:firstLine="480"/>
        <w:rPr>
          <w:rFonts w:cs="Times New Roman"/>
          <w:color w:val="auto"/>
          <w:highlight w:val="none"/>
        </w:rPr>
      </w:pPr>
      <w:r>
        <w:rPr>
          <w:rFonts w:cs="Times New Roman"/>
          <w:color w:val="auto"/>
          <w:highlight w:val="none"/>
        </w:rPr>
        <w:t>项目名称：</w:t>
      </w:r>
      <w:r>
        <w:rPr>
          <w:rFonts w:hint="eastAsia" w:cs="Times New Roman"/>
          <w:color w:val="auto"/>
          <w:highlight w:val="none"/>
        </w:rPr>
        <w:t>乐山市豪宸新能源科技有限公司沙湾豪宸新建36万吨锂矿综合利用项目</w:t>
      </w:r>
    </w:p>
    <w:p w14:paraId="2152D029">
      <w:pPr>
        <w:adjustRightInd w:val="0"/>
        <w:ind w:firstLine="480"/>
        <w:rPr>
          <w:rFonts w:cs="Times New Roman"/>
          <w:color w:val="auto"/>
          <w:highlight w:val="none"/>
        </w:rPr>
      </w:pPr>
      <w:r>
        <w:rPr>
          <w:rFonts w:cs="Times New Roman"/>
          <w:color w:val="auto"/>
          <w:highlight w:val="none"/>
        </w:rPr>
        <w:t>建设单位：</w:t>
      </w:r>
      <w:r>
        <w:rPr>
          <w:rFonts w:hint="eastAsia" w:cs="Times New Roman"/>
          <w:color w:val="auto"/>
          <w:highlight w:val="none"/>
        </w:rPr>
        <w:t>乐山市豪宸新能源科技有限公司</w:t>
      </w:r>
    </w:p>
    <w:p w14:paraId="01086D8B">
      <w:pPr>
        <w:adjustRightInd w:val="0"/>
        <w:ind w:firstLine="480"/>
        <w:rPr>
          <w:rFonts w:cs="Times New Roman"/>
          <w:color w:val="auto"/>
          <w:highlight w:val="none"/>
        </w:rPr>
      </w:pPr>
      <w:r>
        <w:rPr>
          <w:rFonts w:cs="Times New Roman"/>
          <w:color w:val="auto"/>
          <w:highlight w:val="none"/>
        </w:rPr>
        <w:t>建设性质：新建</w:t>
      </w:r>
    </w:p>
    <w:p w14:paraId="3B5F2D43">
      <w:pPr>
        <w:adjustRightInd w:val="0"/>
        <w:ind w:firstLine="480"/>
        <w:rPr>
          <w:rFonts w:cs="Times New Roman"/>
          <w:color w:val="auto"/>
          <w:highlight w:val="none"/>
        </w:rPr>
      </w:pPr>
      <w:r>
        <w:rPr>
          <w:rFonts w:cs="Times New Roman"/>
          <w:color w:val="auto"/>
          <w:highlight w:val="none"/>
        </w:rPr>
        <w:t>行业类别：B0939其他稀有金属采选</w:t>
      </w:r>
    </w:p>
    <w:p w14:paraId="4D582CEC">
      <w:pPr>
        <w:adjustRightInd w:val="0"/>
        <w:ind w:firstLine="480"/>
        <w:rPr>
          <w:rFonts w:cs="Times New Roman"/>
          <w:color w:val="auto"/>
          <w:highlight w:val="none"/>
        </w:rPr>
      </w:pPr>
      <w:r>
        <w:rPr>
          <w:rFonts w:cs="Times New Roman"/>
          <w:color w:val="auto"/>
          <w:highlight w:val="none"/>
        </w:rPr>
        <w:t>建设地点：乐山市沙湾区嘉农镇凤凰路1号（四川乐山沙湾经济开发区嘉农组团内）（E103.61</w:t>
      </w:r>
      <w:r>
        <w:rPr>
          <w:rFonts w:hint="eastAsia" w:cs="Times New Roman"/>
          <w:color w:val="auto"/>
          <w:highlight w:val="none"/>
        </w:rPr>
        <w:t>3456</w:t>
      </w:r>
      <w:r>
        <w:rPr>
          <w:rFonts w:cs="Times New Roman"/>
          <w:color w:val="auto"/>
          <w:highlight w:val="none"/>
        </w:rPr>
        <w:t>°，N29.50</w:t>
      </w:r>
      <w:r>
        <w:rPr>
          <w:rFonts w:hint="eastAsia" w:cs="Times New Roman"/>
          <w:color w:val="auto"/>
          <w:highlight w:val="none"/>
        </w:rPr>
        <w:t>5825</w:t>
      </w:r>
      <w:r>
        <w:rPr>
          <w:rFonts w:cs="Times New Roman"/>
          <w:color w:val="auto"/>
          <w:highlight w:val="none"/>
        </w:rPr>
        <w:t>°）</w:t>
      </w:r>
    </w:p>
    <w:p w14:paraId="4AC026E9">
      <w:pPr>
        <w:adjustRightInd w:val="0"/>
        <w:ind w:firstLine="480"/>
        <w:rPr>
          <w:rFonts w:cs="Times New Roman"/>
          <w:color w:val="auto"/>
          <w:highlight w:val="none"/>
        </w:rPr>
      </w:pPr>
      <w:r>
        <w:rPr>
          <w:rFonts w:cs="Times New Roman"/>
          <w:color w:val="auto"/>
          <w:highlight w:val="none"/>
        </w:rPr>
        <w:t>项目投资：1</w:t>
      </w:r>
      <w:r>
        <w:rPr>
          <w:rFonts w:hint="eastAsia" w:cs="Times New Roman"/>
          <w:color w:val="auto"/>
          <w:highlight w:val="none"/>
        </w:rPr>
        <w:t>1</w:t>
      </w:r>
      <w:r>
        <w:rPr>
          <w:rFonts w:cs="Times New Roman"/>
          <w:color w:val="auto"/>
          <w:highlight w:val="none"/>
        </w:rPr>
        <w:t>000万元</w:t>
      </w:r>
    </w:p>
    <w:p w14:paraId="48A195EE">
      <w:pPr>
        <w:adjustRightInd w:val="0"/>
        <w:ind w:firstLine="480"/>
        <w:rPr>
          <w:rFonts w:cs="Times New Roman"/>
          <w:color w:val="auto"/>
          <w:highlight w:val="none"/>
        </w:rPr>
      </w:pPr>
      <w:r>
        <w:rPr>
          <w:rFonts w:cs="Times New Roman"/>
          <w:color w:val="auto"/>
          <w:highlight w:val="none"/>
        </w:rPr>
        <w:t>建设内容：项目占地</w:t>
      </w:r>
      <w:r>
        <w:rPr>
          <w:rFonts w:hint="eastAsia" w:cs="Times New Roman"/>
          <w:color w:val="auto"/>
          <w:highlight w:val="none"/>
        </w:rPr>
        <w:t>31.8</w:t>
      </w:r>
      <w:r>
        <w:rPr>
          <w:rFonts w:cs="Times New Roman"/>
          <w:color w:val="auto"/>
          <w:highlight w:val="none"/>
        </w:rPr>
        <w:t>亩，</w:t>
      </w:r>
      <w:r>
        <w:rPr>
          <w:rFonts w:hint="eastAsia" w:cs="Times New Roman"/>
          <w:color w:val="auto"/>
          <w:highlight w:val="none"/>
        </w:rPr>
        <w:t>加工锂辉石原矿36万t/a（1090.91t/d），投资金额为11000万元，</w:t>
      </w:r>
      <w:r>
        <w:rPr>
          <w:rFonts w:cs="Times New Roman"/>
          <w:color w:val="auto"/>
          <w:highlight w:val="none"/>
        </w:rPr>
        <w:t>新建钢结构厂房；主要对锂矿加工处置利用，配套建设碎矿车间、磨矿车间、加工车间、磁选车间、压滤车间等工程。产品名称：锂辉石精矿。主要设备：颚式破碎机，球磨机，浮选机，磁选机，鼓风机，精矿和尾矿压滤机等。</w:t>
      </w:r>
    </w:p>
    <w:p w14:paraId="7A01AAC4">
      <w:pPr>
        <w:adjustRightInd w:val="0"/>
        <w:ind w:firstLine="480"/>
        <w:rPr>
          <w:rFonts w:cs="Times New Roman"/>
          <w:color w:val="auto"/>
          <w:highlight w:val="none"/>
        </w:rPr>
      </w:pPr>
      <w:r>
        <w:rPr>
          <w:rFonts w:cs="Times New Roman"/>
          <w:color w:val="auto"/>
          <w:highlight w:val="none"/>
        </w:rPr>
        <w:t>劳动定员：70人</w:t>
      </w:r>
    </w:p>
    <w:p w14:paraId="2D012335">
      <w:pPr>
        <w:adjustRightInd w:val="0"/>
        <w:ind w:firstLine="480"/>
        <w:rPr>
          <w:rFonts w:cs="Times New Roman"/>
          <w:color w:val="auto"/>
          <w:highlight w:val="none"/>
        </w:rPr>
      </w:pPr>
      <w:r>
        <w:rPr>
          <w:rFonts w:cs="Times New Roman"/>
          <w:color w:val="auto"/>
          <w:highlight w:val="none"/>
        </w:rPr>
        <w:t>生产制度：年运行天数</w:t>
      </w:r>
      <w:r>
        <w:rPr>
          <w:rFonts w:hint="eastAsia" w:cs="Times New Roman"/>
          <w:color w:val="auto"/>
          <w:highlight w:val="none"/>
        </w:rPr>
        <w:t>330</w:t>
      </w:r>
      <w:r>
        <w:rPr>
          <w:rFonts w:cs="Times New Roman"/>
          <w:color w:val="auto"/>
          <w:highlight w:val="none"/>
        </w:rPr>
        <w:t>天，3班制，每班8小时，其中破碎、筛分工序工作2班（夜间不生产），其他工序工作3班。</w:t>
      </w:r>
    </w:p>
    <w:p w14:paraId="1FB0616D">
      <w:pPr>
        <w:pStyle w:val="3"/>
        <w:adjustRightInd w:val="0"/>
        <w:rPr>
          <w:rFonts w:cs="Times New Roman"/>
          <w:color w:val="auto"/>
          <w:highlight w:val="none"/>
        </w:rPr>
      </w:pPr>
      <w:bookmarkStart w:id="100" w:name="_Toc5203"/>
      <w:r>
        <w:rPr>
          <w:rFonts w:cs="Times New Roman"/>
          <w:color w:val="auto"/>
          <w:highlight w:val="none"/>
        </w:rPr>
        <w:t>产品方案</w:t>
      </w:r>
      <w:bookmarkEnd w:id="100"/>
    </w:p>
    <w:p w14:paraId="4C965CC7">
      <w:pPr>
        <w:adjustRightInd w:val="0"/>
        <w:ind w:firstLine="480"/>
        <w:rPr>
          <w:rFonts w:cs="Times New Roman"/>
          <w:color w:val="auto"/>
          <w:highlight w:val="none"/>
        </w:rPr>
      </w:pPr>
      <w:r>
        <w:rPr>
          <w:rFonts w:cs="Times New Roman"/>
          <w:color w:val="auto"/>
          <w:highlight w:val="none"/>
        </w:rPr>
        <w:t>本项目产品方案见下表。</w:t>
      </w:r>
    </w:p>
    <w:p w14:paraId="3F721164">
      <w:pPr>
        <w:pStyle w:val="12"/>
        <w:adjustRightInd w:val="0"/>
        <w:rPr>
          <w:rFonts w:cs="Times New Roman"/>
          <w:color w:val="auto"/>
          <w:kern w:val="0"/>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kern w:val="0"/>
          <w:szCs w:val="21"/>
          <w:highlight w:val="none"/>
        </w:rPr>
        <w:t>产品方案一览表</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45" w:type="dxa"/>
          <w:bottom w:w="0" w:type="dxa"/>
          <w:right w:w="23" w:type="dxa"/>
        </w:tblCellMar>
      </w:tblPr>
      <w:tblGrid>
        <w:gridCol w:w="1625"/>
        <w:gridCol w:w="1948"/>
        <w:gridCol w:w="1600"/>
        <w:gridCol w:w="1602"/>
        <w:gridCol w:w="1599"/>
      </w:tblGrid>
      <w:tr w14:paraId="44E3F9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90" w:hRule="atLeast"/>
          <w:tblHeader/>
        </w:trPr>
        <w:tc>
          <w:tcPr>
            <w:tcW w:w="970"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611EDAA">
            <w:pPr>
              <w:pStyle w:val="69"/>
              <w:spacing w:before="65" w:after="65"/>
              <w:rPr>
                <w:rFonts w:cs="Times New Roman"/>
                <w:b/>
                <w:color w:val="auto"/>
                <w:highlight w:val="none"/>
              </w:rPr>
            </w:pPr>
            <w:r>
              <w:rPr>
                <w:rFonts w:cs="Times New Roman"/>
                <w:b/>
                <w:color w:val="auto"/>
                <w:highlight w:val="none"/>
              </w:rPr>
              <w:t>名称</w:t>
            </w:r>
          </w:p>
        </w:tc>
        <w:tc>
          <w:tcPr>
            <w:tcW w:w="3074" w:type="pct"/>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8D75F69">
            <w:pPr>
              <w:pStyle w:val="69"/>
              <w:spacing w:before="65" w:after="65"/>
              <w:rPr>
                <w:rFonts w:cs="Times New Roman"/>
                <w:b/>
                <w:color w:val="auto"/>
                <w:highlight w:val="none"/>
              </w:rPr>
            </w:pPr>
            <w:r>
              <w:rPr>
                <w:rFonts w:cs="Times New Roman"/>
                <w:b/>
                <w:color w:val="auto"/>
                <w:highlight w:val="none"/>
              </w:rPr>
              <w:t>年产量（t/a）</w:t>
            </w:r>
          </w:p>
        </w:tc>
        <w:tc>
          <w:tcPr>
            <w:tcW w:w="95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9741205">
            <w:pPr>
              <w:pStyle w:val="69"/>
              <w:spacing w:before="65" w:after="65"/>
              <w:rPr>
                <w:rFonts w:cs="Times New Roman"/>
                <w:b/>
                <w:color w:val="auto"/>
                <w:highlight w:val="none"/>
              </w:rPr>
            </w:pPr>
            <w:r>
              <w:rPr>
                <w:rFonts w:cs="Times New Roman"/>
                <w:b/>
                <w:color w:val="auto"/>
                <w:highlight w:val="none"/>
              </w:rPr>
              <w:t>设计品位（%）</w:t>
            </w:r>
          </w:p>
        </w:tc>
      </w:tr>
      <w:tr w14:paraId="7B0CE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90" w:hRule="atLeast"/>
          <w:tblHeader/>
        </w:trPr>
        <w:tc>
          <w:tcPr>
            <w:tcW w:w="97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DDBEE6">
            <w:pPr>
              <w:pStyle w:val="69"/>
              <w:spacing w:before="65" w:after="65"/>
              <w:rPr>
                <w:rFonts w:cs="Times New Roman"/>
                <w:color w:val="auto"/>
                <w:highlight w:val="none"/>
              </w:rPr>
            </w:pPr>
          </w:p>
        </w:tc>
        <w:tc>
          <w:tcPr>
            <w:tcW w:w="11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175AA">
            <w:pPr>
              <w:pStyle w:val="69"/>
              <w:spacing w:before="65" w:after="65"/>
              <w:rPr>
                <w:rFonts w:cs="Times New Roman"/>
                <w:b/>
                <w:color w:val="auto"/>
                <w:highlight w:val="none"/>
              </w:rPr>
            </w:pPr>
            <w:r>
              <w:rPr>
                <w:rFonts w:cs="Times New Roman"/>
                <w:b/>
                <w:color w:val="auto"/>
                <w:highlight w:val="none"/>
              </w:rPr>
              <w:t>绝干量</w:t>
            </w:r>
          </w:p>
        </w:tc>
        <w:tc>
          <w:tcPr>
            <w:tcW w:w="955" w:type="pct"/>
            <w:tcBorders>
              <w:top w:val="single" w:color="000000" w:sz="4" w:space="0"/>
              <w:left w:val="single" w:color="000000" w:sz="4" w:space="0"/>
              <w:bottom w:val="single" w:color="000000" w:sz="4" w:space="0"/>
              <w:right w:val="single" w:color="000000" w:sz="4" w:space="0"/>
            </w:tcBorders>
            <w:shd w:val="clear" w:color="auto" w:fill="FFFFFF"/>
          </w:tcPr>
          <w:p w14:paraId="633BDB30">
            <w:pPr>
              <w:pStyle w:val="69"/>
              <w:spacing w:before="65" w:after="65"/>
              <w:rPr>
                <w:rFonts w:cs="Times New Roman"/>
                <w:b/>
                <w:color w:val="auto"/>
                <w:highlight w:val="none"/>
              </w:rPr>
            </w:pPr>
            <w:r>
              <w:rPr>
                <w:rFonts w:cs="Times New Roman"/>
                <w:b/>
                <w:color w:val="auto"/>
                <w:highlight w:val="none"/>
              </w:rPr>
              <w:t>含水率</w:t>
            </w:r>
          </w:p>
        </w:tc>
        <w:tc>
          <w:tcPr>
            <w:tcW w:w="955" w:type="pct"/>
            <w:tcBorders>
              <w:top w:val="single" w:color="000000" w:sz="4" w:space="0"/>
              <w:left w:val="single" w:color="000000" w:sz="4" w:space="0"/>
              <w:bottom w:val="single" w:color="000000" w:sz="4" w:space="0"/>
              <w:right w:val="single" w:color="000000" w:sz="4" w:space="0"/>
            </w:tcBorders>
            <w:shd w:val="clear" w:color="auto" w:fill="FFFFFF"/>
          </w:tcPr>
          <w:p w14:paraId="0A54B7F4">
            <w:pPr>
              <w:pStyle w:val="69"/>
              <w:spacing w:before="65" w:after="65"/>
              <w:rPr>
                <w:rFonts w:cs="Times New Roman"/>
                <w:b/>
                <w:color w:val="auto"/>
                <w:highlight w:val="none"/>
              </w:rPr>
            </w:pPr>
            <w:r>
              <w:rPr>
                <w:rFonts w:cs="Times New Roman"/>
                <w:b/>
                <w:color w:val="auto"/>
                <w:highlight w:val="none"/>
              </w:rPr>
              <w:t>设计产量</w:t>
            </w:r>
          </w:p>
        </w:tc>
        <w:tc>
          <w:tcPr>
            <w:tcW w:w="95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F21B440">
            <w:pPr>
              <w:pStyle w:val="69"/>
              <w:spacing w:before="65" w:after="65"/>
              <w:rPr>
                <w:rFonts w:cs="Times New Roman"/>
                <w:color w:val="auto"/>
                <w:highlight w:val="none"/>
              </w:rPr>
            </w:pPr>
          </w:p>
        </w:tc>
      </w:tr>
      <w:tr w14:paraId="09D54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90" w:hRule="atLeast"/>
        </w:trPr>
        <w:tc>
          <w:tcPr>
            <w:tcW w:w="97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CC75C">
            <w:pPr>
              <w:pStyle w:val="69"/>
              <w:spacing w:before="65" w:after="65"/>
              <w:rPr>
                <w:rFonts w:cs="Times New Roman"/>
                <w:color w:val="auto"/>
                <w:highlight w:val="none"/>
              </w:rPr>
            </w:pPr>
            <w:r>
              <w:rPr>
                <w:rFonts w:cs="Times New Roman"/>
                <w:color w:val="auto"/>
                <w:highlight w:val="none"/>
              </w:rPr>
              <w:t>锂辉石精矿</w:t>
            </w:r>
          </w:p>
        </w:tc>
        <w:tc>
          <w:tcPr>
            <w:tcW w:w="116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8D9BA">
            <w:pPr>
              <w:pStyle w:val="69"/>
              <w:spacing w:before="65" w:after="65"/>
              <w:rPr>
                <w:rFonts w:cs="Times New Roman"/>
                <w:color w:val="auto"/>
                <w:highlight w:val="none"/>
              </w:rPr>
            </w:pPr>
            <w:r>
              <w:rPr>
                <w:rFonts w:hint="eastAsia" w:cs="Times New Roman"/>
                <w:color w:val="auto"/>
                <w:highlight w:val="none"/>
              </w:rPr>
              <w:t>99360</w:t>
            </w:r>
          </w:p>
        </w:tc>
        <w:tc>
          <w:tcPr>
            <w:tcW w:w="9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5B572">
            <w:pPr>
              <w:pStyle w:val="69"/>
              <w:spacing w:before="65" w:after="65"/>
              <w:rPr>
                <w:rFonts w:cs="Times New Roman"/>
                <w:color w:val="auto"/>
                <w:highlight w:val="none"/>
              </w:rPr>
            </w:pPr>
            <w:r>
              <w:rPr>
                <w:rFonts w:cs="Times New Roman"/>
                <w:color w:val="auto"/>
                <w:highlight w:val="none"/>
              </w:rPr>
              <w:t>13%</w:t>
            </w:r>
          </w:p>
        </w:tc>
        <w:tc>
          <w:tcPr>
            <w:tcW w:w="95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EC06F">
            <w:pPr>
              <w:pStyle w:val="69"/>
              <w:spacing w:before="65" w:after="65"/>
              <w:rPr>
                <w:rFonts w:cs="Times New Roman"/>
                <w:color w:val="auto"/>
                <w:highlight w:val="none"/>
              </w:rPr>
            </w:pPr>
            <w:r>
              <w:rPr>
                <w:rFonts w:hint="eastAsia" w:cs="Times New Roman"/>
                <w:color w:val="auto"/>
                <w:highlight w:val="none"/>
              </w:rPr>
              <w:t>114206.9</w:t>
            </w:r>
          </w:p>
        </w:tc>
        <w:tc>
          <w:tcPr>
            <w:tcW w:w="95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296359">
            <w:pPr>
              <w:pStyle w:val="69"/>
              <w:spacing w:before="65" w:after="65"/>
              <w:rPr>
                <w:rFonts w:cs="Times New Roman"/>
                <w:color w:val="auto"/>
                <w:highlight w:val="none"/>
              </w:rPr>
            </w:pPr>
            <w:r>
              <w:rPr>
                <w:rFonts w:cs="Times New Roman"/>
                <w:color w:val="auto"/>
                <w:highlight w:val="none"/>
              </w:rPr>
              <w:t>5</w:t>
            </w:r>
          </w:p>
        </w:tc>
      </w:tr>
    </w:tbl>
    <w:p w14:paraId="55D5E07C">
      <w:pPr>
        <w:adjustRightInd w:val="0"/>
        <w:ind w:firstLine="480"/>
        <w:rPr>
          <w:rFonts w:cs="Times New Roman"/>
          <w:color w:val="auto"/>
          <w:highlight w:val="none"/>
        </w:rPr>
      </w:pPr>
      <w:r>
        <w:rPr>
          <w:rFonts w:cs="Times New Roman"/>
          <w:color w:val="auto"/>
          <w:highlight w:val="none"/>
        </w:rPr>
        <w:t>建设单位为回收锂辉石矿中合格的锂精矿及综合回收其他伴生矿物，合理设计选矿工艺与流程，委托四川省有色冶金研究院有限公司于</w:t>
      </w:r>
      <w:r>
        <w:rPr>
          <w:rFonts w:hint="eastAsia" w:cs="Times New Roman"/>
          <w:color w:val="auto"/>
          <w:highlight w:val="none"/>
        </w:rPr>
        <w:t>202</w:t>
      </w:r>
      <w:r>
        <w:rPr>
          <w:rFonts w:hint="eastAsia" w:cs="Times New Roman"/>
          <w:color w:val="auto"/>
          <w:highlight w:val="none"/>
          <w:lang w:val="en-US" w:eastAsia="zh-CN"/>
        </w:rPr>
        <w:t>6年</w:t>
      </w:r>
      <w:r>
        <w:rPr>
          <w:rFonts w:cs="Times New Roman"/>
          <w:color w:val="auto"/>
          <w:highlight w:val="none"/>
        </w:rPr>
        <w:t>编制了《锂辉石选矿试验研究报告》。具体情况如下：精矿得率为83.37%，尾矿产率为77.86%，目标矿精矿产率为22.14%、锂辉石精矿含水率为13%、尾矿含水率为13%、黑砂（磁性杂质）含水率为13%。</w:t>
      </w:r>
    </w:p>
    <w:p w14:paraId="0911C61F">
      <w:pPr>
        <w:adjustRightInd w:val="0"/>
        <w:ind w:firstLine="480"/>
        <w:rPr>
          <w:rFonts w:cs="Times New Roman"/>
          <w:color w:val="auto"/>
          <w:highlight w:val="none"/>
        </w:rPr>
      </w:pPr>
      <w:r>
        <w:rPr>
          <w:rFonts w:cs="Times New Roman"/>
          <w:color w:val="auto"/>
          <w:highlight w:val="none"/>
        </w:rPr>
        <w:t>本项目设计指标详见下表。</w:t>
      </w:r>
    </w:p>
    <w:p w14:paraId="09EA5B45">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本项目设计指标一览表</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45" w:type="dxa"/>
          <w:bottom w:w="0" w:type="dxa"/>
          <w:right w:w="23" w:type="dxa"/>
        </w:tblCellMar>
      </w:tblPr>
      <w:tblGrid>
        <w:gridCol w:w="1129"/>
        <w:gridCol w:w="2680"/>
        <w:gridCol w:w="1517"/>
        <w:gridCol w:w="1517"/>
        <w:gridCol w:w="1528"/>
      </w:tblGrid>
      <w:tr w14:paraId="0157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254" w:hRule="atLeast"/>
          <w:tblHeader/>
          <w:jc w:val="center"/>
        </w:trPr>
        <w:tc>
          <w:tcPr>
            <w:tcW w:w="674" w:type="pct"/>
            <w:vMerge w:val="restart"/>
            <w:vAlign w:val="center"/>
          </w:tcPr>
          <w:p w14:paraId="7EBC2EE5">
            <w:pPr>
              <w:pStyle w:val="69"/>
              <w:spacing w:before="65" w:after="65"/>
              <w:rPr>
                <w:rFonts w:cs="Times New Roman"/>
                <w:b/>
                <w:bCs w:val="0"/>
                <w:color w:val="auto"/>
                <w:highlight w:val="none"/>
              </w:rPr>
            </w:pPr>
            <w:r>
              <w:rPr>
                <w:rFonts w:cs="Times New Roman"/>
                <w:b/>
                <w:bCs w:val="0"/>
                <w:color w:val="auto"/>
                <w:highlight w:val="none"/>
              </w:rPr>
              <w:t>类别</w:t>
            </w:r>
          </w:p>
        </w:tc>
        <w:tc>
          <w:tcPr>
            <w:tcW w:w="1600" w:type="pct"/>
            <w:vMerge w:val="restart"/>
            <w:vAlign w:val="center"/>
          </w:tcPr>
          <w:p w14:paraId="145FF650">
            <w:pPr>
              <w:pStyle w:val="69"/>
              <w:spacing w:before="65" w:after="65"/>
              <w:rPr>
                <w:rFonts w:cs="Times New Roman"/>
                <w:b/>
                <w:bCs w:val="0"/>
                <w:color w:val="auto"/>
                <w:highlight w:val="none"/>
              </w:rPr>
            </w:pPr>
            <w:r>
              <w:rPr>
                <w:rFonts w:cs="Times New Roman"/>
                <w:b/>
                <w:bCs w:val="0"/>
                <w:color w:val="auto"/>
                <w:highlight w:val="none"/>
              </w:rPr>
              <w:t>名称</w:t>
            </w:r>
          </w:p>
        </w:tc>
        <w:tc>
          <w:tcPr>
            <w:tcW w:w="2724" w:type="pct"/>
            <w:gridSpan w:val="3"/>
            <w:vAlign w:val="center"/>
          </w:tcPr>
          <w:p w14:paraId="40791CED">
            <w:pPr>
              <w:pStyle w:val="69"/>
              <w:spacing w:before="65" w:after="65"/>
              <w:rPr>
                <w:rFonts w:cs="Times New Roman"/>
                <w:b/>
                <w:bCs w:val="0"/>
                <w:color w:val="auto"/>
                <w:highlight w:val="none"/>
              </w:rPr>
            </w:pPr>
            <w:r>
              <w:rPr>
                <w:rFonts w:cs="Times New Roman"/>
                <w:b/>
                <w:bCs w:val="0"/>
                <w:color w:val="auto"/>
                <w:highlight w:val="none"/>
              </w:rPr>
              <w:t>用量/产量（t/a）</w:t>
            </w:r>
          </w:p>
        </w:tc>
      </w:tr>
      <w:tr w14:paraId="6460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186" w:hRule="atLeast"/>
          <w:tblHeader/>
          <w:jc w:val="center"/>
        </w:trPr>
        <w:tc>
          <w:tcPr>
            <w:tcW w:w="674" w:type="pct"/>
            <w:vMerge w:val="continue"/>
            <w:vAlign w:val="center"/>
          </w:tcPr>
          <w:p w14:paraId="1462443C">
            <w:pPr>
              <w:pStyle w:val="69"/>
              <w:spacing w:before="65" w:after="65"/>
              <w:rPr>
                <w:rFonts w:cs="Times New Roman"/>
                <w:b/>
                <w:bCs w:val="0"/>
                <w:color w:val="auto"/>
                <w:highlight w:val="none"/>
              </w:rPr>
            </w:pPr>
          </w:p>
        </w:tc>
        <w:tc>
          <w:tcPr>
            <w:tcW w:w="1600" w:type="pct"/>
            <w:vMerge w:val="continue"/>
            <w:vAlign w:val="center"/>
          </w:tcPr>
          <w:p w14:paraId="18E07B3B">
            <w:pPr>
              <w:pStyle w:val="69"/>
              <w:spacing w:before="65" w:after="65"/>
              <w:rPr>
                <w:rFonts w:cs="Times New Roman"/>
                <w:b/>
                <w:bCs w:val="0"/>
                <w:color w:val="auto"/>
                <w:highlight w:val="none"/>
              </w:rPr>
            </w:pPr>
          </w:p>
        </w:tc>
        <w:tc>
          <w:tcPr>
            <w:tcW w:w="906" w:type="pct"/>
            <w:vAlign w:val="center"/>
          </w:tcPr>
          <w:p w14:paraId="76E445B5">
            <w:pPr>
              <w:pStyle w:val="69"/>
              <w:spacing w:before="65" w:after="65"/>
              <w:rPr>
                <w:rFonts w:cs="Times New Roman"/>
                <w:b/>
                <w:bCs w:val="0"/>
                <w:color w:val="auto"/>
                <w:highlight w:val="none"/>
              </w:rPr>
            </w:pPr>
            <w:r>
              <w:rPr>
                <w:rFonts w:cs="Times New Roman"/>
                <w:b/>
                <w:bCs w:val="0"/>
                <w:color w:val="auto"/>
                <w:highlight w:val="none"/>
              </w:rPr>
              <w:t>绝干量</w:t>
            </w:r>
          </w:p>
        </w:tc>
        <w:tc>
          <w:tcPr>
            <w:tcW w:w="906" w:type="pct"/>
            <w:vAlign w:val="center"/>
          </w:tcPr>
          <w:p w14:paraId="2E532CF3">
            <w:pPr>
              <w:pStyle w:val="69"/>
              <w:spacing w:before="65" w:after="65"/>
              <w:rPr>
                <w:rFonts w:cs="Times New Roman"/>
                <w:b/>
                <w:bCs w:val="0"/>
                <w:color w:val="auto"/>
                <w:highlight w:val="none"/>
              </w:rPr>
            </w:pPr>
            <w:r>
              <w:rPr>
                <w:rFonts w:cs="Times New Roman"/>
                <w:b/>
                <w:bCs w:val="0"/>
                <w:color w:val="auto"/>
                <w:highlight w:val="none"/>
              </w:rPr>
              <w:t>含水率</w:t>
            </w:r>
          </w:p>
        </w:tc>
        <w:tc>
          <w:tcPr>
            <w:tcW w:w="912" w:type="pct"/>
            <w:vAlign w:val="center"/>
          </w:tcPr>
          <w:p w14:paraId="47F02FA2">
            <w:pPr>
              <w:pStyle w:val="69"/>
              <w:spacing w:before="65" w:after="65"/>
              <w:rPr>
                <w:rFonts w:cs="Times New Roman"/>
                <w:b/>
                <w:bCs w:val="0"/>
                <w:color w:val="auto"/>
                <w:highlight w:val="none"/>
              </w:rPr>
            </w:pPr>
            <w:r>
              <w:rPr>
                <w:rFonts w:cs="Times New Roman"/>
                <w:b/>
                <w:bCs w:val="0"/>
                <w:color w:val="auto"/>
                <w:highlight w:val="none"/>
              </w:rPr>
              <w:t>湿基</w:t>
            </w:r>
          </w:p>
        </w:tc>
      </w:tr>
      <w:tr w14:paraId="3FF61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90" w:hRule="atLeast"/>
          <w:jc w:val="center"/>
        </w:trPr>
        <w:tc>
          <w:tcPr>
            <w:tcW w:w="674" w:type="pct"/>
            <w:vAlign w:val="center"/>
          </w:tcPr>
          <w:p w14:paraId="58AC0A7B">
            <w:pPr>
              <w:pStyle w:val="69"/>
              <w:spacing w:before="65" w:after="65"/>
              <w:rPr>
                <w:rFonts w:cs="Times New Roman"/>
                <w:color w:val="auto"/>
                <w:highlight w:val="none"/>
              </w:rPr>
            </w:pPr>
            <w:r>
              <w:rPr>
                <w:rFonts w:cs="Times New Roman"/>
                <w:color w:val="auto"/>
                <w:highlight w:val="none"/>
              </w:rPr>
              <w:t>原矿</w:t>
            </w:r>
          </w:p>
        </w:tc>
        <w:tc>
          <w:tcPr>
            <w:tcW w:w="1600" w:type="pct"/>
            <w:vAlign w:val="center"/>
          </w:tcPr>
          <w:p w14:paraId="5B1AFF93">
            <w:pPr>
              <w:pStyle w:val="69"/>
              <w:spacing w:before="65" w:after="65"/>
              <w:rPr>
                <w:rFonts w:cs="Times New Roman"/>
                <w:color w:val="auto"/>
                <w:highlight w:val="none"/>
              </w:rPr>
            </w:pPr>
            <w:r>
              <w:rPr>
                <w:rFonts w:cs="Times New Roman"/>
                <w:color w:val="auto"/>
                <w:highlight w:val="none"/>
              </w:rPr>
              <w:t>锂辉石原矿</w:t>
            </w:r>
          </w:p>
        </w:tc>
        <w:tc>
          <w:tcPr>
            <w:tcW w:w="906" w:type="pct"/>
            <w:vAlign w:val="bottom"/>
          </w:tcPr>
          <w:p w14:paraId="35CBA403">
            <w:pPr>
              <w:pStyle w:val="69"/>
              <w:spacing w:before="65" w:after="65"/>
              <w:rPr>
                <w:rFonts w:cs="Times New Roman"/>
                <w:color w:val="auto"/>
                <w:highlight w:val="none"/>
              </w:rPr>
            </w:pPr>
            <w:r>
              <w:rPr>
                <w:rFonts w:hint="eastAsia" w:cs="Times New Roman"/>
                <w:color w:val="auto"/>
                <w:highlight w:val="none"/>
              </w:rPr>
              <w:t>3312</w:t>
            </w:r>
            <w:r>
              <w:rPr>
                <w:rFonts w:cs="Times New Roman"/>
                <w:color w:val="auto"/>
                <w:highlight w:val="none"/>
              </w:rPr>
              <w:t>00</w:t>
            </w:r>
          </w:p>
        </w:tc>
        <w:tc>
          <w:tcPr>
            <w:tcW w:w="906" w:type="pct"/>
            <w:vAlign w:val="center"/>
          </w:tcPr>
          <w:p w14:paraId="605FD95C">
            <w:pPr>
              <w:pStyle w:val="69"/>
              <w:spacing w:before="65" w:after="65"/>
              <w:rPr>
                <w:rFonts w:cs="Times New Roman"/>
                <w:color w:val="auto"/>
                <w:highlight w:val="none"/>
              </w:rPr>
            </w:pPr>
            <w:r>
              <w:rPr>
                <w:rFonts w:cs="Times New Roman"/>
                <w:color w:val="auto"/>
                <w:highlight w:val="none"/>
              </w:rPr>
              <w:t>8%</w:t>
            </w:r>
          </w:p>
        </w:tc>
        <w:tc>
          <w:tcPr>
            <w:tcW w:w="912" w:type="pct"/>
            <w:vAlign w:val="bottom"/>
          </w:tcPr>
          <w:p w14:paraId="58228932">
            <w:pPr>
              <w:pStyle w:val="69"/>
              <w:spacing w:before="65" w:after="65"/>
              <w:rPr>
                <w:rFonts w:cs="Times New Roman"/>
                <w:color w:val="auto"/>
                <w:highlight w:val="none"/>
              </w:rPr>
            </w:pPr>
            <w:r>
              <w:rPr>
                <w:rFonts w:hint="eastAsia" w:cs="Times New Roman"/>
                <w:color w:val="auto"/>
                <w:highlight w:val="none"/>
              </w:rPr>
              <w:t>36</w:t>
            </w:r>
            <w:r>
              <w:rPr>
                <w:rFonts w:cs="Times New Roman"/>
                <w:color w:val="auto"/>
                <w:highlight w:val="none"/>
              </w:rPr>
              <w:t>0000</w:t>
            </w:r>
          </w:p>
        </w:tc>
      </w:tr>
      <w:tr w14:paraId="58376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90" w:hRule="atLeast"/>
          <w:jc w:val="center"/>
        </w:trPr>
        <w:tc>
          <w:tcPr>
            <w:tcW w:w="674" w:type="pct"/>
            <w:vAlign w:val="center"/>
          </w:tcPr>
          <w:p w14:paraId="5ED4EBC5">
            <w:pPr>
              <w:pStyle w:val="69"/>
              <w:spacing w:before="65" w:after="65"/>
              <w:rPr>
                <w:rFonts w:cs="Times New Roman"/>
                <w:color w:val="auto"/>
                <w:highlight w:val="none"/>
              </w:rPr>
            </w:pPr>
            <w:r>
              <w:rPr>
                <w:rFonts w:cs="Times New Roman"/>
                <w:color w:val="auto"/>
                <w:highlight w:val="none"/>
              </w:rPr>
              <w:t>产品</w:t>
            </w:r>
          </w:p>
        </w:tc>
        <w:tc>
          <w:tcPr>
            <w:tcW w:w="1600" w:type="pct"/>
            <w:vAlign w:val="center"/>
          </w:tcPr>
          <w:p w14:paraId="2965BABC">
            <w:pPr>
              <w:pStyle w:val="69"/>
              <w:spacing w:before="65" w:after="65"/>
              <w:rPr>
                <w:rFonts w:cs="Times New Roman"/>
                <w:color w:val="auto"/>
                <w:highlight w:val="none"/>
              </w:rPr>
            </w:pPr>
            <w:r>
              <w:rPr>
                <w:rFonts w:cs="Times New Roman"/>
                <w:color w:val="auto"/>
                <w:highlight w:val="none"/>
              </w:rPr>
              <w:t>锂辉石精矿</w:t>
            </w:r>
          </w:p>
        </w:tc>
        <w:tc>
          <w:tcPr>
            <w:tcW w:w="906" w:type="pct"/>
            <w:vAlign w:val="center"/>
          </w:tcPr>
          <w:p w14:paraId="3EB993CA">
            <w:pPr>
              <w:pStyle w:val="69"/>
              <w:spacing w:before="65" w:after="65"/>
              <w:rPr>
                <w:rFonts w:cs="Times New Roman"/>
                <w:color w:val="auto"/>
                <w:highlight w:val="none"/>
              </w:rPr>
            </w:pPr>
            <w:r>
              <w:rPr>
                <w:rFonts w:hint="eastAsia" w:cs="Times New Roman"/>
                <w:color w:val="auto"/>
                <w:highlight w:val="none"/>
              </w:rPr>
              <w:t>9936</w:t>
            </w:r>
            <w:r>
              <w:rPr>
                <w:rFonts w:cs="Times New Roman"/>
                <w:color w:val="auto"/>
                <w:highlight w:val="none"/>
              </w:rPr>
              <w:t>0</w:t>
            </w:r>
          </w:p>
        </w:tc>
        <w:tc>
          <w:tcPr>
            <w:tcW w:w="906" w:type="pct"/>
            <w:vAlign w:val="center"/>
          </w:tcPr>
          <w:p w14:paraId="70678FE3">
            <w:pPr>
              <w:pStyle w:val="69"/>
              <w:spacing w:before="65" w:after="65"/>
              <w:rPr>
                <w:rFonts w:cs="Times New Roman"/>
                <w:color w:val="auto"/>
                <w:highlight w:val="none"/>
              </w:rPr>
            </w:pPr>
            <w:r>
              <w:rPr>
                <w:rFonts w:cs="Times New Roman"/>
                <w:color w:val="auto"/>
                <w:highlight w:val="none"/>
              </w:rPr>
              <w:t>13%</w:t>
            </w:r>
          </w:p>
        </w:tc>
        <w:tc>
          <w:tcPr>
            <w:tcW w:w="912" w:type="pct"/>
            <w:vAlign w:val="center"/>
          </w:tcPr>
          <w:p w14:paraId="5007D9B2">
            <w:pPr>
              <w:pStyle w:val="69"/>
              <w:spacing w:before="65" w:after="65"/>
              <w:rPr>
                <w:rFonts w:cs="Times New Roman"/>
                <w:color w:val="auto"/>
                <w:highlight w:val="none"/>
              </w:rPr>
            </w:pPr>
            <w:r>
              <w:rPr>
                <w:rFonts w:hint="eastAsia" w:cs="Times New Roman"/>
                <w:color w:val="auto"/>
                <w:highlight w:val="none"/>
              </w:rPr>
              <w:t>114206.9</w:t>
            </w:r>
          </w:p>
        </w:tc>
      </w:tr>
      <w:tr w14:paraId="4B1BD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90" w:hRule="atLeast"/>
          <w:jc w:val="center"/>
        </w:trPr>
        <w:tc>
          <w:tcPr>
            <w:tcW w:w="674" w:type="pct"/>
            <w:vMerge w:val="restart"/>
            <w:vAlign w:val="center"/>
          </w:tcPr>
          <w:p w14:paraId="5F81ACBD">
            <w:pPr>
              <w:pStyle w:val="69"/>
              <w:spacing w:before="65" w:after="65"/>
              <w:rPr>
                <w:rFonts w:cs="Times New Roman"/>
                <w:color w:val="auto"/>
                <w:highlight w:val="none"/>
              </w:rPr>
            </w:pPr>
            <w:r>
              <w:rPr>
                <w:rFonts w:hint="eastAsia" w:cs="Times New Roman"/>
                <w:color w:val="auto"/>
                <w:highlight w:val="none"/>
              </w:rPr>
              <w:t>一般固体废物</w:t>
            </w:r>
          </w:p>
        </w:tc>
        <w:tc>
          <w:tcPr>
            <w:tcW w:w="1600" w:type="pct"/>
            <w:vAlign w:val="center"/>
          </w:tcPr>
          <w:p w14:paraId="0CCCC2BA">
            <w:pPr>
              <w:pStyle w:val="69"/>
              <w:spacing w:before="65" w:after="65"/>
              <w:rPr>
                <w:rFonts w:cs="Times New Roman"/>
                <w:color w:val="auto"/>
                <w:highlight w:val="none"/>
              </w:rPr>
            </w:pPr>
            <w:r>
              <w:rPr>
                <w:rFonts w:cs="Times New Roman"/>
                <w:color w:val="auto"/>
                <w:highlight w:val="none"/>
              </w:rPr>
              <w:t>尾矿</w:t>
            </w:r>
          </w:p>
        </w:tc>
        <w:tc>
          <w:tcPr>
            <w:tcW w:w="906" w:type="pct"/>
            <w:vAlign w:val="center"/>
          </w:tcPr>
          <w:p w14:paraId="26571AE9">
            <w:pPr>
              <w:pStyle w:val="69"/>
              <w:spacing w:before="65" w:after="65"/>
              <w:rPr>
                <w:rFonts w:cs="Times New Roman"/>
                <w:color w:val="auto"/>
                <w:highlight w:val="none"/>
              </w:rPr>
            </w:pPr>
            <w:r>
              <w:rPr>
                <w:rFonts w:hint="eastAsia" w:cs="Times New Roman"/>
                <w:color w:val="auto"/>
                <w:highlight w:val="none"/>
              </w:rPr>
              <w:t>21528</w:t>
            </w:r>
            <w:r>
              <w:rPr>
                <w:rFonts w:cs="Times New Roman"/>
                <w:color w:val="auto"/>
                <w:highlight w:val="none"/>
              </w:rPr>
              <w:t>0</w:t>
            </w:r>
          </w:p>
        </w:tc>
        <w:tc>
          <w:tcPr>
            <w:tcW w:w="906" w:type="pct"/>
            <w:vAlign w:val="center"/>
          </w:tcPr>
          <w:p w14:paraId="76B01F1A">
            <w:pPr>
              <w:pStyle w:val="69"/>
              <w:spacing w:before="65" w:after="65"/>
              <w:rPr>
                <w:rFonts w:cs="Times New Roman"/>
                <w:color w:val="auto"/>
                <w:highlight w:val="none"/>
              </w:rPr>
            </w:pPr>
            <w:r>
              <w:rPr>
                <w:rFonts w:cs="Times New Roman"/>
                <w:color w:val="auto"/>
                <w:highlight w:val="none"/>
              </w:rPr>
              <w:t>13%</w:t>
            </w:r>
          </w:p>
        </w:tc>
        <w:tc>
          <w:tcPr>
            <w:tcW w:w="912" w:type="pct"/>
            <w:vAlign w:val="center"/>
          </w:tcPr>
          <w:p w14:paraId="5DA62D11">
            <w:pPr>
              <w:pStyle w:val="69"/>
              <w:spacing w:before="65" w:after="65"/>
              <w:rPr>
                <w:rFonts w:cs="Times New Roman"/>
                <w:color w:val="auto"/>
                <w:highlight w:val="none"/>
              </w:rPr>
            </w:pPr>
            <w:r>
              <w:rPr>
                <w:rFonts w:hint="eastAsia" w:cs="Times New Roman"/>
                <w:color w:val="auto"/>
                <w:highlight w:val="none"/>
              </w:rPr>
              <w:t>247448.28</w:t>
            </w:r>
          </w:p>
        </w:tc>
      </w:tr>
      <w:tr w14:paraId="7AE5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45" w:type="dxa"/>
            <w:bottom w:w="0" w:type="dxa"/>
            <w:right w:w="23" w:type="dxa"/>
          </w:tblCellMar>
        </w:tblPrEx>
        <w:trPr>
          <w:trHeight w:val="90" w:hRule="atLeast"/>
          <w:jc w:val="center"/>
        </w:trPr>
        <w:tc>
          <w:tcPr>
            <w:tcW w:w="674" w:type="pct"/>
            <w:vMerge w:val="continue"/>
            <w:vAlign w:val="center"/>
          </w:tcPr>
          <w:p w14:paraId="05672C81">
            <w:pPr>
              <w:pStyle w:val="69"/>
              <w:spacing w:before="65" w:after="65"/>
              <w:rPr>
                <w:rFonts w:cs="Times New Roman"/>
                <w:color w:val="auto"/>
                <w:highlight w:val="none"/>
              </w:rPr>
            </w:pPr>
          </w:p>
        </w:tc>
        <w:tc>
          <w:tcPr>
            <w:tcW w:w="1600" w:type="pct"/>
            <w:vAlign w:val="center"/>
          </w:tcPr>
          <w:p w14:paraId="62230696">
            <w:pPr>
              <w:pStyle w:val="69"/>
              <w:spacing w:before="65" w:after="65"/>
              <w:rPr>
                <w:rFonts w:cs="Times New Roman"/>
                <w:color w:val="auto"/>
                <w:highlight w:val="none"/>
              </w:rPr>
            </w:pPr>
            <w:r>
              <w:rPr>
                <w:rFonts w:cs="Times New Roman"/>
                <w:color w:val="auto"/>
                <w:highlight w:val="none"/>
              </w:rPr>
              <w:t>黑砂（磁性杂质）</w:t>
            </w:r>
          </w:p>
        </w:tc>
        <w:tc>
          <w:tcPr>
            <w:tcW w:w="906" w:type="pct"/>
            <w:vAlign w:val="center"/>
          </w:tcPr>
          <w:p w14:paraId="74C08B65">
            <w:pPr>
              <w:pStyle w:val="69"/>
              <w:spacing w:before="65" w:after="65"/>
              <w:rPr>
                <w:rFonts w:cs="Times New Roman"/>
                <w:color w:val="auto"/>
                <w:highlight w:val="none"/>
              </w:rPr>
            </w:pPr>
            <w:r>
              <w:rPr>
                <w:rFonts w:hint="eastAsia" w:cs="Times New Roman"/>
                <w:color w:val="auto"/>
                <w:highlight w:val="none"/>
              </w:rPr>
              <w:t>1656</w:t>
            </w:r>
            <w:r>
              <w:rPr>
                <w:rFonts w:cs="Times New Roman"/>
                <w:color w:val="auto"/>
                <w:highlight w:val="none"/>
              </w:rPr>
              <w:t>0</w:t>
            </w:r>
          </w:p>
        </w:tc>
        <w:tc>
          <w:tcPr>
            <w:tcW w:w="906" w:type="pct"/>
            <w:vAlign w:val="center"/>
          </w:tcPr>
          <w:p w14:paraId="19B098E8">
            <w:pPr>
              <w:pStyle w:val="69"/>
              <w:spacing w:before="65" w:after="65"/>
              <w:rPr>
                <w:rFonts w:cs="Times New Roman"/>
                <w:color w:val="auto"/>
                <w:highlight w:val="none"/>
              </w:rPr>
            </w:pPr>
            <w:r>
              <w:rPr>
                <w:rFonts w:cs="Times New Roman"/>
                <w:color w:val="auto"/>
                <w:highlight w:val="none"/>
              </w:rPr>
              <w:t>13%</w:t>
            </w:r>
          </w:p>
        </w:tc>
        <w:tc>
          <w:tcPr>
            <w:tcW w:w="912" w:type="pct"/>
            <w:vAlign w:val="center"/>
          </w:tcPr>
          <w:p w14:paraId="26E6AF76">
            <w:pPr>
              <w:pStyle w:val="69"/>
              <w:spacing w:before="65" w:after="65"/>
              <w:rPr>
                <w:rFonts w:cs="Times New Roman"/>
                <w:color w:val="auto"/>
                <w:highlight w:val="none"/>
              </w:rPr>
            </w:pPr>
            <w:r>
              <w:rPr>
                <w:rFonts w:hint="eastAsia" w:cs="Times New Roman"/>
                <w:color w:val="auto"/>
                <w:highlight w:val="none"/>
              </w:rPr>
              <w:t>19034.48</w:t>
            </w:r>
          </w:p>
        </w:tc>
      </w:tr>
    </w:tbl>
    <w:p w14:paraId="635B1EA1">
      <w:pPr>
        <w:adjustRightInd w:val="0"/>
        <w:ind w:firstLine="480"/>
        <w:rPr>
          <w:rFonts w:cs="Times New Roman"/>
          <w:color w:val="auto"/>
          <w:highlight w:val="none"/>
        </w:rPr>
      </w:pPr>
      <w:r>
        <w:rPr>
          <w:rFonts w:cs="Times New Roman"/>
          <w:color w:val="auto"/>
          <w:highlight w:val="none"/>
        </w:rPr>
        <w:t>本项目锂辉石精矿产品标准执行《锂辉石精矿》（YS/T261-2011），具体如下：</w:t>
      </w:r>
    </w:p>
    <w:p w14:paraId="39B2F9A7">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《锂辉石精矿》（YS/T261-2011）</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45" w:type="dxa"/>
          <w:bottom w:w="0" w:type="dxa"/>
          <w:right w:w="23" w:type="dxa"/>
        </w:tblCellMar>
      </w:tblPr>
      <w:tblGrid>
        <w:gridCol w:w="1159"/>
        <w:gridCol w:w="1355"/>
        <w:gridCol w:w="980"/>
        <w:gridCol w:w="1107"/>
        <w:gridCol w:w="975"/>
        <w:gridCol w:w="1683"/>
        <w:gridCol w:w="1115"/>
      </w:tblGrid>
      <w:tr w14:paraId="08CFA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90" w:hRule="atLeast"/>
          <w:tblHeader/>
        </w:trPr>
        <w:tc>
          <w:tcPr>
            <w:tcW w:w="692"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22205C7A">
            <w:pPr>
              <w:pStyle w:val="69"/>
              <w:spacing w:before="65" w:after="65"/>
              <w:rPr>
                <w:rFonts w:cs="Times New Roman"/>
                <w:b/>
                <w:color w:val="auto"/>
                <w:highlight w:val="none"/>
              </w:rPr>
            </w:pPr>
            <w:r>
              <w:rPr>
                <w:rFonts w:cs="Times New Roman"/>
                <w:b/>
                <w:color w:val="auto"/>
                <w:highlight w:val="none"/>
              </w:rPr>
              <w:t>品级</w:t>
            </w:r>
          </w:p>
        </w:tc>
        <w:tc>
          <w:tcPr>
            <w:tcW w:w="80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8881DF">
            <w:pPr>
              <w:pStyle w:val="69"/>
              <w:spacing w:before="65" w:after="65"/>
              <w:rPr>
                <w:rFonts w:cs="Times New Roman"/>
                <w:b/>
                <w:color w:val="auto"/>
                <w:highlight w:val="none"/>
              </w:rPr>
            </w:pPr>
            <w:r>
              <w:rPr>
                <w:rFonts w:cs="Times New Roman"/>
                <w:b/>
                <w:color w:val="auto"/>
                <w:highlight w:val="none"/>
              </w:rPr>
              <w:t>Li</w:t>
            </w:r>
            <w:r>
              <w:rPr>
                <w:rFonts w:cs="Times New Roman"/>
                <w:b/>
                <w:color w:val="auto"/>
                <w:highlight w:val="none"/>
                <w:vertAlign w:val="subscript"/>
              </w:rPr>
              <w:t>2</w:t>
            </w:r>
            <w:r>
              <w:rPr>
                <w:rFonts w:cs="Times New Roman"/>
                <w:b/>
                <w:color w:val="auto"/>
                <w:highlight w:val="none"/>
              </w:rPr>
              <w:t>O</w:t>
            </w:r>
          </w:p>
          <w:p w14:paraId="65EB21C6">
            <w:pPr>
              <w:pStyle w:val="69"/>
              <w:spacing w:before="65" w:after="65"/>
              <w:rPr>
                <w:rFonts w:cs="Times New Roman"/>
                <w:b/>
                <w:color w:val="auto"/>
                <w:highlight w:val="none"/>
              </w:rPr>
            </w:pPr>
            <w:r>
              <w:rPr>
                <w:rFonts w:cs="Times New Roman"/>
                <w:b/>
                <w:color w:val="auto"/>
                <w:highlight w:val="none"/>
              </w:rPr>
              <w:t>不小于/%</w:t>
            </w:r>
          </w:p>
        </w:tc>
        <w:tc>
          <w:tcPr>
            <w:tcW w:w="3499"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087B9A00">
            <w:pPr>
              <w:pStyle w:val="69"/>
              <w:spacing w:before="65" w:after="65"/>
              <w:rPr>
                <w:rFonts w:cs="Times New Roman"/>
                <w:b/>
                <w:color w:val="auto"/>
                <w:highlight w:val="none"/>
              </w:rPr>
            </w:pPr>
            <w:r>
              <w:rPr>
                <w:rFonts w:cs="Times New Roman"/>
                <w:b/>
                <w:color w:val="auto"/>
                <w:highlight w:val="none"/>
              </w:rPr>
              <w:t>杂质不大于/%</w:t>
            </w:r>
          </w:p>
        </w:tc>
      </w:tr>
      <w:tr w14:paraId="0DA16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253" w:hRule="atLeast"/>
          <w:tblHeader/>
        </w:trPr>
        <w:tc>
          <w:tcPr>
            <w:tcW w:w="692"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198E4A8">
            <w:pPr>
              <w:pStyle w:val="69"/>
              <w:spacing w:before="65" w:after="65"/>
              <w:rPr>
                <w:rFonts w:cs="Times New Roman"/>
                <w:b/>
                <w:color w:val="auto"/>
                <w:highlight w:val="none"/>
              </w:rPr>
            </w:pPr>
          </w:p>
        </w:tc>
        <w:tc>
          <w:tcPr>
            <w:tcW w:w="80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88D04F">
            <w:pPr>
              <w:pStyle w:val="69"/>
              <w:spacing w:before="65" w:after="65"/>
              <w:rPr>
                <w:rFonts w:cs="Times New Roman"/>
                <w:b/>
                <w:color w:val="auto"/>
                <w:highlight w:val="none"/>
              </w:rPr>
            </w:pP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AC20EA">
            <w:pPr>
              <w:pStyle w:val="69"/>
              <w:spacing w:before="65" w:after="65"/>
              <w:rPr>
                <w:rFonts w:cs="Times New Roman"/>
                <w:b/>
                <w:color w:val="auto"/>
                <w:highlight w:val="none"/>
              </w:rPr>
            </w:pPr>
            <w:r>
              <w:rPr>
                <w:rFonts w:cs="Times New Roman"/>
                <w:b/>
                <w:color w:val="auto"/>
                <w:highlight w:val="none"/>
              </w:rPr>
              <w:t>Fe</w:t>
            </w:r>
            <w:r>
              <w:rPr>
                <w:rFonts w:cs="Times New Roman"/>
                <w:b/>
                <w:color w:val="auto"/>
                <w:highlight w:val="none"/>
                <w:vertAlign w:val="subscript"/>
              </w:rPr>
              <w:t>2</w:t>
            </w:r>
            <w:r>
              <w:rPr>
                <w:rFonts w:cs="Times New Roman"/>
                <w:b/>
                <w:color w:val="auto"/>
                <w:highlight w:val="none"/>
              </w:rPr>
              <w:t>O</w:t>
            </w:r>
            <w:r>
              <w:rPr>
                <w:rFonts w:cs="Times New Roman"/>
                <w:b/>
                <w:color w:val="auto"/>
                <w:highlight w:val="none"/>
                <w:vertAlign w:val="subscript"/>
              </w:rPr>
              <w:t>3</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7B661">
            <w:pPr>
              <w:pStyle w:val="69"/>
              <w:spacing w:before="65" w:after="65"/>
              <w:rPr>
                <w:rFonts w:cs="Times New Roman"/>
                <w:b/>
                <w:color w:val="auto"/>
                <w:highlight w:val="none"/>
              </w:rPr>
            </w:pPr>
            <w:r>
              <w:rPr>
                <w:rFonts w:cs="Times New Roman"/>
                <w:b/>
                <w:color w:val="auto"/>
                <w:highlight w:val="none"/>
              </w:rPr>
              <w:t>MnO</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9C98E7">
            <w:pPr>
              <w:pStyle w:val="69"/>
              <w:spacing w:before="65" w:after="65"/>
              <w:rPr>
                <w:rFonts w:cs="Times New Roman"/>
                <w:b/>
                <w:color w:val="auto"/>
                <w:highlight w:val="none"/>
              </w:rPr>
            </w:pPr>
            <w:r>
              <w:rPr>
                <w:rFonts w:cs="Times New Roman"/>
                <w:b/>
                <w:color w:val="auto"/>
                <w:highlight w:val="none"/>
              </w:rPr>
              <w:t>MgO</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2C4E2">
            <w:pPr>
              <w:pStyle w:val="69"/>
              <w:spacing w:before="65" w:after="65"/>
              <w:rPr>
                <w:rFonts w:cs="Times New Roman"/>
                <w:b/>
                <w:color w:val="auto"/>
                <w:highlight w:val="none"/>
              </w:rPr>
            </w:pPr>
            <w:r>
              <w:rPr>
                <w:rFonts w:cs="Times New Roman"/>
                <w:b/>
                <w:color w:val="auto"/>
                <w:highlight w:val="none"/>
              </w:rPr>
              <w:t>Na</w:t>
            </w:r>
            <w:r>
              <w:rPr>
                <w:rFonts w:cs="Times New Roman"/>
                <w:b/>
                <w:color w:val="auto"/>
                <w:highlight w:val="none"/>
                <w:vertAlign w:val="subscript"/>
              </w:rPr>
              <w:t>2</w:t>
            </w:r>
            <w:r>
              <w:rPr>
                <w:rFonts w:cs="Times New Roman"/>
                <w:b/>
                <w:color w:val="auto"/>
                <w:highlight w:val="none"/>
              </w:rPr>
              <w:t>O+K</w:t>
            </w:r>
            <w:r>
              <w:rPr>
                <w:rFonts w:cs="Times New Roman"/>
                <w:b/>
                <w:color w:val="auto"/>
                <w:highlight w:val="none"/>
                <w:vertAlign w:val="subscript"/>
              </w:rPr>
              <w:t>2</w:t>
            </w:r>
            <w:r>
              <w:rPr>
                <w:rFonts w:cs="Times New Roman"/>
                <w:b/>
                <w:color w:val="auto"/>
                <w:highlight w:val="none"/>
              </w:rPr>
              <w:t>O</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812AE">
            <w:pPr>
              <w:pStyle w:val="69"/>
              <w:spacing w:before="65" w:after="65"/>
              <w:rPr>
                <w:rFonts w:cs="Times New Roman"/>
                <w:b/>
                <w:color w:val="auto"/>
                <w:highlight w:val="none"/>
              </w:rPr>
            </w:pPr>
            <w:r>
              <w:rPr>
                <w:rFonts w:cs="Times New Roman"/>
                <w:b/>
                <w:color w:val="auto"/>
                <w:highlight w:val="none"/>
              </w:rPr>
              <w:t>P</w:t>
            </w:r>
            <w:r>
              <w:rPr>
                <w:rFonts w:cs="Times New Roman"/>
                <w:b/>
                <w:color w:val="auto"/>
                <w:highlight w:val="none"/>
                <w:vertAlign w:val="subscript"/>
              </w:rPr>
              <w:t>2</w:t>
            </w:r>
            <w:r>
              <w:rPr>
                <w:rFonts w:cs="Times New Roman"/>
                <w:b/>
                <w:color w:val="auto"/>
                <w:highlight w:val="none"/>
              </w:rPr>
              <w:t>O</w:t>
            </w:r>
            <w:r>
              <w:rPr>
                <w:rFonts w:cs="Times New Roman"/>
                <w:b/>
                <w:color w:val="auto"/>
                <w:highlight w:val="none"/>
                <w:vertAlign w:val="subscript"/>
              </w:rPr>
              <w:t>5</w:t>
            </w:r>
          </w:p>
        </w:tc>
      </w:tr>
      <w:tr w14:paraId="5E3EE3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454" w:hRule="atLeast"/>
        </w:trPr>
        <w:tc>
          <w:tcPr>
            <w:tcW w:w="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09393">
            <w:pPr>
              <w:pStyle w:val="69"/>
              <w:spacing w:before="65" w:after="65"/>
              <w:rPr>
                <w:rFonts w:cs="Times New Roman"/>
                <w:color w:val="auto"/>
                <w:highlight w:val="none"/>
              </w:rPr>
            </w:pPr>
            <w:r>
              <w:rPr>
                <w:rFonts w:cs="Times New Roman"/>
                <w:color w:val="auto"/>
                <w:highlight w:val="none"/>
              </w:rPr>
              <w:t>微晶级-1</w:t>
            </w:r>
          </w:p>
        </w:tc>
        <w:tc>
          <w:tcPr>
            <w:tcW w:w="8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A1824">
            <w:pPr>
              <w:pStyle w:val="69"/>
              <w:spacing w:before="65" w:after="65"/>
              <w:rPr>
                <w:rFonts w:cs="Times New Roman"/>
                <w:color w:val="auto"/>
                <w:highlight w:val="none"/>
              </w:rPr>
            </w:pPr>
            <w:r>
              <w:rPr>
                <w:rFonts w:cs="Times New Roman"/>
                <w:color w:val="auto"/>
                <w:highlight w:val="none"/>
              </w:rPr>
              <w:t>7.50%</w:t>
            </w: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CD738">
            <w:pPr>
              <w:pStyle w:val="69"/>
              <w:spacing w:before="65" w:after="65"/>
              <w:rPr>
                <w:rFonts w:cs="Times New Roman"/>
                <w:color w:val="auto"/>
                <w:highlight w:val="none"/>
              </w:rPr>
            </w:pPr>
            <w:r>
              <w:rPr>
                <w:rFonts w:cs="Times New Roman"/>
                <w:color w:val="auto"/>
                <w:highlight w:val="none"/>
              </w:rPr>
              <w:t>0.15</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297DBF">
            <w:pPr>
              <w:pStyle w:val="69"/>
              <w:spacing w:before="65" w:after="65"/>
              <w:rPr>
                <w:rFonts w:cs="Times New Roman"/>
                <w:color w:val="auto"/>
                <w:highlight w:val="none"/>
              </w:rPr>
            </w:pPr>
            <w:r>
              <w:rPr>
                <w:rFonts w:cs="Times New Roman"/>
                <w:color w:val="auto"/>
                <w:highlight w:val="none"/>
              </w:rPr>
              <w:t>0.10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C9F2B6">
            <w:pPr>
              <w:pStyle w:val="69"/>
              <w:spacing w:before="65" w:after="65"/>
              <w:rPr>
                <w:rFonts w:cs="Times New Roman"/>
                <w:color w:val="auto"/>
                <w:highlight w:val="none"/>
              </w:rPr>
            </w:pPr>
            <w:r>
              <w:rPr>
                <w:rFonts w:cs="Times New Roman"/>
                <w:color w:val="auto"/>
                <w:highlight w:val="none"/>
              </w:rPr>
              <w:t>-</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71004A">
            <w:pPr>
              <w:pStyle w:val="69"/>
              <w:spacing w:before="65" w:after="65"/>
              <w:rPr>
                <w:rFonts w:cs="Times New Roman"/>
                <w:color w:val="auto"/>
                <w:highlight w:val="none"/>
              </w:rPr>
            </w:pPr>
            <w:r>
              <w:rPr>
                <w:rFonts w:cs="Times New Roman"/>
                <w:color w:val="auto"/>
                <w:highlight w:val="none"/>
              </w:rPr>
              <w:t>1.0</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24FE5D">
            <w:pPr>
              <w:pStyle w:val="69"/>
              <w:spacing w:before="65" w:after="65"/>
              <w:rPr>
                <w:rFonts w:cs="Times New Roman"/>
                <w:color w:val="auto"/>
                <w:highlight w:val="none"/>
              </w:rPr>
            </w:pPr>
            <w:r>
              <w:rPr>
                <w:rFonts w:cs="Times New Roman"/>
                <w:color w:val="auto"/>
                <w:highlight w:val="none"/>
              </w:rPr>
              <w:t>0.5</w:t>
            </w:r>
          </w:p>
        </w:tc>
      </w:tr>
      <w:tr w14:paraId="790C1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454" w:hRule="atLeast"/>
        </w:trPr>
        <w:tc>
          <w:tcPr>
            <w:tcW w:w="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46B3B">
            <w:pPr>
              <w:pStyle w:val="69"/>
              <w:spacing w:before="65" w:after="65"/>
              <w:rPr>
                <w:rFonts w:cs="Times New Roman"/>
                <w:color w:val="auto"/>
                <w:highlight w:val="none"/>
              </w:rPr>
            </w:pPr>
            <w:r>
              <w:rPr>
                <w:rFonts w:cs="Times New Roman"/>
                <w:color w:val="auto"/>
                <w:highlight w:val="none"/>
              </w:rPr>
              <w:t>微晶级-2</w:t>
            </w:r>
          </w:p>
        </w:tc>
        <w:tc>
          <w:tcPr>
            <w:tcW w:w="8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B27C1F">
            <w:pPr>
              <w:pStyle w:val="69"/>
              <w:spacing w:before="65" w:after="65"/>
              <w:rPr>
                <w:rFonts w:cs="Times New Roman"/>
                <w:color w:val="auto"/>
                <w:highlight w:val="none"/>
              </w:rPr>
            </w:pPr>
            <w:r>
              <w:rPr>
                <w:rFonts w:cs="Times New Roman"/>
                <w:color w:val="auto"/>
                <w:highlight w:val="none"/>
              </w:rPr>
              <w:t>7.00%</w:t>
            </w: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061E4">
            <w:pPr>
              <w:pStyle w:val="69"/>
              <w:spacing w:before="65" w:after="65"/>
              <w:rPr>
                <w:rFonts w:cs="Times New Roman"/>
                <w:color w:val="auto"/>
                <w:highlight w:val="none"/>
              </w:rPr>
            </w:pPr>
            <w:r>
              <w:rPr>
                <w:rFonts w:cs="Times New Roman"/>
                <w:color w:val="auto"/>
                <w:highlight w:val="none"/>
              </w:rPr>
              <w:t>0.30</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83D3F">
            <w:pPr>
              <w:pStyle w:val="69"/>
              <w:spacing w:before="65" w:after="65"/>
              <w:rPr>
                <w:rFonts w:cs="Times New Roman"/>
                <w:color w:val="auto"/>
                <w:highlight w:val="none"/>
              </w:rPr>
            </w:pPr>
            <w:r>
              <w:rPr>
                <w:rFonts w:cs="Times New Roman"/>
                <w:color w:val="auto"/>
                <w:highlight w:val="none"/>
              </w:rPr>
              <w:t>0.15</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E2766D">
            <w:pPr>
              <w:pStyle w:val="69"/>
              <w:spacing w:before="65" w:after="65"/>
              <w:rPr>
                <w:rFonts w:cs="Times New Roman"/>
                <w:color w:val="auto"/>
                <w:highlight w:val="none"/>
              </w:rPr>
            </w:pPr>
            <w:r>
              <w:rPr>
                <w:rFonts w:cs="Times New Roman"/>
                <w:color w:val="auto"/>
                <w:highlight w:val="none"/>
              </w:rPr>
              <w:t>-</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E5F397">
            <w:pPr>
              <w:pStyle w:val="69"/>
              <w:spacing w:before="65" w:after="65"/>
              <w:rPr>
                <w:rFonts w:cs="Times New Roman"/>
                <w:color w:val="auto"/>
                <w:highlight w:val="none"/>
              </w:rPr>
            </w:pPr>
            <w:r>
              <w:rPr>
                <w:rFonts w:cs="Times New Roman"/>
                <w:color w:val="auto"/>
                <w:highlight w:val="none"/>
              </w:rPr>
              <w:t>1.5</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E9FFA">
            <w:pPr>
              <w:pStyle w:val="69"/>
              <w:spacing w:before="65" w:after="65"/>
              <w:rPr>
                <w:rFonts w:cs="Times New Roman"/>
                <w:color w:val="auto"/>
                <w:highlight w:val="none"/>
              </w:rPr>
            </w:pPr>
            <w:r>
              <w:rPr>
                <w:rFonts w:cs="Times New Roman"/>
                <w:color w:val="auto"/>
                <w:highlight w:val="none"/>
              </w:rPr>
              <w:t>0.5</w:t>
            </w:r>
          </w:p>
        </w:tc>
      </w:tr>
      <w:tr w14:paraId="6821E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454" w:hRule="atLeast"/>
        </w:trPr>
        <w:tc>
          <w:tcPr>
            <w:tcW w:w="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2E8D5">
            <w:pPr>
              <w:pStyle w:val="69"/>
              <w:spacing w:before="65" w:after="65"/>
              <w:rPr>
                <w:rFonts w:cs="Times New Roman"/>
                <w:color w:val="auto"/>
                <w:highlight w:val="none"/>
              </w:rPr>
            </w:pPr>
            <w:r>
              <w:rPr>
                <w:rFonts w:cs="Times New Roman"/>
                <w:color w:val="auto"/>
                <w:highlight w:val="none"/>
              </w:rPr>
              <w:t>化工级-1</w:t>
            </w:r>
          </w:p>
        </w:tc>
        <w:tc>
          <w:tcPr>
            <w:tcW w:w="8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CB18E9">
            <w:pPr>
              <w:pStyle w:val="69"/>
              <w:spacing w:before="65" w:after="65"/>
              <w:rPr>
                <w:rFonts w:cs="Times New Roman"/>
                <w:color w:val="auto"/>
                <w:highlight w:val="none"/>
              </w:rPr>
            </w:pPr>
            <w:r>
              <w:rPr>
                <w:rFonts w:cs="Times New Roman"/>
                <w:color w:val="auto"/>
                <w:highlight w:val="none"/>
              </w:rPr>
              <w:t>6.00%</w:t>
            </w: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875AD8">
            <w:pPr>
              <w:pStyle w:val="69"/>
              <w:spacing w:before="65" w:after="65"/>
              <w:rPr>
                <w:rFonts w:cs="Times New Roman"/>
                <w:color w:val="auto"/>
                <w:highlight w:val="none"/>
              </w:rPr>
            </w:pPr>
            <w:r>
              <w:rPr>
                <w:rFonts w:cs="Times New Roman"/>
                <w:color w:val="auto"/>
                <w:highlight w:val="none"/>
              </w:rPr>
              <w:t>2.5</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B4CCCA">
            <w:pPr>
              <w:pStyle w:val="69"/>
              <w:spacing w:before="65" w:after="65"/>
              <w:rPr>
                <w:rFonts w:cs="Times New Roman"/>
                <w:color w:val="auto"/>
                <w:highlight w:val="none"/>
              </w:rPr>
            </w:pPr>
            <w:r>
              <w:rPr>
                <w:rFonts w:cs="Times New Roman"/>
                <w:color w:val="auto"/>
                <w:highlight w:val="none"/>
              </w:rPr>
              <w:t>0.40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211D54">
            <w:pPr>
              <w:pStyle w:val="69"/>
              <w:spacing w:before="65" w:after="65"/>
              <w:rPr>
                <w:rFonts w:cs="Times New Roman"/>
                <w:color w:val="auto"/>
                <w:highlight w:val="none"/>
              </w:rPr>
            </w:pPr>
            <w:r>
              <w:rPr>
                <w:rFonts w:cs="Times New Roman"/>
                <w:color w:val="auto"/>
                <w:highlight w:val="none"/>
              </w:rPr>
              <w:t>0.20</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EDEFB">
            <w:pPr>
              <w:pStyle w:val="69"/>
              <w:spacing w:before="65" w:after="65"/>
              <w:rPr>
                <w:rFonts w:cs="Times New Roman"/>
                <w:color w:val="auto"/>
                <w:highlight w:val="none"/>
              </w:rPr>
            </w:pPr>
            <w:r>
              <w:rPr>
                <w:rFonts w:cs="Times New Roman"/>
                <w:color w:val="auto"/>
                <w:highlight w:val="none"/>
              </w:rPr>
              <w:t>2.00</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6D1742">
            <w:pPr>
              <w:pStyle w:val="69"/>
              <w:spacing w:before="65" w:after="65"/>
              <w:rPr>
                <w:rFonts w:cs="Times New Roman"/>
                <w:color w:val="auto"/>
                <w:highlight w:val="none"/>
              </w:rPr>
            </w:pPr>
            <w:r>
              <w:rPr>
                <w:rFonts w:cs="Times New Roman"/>
                <w:color w:val="auto"/>
                <w:highlight w:val="none"/>
              </w:rPr>
              <w:t>0.5</w:t>
            </w:r>
          </w:p>
        </w:tc>
      </w:tr>
      <w:tr w14:paraId="79ACD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454" w:hRule="atLeast"/>
        </w:trPr>
        <w:tc>
          <w:tcPr>
            <w:tcW w:w="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9EB00">
            <w:pPr>
              <w:pStyle w:val="69"/>
              <w:spacing w:before="65" w:after="65"/>
              <w:rPr>
                <w:rFonts w:cs="Times New Roman"/>
                <w:color w:val="auto"/>
                <w:highlight w:val="none"/>
              </w:rPr>
            </w:pPr>
            <w:r>
              <w:rPr>
                <w:rFonts w:cs="Times New Roman"/>
                <w:color w:val="auto"/>
                <w:highlight w:val="none"/>
              </w:rPr>
              <w:t>化工级-2</w:t>
            </w:r>
          </w:p>
        </w:tc>
        <w:tc>
          <w:tcPr>
            <w:tcW w:w="8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F95D1A">
            <w:pPr>
              <w:pStyle w:val="69"/>
              <w:spacing w:before="65" w:after="65"/>
              <w:rPr>
                <w:rFonts w:cs="Times New Roman"/>
                <w:color w:val="auto"/>
                <w:highlight w:val="none"/>
              </w:rPr>
            </w:pPr>
            <w:r>
              <w:rPr>
                <w:rFonts w:cs="Times New Roman"/>
                <w:color w:val="auto"/>
                <w:highlight w:val="none"/>
              </w:rPr>
              <w:t>5.50%</w:t>
            </w: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75A342">
            <w:pPr>
              <w:pStyle w:val="69"/>
              <w:spacing w:before="65" w:after="65"/>
              <w:rPr>
                <w:rFonts w:cs="Times New Roman"/>
                <w:color w:val="auto"/>
                <w:highlight w:val="none"/>
              </w:rPr>
            </w:pPr>
            <w:r>
              <w:rPr>
                <w:rFonts w:cs="Times New Roman"/>
                <w:color w:val="auto"/>
                <w:highlight w:val="none"/>
              </w:rPr>
              <w:t>2.8</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04FBA3">
            <w:pPr>
              <w:pStyle w:val="69"/>
              <w:spacing w:before="65" w:after="65"/>
              <w:rPr>
                <w:rFonts w:cs="Times New Roman"/>
                <w:color w:val="auto"/>
                <w:highlight w:val="none"/>
              </w:rPr>
            </w:pPr>
            <w:r>
              <w:rPr>
                <w:rFonts w:cs="Times New Roman"/>
                <w:color w:val="auto"/>
                <w:highlight w:val="none"/>
              </w:rPr>
              <w:t>0.50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365BD5">
            <w:pPr>
              <w:pStyle w:val="69"/>
              <w:spacing w:before="65" w:after="65"/>
              <w:rPr>
                <w:rFonts w:cs="Times New Roman"/>
                <w:color w:val="auto"/>
                <w:highlight w:val="none"/>
              </w:rPr>
            </w:pPr>
            <w:r>
              <w:rPr>
                <w:rFonts w:cs="Times New Roman"/>
                <w:color w:val="auto"/>
                <w:highlight w:val="none"/>
              </w:rPr>
              <w:t>0.30</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6DB605">
            <w:pPr>
              <w:pStyle w:val="69"/>
              <w:spacing w:before="65" w:after="65"/>
              <w:rPr>
                <w:rFonts w:cs="Times New Roman"/>
                <w:color w:val="auto"/>
                <w:highlight w:val="none"/>
              </w:rPr>
            </w:pPr>
            <w:r>
              <w:rPr>
                <w:rFonts w:cs="Times New Roman"/>
                <w:color w:val="auto"/>
                <w:highlight w:val="none"/>
              </w:rPr>
              <w:t>3.00</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CCE22">
            <w:pPr>
              <w:pStyle w:val="69"/>
              <w:spacing w:before="65" w:after="65"/>
              <w:rPr>
                <w:rFonts w:cs="Times New Roman"/>
                <w:color w:val="auto"/>
                <w:highlight w:val="none"/>
              </w:rPr>
            </w:pPr>
            <w:r>
              <w:rPr>
                <w:rFonts w:cs="Times New Roman"/>
                <w:color w:val="auto"/>
                <w:highlight w:val="none"/>
              </w:rPr>
              <w:t>0.5</w:t>
            </w:r>
          </w:p>
        </w:tc>
      </w:tr>
      <w:tr w14:paraId="240663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45" w:type="dxa"/>
            <w:bottom w:w="0" w:type="dxa"/>
            <w:right w:w="23" w:type="dxa"/>
          </w:tblCellMar>
        </w:tblPrEx>
        <w:trPr>
          <w:trHeight w:val="454" w:hRule="atLeast"/>
        </w:trPr>
        <w:tc>
          <w:tcPr>
            <w:tcW w:w="69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23DEFA">
            <w:pPr>
              <w:pStyle w:val="69"/>
              <w:spacing w:before="65" w:after="65"/>
              <w:rPr>
                <w:rFonts w:cs="Times New Roman"/>
                <w:color w:val="auto"/>
                <w:highlight w:val="none"/>
              </w:rPr>
            </w:pPr>
            <w:r>
              <w:rPr>
                <w:rFonts w:cs="Times New Roman"/>
                <w:color w:val="auto"/>
                <w:highlight w:val="none"/>
              </w:rPr>
              <w:t>玻璃级</w:t>
            </w:r>
          </w:p>
        </w:tc>
        <w:tc>
          <w:tcPr>
            <w:tcW w:w="80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2E0EC9">
            <w:pPr>
              <w:pStyle w:val="69"/>
              <w:spacing w:before="65" w:after="65"/>
              <w:rPr>
                <w:rFonts w:cs="Times New Roman"/>
                <w:color w:val="auto"/>
                <w:highlight w:val="none"/>
              </w:rPr>
            </w:pPr>
            <w:r>
              <w:rPr>
                <w:rFonts w:cs="Times New Roman"/>
                <w:color w:val="auto"/>
                <w:highlight w:val="none"/>
              </w:rPr>
              <w:t>5.00%</w:t>
            </w:r>
          </w:p>
        </w:tc>
        <w:tc>
          <w:tcPr>
            <w:tcW w:w="5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FA197F">
            <w:pPr>
              <w:pStyle w:val="69"/>
              <w:spacing w:before="65" w:after="65"/>
              <w:rPr>
                <w:rFonts w:cs="Times New Roman"/>
                <w:color w:val="auto"/>
                <w:highlight w:val="none"/>
              </w:rPr>
            </w:pPr>
            <w:r>
              <w:rPr>
                <w:rFonts w:cs="Times New Roman"/>
                <w:color w:val="auto"/>
                <w:highlight w:val="none"/>
              </w:rPr>
              <w:t>0.25</w:t>
            </w:r>
          </w:p>
        </w:tc>
        <w:tc>
          <w:tcPr>
            <w:tcW w:w="66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10D3B">
            <w:pPr>
              <w:pStyle w:val="69"/>
              <w:spacing w:before="65" w:after="65"/>
              <w:rPr>
                <w:rFonts w:cs="Times New Roman"/>
                <w:color w:val="auto"/>
                <w:highlight w:val="none"/>
              </w:rPr>
            </w:pPr>
            <w:r>
              <w:rPr>
                <w:rFonts w:cs="Times New Roman"/>
                <w:color w:val="auto"/>
                <w:highlight w:val="none"/>
              </w:rPr>
              <w:t>0.15</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556015">
            <w:pPr>
              <w:pStyle w:val="69"/>
              <w:spacing w:before="65" w:after="65"/>
              <w:rPr>
                <w:rFonts w:cs="Times New Roman"/>
                <w:color w:val="auto"/>
                <w:highlight w:val="none"/>
              </w:rPr>
            </w:pPr>
            <w:r>
              <w:rPr>
                <w:rFonts w:cs="Times New Roman"/>
                <w:color w:val="auto"/>
                <w:highlight w:val="none"/>
              </w:rPr>
              <w:t>-</w:t>
            </w:r>
          </w:p>
        </w:tc>
        <w:tc>
          <w:tcPr>
            <w:tcW w:w="10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53E2B1">
            <w:pPr>
              <w:pStyle w:val="69"/>
              <w:spacing w:before="65" w:after="65"/>
              <w:rPr>
                <w:rFonts w:cs="Times New Roman"/>
                <w:color w:val="auto"/>
                <w:highlight w:val="none"/>
              </w:rPr>
            </w:pPr>
            <w:r>
              <w:rPr>
                <w:rFonts w:cs="Times New Roman"/>
                <w:color w:val="auto"/>
                <w:highlight w:val="none"/>
              </w:rPr>
              <w:t>3.00</w:t>
            </w:r>
          </w:p>
        </w:tc>
        <w:tc>
          <w:tcPr>
            <w:tcW w:w="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2C6AB4">
            <w:pPr>
              <w:pStyle w:val="69"/>
              <w:spacing w:before="65" w:after="65"/>
              <w:rPr>
                <w:rFonts w:cs="Times New Roman"/>
                <w:color w:val="auto"/>
                <w:highlight w:val="none"/>
              </w:rPr>
            </w:pPr>
            <w:r>
              <w:rPr>
                <w:rFonts w:cs="Times New Roman"/>
                <w:color w:val="auto"/>
                <w:highlight w:val="none"/>
              </w:rPr>
              <w:t>0.5</w:t>
            </w:r>
          </w:p>
        </w:tc>
      </w:tr>
    </w:tbl>
    <w:p w14:paraId="241FD1AA">
      <w:pPr>
        <w:adjustRightInd w:val="0"/>
        <w:ind w:firstLine="480"/>
        <w:rPr>
          <w:rFonts w:cs="Times New Roman"/>
          <w:color w:val="auto"/>
          <w:highlight w:val="none"/>
        </w:rPr>
      </w:pPr>
      <w:r>
        <w:rPr>
          <w:rFonts w:cs="Times New Roman"/>
          <w:color w:val="auto"/>
          <w:highlight w:val="none"/>
        </w:rPr>
        <w:t>本项目设计锂精矿设计品位为5%。</w:t>
      </w:r>
    </w:p>
    <w:p w14:paraId="73BB3488">
      <w:pPr>
        <w:adjustRightInd w:val="0"/>
        <w:ind w:firstLine="482"/>
        <w:rPr>
          <w:rFonts w:cs="Times New Roman"/>
          <w:b/>
          <w:bCs/>
          <w:color w:val="auto"/>
          <w:highlight w:val="none"/>
        </w:rPr>
      </w:pPr>
      <w:r>
        <w:rPr>
          <w:rFonts w:cs="Times New Roman"/>
          <w:b/>
          <w:bCs/>
          <w:color w:val="auto"/>
          <w:highlight w:val="none"/>
        </w:rPr>
        <w:t>产品质量可达性分析：</w:t>
      </w:r>
    </w:p>
    <w:p w14:paraId="6FDB3413">
      <w:pPr>
        <w:adjustRightInd w:val="0"/>
        <w:ind w:firstLine="480"/>
        <w:rPr>
          <w:rFonts w:cs="Times New Roman"/>
          <w:color w:val="auto"/>
          <w:highlight w:val="none"/>
        </w:rPr>
      </w:pPr>
      <w:r>
        <w:rPr>
          <w:rFonts w:cs="Times New Roman"/>
          <w:color w:val="auto"/>
          <w:highlight w:val="none"/>
        </w:rPr>
        <w:t>项目对原料进行了初步小型选矿试验研究、扩大连续试验等试验研究，研究结果表明：随着磨矿细度的增加，粗精矿的产率逐渐增加。当磨矿细度-0.074mm含量占85.4%时，粗精矿Li</w:t>
      </w:r>
      <w:r>
        <w:rPr>
          <w:rFonts w:cs="Times New Roman"/>
          <w:color w:val="auto"/>
          <w:highlight w:val="none"/>
          <w:vertAlign w:val="subscript"/>
        </w:rPr>
        <w:t>2</w:t>
      </w:r>
      <w:r>
        <w:rPr>
          <w:rFonts w:cs="Times New Roman"/>
          <w:color w:val="auto"/>
          <w:highlight w:val="none"/>
        </w:rPr>
        <w:t>O的回收率为87.26%，继续增加磨矿细度，粗精矿Li</w:t>
      </w:r>
      <w:r>
        <w:rPr>
          <w:rFonts w:cs="Times New Roman"/>
          <w:color w:val="auto"/>
          <w:highlight w:val="none"/>
          <w:vertAlign w:val="subscript"/>
        </w:rPr>
        <w:t>2</w:t>
      </w:r>
      <w:r>
        <w:rPr>
          <w:rFonts w:cs="Times New Roman"/>
          <w:color w:val="auto"/>
          <w:highlight w:val="none"/>
        </w:rPr>
        <w:t>O的回收率基本没有变化，磨矿过细，矿浆泥化严重，浮选恶化。根据浮选试验结果，同时考虑原矿供矿品位波动对选矿指标的影响，对指标</w:t>
      </w:r>
      <w:r>
        <w:rPr>
          <w:rFonts w:hint="eastAsia" w:cs="Times New Roman"/>
          <w:color w:val="auto"/>
          <w:highlight w:val="none"/>
        </w:rPr>
        <w:t>做</w:t>
      </w:r>
      <w:r>
        <w:rPr>
          <w:rFonts w:cs="Times New Roman"/>
          <w:color w:val="auto"/>
          <w:highlight w:val="none"/>
        </w:rPr>
        <w:t>相应调整，最终确定锂精矿品位5.0%。</w:t>
      </w:r>
    </w:p>
    <w:p w14:paraId="4769A1AE">
      <w:pPr>
        <w:pStyle w:val="3"/>
        <w:adjustRightInd w:val="0"/>
        <w:rPr>
          <w:rFonts w:cs="Times New Roman"/>
          <w:color w:val="auto"/>
          <w:highlight w:val="none"/>
        </w:rPr>
      </w:pPr>
      <w:bookmarkStart w:id="101" w:name="_Toc5109"/>
      <w:r>
        <w:rPr>
          <w:rFonts w:cs="Times New Roman"/>
          <w:color w:val="auto"/>
          <w:highlight w:val="none"/>
        </w:rPr>
        <w:t>项目主要建设内容及组成</w:t>
      </w:r>
      <w:bookmarkEnd w:id="101"/>
    </w:p>
    <w:p w14:paraId="3A6C75E4">
      <w:pPr>
        <w:adjustRightInd w:val="0"/>
        <w:ind w:firstLine="480"/>
        <w:rPr>
          <w:rFonts w:cs="Times New Roman"/>
          <w:color w:val="auto"/>
          <w:highlight w:val="none"/>
        </w:rPr>
      </w:pPr>
      <w:r>
        <w:rPr>
          <w:rFonts w:cs="Times New Roman"/>
          <w:color w:val="auto"/>
          <w:highlight w:val="none"/>
        </w:rPr>
        <w:t>本项目为新建项目，</w:t>
      </w:r>
      <w:r>
        <w:rPr>
          <w:rFonts w:hint="eastAsia" w:cs="Times New Roman"/>
          <w:color w:val="auto"/>
          <w:highlight w:val="none"/>
        </w:rPr>
        <w:t>项目占地31.8亩，加工锂辉石原矿36万t/a（1090.91t/d），投资金额为11000万元，新建钢结构厂房；主要对锂矿加工处置利用，配套建设碎矿车间、磨矿车间、加工车间、磁选车间、压滤车间等工程。产品名称：锂辉石精矿。主要设备：颚式破碎机，球磨机，浮选机，磁选机，鼓风机，精矿和尾矿压滤机等</w:t>
      </w:r>
      <w:r>
        <w:rPr>
          <w:rFonts w:cs="Times New Roman"/>
          <w:color w:val="auto"/>
          <w:highlight w:val="none"/>
        </w:rPr>
        <w:t>。</w:t>
      </w:r>
    </w:p>
    <w:p w14:paraId="6DF371F5">
      <w:pPr>
        <w:adjustRightInd w:val="0"/>
        <w:ind w:firstLine="480"/>
        <w:rPr>
          <w:rFonts w:cs="Times New Roman"/>
          <w:color w:val="auto"/>
          <w:highlight w:val="none"/>
        </w:rPr>
      </w:pPr>
      <w:r>
        <w:rPr>
          <w:rFonts w:cs="Times New Roman"/>
          <w:color w:val="auto"/>
          <w:highlight w:val="none"/>
        </w:rPr>
        <w:t>项目组成及主要环境问题见下表。</w:t>
      </w:r>
    </w:p>
    <w:p w14:paraId="2F67C4CF">
      <w:pPr>
        <w:pStyle w:val="12"/>
        <w:adjustRightInd w:val="0"/>
        <w:ind w:firstLine="48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项目组成及主要环境问题</w:t>
      </w:r>
    </w:p>
    <w:tbl>
      <w:tblPr>
        <w:tblStyle w:val="31"/>
        <w:tblW w:w="523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25"/>
        <w:gridCol w:w="745"/>
        <w:gridCol w:w="4304"/>
        <w:gridCol w:w="1143"/>
        <w:gridCol w:w="859"/>
        <w:gridCol w:w="1228"/>
      </w:tblGrid>
      <w:tr w14:paraId="7B3DBD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jc w:val="center"/>
        </w:trPr>
        <w:tc>
          <w:tcPr>
            <w:tcW w:w="244"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3AF5F5F7">
            <w:pPr>
              <w:pStyle w:val="69"/>
              <w:spacing w:before="65" w:after="65"/>
              <w:rPr>
                <w:rFonts w:cs="Times New Roman"/>
                <w:b/>
                <w:color w:val="auto"/>
                <w:highlight w:val="none"/>
              </w:rPr>
            </w:pPr>
            <w:r>
              <w:rPr>
                <w:rFonts w:cs="Times New Roman"/>
                <w:b/>
                <w:color w:val="auto"/>
                <w:highlight w:val="none"/>
              </w:rPr>
              <w:t>工程</w:t>
            </w:r>
          </w:p>
          <w:p w14:paraId="08E9EA7D">
            <w:pPr>
              <w:pStyle w:val="69"/>
              <w:spacing w:before="65" w:after="65"/>
              <w:rPr>
                <w:rFonts w:cs="Times New Roman"/>
                <w:b/>
                <w:color w:val="auto"/>
                <w:highlight w:val="none"/>
              </w:rPr>
            </w:pPr>
            <w:r>
              <w:rPr>
                <w:rFonts w:cs="Times New Roman"/>
                <w:b/>
                <w:color w:val="auto"/>
                <w:highlight w:val="none"/>
              </w:rPr>
              <w:t>分类</w:t>
            </w:r>
          </w:p>
        </w:tc>
        <w:tc>
          <w:tcPr>
            <w:tcW w:w="428"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0D56427">
            <w:pPr>
              <w:pStyle w:val="69"/>
              <w:spacing w:before="65" w:after="65"/>
              <w:rPr>
                <w:rFonts w:cs="Times New Roman"/>
                <w:b/>
                <w:color w:val="auto"/>
                <w:highlight w:val="none"/>
              </w:rPr>
            </w:pPr>
            <w:r>
              <w:rPr>
                <w:rFonts w:cs="Times New Roman"/>
                <w:b/>
                <w:color w:val="auto"/>
                <w:highlight w:val="none"/>
              </w:rPr>
              <w:t>项目</w:t>
            </w:r>
          </w:p>
          <w:p w14:paraId="656FDC1F">
            <w:pPr>
              <w:pStyle w:val="69"/>
              <w:spacing w:before="65" w:after="65"/>
              <w:rPr>
                <w:rFonts w:cs="Times New Roman"/>
                <w:b/>
                <w:color w:val="auto"/>
                <w:highlight w:val="none"/>
              </w:rPr>
            </w:pPr>
            <w:r>
              <w:rPr>
                <w:rFonts w:cs="Times New Roman"/>
                <w:b/>
                <w:color w:val="auto"/>
                <w:highlight w:val="none"/>
              </w:rPr>
              <w:t>名称</w:t>
            </w:r>
          </w:p>
        </w:tc>
        <w:tc>
          <w:tcPr>
            <w:tcW w:w="247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5C74B2">
            <w:pPr>
              <w:pStyle w:val="69"/>
              <w:spacing w:before="65" w:after="65"/>
              <w:rPr>
                <w:rFonts w:cs="Times New Roman"/>
                <w:b/>
                <w:color w:val="auto"/>
                <w:highlight w:val="none"/>
              </w:rPr>
            </w:pPr>
            <w:r>
              <w:rPr>
                <w:rFonts w:cs="Times New Roman"/>
                <w:b/>
                <w:color w:val="auto"/>
                <w:highlight w:val="none"/>
              </w:rPr>
              <w:t>建设内容</w:t>
            </w:r>
          </w:p>
        </w:tc>
        <w:tc>
          <w:tcPr>
            <w:tcW w:w="114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8F58590">
            <w:pPr>
              <w:pStyle w:val="69"/>
              <w:spacing w:before="65" w:after="65"/>
              <w:rPr>
                <w:rFonts w:cs="Times New Roman"/>
                <w:b/>
                <w:color w:val="auto"/>
                <w:highlight w:val="none"/>
              </w:rPr>
            </w:pPr>
            <w:r>
              <w:rPr>
                <w:rFonts w:cs="Times New Roman"/>
                <w:b/>
                <w:color w:val="auto"/>
                <w:highlight w:val="none"/>
              </w:rPr>
              <w:t>可能产生的环境问题</w:t>
            </w:r>
          </w:p>
        </w:tc>
        <w:tc>
          <w:tcPr>
            <w:tcW w:w="705"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E11C84B">
            <w:pPr>
              <w:pStyle w:val="69"/>
              <w:spacing w:before="65" w:after="65"/>
              <w:rPr>
                <w:rFonts w:cs="Times New Roman"/>
                <w:b/>
                <w:color w:val="auto"/>
                <w:highlight w:val="none"/>
              </w:rPr>
            </w:pPr>
            <w:r>
              <w:rPr>
                <w:rFonts w:cs="Times New Roman"/>
                <w:b/>
                <w:color w:val="auto"/>
                <w:highlight w:val="none"/>
              </w:rPr>
              <w:t>备注</w:t>
            </w:r>
          </w:p>
        </w:tc>
      </w:tr>
      <w:tr w14:paraId="72B7A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jc w:val="center"/>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A8AE429">
            <w:pPr>
              <w:pStyle w:val="69"/>
              <w:spacing w:before="65" w:after="65"/>
              <w:rPr>
                <w:rFonts w:cs="Times New Roman"/>
                <w:color w:val="auto"/>
                <w:highlight w:val="none"/>
              </w:rPr>
            </w:pPr>
          </w:p>
        </w:tc>
        <w:tc>
          <w:tcPr>
            <w:tcW w:w="428"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5FA82D">
            <w:pPr>
              <w:pStyle w:val="69"/>
              <w:spacing w:before="65" w:after="65"/>
              <w:rPr>
                <w:rFonts w:cs="Times New Roman"/>
                <w:color w:val="auto"/>
                <w:highlight w:val="none"/>
              </w:rPr>
            </w:pPr>
          </w:p>
        </w:tc>
        <w:tc>
          <w:tcPr>
            <w:tcW w:w="247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C3916D">
            <w:pPr>
              <w:pStyle w:val="69"/>
              <w:spacing w:before="65" w:after="65"/>
              <w:rPr>
                <w:rFonts w:cs="Times New Roman"/>
                <w:color w:val="auto"/>
                <w:highlight w:val="none"/>
              </w:rPr>
            </w:pPr>
          </w:p>
        </w:tc>
        <w:tc>
          <w:tcPr>
            <w:tcW w:w="65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AEDC96">
            <w:pPr>
              <w:pStyle w:val="69"/>
              <w:spacing w:before="65" w:after="65"/>
              <w:rPr>
                <w:rFonts w:cs="Times New Roman"/>
                <w:b/>
                <w:color w:val="auto"/>
                <w:highlight w:val="none"/>
              </w:rPr>
            </w:pPr>
            <w:r>
              <w:rPr>
                <w:rFonts w:cs="Times New Roman"/>
                <w:b/>
                <w:color w:val="auto"/>
                <w:highlight w:val="none"/>
              </w:rPr>
              <w:t>施工期</w:t>
            </w: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1461A">
            <w:pPr>
              <w:pStyle w:val="69"/>
              <w:spacing w:before="65" w:after="65"/>
              <w:rPr>
                <w:rFonts w:cs="Times New Roman"/>
                <w:b/>
                <w:color w:val="auto"/>
                <w:highlight w:val="none"/>
              </w:rPr>
            </w:pPr>
            <w:r>
              <w:rPr>
                <w:rFonts w:cs="Times New Roman"/>
                <w:b/>
                <w:color w:val="auto"/>
                <w:highlight w:val="none"/>
              </w:rPr>
              <w:t>营运期</w:t>
            </w:r>
          </w:p>
        </w:tc>
        <w:tc>
          <w:tcPr>
            <w:tcW w:w="70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9FB2498">
            <w:pPr>
              <w:pStyle w:val="69"/>
              <w:spacing w:before="65" w:after="65"/>
              <w:rPr>
                <w:rFonts w:cs="Times New Roman"/>
                <w:color w:val="auto"/>
                <w:highlight w:val="none"/>
              </w:rPr>
            </w:pPr>
          </w:p>
        </w:tc>
      </w:tr>
      <w:tr w14:paraId="6292B6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1" w:hRule="atLeast"/>
          <w:jc w:val="center"/>
        </w:trPr>
        <w:tc>
          <w:tcPr>
            <w:tcW w:w="244" w:type="pct"/>
            <w:vMerge w:val="restart"/>
            <w:tcBorders>
              <w:top w:val="single" w:color="000000" w:sz="4" w:space="0"/>
              <w:left w:val="single" w:color="000000" w:sz="4" w:space="0"/>
              <w:right w:val="single" w:color="000000" w:sz="4" w:space="0"/>
            </w:tcBorders>
            <w:shd w:val="clear" w:color="auto" w:fill="FFFFFF"/>
            <w:vAlign w:val="center"/>
          </w:tcPr>
          <w:p w14:paraId="0B0904E0">
            <w:pPr>
              <w:pStyle w:val="69"/>
              <w:spacing w:before="65" w:after="65"/>
              <w:rPr>
                <w:rFonts w:cs="Times New Roman"/>
                <w:color w:val="auto"/>
                <w:highlight w:val="none"/>
              </w:rPr>
            </w:pPr>
            <w:r>
              <w:rPr>
                <w:rFonts w:cs="Times New Roman"/>
                <w:color w:val="auto"/>
                <w:highlight w:val="none"/>
              </w:rPr>
              <w:t>主体</w:t>
            </w:r>
          </w:p>
          <w:p w14:paraId="740CCE94">
            <w:pPr>
              <w:pStyle w:val="69"/>
              <w:spacing w:before="65" w:after="65"/>
              <w:rPr>
                <w:rFonts w:cs="Times New Roman"/>
                <w:color w:val="auto"/>
                <w:highlight w:val="none"/>
              </w:rPr>
            </w:pPr>
            <w:r>
              <w:rPr>
                <w:rFonts w:cs="Times New Roman"/>
                <w:color w:val="auto"/>
                <w:highlight w:val="none"/>
              </w:rPr>
              <w:t>工程</w:t>
            </w: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DEF5D">
            <w:pPr>
              <w:pStyle w:val="69"/>
              <w:spacing w:before="65" w:after="65"/>
              <w:rPr>
                <w:rFonts w:cs="Times New Roman"/>
                <w:color w:val="auto"/>
                <w:highlight w:val="none"/>
              </w:rPr>
            </w:pPr>
            <w:r>
              <w:rPr>
                <w:rFonts w:cs="Times New Roman"/>
                <w:color w:val="auto"/>
                <w:highlight w:val="none"/>
              </w:rPr>
              <w:t>碎矿车间</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B49654">
            <w:pPr>
              <w:pStyle w:val="69"/>
              <w:spacing w:before="65" w:after="65"/>
              <w:jc w:val="both"/>
              <w:rPr>
                <w:rFonts w:cs="Times New Roman"/>
                <w:color w:val="auto"/>
                <w:highlight w:val="none"/>
              </w:rPr>
            </w:pPr>
            <w:r>
              <w:rPr>
                <w:rFonts w:cs="Times New Roman"/>
                <w:color w:val="auto"/>
                <w:highlight w:val="none"/>
              </w:rPr>
              <w:t>位于厂区</w:t>
            </w:r>
            <w:r>
              <w:rPr>
                <w:rFonts w:hint="eastAsia" w:cs="Times New Roman"/>
                <w:color w:val="auto"/>
                <w:highlight w:val="none"/>
              </w:rPr>
              <w:t>中</w:t>
            </w:r>
            <w:r>
              <w:rPr>
                <w:rFonts w:cs="Times New Roman"/>
                <w:color w:val="auto"/>
                <w:highlight w:val="none"/>
              </w:rPr>
              <w:t>部，1F，钢结构，占地面积约</w:t>
            </w:r>
            <w:r>
              <w:rPr>
                <w:rFonts w:hint="eastAsia" w:cs="Times New Roman"/>
                <w:color w:val="auto"/>
                <w:highlight w:val="none"/>
              </w:rPr>
              <w:t>1372</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w:t>
            </w:r>
            <w:r>
              <w:rPr>
                <w:rFonts w:hint="eastAsia" w:cs="Times New Roman"/>
                <w:color w:val="auto"/>
                <w:highlight w:val="none"/>
              </w:rPr>
              <w:t>主要设置</w:t>
            </w:r>
            <w:r>
              <w:rPr>
                <w:rFonts w:cs="Times New Roman"/>
                <w:color w:val="auto"/>
                <w:highlight w:val="none"/>
              </w:rPr>
              <w:t>给料机</w:t>
            </w:r>
            <w:r>
              <w:rPr>
                <w:rFonts w:hint="eastAsia" w:cs="Times New Roman"/>
                <w:color w:val="auto"/>
                <w:highlight w:val="none"/>
              </w:rPr>
              <w:t>3</w:t>
            </w:r>
            <w:r>
              <w:rPr>
                <w:rFonts w:cs="Times New Roman"/>
                <w:color w:val="auto"/>
                <w:highlight w:val="none"/>
              </w:rPr>
              <w:t>台、颚式破碎机2台、圆锥破碎机1台、立轴式冲击破1台、圆振动筛1台等。主要进行原矿破碎、筛分工序。</w:t>
            </w:r>
          </w:p>
        </w:tc>
        <w:tc>
          <w:tcPr>
            <w:tcW w:w="65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AF802A9">
            <w:pPr>
              <w:pStyle w:val="69"/>
              <w:spacing w:before="65" w:after="65"/>
              <w:rPr>
                <w:rFonts w:cs="Times New Roman"/>
                <w:color w:val="auto"/>
                <w:highlight w:val="none"/>
              </w:rPr>
            </w:pPr>
            <w:r>
              <w:rPr>
                <w:rFonts w:cs="Times New Roman"/>
                <w:color w:val="auto"/>
                <w:highlight w:val="none"/>
              </w:rPr>
              <w:t>施工噪声、施工建渣、施工粉尘、生活污水、生活垃圾</w:t>
            </w: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AE7D4">
            <w:pPr>
              <w:pStyle w:val="69"/>
              <w:spacing w:before="65" w:after="65"/>
              <w:rPr>
                <w:rFonts w:cs="Times New Roman"/>
                <w:color w:val="auto"/>
                <w:highlight w:val="none"/>
              </w:rPr>
            </w:pPr>
            <w:r>
              <w:rPr>
                <w:rFonts w:cs="Times New Roman"/>
                <w:color w:val="auto"/>
                <w:highlight w:val="none"/>
              </w:rPr>
              <w:t>废气、噪声、固废</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ECB970">
            <w:pPr>
              <w:pStyle w:val="69"/>
              <w:spacing w:before="65" w:after="65"/>
              <w:rPr>
                <w:rFonts w:cs="Times New Roman"/>
                <w:color w:val="auto"/>
                <w:highlight w:val="none"/>
              </w:rPr>
            </w:pPr>
            <w:r>
              <w:rPr>
                <w:rFonts w:hint="eastAsia" w:cs="Times New Roman"/>
                <w:color w:val="auto"/>
                <w:highlight w:val="none"/>
              </w:rPr>
              <w:t>新建</w:t>
            </w:r>
          </w:p>
        </w:tc>
      </w:tr>
      <w:tr w14:paraId="73CE9A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1" w:hRule="atLeast"/>
          <w:jc w:val="center"/>
        </w:trPr>
        <w:tc>
          <w:tcPr>
            <w:tcW w:w="244" w:type="pct"/>
            <w:vMerge w:val="continue"/>
            <w:tcBorders>
              <w:left w:val="single" w:color="000000" w:sz="4" w:space="0"/>
              <w:right w:val="single" w:color="000000" w:sz="4" w:space="0"/>
            </w:tcBorders>
            <w:shd w:val="clear" w:color="auto" w:fill="FFFFFF"/>
            <w:vAlign w:val="center"/>
          </w:tcPr>
          <w:p w14:paraId="3166E123">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D7C96A">
            <w:pPr>
              <w:pStyle w:val="69"/>
              <w:spacing w:before="65" w:after="65"/>
              <w:rPr>
                <w:rFonts w:cs="Times New Roman"/>
                <w:color w:val="auto"/>
                <w:highlight w:val="none"/>
              </w:rPr>
            </w:pPr>
            <w:r>
              <w:rPr>
                <w:rFonts w:cs="Times New Roman"/>
                <w:color w:val="auto"/>
                <w:highlight w:val="none"/>
              </w:rPr>
              <w:t>磨矿车间</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56CF36">
            <w:pPr>
              <w:pStyle w:val="69"/>
              <w:spacing w:before="65" w:after="65"/>
              <w:jc w:val="both"/>
              <w:rPr>
                <w:rFonts w:cs="Times New Roman"/>
                <w:color w:val="auto"/>
                <w:highlight w:val="none"/>
              </w:rPr>
            </w:pPr>
            <w:r>
              <w:rPr>
                <w:rFonts w:cs="Times New Roman"/>
                <w:color w:val="auto"/>
                <w:highlight w:val="none"/>
              </w:rPr>
              <w:t>位于厂区</w:t>
            </w:r>
            <w:r>
              <w:rPr>
                <w:rFonts w:hint="eastAsia" w:cs="Times New Roman"/>
                <w:color w:val="auto"/>
                <w:highlight w:val="none"/>
              </w:rPr>
              <w:t>东</w:t>
            </w:r>
            <w:r>
              <w:rPr>
                <w:rFonts w:cs="Times New Roman"/>
                <w:color w:val="auto"/>
                <w:highlight w:val="none"/>
              </w:rPr>
              <w:t>北部，1F，钢结构，占地面积约6</w:t>
            </w:r>
            <w:r>
              <w:rPr>
                <w:rFonts w:hint="eastAsia" w:cs="Times New Roman"/>
                <w:color w:val="auto"/>
                <w:highlight w:val="none"/>
              </w:rPr>
              <w:t>32</w:t>
            </w:r>
            <w:r>
              <w:rPr>
                <w:rFonts w:cs="Times New Roman"/>
                <w:color w:val="auto"/>
                <w:highlight w:val="none"/>
              </w:rPr>
              <w:t>m</w:t>
            </w:r>
            <w:r>
              <w:rPr>
                <w:rFonts w:cs="Times New Roman"/>
                <w:color w:val="auto"/>
                <w:highlight w:val="none"/>
                <w:vertAlign w:val="superscript"/>
              </w:rPr>
              <w:t>2，</w:t>
            </w:r>
            <w:r>
              <w:rPr>
                <w:rFonts w:hint="eastAsia" w:cs="Times New Roman"/>
                <w:color w:val="auto"/>
                <w:highlight w:val="none"/>
              </w:rPr>
              <w:t>主要设置</w:t>
            </w:r>
            <w:r>
              <w:rPr>
                <w:rFonts w:cs="Times New Roman"/>
                <w:color w:val="auto"/>
                <w:highlight w:val="none"/>
              </w:rPr>
              <w:t>溢流型球磨机1台、磨矿分级旋流器组1台、磁选机1台等。主要进行湿式磨矿、旋流分级和一次磁选工序。</w:t>
            </w:r>
          </w:p>
        </w:tc>
        <w:tc>
          <w:tcPr>
            <w:tcW w:w="656" w:type="pct"/>
            <w:vMerge w:val="continue"/>
            <w:tcBorders>
              <w:left w:val="single" w:color="000000" w:sz="4" w:space="0"/>
              <w:right w:val="single" w:color="000000" w:sz="4" w:space="0"/>
            </w:tcBorders>
            <w:shd w:val="clear" w:color="auto" w:fill="FFFFFF"/>
            <w:vAlign w:val="center"/>
          </w:tcPr>
          <w:p w14:paraId="0C580D15">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FA9687">
            <w:pPr>
              <w:pStyle w:val="69"/>
              <w:spacing w:before="65" w:after="65"/>
              <w:rPr>
                <w:rFonts w:cs="Times New Roman"/>
                <w:color w:val="auto"/>
                <w:highlight w:val="none"/>
              </w:rPr>
            </w:pPr>
            <w:r>
              <w:rPr>
                <w:rFonts w:cs="Times New Roman"/>
                <w:color w:val="auto"/>
                <w:highlight w:val="none"/>
              </w:rPr>
              <w:t>噪声、固废</w:t>
            </w:r>
            <w:r>
              <w:rPr>
                <w:rFonts w:hint="eastAsia" w:cs="Times New Roman"/>
                <w:color w:val="auto"/>
                <w:highlight w:val="none"/>
              </w:rPr>
              <w:t>、废水</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6D7FDA">
            <w:pPr>
              <w:pStyle w:val="69"/>
              <w:spacing w:before="65" w:after="65"/>
              <w:rPr>
                <w:rFonts w:cs="Times New Roman"/>
                <w:color w:val="auto"/>
                <w:highlight w:val="none"/>
              </w:rPr>
            </w:pPr>
            <w:r>
              <w:rPr>
                <w:rFonts w:hint="eastAsia" w:cs="Times New Roman"/>
                <w:color w:val="auto"/>
                <w:highlight w:val="none"/>
              </w:rPr>
              <w:t>新建</w:t>
            </w:r>
          </w:p>
        </w:tc>
      </w:tr>
      <w:tr w14:paraId="61AF16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91" w:hRule="atLeast"/>
          <w:jc w:val="center"/>
        </w:trPr>
        <w:tc>
          <w:tcPr>
            <w:tcW w:w="244" w:type="pct"/>
            <w:vMerge w:val="continue"/>
            <w:tcBorders>
              <w:left w:val="single" w:color="000000" w:sz="4" w:space="0"/>
              <w:right w:val="single" w:color="000000" w:sz="4" w:space="0"/>
            </w:tcBorders>
            <w:shd w:val="clear" w:color="auto" w:fill="FFFFFF"/>
            <w:vAlign w:val="center"/>
          </w:tcPr>
          <w:p w14:paraId="580EAA17">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A01696">
            <w:pPr>
              <w:pStyle w:val="69"/>
              <w:spacing w:before="65" w:after="65"/>
              <w:rPr>
                <w:rFonts w:cs="Times New Roman"/>
                <w:color w:val="auto"/>
                <w:highlight w:val="none"/>
              </w:rPr>
            </w:pPr>
            <w:r>
              <w:rPr>
                <w:rFonts w:cs="Times New Roman"/>
                <w:color w:val="auto"/>
                <w:highlight w:val="none"/>
              </w:rPr>
              <w:t>加工车间</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8F575A">
            <w:pPr>
              <w:pStyle w:val="69"/>
              <w:spacing w:before="65" w:after="65"/>
              <w:jc w:val="both"/>
              <w:rPr>
                <w:rFonts w:cs="Times New Roman"/>
                <w:color w:val="auto"/>
                <w:highlight w:val="none"/>
              </w:rPr>
            </w:pPr>
            <w:r>
              <w:rPr>
                <w:rFonts w:cs="Times New Roman"/>
                <w:color w:val="auto"/>
                <w:highlight w:val="none"/>
              </w:rPr>
              <w:t>位于厂区中部，1F，钢结构，占地面积1</w:t>
            </w:r>
            <w:r>
              <w:rPr>
                <w:rFonts w:hint="eastAsia" w:cs="Times New Roman"/>
                <w:color w:val="auto"/>
                <w:highlight w:val="none"/>
              </w:rPr>
              <w:t>555</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w:t>
            </w:r>
            <w:r>
              <w:rPr>
                <w:rFonts w:hint="eastAsia" w:cs="Times New Roman"/>
                <w:color w:val="auto"/>
                <w:highlight w:val="none"/>
              </w:rPr>
              <w:t>主要设置</w:t>
            </w:r>
            <w:r>
              <w:rPr>
                <w:rFonts w:cs="Times New Roman"/>
                <w:color w:val="auto"/>
                <w:highlight w:val="none"/>
              </w:rPr>
              <w:t>脱泥旋流器组2台、浮选机22台、磁选机2台等。主要进行脱泥、预浮、浮选和二次磁选工序。</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16EFE2">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FDA94A">
            <w:pPr>
              <w:pStyle w:val="69"/>
              <w:spacing w:before="65" w:after="65"/>
              <w:rPr>
                <w:rFonts w:cs="Times New Roman"/>
                <w:color w:val="auto"/>
                <w:highlight w:val="none"/>
              </w:rPr>
            </w:pPr>
            <w:r>
              <w:rPr>
                <w:rFonts w:cs="Times New Roman"/>
                <w:color w:val="auto"/>
                <w:highlight w:val="none"/>
              </w:rPr>
              <w:t>噪声、固废</w:t>
            </w:r>
            <w:r>
              <w:rPr>
                <w:rFonts w:hint="eastAsia"/>
                <w:color w:val="auto"/>
                <w:highlight w:val="none"/>
              </w:rPr>
              <w:t>、废水</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43CD8">
            <w:pPr>
              <w:pStyle w:val="69"/>
              <w:spacing w:before="65" w:after="65"/>
              <w:rPr>
                <w:rFonts w:cs="Times New Roman"/>
                <w:color w:val="auto"/>
                <w:highlight w:val="none"/>
              </w:rPr>
            </w:pPr>
            <w:r>
              <w:rPr>
                <w:rFonts w:hint="eastAsia" w:cs="Times New Roman"/>
                <w:color w:val="auto"/>
                <w:highlight w:val="none"/>
              </w:rPr>
              <w:t>新建</w:t>
            </w:r>
          </w:p>
        </w:tc>
      </w:tr>
      <w:tr w14:paraId="1A3FC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vMerge w:val="continue"/>
            <w:tcBorders>
              <w:left w:val="single" w:color="000000" w:sz="4" w:space="0"/>
              <w:right w:val="single" w:color="000000" w:sz="4" w:space="0"/>
            </w:tcBorders>
            <w:shd w:val="clear" w:color="auto" w:fill="FFFFFF"/>
            <w:vAlign w:val="center"/>
          </w:tcPr>
          <w:p w14:paraId="150B1C6E">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4E6CE5">
            <w:pPr>
              <w:pStyle w:val="69"/>
              <w:spacing w:before="65" w:after="65"/>
              <w:rPr>
                <w:rFonts w:cs="Times New Roman"/>
                <w:color w:val="auto"/>
                <w:highlight w:val="none"/>
              </w:rPr>
            </w:pPr>
            <w:r>
              <w:rPr>
                <w:rFonts w:cs="Times New Roman"/>
                <w:color w:val="auto"/>
                <w:highlight w:val="none"/>
              </w:rPr>
              <w:t>压滤车间</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46B39">
            <w:pPr>
              <w:pStyle w:val="69"/>
              <w:spacing w:before="65" w:after="65"/>
              <w:jc w:val="both"/>
              <w:rPr>
                <w:rFonts w:cs="Times New Roman"/>
                <w:color w:val="auto"/>
                <w:highlight w:val="none"/>
              </w:rPr>
            </w:pPr>
            <w:r>
              <w:rPr>
                <w:rFonts w:cs="Times New Roman"/>
                <w:color w:val="auto"/>
                <w:highlight w:val="none"/>
              </w:rPr>
              <w:t>位于厂区北侧，1F，钢结构，占地面积</w:t>
            </w:r>
            <w:r>
              <w:rPr>
                <w:rFonts w:hint="eastAsia" w:cs="Times New Roman"/>
                <w:color w:val="auto"/>
                <w:highlight w:val="none"/>
              </w:rPr>
              <w:t>1567</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w:t>
            </w:r>
            <w:r>
              <w:rPr>
                <w:rFonts w:hint="eastAsia" w:cs="Times New Roman"/>
                <w:color w:val="auto"/>
                <w:highlight w:val="none"/>
              </w:rPr>
              <w:t>主要设置</w:t>
            </w:r>
            <w:r>
              <w:rPr>
                <w:rFonts w:cs="Times New Roman"/>
                <w:color w:val="auto"/>
                <w:highlight w:val="none"/>
              </w:rPr>
              <w:t>浓密机</w:t>
            </w:r>
            <w:r>
              <w:rPr>
                <w:rFonts w:hint="eastAsia" w:cs="Times New Roman"/>
                <w:color w:val="auto"/>
                <w:highlight w:val="none"/>
              </w:rPr>
              <w:t>2</w:t>
            </w:r>
            <w:r>
              <w:rPr>
                <w:rFonts w:cs="Times New Roman"/>
                <w:color w:val="auto"/>
                <w:highlight w:val="none"/>
              </w:rPr>
              <w:t>台、隔膜厢式自动压滤机</w:t>
            </w:r>
            <w:r>
              <w:rPr>
                <w:rFonts w:hint="eastAsia" w:cs="Times New Roman"/>
                <w:color w:val="auto"/>
                <w:highlight w:val="none"/>
              </w:rPr>
              <w:t>4</w:t>
            </w:r>
            <w:r>
              <w:rPr>
                <w:rFonts w:cs="Times New Roman"/>
                <w:color w:val="auto"/>
                <w:highlight w:val="none"/>
              </w:rPr>
              <w:t>台、带式真空过滤机1台、永磁螺杆空压机2台等。主要进行脱水工序。</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9826856">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E98409">
            <w:pPr>
              <w:pStyle w:val="69"/>
              <w:spacing w:before="65" w:after="65"/>
              <w:rPr>
                <w:rFonts w:cs="Times New Roman"/>
                <w:color w:val="auto"/>
                <w:highlight w:val="none"/>
              </w:rPr>
            </w:pPr>
            <w:r>
              <w:rPr>
                <w:rFonts w:cs="Times New Roman"/>
                <w:color w:val="auto"/>
                <w:highlight w:val="none"/>
              </w:rPr>
              <w:t>废水、噪声、固废</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B0A1C">
            <w:pPr>
              <w:pStyle w:val="69"/>
              <w:spacing w:before="65" w:after="65"/>
              <w:rPr>
                <w:rFonts w:cs="Times New Roman"/>
                <w:color w:val="auto"/>
                <w:highlight w:val="none"/>
              </w:rPr>
            </w:pPr>
            <w:r>
              <w:rPr>
                <w:rFonts w:hint="eastAsia" w:cs="Times New Roman"/>
                <w:color w:val="auto"/>
                <w:highlight w:val="none"/>
              </w:rPr>
              <w:t>新建</w:t>
            </w:r>
          </w:p>
        </w:tc>
      </w:tr>
      <w:tr w14:paraId="07CA99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 w:hRule="atLeast"/>
          <w:jc w:val="center"/>
        </w:trPr>
        <w:tc>
          <w:tcPr>
            <w:tcW w:w="244" w:type="pct"/>
            <w:vMerge w:val="restart"/>
            <w:tcBorders>
              <w:top w:val="single" w:color="000000" w:sz="4" w:space="0"/>
              <w:left w:val="single" w:color="000000" w:sz="4" w:space="0"/>
              <w:right w:val="single" w:color="000000" w:sz="4" w:space="0"/>
            </w:tcBorders>
            <w:shd w:val="clear" w:color="auto" w:fill="FFFFFF"/>
            <w:vAlign w:val="center"/>
          </w:tcPr>
          <w:p w14:paraId="1AD7DA2D">
            <w:pPr>
              <w:pStyle w:val="69"/>
              <w:spacing w:before="65" w:after="65"/>
              <w:rPr>
                <w:rFonts w:cs="Times New Roman"/>
                <w:color w:val="auto"/>
                <w:highlight w:val="none"/>
              </w:rPr>
            </w:pPr>
            <w:r>
              <w:rPr>
                <w:rFonts w:cs="Times New Roman"/>
                <w:color w:val="auto"/>
                <w:highlight w:val="none"/>
              </w:rPr>
              <w:t>辅助工程</w:t>
            </w: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D9A0AD">
            <w:pPr>
              <w:pStyle w:val="69"/>
              <w:spacing w:before="65" w:after="65"/>
              <w:rPr>
                <w:rFonts w:cs="Times New Roman"/>
                <w:color w:val="auto"/>
                <w:highlight w:val="none"/>
              </w:rPr>
            </w:pPr>
            <w:r>
              <w:rPr>
                <w:rFonts w:cs="Times New Roman"/>
                <w:color w:val="auto"/>
                <w:highlight w:val="none"/>
              </w:rPr>
              <w:t>门卫室</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F5ECC1">
            <w:pPr>
              <w:pStyle w:val="69"/>
              <w:spacing w:before="65" w:after="65"/>
              <w:jc w:val="both"/>
              <w:rPr>
                <w:rFonts w:cs="Times New Roman"/>
                <w:color w:val="auto"/>
                <w:highlight w:val="none"/>
              </w:rPr>
            </w:pPr>
            <w:r>
              <w:rPr>
                <w:rFonts w:cs="Times New Roman"/>
                <w:color w:val="auto"/>
                <w:highlight w:val="none"/>
              </w:rPr>
              <w:t>位于厂区西侧，占地面积约35m</w:t>
            </w:r>
            <w:r>
              <w:rPr>
                <w:rFonts w:cs="Times New Roman"/>
                <w:color w:val="auto"/>
                <w:highlight w:val="none"/>
                <w:vertAlign w:val="superscript"/>
              </w:rPr>
              <w:t>2</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D889522">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CE1E35">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699D76">
            <w:pPr>
              <w:pStyle w:val="69"/>
              <w:spacing w:before="65" w:after="65"/>
              <w:rPr>
                <w:rFonts w:cs="Times New Roman"/>
                <w:color w:val="auto"/>
                <w:highlight w:val="none"/>
              </w:rPr>
            </w:pPr>
            <w:r>
              <w:rPr>
                <w:rFonts w:hint="eastAsia" w:cs="Times New Roman"/>
                <w:color w:val="auto"/>
                <w:highlight w:val="none"/>
              </w:rPr>
              <w:t>依托</w:t>
            </w:r>
          </w:p>
        </w:tc>
      </w:tr>
      <w:tr w14:paraId="69B863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 w:hRule="atLeast"/>
          <w:jc w:val="center"/>
        </w:trPr>
        <w:tc>
          <w:tcPr>
            <w:tcW w:w="244" w:type="pct"/>
            <w:vMerge w:val="continue"/>
            <w:tcBorders>
              <w:left w:val="single" w:color="000000" w:sz="4" w:space="0"/>
              <w:right w:val="single" w:color="000000" w:sz="4" w:space="0"/>
            </w:tcBorders>
            <w:shd w:val="clear" w:color="auto" w:fill="FFFFFF"/>
            <w:vAlign w:val="center"/>
          </w:tcPr>
          <w:p w14:paraId="0266F15E">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465BF2">
            <w:pPr>
              <w:pStyle w:val="69"/>
              <w:spacing w:before="65" w:after="65"/>
              <w:rPr>
                <w:rFonts w:cs="Times New Roman"/>
                <w:color w:val="auto"/>
                <w:highlight w:val="none"/>
              </w:rPr>
            </w:pPr>
            <w:r>
              <w:rPr>
                <w:rFonts w:cs="Times New Roman"/>
                <w:color w:val="auto"/>
                <w:highlight w:val="none"/>
              </w:rPr>
              <w:t>洗车区</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42209F">
            <w:pPr>
              <w:pStyle w:val="69"/>
              <w:spacing w:before="65" w:after="65"/>
              <w:jc w:val="both"/>
              <w:rPr>
                <w:rFonts w:cs="Times New Roman"/>
                <w:color w:val="auto"/>
                <w:highlight w:val="none"/>
              </w:rPr>
            </w:pPr>
            <w:r>
              <w:rPr>
                <w:rFonts w:cs="Times New Roman"/>
                <w:color w:val="auto"/>
                <w:highlight w:val="none"/>
              </w:rPr>
              <w:t>位于厂区</w:t>
            </w:r>
            <w:r>
              <w:rPr>
                <w:rFonts w:hint="eastAsia" w:cs="Times New Roman"/>
                <w:color w:val="auto"/>
                <w:highlight w:val="none"/>
              </w:rPr>
              <w:t>北</w:t>
            </w:r>
            <w:r>
              <w:rPr>
                <w:rFonts w:cs="Times New Roman"/>
                <w:color w:val="auto"/>
                <w:highlight w:val="none"/>
              </w:rPr>
              <w:t>侧，占地面积约</w:t>
            </w:r>
            <w:r>
              <w:rPr>
                <w:rFonts w:hint="eastAsia" w:cs="Times New Roman"/>
                <w:color w:val="auto"/>
                <w:highlight w:val="none"/>
              </w:rPr>
              <w:t>1</w:t>
            </w:r>
            <w:r>
              <w:rPr>
                <w:rFonts w:cs="Times New Roman"/>
                <w:color w:val="auto"/>
                <w:highlight w:val="none"/>
              </w:rPr>
              <w:t>0m</w:t>
            </w:r>
            <w:r>
              <w:rPr>
                <w:rFonts w:cs="Times New Roman"/>
                <w:color w:val="auto"/>
                <w:highlight w:val="none"/>
                <w:vertAlign w:val="superscript"/>
              </w:rPr>
              <w:t>2</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3EA25BE">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6A36B">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A81EF5">
            <w:pPr>
              <w:pStyle w:val="69"/>
              <w:spacing w:before="65" w:after="65"/>
              <w:rPr>
                <w:rFonts w:cs="Times New Roman"/>
                <w:color w:val="auto"/>
                <w:highlight w:val="none"/>
              </w:rPr>
            </w:pPr>
            <w:r>
              <w:rPr>
                <w:rFonts w:hint="eastAsia" w:cs="Times New Roman"/>
                <w:color w:val="auto"/>
                <w:highlight w:val="none"/>
              </w:rPr>
              <w:t>依托</w:t>
            </w:r>
          </w:p>
        </w:tc>
      </w:tr>
      <w:tr w14:paraId="322155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 w:hRule="atLeast"/>
          <w:jc w:val="center"/>
        </w:trPr>
        <w:tc>
          <w:tcPr>
            <w:tcW w:w="244" w:type="pct"/>
            <w:vMerge w:val="continue"/>
            <w:tcBorders>
              <w:left w:val="single" w:color="000000" w:sz="4" w:space="0"/>
              <w:bottom w:val="single" w:color="000000" w:sz="4" w:space="0"/>
              <w:right w:val="single" w:color="000000" w:sz="4" w:space="0"/>
            </w:tcBorders>
            <w:shd w:val="clear" w:color="auto" w:fill="FFFFFF"/>
            <w:vAlign w:val="center"/>
          </w:tcPr>
          <w:p w14:paraId="61D70F1E">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6BDA5A">
            <w:pPr>
              <w:pStyle w:val="69"/>
              <w:spacing w:before="65" w:after="65"/>
              <w:rPr>
                <w:rFonts w:cs="Times New Roman"/>
                <w:color w:val="auto"/>
                <w:highlight w:val="none"/>
              </w:rPr>
            </w:pPr>
            <w:r>
              <w:rPr>
                <w:rFonts w:cs="Times New Roman"/>
                <w:color w:val="auto"/>
                <w:highlight w:val="none"/>
              </w:rPr>
              <w:t>工具间</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A46A1D">
            <w:pPr>
              <w:pStyle w:val="69"/>
              <w:spacing w:before="65" w:after="65"/>
              <w:jc w:val="both"/>
              <w:rPr>
                <w:rFonts w:cs="Times New Roman"/>
                <w:color w:val="auto"/>
                <w:highlight w:val="none"/>
              </w:rPr>
            </w:pPr>
            <w:r>
              <w:rPr>
                <w:rFonts w:cs="Times New Roman"/>
                <w:color w:val="auto"/>
                <w:highlight w:val="none"/>
              </w:rPr>
              <w:t>位于加工车间</w:t>
            </w:r>
            <w:r>
              <w:rPr>
                <w:rFonts w:hint="eastAsia" w:cs="Times New Roman"/>
                <w:color w:val="auto"/>
                <w:highlight w:val="none"/>
              </w:rPr>
              <w:t>北侧</w:t>
            </w:r>
            <w:r>
              <w:rPr>
                <w:rFonts w:cs="Times New Roman"/>
                <w:color w:val="auto"/>
                <w:highlight w:val="none"/>
              </w:rPr>
              <w:t>，占地面积约</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2</w:t>
            </w:r>
            <w:r>
              <w:rPr>
                <w:rFonts w:cs="Times New Roman"/>
                <w:color w:val="auto"/>
                <w:highlight w:val="none"/>
              </w:rPr>
              <w:t>，主要用于暂存机油、工具等</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487B5F3">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5BF5D5">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2BBF4">
            <w:pPr>
              <w:pStyle w:val="69"/>
              <w:spacing w:before="65" w:after="65"/>
              <w:rPr>
                <w:rFonts w:cs="Times New Roman"/>
                <w:color w:val="auto"/>
                <w:highlight w:val="none"/>
              </w:rPr>
            </w:pPr>
            <w:r>
              <w:rPr>
                <w:rFonts w:hint="eastAsia" w:cs="Times New Roman"/>
                <w:color w:val="auto"/>
                <w:highlight w:val="none"/>
              </w:rPr>
              <w:t>新建</w:t>
            </w:r>
          </w:p>
        </w:tc>
      </w:tr>
      <w:tr w14:paraId="0F5253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3E2DBD2">
            <w:pPr>
              <w:pStyle w:val="69"/>
              <w:spacing w:before="65" w:after="65"/>
              <w:rPr>
                <w:rFonts w:cs="Times New Roman"/>
                <w:color w:val="auto"/>
                <w:highlight w:val="none"/>
              </w:rPr>
            </w:pPr>
            <w:r>
              <w:rPr>
                <w:rFonts w:cs="Times New Roman"/>
                <w:color w:val="auto"/>
                <w:highlight w:val="none"/>
              </w:rPr>
              <w:t>公用工程</w:t>
            </w: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7EEEA">
            <w:pPr>
              <w:pStyle w:val="69"/>
              <w:spacing w:before="65" w:after="65"/>
              <w:rPr>
                <w:rFonts w:cs="Times New Roman"/>
                <w:color w:val="auto"/>
                <w:highlight w:val="none"/>
              </w:rPr>
            </w:pPr>
            <w:r>
              <w:rPr>
                <w:rFonts w:cs="Times New Roman"/>
                <w:color w:val="auto"/>
                <w:highlight w:val="none"/>
              </w:rPr>
              <w:t>供水工程</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3568DD">
            <w:pPr>
              <w:pStyle w:val="69"/>
              <w:spacing w:before="65" w:after="65"/>
              <w:rPr>
                <w:rFonts w:cs="Times New Roman"/>
                <w:color w:val="auto"/>
                <w:highlight w:val="none"/>
              </w:rPr>
            </w:pPr>
            <w:r>
              <w:rPr>
                <w:rFonts w:cs="Times New Roman"/>
                <w:color w:val="auto"/>
                <w:highlight w:val="none"/>
              </w:rPr>
              <w:t>本项目给水由乐山市沙湾区华盈水务投资有限公司提供，乐山市沙湾区华盈水务投资有限公司无自来水厂，通过购买乐山市第四水厂的水进行销售。乐山市第四水厂供水能力为10万m</w:t>
            </w:r>
            <w:r>
              <w:rPr>
                <w:rFonts w:cs="Times New Roman"/>
                <w:color w:val="auto"/>
                <w:highlight w:val="none"/>
                <w:vertAlign w:val="superscript"/>
              </w:rPr>
              <w:t>3</w:t>
            </w:r>
            <w:r>
              <w:rPr>
                <w:rFonts w:cs="Times New Roman"/>
                <w:color w:val="auto"/>
                <w:highlight w:val="none"/>
              </w:rPr>
              <w:t>/d，根据调查，2024年平均供水量为8.7万m</w:t>
            </w:r>
            <w:r>
              <w:rPr>
                <w:rFonts w:cs="Times New Roman"/>
                <w:color w:val="auto"/>
                <w:highlight w:val="none"/>
                <w:vertAlign w:val="superscript"/>
              </w:rPr>
              <w:t>3</w:t>
            </w:r>
            <w:r>
              <w:rPr>
                <w:rFonts w:cs="Times New Roman"/>
                <w:color w:val="auto"/>
                <w:highlight w:val="none"/>
              </w:rPr>
              <w:t>/d，2025年未新增大型供水用户，本项目预计用水量约为0.05</w:t>
            </w:r>
            <w:r>
              <w:rPr>
                <w:rFonts w:hint="eastAsia" w:cs="Times New Roman"/>
                <w:color w:val="auto"/>
                <w:highlight w:val="none"/>
              </w:rPr>
              <w:t>万</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/d，乐山市第四水厂的供水能力满足本项目要求。厂区给水主要用于生活、运行及消防等。给水干管管径DN150，厂区内呈环网状</w:t>
            </w:r>
            <w:r>
              <w:rPr>
                <w:rFonts w:hint="eastAsia" w:cs="Times New Roman"/>
                <w:color w:val="auto"/>
                <w:highlight w:val="none"/>
              </w:rPr>
              <w:t>，有</w:t>
            </w:r>
            <w:r>
              <w:rPr>
                <w:rFonts w:cs="Times New Roman"/>
                <w:color w:val="auto"/>
                <w:highlight w:val="none"/>
              </w:rPr>
              <w:t>利于消防和安全供水。</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04C8D1">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8CE4C">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F0150">
            <w:pPr>
              <w:pStyle w:val="69"/>
              <w:spacing w:before="65" w:after="65"/>
              <w:rPr>
                <w:rFonts w:cs="Times New Roman"/>
                <w:color w:val="auto"/>
                <w:highlight w:val="none"/>
              </w:rPr>
            </w:pPr>
            <w:r>
              <w:rPr>
                <w:rFonts w:hint="eastAsia" w:cs="Times New Roman"/>
                <w:color w:val="auto"/>
                <w:highlight w:val="none"/>
              </w:rPr>
              <w:t>依托</w:t>
            </w:r>
          </w:p>
        </w:tc>
      </w:tr>
      <w:tr w14:paraId="269E9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81" w:hRule="atLeast"/>
          <w:jc w:val="center"/>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639FA0">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FA3C6">
            <w:pPr>
              <w:pStyle w:val="69"/>
              <w:spacing w:before="65" w:after="65"/>
              <w:rPr>
                <w:rFonts w:cs="Times New Roman"/>
                <w:color w:val="auto"/>
                <w:highlight w:val="none"/>
              </w:rPr>
            </w:pPr>
            <w:r>
              <w:rPr>
                <w:rFonts w:cs="Times New Roman"/>
                <w:color w:val="auto"/>
                <w:highlight w:val="none"/>
              </w:rPr>
              <w:t>排水工程</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6ADD49">
            <w:pPr>
              <w:pStyle w:val="69"/>
              <w:spacing w:before="65" w:after="65"/>
              <w:jc w:val="both"/>
              <w:rPr>
                <w:rFonts w:cs="Times New Roman"/>
                <w:color w:val="auto"/>
                <w:highlight w:val="none"/>
              </w:rPr>
            </w:pPr>
            <w:r>
              <w:rPr>
                <w:rFonts w:cs="Times New Roman"/>
                <w:color w:val="auto"/>
                <w:highlight w:val="none"/>
              </w:rPr>
              <w:t>本项目实施雨污分流。</w:t>
            </w:r>
          </w:p>
          <w:p w14:paraId="4EB82B1C">
            <w:pPr>
              <w:pStyle w:val="69"/>
              <w:spacing w:before="65" w:after="65"/>
              <w:jc w:val="both"/>
              <w:rPr>
                <w:rFonts w:cs="Times New Roman"/>
                <w:color w:val="auto"/>
                <w:highlight w:val="none"/>
              </w:rPr>
            </w:pPr>
            <w:r>
              <w:rPr>
                <w:rFonts w:cs="Times New Roman"/>
                <w:color w:val="auto"/>
                <w:highlight w:val="none"/>
              </w:rPr>
              <w:t>雨水排放系统：雨水排入雨水管网</w:t>
            </w:r>
            <w:r>
              <w:rPr>
                <w:rFonts w:hint="eastAsia" w:cs="Times New Roman"/>
                <w:color w:val="auto"/>
                <w:highlight w:val="none"/>
              </w:rPr>
              <w:t>。</w:t>
            </w:r>
          </w:p>
          <w:p w14:paraId="0A5AB91A">
            <w:pPr>
              <w:pStyle w:val="69"/>
              <w:spacing w:before="65" w:after="65"/>
              <w:jc w:val="both"/>
              <w:rPr>
                <w:rFonts w:cs="Times New Roman"/>
                <w:color w:val="auto"/>
                <w:highlight w:val="none"/>
              </w:rPr>
            </w:pPr>
            <w:r>
              <w:rPr>
                <w:rFonts w:cs="Times New Roman"/>
                <w:color w:val="auto"/>
                <w:highlight w:val="none"/>
              </w:rPr>
              <w:t>生活污水</w:t>
            </w:r>
            <w:r>
              <w:rPr>
                <w:rFonts w:hint="eastAsia" w:cs="Times New Roman"/>
                <w:color w:val="auto"/>
                <w:highlight w:val="none"/>
              </w:rPr>
              <w:t>（含食堂废水）</w:t>
            </w:r>
            <w:r>
              <w:rPr>
                <w:rFonts w:cs="Times New Roman"/>
                <w:color w:val="auto"/>
                <w:highlight w:val="none"/>
              </w:rPr>
              <w:t>：</w:t>
            </w:r>
            <w:r>
              <w:rPr>
                <w:rFonts w:hint="eastAsia" w:cs="Times New Roman"/>
                <w:color w:val="auto"/>
                <w:highlight w:val="none"/>
              </w:rPr>
              <w:t>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r>
              <w:rPr>
                <w:rFonts w:hint="eastAsia" w:cs="Times New Roman"/>
                <w:color w:val="auto"/>
                <w:highlight w:val="none"/>
              </w:rPr>
              <w:t>。</w:t>
            </w:r>
          </w:p>
          <w:p w14:paraId="557BCB73">
            <w:pPr>
              <w:pStyle w:val="69"/>
              <w:spacing w:before="65" w:after="65"/>
              <w:jc w:val="both"/>
              <w:rPr>
                <w:rFonts w:cs="Times New Roman"/>
                <w:color w:val="auto"/>
                <w:highlight w:val="none"/>
              </w:rPr>
            </w:pPr>
            <w:r>
              <w:rPr>
                <w:rFonts w:hint="eastAsia" w:cs="Times New Roman"/>
                <w:color w:val="auto"/>
                <w:highlight w:val="none"/>
              </w:rPr>
              <w:t>生产废水包括选矿废水和</w:t>
            </w:r>
            <w:r>
              <w:rPr>
                <w:rFonts w:cs="Times New Roman"/>
                <w:color w:val="auto"/>
                <w:highlight w:val="none"/>
              </w:rPr>
              <w:t>车辆冲洗废水</w:t>
            </w:r>
            <w:r>
              <w:rPr>
                <w:rFonts w:hint="eastAsia" w:cs="Times New Roman"/>
                <w:color w:val="auto"/>
                <w:highlight w:val="none"/>
              </w:rPr>
              <w:t>。</w:t>
            </w:r>
          </w:p>
          <w:p w14:paraId="0938CCAD">
            <w:pPr>
              <w:pStyle w:val="69"/>
              <w:spacing w:before="65" w:after="65"/>
              <w:jc w:val="both"/>
              <w:rPr>
                <w:rFonts w:cs="Times New Roman"/>
                <w:color w:val="auto"/>
                <w:highlight w:val="none"/>
              </w:rPr>
            </w:pPr>
            <w:r>
              <w:rPr>
                <w:rFonts w:cs="Times New Roman"/>
                <w:color w:val="auto"/>
                <w:highlight w:val="none"/>
              </w:rPr>
              <w:t>选矿废水：经1套废水处理设施（一级沉淀池有效容积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、二级沉淀池有效容积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、三级沉淀池有效容积1</w:t>
            </w:r>
            <w:r>
              <w:rPr>
                <w:rFonts w:hint="eastAsia" w:cs="Times New Roman"/>
                <w:color w:val="auto"/>
                <w:highlight w:val="none"/>
              </w:rPr>
              <w:t>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，其中一级沉淀池设计水力停留时间为5h、二级沉淀池设计水力停留时间为5h，三级沉淀池设计水力停留时间为5h，处理能力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沉淀）处理后回用于湿式磨矿、浮选等工序，不外排。</w:t>
            </w:r>
          </w:p>
          <w:p w14:paraId="6310D0C7">
            <w:pPr>
              <w:pStyle w:val="69"/>
              <w:spacing w:before="65" w:after="65"/>
              <w:jc w:val="both"/>
              <w:rPr>
                <w:rFonts w:cs="Times New Roman"/>
                <w:color w:val="auto"/>
                <w:highlight w:val="none"/>
              </w:rPr>
            </w:pPr>
            <w:r>
              <w:rPr>
                <w:rFonts w:cs="Times New Roman"/>
                <w:color w:val="auto"/>
                <w:highlight w:val="none"/>
              </w:rPr>
              <w:t>车辆冲洗废水：经</w:t>
            </w:r>
            <w:r>
              <w:rPr>
                <w:rFonts w:hint="eastAsia" w:cs="Times New Roman"/>
                <w:color w:val="auto"/>
                <w:highlight w:val="none"/>
              </w:rPr>
              <w:t>依托的乐山市沙湾区豪沐科技有限公司</w:t>
            </w:r>
            <w:r>
              <w:rPr>
                <w:rFonts w:cs="Times New Roman"/>
                <w:color w:val="auto"/>
                <w:highlight w:val="none"/>
              </w:rPr>
              <w:t>洗车废水沉淀池（50m</w:t>
            </w:r>
            <w:r>
              <w:rPr>
                <w:rFonts w:cs="Times New Roman"/>
                <w:color w:val="auto"/>
                <w:highlight w:val="none"/>
                <w:vertAlign w:val="superscript"/>
              </w:rPr>
              <w:t>3</w:t>
            </w:r>
            <w:r>
              <w:rPr>
                <w:rFonts w:cs="Times New Roman"/>
                <w:color w:val="auto"/>
                <w:highlight w:val="none"/>
              </w:rPr>
              <w:t>）处理后回用于车辆冲洗，不外排。</w:t>
            </w:r>
          </w:p>
          <w:p w14:paraId="17264A85">
            <w:pPr>
              <w:pStyle w:val="69"/>
              <w:spacing w:before="65" w:after="65"/>
              <w:jc w:val="both"/>
              <w:rPr>
                <w:rFonts w:cs="Times New Roman"/>
                <w:color w:val="auto"/>
                <w:highlight w:val="none"/>
              </w:rPr>
            </w:pPr>
            <w:r>
              <w:rPr>
                <w:rFonts w:cs="Times New Roman"/>
                <w:color w:val="auto"/>
                <w:highlight w:val="none"/>
              </w:rPr>
              <w:t>初期雨水：经雨水管道收集后汇入</w:t>
            </w:r>
            <w:r>
              <w:rPr>
                <w:rFonts w:hint="eastAsia" w:cs="Times New Roman"/>
                <w:color w:val="auto"/>
                <w:highlight w:val="none"/>
              </w:rPr>
              <w:t>依托的乐山市沙湾区豪沐科技有限公司</w:t>
            </w:r>
            <w:r>
              <w:rPr>
                <w:rFonts w:cs="Times New Roman"/>
                <w:color w:val="auto"/>
                <w:highlight w:val="none"/>
              </w:rPr>
              <w:t>初期雨水池（600m</w:t>
            </w:r>
            <w:r>
              <w:rPr>
                <w:rFonts w:cs="Times New Roman"/>
                <w:color w:val="auto"/>
                <w:highlight w:val="none"/>
                <w:vertAlign w:val="superscript"/>
              </w:rPr>
              <w:t>3</w:t>
            </w:r>
            <w:r>
              <w:rPr>
                <w:rFonts w:cs="Times New Roman"/>
                <w:color w:val="auto"/>
                <w:highlight w:val="none"/>
              </w:rPr>
              <w:t>），初期雨水经初期雨水池沉淀处理后回用于喷雾降尘，不外排。</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059D32">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6C4893">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291F32">
            <w:pPr>
              <w:pStyle w:val="69"/>
              <w:spacing w:before="65" w:after="65"/>
              <w:rPr>
                <w:rFonts w:cs="Times New Roman"/>
                <w:color w:val="auto"/>
                <w:highlight w:val="none"/>
              </w:rPr>
            </w:pPr>
            <w:r>
              <w:rPr>
                <w:rFonts w:hint="eastAsia" w:cs="Times New Roman"/>
                <w:color w:val="auto"/>
                <w:highlight w:val="none"/>
              </w:rPr>
              <w:t>新建+依托</w:t>
            </w:r>
          </w:p>
        </w:tc>
      </w:tr>
      <w:tr w14:paraId="4C86E7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71" w:hRule="atLeast"/>
          <w:jc w:val="center"/>
        </w:trPr>
        <w:tc>
          <w:tcPr>
            <w:tcW w:w="24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DB8C685">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A4A539">
            <w:pPr>
              <w:pStyle w:val="69"/>
              <w:spacing w:before="65" w:after="65"/>
              <w:rPr>
                <w:rFonts w:cs="Times New Roman"/>
                <w:color w:val="auto"/>
                <w:highlight w:val="none"/>
              </w:rPr>
            </w:pPr>
            <w:r>
              <w:rPr>
                <w:rFonts w:cs="Times New Roman"/>
                <w:color w:val="auto"/>
                <w:highlight w:val="none"/>
              </w:rPr>
              <w:t>供电工程</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634B6E">
            <w:pPr>
              <w:pStyle w:val="69"/>
              <w:spacing w:before="65" w:after="65"/>
              <w:jc w:val="both"/>
              <w:rPr>
                <w:rFonts w:cs="Times New Roman"/>
                <w:color w:val="auto"/>
                <w:highlight w:val="none"/>
              </w:rPr>
            </w:pPr>
            <w:r>
              <w:rPr>
                <w:rFonts w:cs="Times New Roman"/>
                <w:color w:val="auto"/>
                <w:highlight w:val="none"/>
              </w:rPr>
              <w:t>项目自建配电间，位于厂区中部，从市政电网引入电源。</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519EFE">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D3C8E">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18FBF7">
            <w:pPr>
              <w:pStyle w:val="69"/>
              <w:spacing w:before="65" w:after="65"/>
              <w:rPr>
                <w:rFonts w:cs="Times New Roman"/>
                <w:color w:val="auto"/>
                <w:highlight w:val="none"/>
              </w:rPr>
            </w:pPr>
            <w:r>
              <w:rPr>
                <w:rFonts w:hint="eastAsia" w:cs="Times New Roman"/>
                <w:color w:val="auto"/>
                <w:highlight w:val="none"/>
              </w:rPr>
              <w:t>新建</w:t>
            </w:r>
          </w:p>
        </w:tc>
      </w:tr>
      <w:tr w14:paraId="3698E1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9" w:hRule="atLeast"/>
          <w:jc w:val="center"/>
        </w:trPr>
        <w:tc>
          <w:tcPr>
            <w:tcW w:w="244" w:type="pct"/>
            <w:vMerge w:val="restart"/>
            <w:tcBorders>
              <w:top w:val="single" w:color="000000" w:sz="4" w:space="0"/>
              <w:left w:val="single" w:color="000000" w:sz="4" w:space="0"/>
              <w:right w:val="single" w:color="000000" w:sz="4" w:space="0"/>
            </w:tcBorders>
            <w:shd w:val="clear" w:color="auto" w:fill="FFFFFF"/>
            <w:vAlign w:val="center"/>
          </w:tcPr>
          <w:p w14:paraId="6E5FAF3E">
            <w:pPr>
              <w:pStyle w:val="69"/>
              <w:spacing w:before="65" w:after="65"/>
              <w:rPr>
                <w:rFonts w:cs="Times New Roman"/>
                <w:color w:val="auto"/>
                <w:highlight w:val="none"/>
              </w:rPr>
            </w:pPr>
            <w:r>
              <w:rPr>
                <w:rFonts w:cs="Times New Roman"/>
                <w:color w:val="auto"/>
                <w:highlight w:val="none"/>
              </w:rPr>
              <w:t>储运工程</w:t>
            </w: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D2CE10">
            <w:pPr>
              <w:pStyle w:val="69"/>
              <w:spacing w:before="65" w:after="65"/>
              <w:rPr>
                <w:rFonts w:cs="Times New Roman"/>
                <w:color w:val="auto"/>
                <w:highlight w:val="none"/>
              </w:rPr>
            </w:pPr>
            <w:r>
              <w:rPr>
                <w:rFonts w:cs="Times New Roman"/>
                <w:color w:val="auto"/>
                <w:highlight w:val="none"/>
              </w:rPr>
              <w:t>原矿仓库</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8356C">
            <w:pPr>
              <w:pStyle w:val="69"/>
              <w:spacing w:before="65" w:after="65"/>
              <w:jc w:val="both"/>
              <w:rPr>
                <w:rFonts w:cs="Times New Roman"/>
                <w:color w:val="auto"/>
                <w:highlight w:val="none"/>
              </w:rPr>
            </w:pPr>
            <w:r>
              <w:rPr>
                <w:rFonts w:cs="Times New Roman"/>
                <w:color w:val="auto"/>
                <w:highlight w:val="none"/>
              </w:rPr>
              <w:t>位于厂区</w:t>
            </w:r>
            <w:r>
              <w:rPr>
                <w:rFonts w:hint="eastAsia" w:cs="Times New Roman"/>
                <w:color w:val="auto"/>
                <w:highlight w:val="none"/>
              </w:rPr>
              <w:t>东</w:t>
            </w:r>
            <w:r>
              <w:rPr>
                <w:rFonts w:cs="Times New Roman"/>
                <w:color w:val="auto"/>
                <w:highlight w:val="none"/>
              </w:rPr>
              <w:t>侧，1F，钢结构，占地面积约</w:t>
            </w:r>
            <w:r>
              <w:rPr>
                <w:rFonts w:hint="eastAsia" w:cs="Times New Roman"/>
                <w:color w:val="auto"/>
                <w:highlight w:val="none"/>
              </w:rPr>
              <w:t>6150</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，主要暂存锂辉石原矿</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664282">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239A3">
            <w:pPr>
              <w:pStyle w:val="69"/>
              <w:spacing w:before="65" w:after="65"/>
              <w:rPr>
                <w:rFonts w:cs="Times New Roman"/>
                <w:color w:val="auto"/>
                <w:highlight w:val="none"/>
              </w:rPr>
            </w:pPr>
            <w:r>
              <w:rPr>
                <w:rFonts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9F5D5">
            <w:pPr>
              <w:pStyle w:val="69"/>
              <w:spacing w:before="65" w:after="65"/>
              <w:rPr>
                <w:rFonts w:cs="Times New Roman"/>
                <w:color w:val="auto"/>
                <w:highlight w:val="none"/>
              </w:rPr>
            </w:pPr>
            <w:r>
              <w:rPr>
                <w:rFonts w:hint="eastAsia" w:cs="Times New Roman"/>
                <w:color w:val="auto"/>
                <w:highlight w:val="none"/>
              </w:rPr>
              <w:t>新建</w:t>
            </w:r>
          </w:p>
        </w:tc>
      </w:tr>
      <w:tr w14:paraId="36340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9" w:hRule="atLeast"/>
          <w:jc w:val="center"/>
        </w:trPr>
        <w:tc>
          <w:tcPr>
            <w:tcW w:w="244" w:type="pct"/>
            <w:vMerge w:val="continue"/>
            <w:tcBorders>
              <w:left w:val="single" w:color="000000" w:sz="4" w:space="0"/>
              <w:right w:val="single" w:color="000000" w:sz="4" w:space="0"/>
            </w:tcBorders>
            <w:shd w:val="clear" w:color="auto" w:fill="FFFFFF"/>
            <w:vAlign w:val="center"/>
          </w:tcPr>
          <w:p w14:paraId="220F74F1">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06170B">
            <w:pPr>
              <w:pStyle w:val="69"/>
              <w:spacing w:before="65" w:after="65"/>
              <w:rPr>
                <w:rFonts w:cs="Times New Roman"/>
                <w:color w:val="auto"/>
                <w:highlight w:val="none"/>
              </w:rPr>
            </w:pPr>
            <w:r>
              <w:rPr>
                <w:rFonts w:cs="Times New Roman"/>
                <w:color w:val="auto"/>
                <w:highlight w:val="none"/>
              </w:rPr>
              <w:t>粉矿仓库</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AEE480">
            <w:pPr>
              <w:pStyle w:val="69"/>
              <w:spacing w:before="65" w:after="65"/>
              <w:jc w:val="both"/>
              <w:rPr>
                <w:rFonts w:cs="Times New Roman"/>
                <w:color w:val="auto"/>
                <w:highlight w:val="none"/>
              </w:rPr>
            </w:pPr>
            <w:r>
              <w:rPr>
                <w:rFonts w:cs="Times New Roman"/>
                <w:color w:val="auto"/>
                <w:highlight w:val="none"/>
              </w:rPr>
              <w:t>位于碎矿车间内，钢结构，</w:t>
            </w:r>
            <w:r>
              <w:rPr>
                <w:rFonts w:hint="eastAsia" w:cs="Times New Roman"/>
                <w:color w:val="auto"/>
                <w:highlight w:val="none"/>
              </w:rPr>
              <w:t>1F，</w:t>
            </w:r>
            <w:r>
              <w:rPr>
                <w:rFonts w:cs="Times New Roman"/>
                <w:color w:val="auto"/>
                <w:highlight w:val="none"/>
              </w:rPr>
              <w:t>占地面积约</w:t>
            </w:r>
            <w:r>
              <w:rPr>
                <w:rFonts w:hint="eastAsia" w:cs="Times New Roman"/>
                <w:color w:val="auto"/>
                <w:highlight w:val="none"/>
              </w:rPr>
              <w:t>82</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，主要暂存破碎后的粉矿</w:t>
            </w:r>
            <w:r>
              <w:rPr>
                <w:rStyle w:val="36"/>
                <w:rFonts w:hint="eastAsia" w:cs="Times New Roman"/>
                <w:color w:val="auto"/>
                <w:szCs w:val="22"/>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A80E4BB">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3B8DD">
            <w:pPr>
              <w:pStyle w:val="69"/>
              <w:spacing w:before="65" w:after="65"/>
              <w:rPr>
                <w:rFonts w:cs="Times New Roman"/>
                <w:color w:val="auto"/>
                <w:highlight w:val="none"/>
              </w:rPr>
            </w:pPr>
            <w:r>
              <w:rPr>
                <w:rFonts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7FBCF">
            <w:pPr>
              <w:pStyle w:val="69"/>
              <w:spacing w:before="65" w:after="65"/>
              <w:rPr>
                <w:rFonts w:cs="Times New Roman"/>
                <w:color w:val="auto"/>
                <w:highlight w:val="none"/>
              </w:rPr>
            </w:pPr>
            <w:r>
              <w:rPr>
                <w:rFonts w:hint="eastAsia" w:cs="Times New Roman"/>
                <w:color w:val="auto"/>
                <w:highlight w:val="none"/>
              </w:rPr>
              <w:t>新建</w:t>
            </w:r>
          </w:p>
        </w:tc>
      </w:tr>
      <w:tr w14:paraId="11BE56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9" w:hRule="atLeast"/>
          <w:jc w:val="center"/>
        </w:trPr>
        <w:tc>
          <w:tcPr>
            <w:tcW w:w="244" w:type="pct"/>
            <w:vMerge w:val="continue"/>
            <w:tcBorders>
              <w:left w:val="single" w:color="000000" w:sz="4" w:space="0"/>
              <w:right w:val="single" w:color="000000" w:sz="4" w:space="0"/>
            </w:tcBorders>
            <w:shd w:val="clear" w:color="auto" w:fill="FFFFFF"/>
            <w:vAlign w:val="center"/>
          </w:tcPr>
          <w:p w14:paraId="043F7C00">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84C639">
            <w:pPr>
              <w:pStyle w:val="69"/>
              <w:spacing w:before="65" w:after="65"/>
              <w:rPr>
                <w:rFonts w:cs="Times New Roman"/>
                <w:color w:val="auto"/>
                <w:highlight w:val="none"/>
              </w:rPr>
            </w:pPr>
            <w:r>
              <w:rPr>
                <w:rFonts w:cs="Times New Roman"/>
                <w:color w:val="auto"/>
                <w:highlight w:val="none"/>
              </w:rPr>
              <w:t>药剂库</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B5315B">
            <w:pPr>
              <w:pStyle w:val="69"/>
              <w:spacing w:before="65" w:after="65"/>
              <w:jc w:val="both"/>
              <w:rPr>
                <w:rFonts w:cs="Times New Roman"/>
                <w:color w:val="auto"/>
                <w:highlight w:val="none"/>
              </w:rPr>
            </w:pPr>
            <w:r>
              <w:rPr>
                <w:rFonts w:cs="Times New Roman"/>
                <w:color w:val="auto"/>
                <w:highlight w:val="none"/>
              </w:rPr>
              <w:t>位于加工车间内，占地面积约</w:t>
            </w:r>
            <w:r>
              <w:rPr>
                <w:rFonts w:hint="eastAsia" w:cs="Times New Roman"/>
                <w:color w:val="auto"/>
                <w:highlight w:val="none"/>
              </w:rPr>
              <w:t>74</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w:t>
            </w:r>
            <w:r>
              <w:rPr>
                <w:rFonts w:hint="eastAsia" w:cs="Times New Roman"/>
                <w:color w:val="auto"/>
                <w:highlight w:val="none"/>
              </w:rPr>
              <w:t>企业外购氢氧化钠、碳酸钠、氯化镁、捕收剂，在厂区内进行浮选剂的调配。</w:t>
            </w:r>
            <w:r>
              <w:rPr>
                <w:rFonts w:cs="Times New Roman"/>
                <w:color w:val="auto"/>
                <w:highlight w:val="none"/>
              </w:rPr>
              <w:t>主要用于暂存氢氧化钠、碳酸钠、氯化镁、捕收剂、聚凝剂（聚丙烯酰胺）、絮凝剂（聚合氯化铝）等</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332FD2">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BE7B3C">
            <w:pPr>
              <w:pStyle w:val="69"/>
              <w:spacing w:before="65" w:after="65"/>
              <w:rPr>
                <w:rFonts w:cs="Times New Roman"/>
                <w:color w:val="auto"/>
                <w:highlight w:val="none"/>
              </w:rPr>
            </w:pPr>
            <w:r>
              <w:rPr>
                <w:rFonts w:cs="Times New Roman"/>
                <w:color w:val="auto"/>
                <w:highlight w:val="none"/>
              </w:rPr>
              <w:t>环境风险</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A6E83">
            <w:pPr>
              <w:pStyle w:val="69"/>
              <w:spacing w:before="65" w:after="65"/>
              <w:rPr>
                <w:rFonts w:cs="Times New Roman"/>
                <w:color w:val="auto"/>
                <w:highlight w:val="none"/>
              </w:rPr>
            </w:pPr>
            <w:r>
              <w:rPr>
                <w:rFonts w:hint="eastAsia" w:cs="Times New Roman"/>
                <w:color w:val="auto"/>
                <w:highlight w:val="none"/>
              </w:rPr>
              <w:t>新建</w:t>
            </w:r>
          </w:p>
        </w:tc>
      </w:tr>
      <w:tr w14:paraId="7BF0A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9" w:hRule="atLeast"/>
          <w:jc w:val="center"/>
        </w:trPr>
        <w:tc>
          <w:tcPr>
            <w:tcW w:w="244" w:type="pct"/>
            <w:vMerge w:val="continue"/>
            <w:tcBorders>
              <w:left w:val="single" w:color="000000" w:sz="4" w:space="0"/>
              <w:right w:val="single" w:color="000000" w:sz="4" w:space="0"/>
            </w:tcBorders>
            <w:shd w:val="clear" w:color="auto" w:fill="FFFFFF"/>
            <w:vAlign w:val="center"/>
          </w:tcPr>
          <w:p w14:paraId="4E0A690F">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6D537F">
            <w:pPr>
              <w:pStyle w:val="69"/>
              <w:spacing w:before="65" w:after="65"/>
              <w:rPr>
                <w:rFonts w:cs="Times New Roman"/>
                <w:color w:val="auto"/>
                <w:highlight w:val="none"/>
              </w:rPr>
            </w:pPr>
            <w:r>
              <w:rPr>
                <w:rFonts w:cs="Times New Roman"/>
                <w:color w:val="auto"/>
                <w:highlight w:val="none"/>
              </w:rPr>
              <w:t>精矿仓库</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8E9F4">
            <w:pPr>
              <w:pStyle w:val="69"/>
              <w:spacing w:before="65" w:after="65"/>
              <w:jc w:val="both"/>
              <w:rPr>
                <w:rFonts w:cs="Times New Roman"/>
                <w:color w:val="auto"/>
                <w:highlight w:val="none"/>
              </w:rPr>
            </w:pPr>
            <w:r>
              <w:rPr>
                <w:rFonts w:cs="Times New Roman"/>
                <w:color w:val="auto"/>
                <w:highlight w:val="none"/>
              </w:rPr>
              <w:t>位于压滤车间，占地面积约</w:t>
            </w:r>
            <w:r>
              <w:rPr>
                <w:rFonts w:hint="eastAsia" w:cs="Times New Roman"/>
                <w:color w:val="auto"/>
                <w:highlight w:val="none"/>
              </w:rPr>
              <w:t>525</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，主要暂存锂辉石精矿</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A42609">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53F7F8">
            <w:pPr>
              <w:pStyle w:val="69"/>
              <w:spacing w:before="65" w:after="65"/>
              <w:rPr>
                <w:rFonts w:cs="Times New Roman"/>
                <w:color w:val="auto"/>
                <w:highlight w:val="none"/>
              </w:rPr>
            </w:pPr>
            <w:r>
              <w:rPr>
                <w:rFonts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5CB0A0">
            <w:pPr>
              <w:pStyle w:val="69"/>
              <w:spacing w:before="65" w:after="65"/>
              <w:rPr>
                <w:rFonts w:cs="Times New Roman"/>
                <w:color w:val="auto"/>
                <w:highlight w:val="none"/>
              </w:rPr>
            </w:pPr>
            <w:r>
              <w:rPr>
                <w:rFonts w:hint="eastAsia" w:cs="Times New Roman"/>
                <w:color w:val="auto"/>
                <w:highlight w:val="none"/>
              </w:rPr>
              <w:t>新建</w:t>
            </w:r>
          </w:p>
        </w:tc>
      </w:tr>
      <w:tr w14:paraId="4E52FD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89" w:hRule="atLeast"/>
          <w:jc w:val="center"/>
        </w:trPr>
        <w:tc>
          <w:tcPr>
            <w:tcW w:w="244" w:type="pct"/>
            <w:vMerge w:val="continue"/>
            <w:tcBorders>
              <w:left w:val="single" w:color="000000" w:sz="4" w:space="0"/>
              <w:right w:val="single" w:color="000000" w:sz="4" w:space="0"/>
            </w:tcBorders>
            <w:shd w:val="clear" w:color="auto" w:fill="FFFFFF"/>
            <w:vAlign w:val="center"/>
          </w:tcPr>
          <w:p w14:paraId="5964E869">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4D7B1">
            <w:pPr>
              <w:pStyle w:val="69"/>
              <w:spacing w:before="65" w:after="65"/>
              <w:rPr>
                <w:rFonts w:cs="Times New Roman"/>
                <w:color w:val="auto"/>
                <w:highlight w:val="none"/>
              </w:rPr>
            </w:pPr>
            <w:r>
              <w:rPr>
                <w:rFonts w:hint="eastAsia" w:cs="Times New Roman"/>
                <w:color w:val="auto"/>
                <w:highlight w:val="none"/>
              </w:rPr>
              <w:t>尾矿仓库</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436914">
            <w:pPr>
              <w:pStyle w:val="69"/>
              <w:spacing w:before="65" w:after="65"/>
              <w:jc w:val="both"/>
              <w:rPr>
                <w:rFonts w:cs="Times New Roman"/>
                <w:color w:val="auto"/>
                <w:highlight w:val="none"/>
              </w:rPr>
            </w:pPr>
            <w:r>
              <w:rPr>
                <w:rFonts w:hint="eastAsia" w:cs="Times New Roman"/>
                <w:color w:val="auto"/>
                <w:highlight w:val="none"/>
              </w:rPr>
              <w:t>位于压滤车间，占地面积约1050m</w:t>
            </w:r>
            <w:r>
              <w:rPr>
                <w:rFonts w:hint="eastAsia" w:cs="Times New Roman"/>
                <w:color w:val="auto"/>
                <w:highlight w:val="none"/>
                <w:vertAlign w:val="superscript"/>
              </w:rPr>
              <w:t>2</w:t>
            </w:r>
            <w:r>
              <w:rPr>
                <w:rFonts w:hint="eastAsia" w:cs="Times New Roman"/>
                <w:color w:val="auto"/>
                <w:highlight w:val="none"/>
              </w:rPr>
              <w:t>，主要暂存尾矿、黑砂。</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2324EB">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4C2091">
            <w:pPr>
              <w:pStyle w:val="69"/>
              <w:spacing w:before="65" w:after="65"/>
              <w:rPr>
                <w:rFonts w:cs="Times New Roman"/>
                <w:color w:val="auto"/>
                <w:highlight w:val="none"/>
              </w:rPr>
            </w:pPr>
            <w:r>
              <w:rPr>
                <w:rFonts w:hint="eastAsia"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8A2250">
            <w:pPr>
              <w:pStyle w:val="69"/>
              <w:spacing w:before="65" w:after="65"/>
              <w:rPr>
                <w:rFonts w:cs="Times New Roman"/>
                <w:color w:val="auto"/>
                <w:highlight w:val="none"/>
              </w:rPr>
            </w:pPr>
            <w:r>
              <w:rPr>
                <w:rFonts w:hint="eastAsia" w:cs="Times New Roman"/>
                <w:color w:val="auto"/>
                <w:highlight w:val="none"/>
              </w:rPr>
              <w:t>新建</w:t>
            </w:r>
          </w:p>
        </w:tc>
      </w:tr>
      <w:tr w14:paraId="370E5D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vMerge w:val="restart"/>
            <w:tcBorders>
              <w:top w:val="single" w:color="000000" w:sz="4" w:space="0"/>
              <w:left w:val="single" w:color="000000" w:sz="4" w:space="0"/>
              <w:right w:val="single" w:color="000000" w:sz="4" w:space="0"/>
            </w:tcBorders>
            <w:shd w:val="clear" w:color="auto" w:fill="FFFFFF"/>
            <w:vAlign w:val="center"/>
          </w:tcPr>
          <w:p w14:paraId="60C2B915">
            <w:pPr>
              <w:pStyle w:val="69"/>
              <w:spacing w:before="65" w:after="65"/>
              <w:rPr>
                <w:rFonts w:cs="Times New Roman"/>
                <w:color w:val="auto"/>
                <w:highlight w:val="none"/>
              </w:rPr>
            </w:pPr>
            <w:r>
              <w:rPr>
                <w:rFonts w:cs="Times New Roman"/>
                <w:color w:val="auto"/>
                <w:highlight w:val="none"/>
              </w:rPr>
              <w:t>环保</w:t>
            </w:r>
          </w:p>
          <w:p w14:paraId="29434C5F">
            <w:pPr>
              <w:pStyle w:val="69"/>
              <w:spacing w:before="65" w:after="65"/>
              <w:rPr>
                <w:rFonts w:cs="Times New Roman"/>
                <w:color w:val="auto"/>
                <w:highlight w:val="none"/>
              </w:rPr>
            </w:pPr>
            <w:r>
              <w:rPr>
                <w:rFonts w:cs="Times New Roman"/>
                <w:color w:val="auto"/>
                <w:highlight w:val="none"/>
              </w:rPr>
              <w:t>工程</w:t>
            </w:r>
          </w:p>
        </w:tc>
        <w:tc>
          <w:tcPr>
            <w:tcW w:w="428" w:type="pct"/>
            <w:vMerge w:val="restart"/>
            <w:tcBorders>
              <w:top w:val="single" w:color="000000" w:sz="4" w:space="0"/>
              <w:left w:val="single" w:color="000000" w:sz="4" w:space="0"/>
              <w:right w:val="single" w:color="000000" w:sz="4" w:space="0"/>
            </w:tcBorders>
            <w:shd w:val="clear" w:color="auto" w:fill="FFFFFF"/>
            <w:vAlign w:val="center"/>
          </w:tcPr>
          <w:p w14:paraId="15D5A803">
            <w:pPr>
              <w:pStyle w:val="69"/>
              <w:spacing w:before="65" w:after="65"/>
              <w:rPr>
                <w:rFonts w:cs="Times New Roman"/>
                <w:color w:val="auto"/>
                <w:highlight w:val="none"/>
              </w:rPr>
            </w:pPr>
            <w:r>
              <w:rPr>
                <w:rFonts w:cs="Times New Roman"/>
                <w:color w:val="auto"/>
                <w:highlight w:val="none"/>
              </w:rPr>
              <w:t>废气治理</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9B4A37">
            <w:pPr>
              <w:pStyle w:val="69"/>
              <w:spacing w:before="65" w:after="65"/>
              <w:jc w:val="both"/>
              <w:rPr>
                <w:rFonts w:cs="Times New Roman"/>
                <w:b/>
                <w:color w:val="auto"/>
                <w:highlight w:val="none"/>
              </w:rPr>
            </w:pPr>
            <w:r>
              <w:rPr>
                <w:rFonts w:cs="Times New Roman"/>
                <w:b/>
                <w:color w:val="auto"/>
                <w:highlight w:val="none"/>
              </w:rPr>
              <w:t>给料粉尘：</w:t>
            </w:r>
            <w:r>
              <w:rPr>
                <w:rFonts w:cs="Times New Roman"/>
                <w:bCs w:val="0"/>
                <w:color w:val="auto"/>
                <w:highlight w:val="none"/>
              </w:rPr>
              <w:t>经1套</w:t>
            </w:r>
            <w:r>
              <w:rPr>
                <w:rFonts w:hint="eastAsia" w:cs="Times New Roman"/>
                <w:bCs w:val="0"/>
                <w:color w:val="auto"/>
                <w:highlight w:val="none"/>
              </w:rPr>
              <w:t>“</w:t>
            </w:r>
            <w:r>
              <w:rPr>
                <w:rFonts w:cs="Times New Roman"/>
                <w:bCs w:val="0"/>
                <w:color w:val="auto"/>
                <w:highlight w:val="none"/>
              </w:rPr>
              <w:t>集气罩+布袋除尘器（TA001）+15m排气筒（DA001）</w:t>
            </w:r>
            <w:r>
              <w:rPr>
                <w:rFonts w:hint="eastAsia" w:cs="Times New Roman"/>
                <w:bCs w:val="0"/>
                <w:color w:val="auto"/>
                <w:highlight w:val="none"/>
              </w:rPr>
              <w:t>”</w:t>
            </w:r>
            <w:r>
              <w:rPr>
                <w:rFonts w:cs="Times New Roman"/>
                <w:bCs w:val="0"/>
                <w:color w:val="auto"/>
                <w:highlight w:val="none"/>
              </w:rPr>
              <w:t>处理后达标外排；</w:t>
            </w:r>
          </w:p>
          <w:p w14:paraId="207AF2A1">
            <w:pPr>
              <w:pStyle w:val="69"/>
              <w:spacing w:before="65" w:after="65"/>
              <w:jc w:val="both"/>
              <w:rPr>
                <w:rFonts w:cs="Times New Roman"/>
                <w:color w:val="auto"/>
                <w:highlight w:val="none"/>
              </w:rPr>
            </w:pPr>
            <w:r>
              <w:rPr>
                <w:rFonts w:cs="Times New Roman"/>
                <w:b/>
                <w:color w:val="auto"/>
                <w:highlight w:val="none"/>
              </w:rPr>
              <w:t>破碎粉尘：</w:t>
            </w:r>
            <w:r>
              <w:rPr>
                <w:rFonts w:cs="Times New Roman"/>
                <w:color w:val="auto"/>
                <w:highlight w:val="none"/>
              </w:rPr>
              <w:t>经1套</w:t>
            </w:r>
            <w:r>
              <w:rPr>
                <w:rFonts w:hint="eastAsia" w:cs="Times New Roman"/>
                <w:color w:val="auto"/>
                <w:highlight w:val="none"/>
              </w:rPr>
              <w:t>“</w:t>
            </w:r>
            <w:r>
              <w:rPr>
                <w:rFonts w:cs="Times New Roman"/>
                <w:color w:val="auto"/>
                <w:highlight w:val="none"/>
              </w:rPr>
              <w:t>集气罩+布袋除尘器（TA001）+15m排气筒（DA001）（共用）</w:t>
            </w:r>
            <w:r>
              <w:rPr>
                <w:rFonts w:hint="eastAsia" w:cs="Times New Roman"/>
                <w:color w:val="auto"/>
                <w:highlight w:val="none"/>
              </w:rPr>
              <w:t>”</w:t>
            </w:r>
            <w:r>
              <w:rPr>
                <w:rFonts w:cs="Times New Roman"/>
                <w:color w:val="auto"/>
                <w:highlight w:val="none"/>
              </w:rPr>
              <w:t>处理后达标外排；</w:t>
            </w:r>
          </w:p>
          <w:p w14:paraId="27BACB61">
            <w:pPr>
              <w:pStyle w:val="69"/>
              <w:spacing w:before="65" w:after="65"/>
              <w:jc w:val="both"/>
              <w:rPr>
                <w:rFonts w:hint="eastAsia" w:eastAsia="宋体" w:cs="Times New Roman"/>
                <w:color w:val="auto"/>
                <w:highlight w:val="none"/>
                <w:lang w:val="en-US" w:eastAsia="zh-CN"/>
              </w:rPr>
            </w:pPr>
            <w:r>
              <w:rPr>
                <w:rFonts w:cs="Times New Roman"/>
                <w:b/>
                <w:color w:val="auto"/>
                <w:highlight w:val="none"/>
              </w:rPr>
              <w:t>筛分粉尘：</w:t>
            </w:r>
            <w:r>
              <w:rPr>
                <w:rFonts w:cs="Times New Roman"/>
                <w:color w:val="auto"/>
                <w:highlight w:val="none"/>
              </w:rPr>
              <w:t>经1套</w:t>
            </w:r>
            <w:r>
              <w:rPr>
                <w:rFonts w:hint="eastAsia" w:cs="Times New Roman"/>
                <w:color w:val="auto"/>
                <w:highlight w:val="none"/>
              </w:rPr>
              <w:t>“</w:t>
            </w:r>
            <w:r>
              <w:rPr>
                <w:rFonts w:cs="Times New Roman"/>
                <w:color w:val="auto"/>
                <w:highlight w:val="none"/>
              </w:rPr>
              <w:t>集气罩+布袋除尘器（TA00</w:t>
            </w:r>
            <w:r>
              <w:rPr>
                <w:rFonts w:hint="eastAsia" w:cs="Times New Roman"/>
                <w:color w:val="auto"/>
                <w:highlight w:val="none"/>
              </w:rPr>
              <w:t>2</w:t>
            </w:r>
            <w:r>
              <w:rPr>
                <w:rFonts w:cs="Times New Roman"/>
                <w:color w:val="auto"/>
                <w:highlight w:val="none"/>
              </w:rPr>
              <w:t>）+15m排气筒（DA001）（共用）</w:t>
            </w:r>
            <w:r>
              <w:rPr>
                <w:rFonts w:hint="eastAsia" w:cs="Times New Roman"/>
                <w:color w:val="auto"/>
                <w:highlight w:val="none"/>
              </w:rPr>
              <w:t>”</w:t>
            </w:r>
            <w:r>
              <w:rPr>
                <w:rFonts w:cs="Times New Roman"/>
                <w:color w:val="auto"/>
                <w:highlight w:val="none"/>
              </w:rPr>
              <w:t>处理后达标外排</w:t>
            </w:r>
            <w:r>
              <w:rPr>
                <w:rFonts w:hint="eastAsia" w:cs="Times New Roman"/>
                <w:color w:val="auto"/>
                <w:highlight w:val="none"/>
                <w:lang w:eastAsia="zh-CN"/>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190741">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8193D">
            <w:pPr>
              <w:pStyle w:val="69"/>
              <w:spacing w:before="65" w:after="65"/>
              <w:rPr>
                <w:rFonts w:cs="Times New Roman"/>
                <w:color w:val="auto"/>
                <w:highlight w:val="none"/>
              </w:rPr>
            </w:pPr>
            <w:r>
              <w:rPr>
                <w:rFonts w:cs="Times New Roman"/>
                <w:color w:val="auto"/>
                <w:highlight w:val="none"/>
              </w:rPr>
              <w:t>噪声、固废</w:t>
            </w:r>
            <w:r>
              <w:rPr>
                <w:rFonts w:hint="eastAsia"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2CFDB7">
            <w:pPr>
              <w:pStyle w:val="69"/>
              <w:spacing w:before="65" w:after="65"/>
              <w:rPr>
                <w:rFonts w:cs="Times New Roman"/>
                <w:color w:val="auto"/>
                <w:highlight w:val="none"/>
              </w:rPr>
            </w:pPr>
            <w:r>
              <w:rPr>
                <w:rFonts w:hint="eastAsia" w:cs="Times New Roman"/>
                <w:color w:val="auto"/>
                <w:highlight w:val="none"/>
              </w:rPr>
              <w:t>新建</w:t>
            </w:r>
          </w:p>
        </w:tc>
      </w:tr>
      <w:tr w14:paraId="19C2C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vMerge w:val="continue"/>
            <w:tcBorders>
              <w:left w:val="single" w:color="000000" w:sz="4" w:space="0"/>
              <w:right w:val="single" w:color="000000" w:sz="4" w:space="0"/>
            </w:tcBorders>
            <w:shd w:val="clear" w:color="auto" w:fill="FFFFFF"/>
            <w:vAlign w:val="center"/>
          </w:tcPr>
          <w:p w14:paraId="3D21FF13">
            <w:pPr>
              <w:pStyle w:val="69"/>
              <w:spacing w:before="65" w:after="65"/>
              <w:rPr>
                <w:rFonts w:cs="Times New Roman"/>
                <w:color w:val="auto"/>
                <w:highlight w:val="none"/>
              </w:rPr>
            </w:pPr>
          </w:p>
        </w:tc>
        <w:tc>
          <w:tcPr>
            <w:tcW w:w="428" w:type="pct"/>
            <w:vMerge w:val="continue"/>
            <w:tcBorders>
              <w:left w:val="single" w:color="000000" w:sz="4" w:space="0"/>
              <w:bottom w:val="single" w:color="000000" w:sz="4" w:space="0"/>
              <w:right w:val="single" w:color="000000" w:sz="4" w:space="0"/>
            </w:tcBorders>
            <w:shd w:val="clear" w:color="auto" w:fill="FFFFFF"/>
            <w:vAlign w:val="center"/>
          </w:tcPr>
          <w:p w14:paraId="5C4360C1">
            <w:pPr>
              <w:pStyle w:val="69"/>
              <w:spacing w:before="65" w:after="65"/>
              <w:rPr>
                <w:rFonts w:cs="Times New Roman"/>
                <w:color w:val="auto"/>
                <w:highlight w:val="none"/>
              </w:rPr>
            </w:pP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3B8B0">
            <w:pPr>
              <w:pStyle w:val="69"/>
              <w:spacing w:before="65" w:after="65"/>
              <w:jc w:val="both"/>
              <w:rPr>
                <w:rFonts w:cs="Times New Roman"/>
                <w:color w:val="auto"/>
                <w:highlight w:val="none"/>
              </w:rPr>
            </w:pPr>
            <w:r>
              <w:rPr>
                <w:rFonts w:cs="Times New Roman"/>
                <w:b/>
                <w:color w:val="auto"/>
                <w:highlight w:val="none"/>
              </w:rPr>
              <w:t>原矿仓库</w:t>
            </w:r>
            <w:r>
              <w:rPr>
                <w:rFonts w:hint="eastAsia" w:cs="Times New Roman"/>
                <w:b/>
                <w:color w:val="auto"/>
                <w:highlight w:val="none"/>
              </w:rPr>
              <w:t>、粉矿仓库、精矿仓库、尾矿仓库</w:t>
            </w:r>
            <w:r>
              <w:rPr>
                <w:rFonts w:cs="Times New Roman"/>
                <w:b/>
                <w:color w:val="auto"/>
                <w:highlight w:val="none"/>
              </w:rPr>
              <w:t>堆料粉尘：</w:t>
            </w:r>
            <w:r>
              <w:rPr>
                <w:rFonts w:cs="Times New Roman"/>
                <w:color w:val="auto"/>
                <w:highlight w:val="none"/>
              </w:rPr>
              <w:t>原矿仓库、粉矿仓库设置为封闭厂房，</w:t>
            </w:r>
            <w:r>
              <w:rPr>
                <w:rFonts w:hint="eastAsia" w:cs="Times New Roman"/>
                <w:color w:val="auto"/>
                <w:highlight w:val="none"/>
              </w:rPr>
              <w:t>精矿仓库、尾矿仓库暂未设置为封闭厂房，</w:t>
            </w:r>
            <w:r>
              <w:rPr>
                <w:rFonts w:cs="Times New Roman"/>
                <w:color w:val="auto"/>
                <w:highlight w:val="none"/>
              </w:rPr>
              <w:t>在原矿仓库上方设置喷雾降尘装置进行喷雾除尘，粉矿仓库、精矿仓库、尾矿仓库采取雾炮机进行喷雾除尘；</w:t>
            </w:r>
          </w:p>
          <w:p w14:paraId="7E30F2FA">
            <w:pPr>
              <w:pStyle w:val="69"/>
              <w:spacing w:before="65" w:after="65"/>
              <w:jc w:val="both"/>
              <w:rPr>
                <w:rFonts w:cs="Times New Roman"/>
                <w:color w:val="auto"/>
                <w:highlight w:val="none"/>
              </w:rPr>
            </w:pPr>
            <w:r>
              <w:rPr>
                <w:rFonts w:cs="Times New Roman"/>
                <w:b/>
                <w:color w:val="auto"/>
                <w:highlight w:val="none"/>
              </w:rPr>
              <w:t>车辆运输及装卸扬尘：</w:t>
            </w:r>
            <w:r>
              <w:rPr>
                <w:rFonts w:cs="Times New Roman"/>
                <w:color w:val="auto"/>
                <w:highlight w:val="none"/>
              </w:rPr>
              <w:t>加强车辆管理，设置1个洗车区（面积约</w:t>
            </w:r>
            <w:r>
              <w:rPr>
                <w:rFonts w:hint="eastAsia" w:cs="Times New Roman"/>
                <w:color w:val="auto"/>
                <w:highlight w:val="none"/>
              </w:rPr>
              <w:t>1</w:t>
            </w:r>
            <w:r>
              <w:rPr>
                <w:rFonts w:cs="Times New Roman"/>
                <w:color w:val="auto"/>
                <w:highlight w:val="none"/>
              </w:rPr>
              <w:t>0m</w:t>
            </w:r>
            <w:r>
              <w:rPr>
                <w:rFonts w:cs="Times New Roman"/>
                <w:color w:val="auto"/>
                <w:highlight w:val="none"/>
                <w:vertAlign w:val="superscript"/>
              </w:rPr>
              <w:t>2</w:t>
            </w:r>
            <w:r>
              <w:rPr>
                <w:rFonts w:cs="Times New Roman"/>
                <w:color w:val="auto"/>
                <w:highlight w:val="none"/>
              </w:rPr>
              <w:t>）、运输车辆车轮清洗，降低车速，定期洒水降尘，加盖</w:t>
            </w:r>
            <w:r>
              <w:rPr>
                <w:rFonts w:hint="eastAsia" w:cs="Times New Roman"/>
                <w:color w:val="auto"/>
                <w:highlight w:val="none"/>
              </w:rPr>
              <w:t>篷布</w:t>
            </w:r>
            <w:r>
              <w:rPr>
                <w:rFonts w:cs="Times New Roman"/>
                <w:color w:val="auto"/>
                <w:highlight w:val="none"/>
              </w:rPr>
              <w:t>，密闭运输。</w:t>
            </w:r>
            <w:r>
              <w:rPr>
                <w:rFonts w:hint="eastAsia" w:cs="Times New Roman"/>
                <w:color w:val="auto"/>
                <w:highlight w:val="none"/>
              </w:rPr>
              <w:t>厂区围墙、主要运输道路两侧加装喷雾装置。</w:t>
            </w:r>
          </w:p>
          <w:p w14:paraId="36E6661E">
            <w:pPr>
              <w:pStyle w:val="69"/>
              <w:spacing w:before="65" w:after="65"/>
              <w:jc w:val="both"/>
              <w:rPr>
                <w:rStyle w:val="36"/>
                <w:rFonts w:cs="Times New Roman"/>
                <w:bCs w:val="0"/>
                <w:color w:val="auto"/>
                <w:szCs w:val="22"/>
                <w:highlight w:val="none"/>
              </w:rPr>
            </w:pPr>
            <w:r>
              <w:rPr>
                <w:rFonts w:cs="Times New Roman"/>
                <w:b/>
                <w:color w:val="auto"/>
                <w:highlight w:val="none"/>
              </w:rPr>
              <w:t>皮带输送粉尘：</w:t>
            </w:r>
            <w:r>
              <w:rPr>
                <w:rFonts w:cs="Times New Roman"/>
                <w:bCs w:val="0"/>
                <w:color w:val="auto"/>
                <w:highlight w:val="none"/>
              </w:rPr>
              <w:t>全厂运输皮带均采取密闭措施。</w:t>
            </w:r>
          </w:p>
          <w:p w14:paraId="3FE86C22">
            <w:pPr>
              <w:pStyle w:val="69"/>
              <w:spacing w:before="65" w:after="65"/>
              <w:jc w:val="both"/>
              <w:rPr>
                <w:rFonts w:cs="Times New Roman"/>
                <w:bCs w:val="0"/>
                <w:color w:val="auto"/>
                <w:highlight w:val="none"/>
              </w:rPr>
            </w:pPr>
            <w:r>
              <w:rPr>
                <w:rFonts w:hint="eastAsia"/>
                <w:b/>
                <w:color w:val="auto"/>
                <w:highlight w:val="none"/>
              </w:rPr>
              <w:t>食堂油烟</w:t>
            </w:r>
            <w:r>
              <w:rPr>
                <w:rFonts w:hint="eastAsia"/>
                <w:color w:val="auto"/>
                <w:highlight w:val="none"/>
              </w:rPr>
              <w:t>：在灶头上方设置一套效率不低于75%的油烟收集净化系统收集治理后通过专用烟道引至楼顶（DA002）排放。</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892905">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F78865">
            <w:pPr>
              <w:pStyle w:val="69"/>
              <w:spacing w:before="65" w:after="65"/>
              <w:rPr>
                <w:rFonts w:cs="Times New Roman"/>
                <w:color w:val="auto"/>
                <w:highlight w:val="none"/>
              </w:rPr>
            </w:pPr>
            <w:r>
              <w:rPr>
                <w:rFonts w:cs="Times New Roman"/>
                <w:color w:val="auto"/>
                <w:highlight w:val="none"/>
              </w:rPr>
              <w:t>噪声、固废</w:t>
            </w:r>
            <w:r>
              <w:rPr>
                <w:rFonts w:hint="eastAsia" w:cs="Times New Roman"/>
                <w:color w:val="auto"/>
                <w:highlight w:val="none"/>
              </w:rPr>
              <w:t>、废气</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873E5">
            <w:pPr>
              <w:pStyle w:val="69"/>
              <w:spacing w:before="65" w:after="65"/>
              <w:rPr>
                <w:rFonts w:cs="Times New Roman"/>
                <w:color w:val="auto"/>
                <w:highlight w:val="none"/>
              </w:rPr>
            </w:pPr>
            <w:r>
              <w:rPr>
                <w:rFonts w:hint="eastAsia" w:cs="Times New Roman"/>
                <w:color w:val="auto"/>
                <w:highlight w:val="none"/>
              </w:rPr>
              <w:t>新建</w:t>
            </w:r>
          </w:p>
        </w:tc>
      </w:tr>
      <w:tr w14:paraId="333F82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vMerge w:val="continue"/>
            <w:tcBorders>
              <w:left w:val="single" w:color="000000" w:sz="4" w:space="0"/>
              <w:right w:val="single" w:color="000000" w:sz="4" w:space="0"/>
            </w:tcBorders>
            <w:shd w:val="clear" w:color="auto" w:fill="FFFFFF"/>
            <w:vAlign w:val="center"/>
          </w:tcPr>
          <w:p w14:paraId="612EAF3D">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05ABD3">
            <w:pPr>
              <w:pStyle w:val="69"/>
              <w:spacing w:before="65" w:after="65"/>
              <w:rPr>
                <w:rFonts w:cs="Times New Roman"/>
                <w:color w:val="auto"/>
                <w:highlight w:val="none"/>
              </w:rPr>
            </w:pPr>
            <w:r>
              <w:rPr>
                <w:rFonts w:cs="Times New Roman"/>
                <w:color w:val="auto"/>
                <w:highlight w:val="none"/>
              </w:rPr>
              <w:t>废水治理</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9D9060">
            <w:pPr>
              <w:pStyle w:val="69"/>
              <w:spacing w:before="65" w:after="65"/>
              <w:jc w:val="both"/>
              <w:rPr>
                <w:rFonts w:cs="Times New Roman"/>
                <w:color w:val="auto"/>
                <w:highlight w:val="none"/>
              </w:rPr>
            </w:pPr>
            <w:r>
              <w:rPr>
                <w:rFonts w:cs="Times New Roman"/>
                <w:b/>
                <w:bCs w:val="0"/>
                <w:color w:val="auto"/>
                <w:highlight w:val="none"/>
              </w:rPr>
              <w:t>本项目废水包括生产废水</w:t>
            </w:r>
            <w:r>
              <w:rPr>
                <w:rFonts w:hint="eastAsia" w:cs="Times New Roman"/>
                <w:b/>
                <w:bCs w:val="0"/>
                <w:color w:val="auto"/>
                <w:highlight w:val="none"/>
              </w:rPr>
              <w:t>、</w:t>
            </w:r>
            <w:r>
              <w:rPr>
                <w:rFonts w:cs="Times New Roman"/>
                <w:b/>
                <w:bCs w:val="0"/>
                <w:color w:val="auto"/>
                <w:highlight w:val="none"/>
              </w:rPr>
              <w:t>生活污水</w:t>
            </w:r>
            <w:r>
              <w:rPr>
                <w:rFonts w:hint="eastAsia" w:cs="Times New Roman"/>
                <w:b/>
                <w:bCs w:val="0"/>
                <w:color w:val="auto"/>
                <w:highlight w:val="none"/>
              </w:rPr>
              <w:t>（含食堂废水）</w:t>
            </w:r>
            <w:r>
              <w:rPr>
                <w:rFonts w:cs="Times New Roman"/>
                <w:b/>
                <w:bCs w:val="0"/>
                <w:color w:val="auto"/>
                <w:highlight w:val="none"/>
              </w:rPr>
              <w:t>、初期雨水，生产废水包括选矿废水、车辆冲洗废水</w:t>
            </w:r>
            <w:r>
              <w:rPr>
                <w:rFonts w:cs="Times New Roman"/>
                <w:color w:val="auto"/>
                <w:highlight w:val="none"/>
              </w:rPr>
              <w:t>。</w:t>
            </w:r>
          </w:p>
          <w:p w14:paraId="2AB87ABC">
            <w:pPr>
              <w:pStyle w:val="69"/>
              <w:spacing w:before="65" w:after="65"/>
              <w:jc w:val="both"/>
              <w:rPr>
                <w:rFonts w:cs="Times New Roman"/>
                <w:color w:val="auto"/>
                <w:highlight w:val="none"/>
              </w:rPr>
            </w:pPr>
            <w:r>
              <w:rPr>
                <w:rFonts w:hint="eastAsia"/>
                <w:color w:val="auto"/>
                <w:highlight w:val="none"/>
              </w:rPr>
              <w:t>①</w:t>
            </w:r>
            <w:r>
              <w:rPr>
                <w:rFonts w:hint="eastAsia" w:cs="Times New Roman"/>
                <w:bCs w:val="0"/>
                <w:color w:val="auto"/>
                <w:highlight w:val="none"/>
              </w:rPr>
              <w:t>生活污水（含食堂废水）：食堂废水经隔油池（1m</w:t>
            </w:r>
            <w:r>
              <w:rPr>
                <w:rFonts w:hint="eastAsia" w:cs="Times New Roman"/>
                <w:bCs w:val="0"/>
                <w:color w:val="auto"/>
                <w:highlight w:val="none"/>
                <w:vertAlign w:val="superscript"/>
              </w:rPr>
              <w:t>3</w:t>
            </w:r>
            <w:r>
              <w:rPr>
                <w:rFonts w:hint="eastAsia" w:cs="Times New Roman"/>
                <w:bCs w:val="0"/>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r>
              <w:rPr>
                <w:rFonts w:hint="eastAsia" w:cs="Times New Roman"/>
                <w:color w:val="auto"/>
                <w:highlight w:val="none"/>
              </w:rPr>
              <w:t>。</w:t>
            </w:r>
          </w:p>
          <w:p w14:paraId="02493932">
            <w:pPr>
              <w:pStyle w:val="69"/>
              <w:spacing w:before="65" w:after="65"/>
              <w:jc w:val="both"/>
              <w:rPr>
                <w:rFonts w:cs="Times New Roman"/>
                <w:color w:val="auto"/>
                <w:highlight w:val="none"/>
              </w:rPr>
            </w:pPr>
            <w:r>
              <w:rPr>
                <w:rFonts w:hint="eastAsia" w:cs="Times New Roman"/>
                <w:color w:val="auto"/>
                <w:highlight w:val="none"/>
              </w:rPr>
              <w:t>②</w:t>
            </w:r>
            <w:r>
              <w:rPr>
                <w:rFonts w:cs="Times New Roman"/>
                <w:color w:val="auto"/>
                <w:highlight w:val="none"/>
              </w:rPr>
              <w:t>生产废水包括选矿废水和车辆冲洗废水。</w:t>
            </w:r>
          </w:p>
          <w:p w14:paraId="4E23DDCC">
            <w:pPr>
              <w:pStyle w:val="69"/>
              <w:spacing w:before="65" w:after="65"/>
              <w:jc w:val="both"/>
              <w:rPr>
                <w:rFonts w:cs="Times New Roman"/>
                <w:color w:val="auto"/>
                <w:highlight w:val="none"/>
              </w:rPr>
            </w:pPr>
            <w:r>
              <w:rPr>
                <w:rFonts w:cs="Times New Roman"/>
                <w:bCs w:val="0"/>
                <w:color w:val="auto"/>
                <w:highlight w:val="none"/>
              </w:rPr>
              <w:t>选矿废水</w:t>
            </w:r>
            <w:r>
              <w:rPr>
                <w:rFonts w:cs="Times New Roman"/>
                <w:color w:val="auto"/>
                <w:highlight w:val="none"/>
              </w:rPr>
              <w:t>：经1套废水处理设施（三级絮凝沉淀池，处理能力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/h）处理后回用于</w:t>
            </w:r>
            <w:r>
              <w:rPr>
                <w:rFonts w:hint="eastAsia" w:cs="Times New Roman"/>
                <w:color w:val="auto"/>
                <w:highlight w:val="none"/>
              </w:rPr>
              <w:t>湿式磨矿、浮选等</w:t>
            </w:r>
            <w:r>
              <w:rPr>
                <w:rFonts w:cs="Times New Roman"/>
                <w:color w:val="auto"/>
                <w:highlight w:val="none"/>
              </w:rPr>
              <w:t>工序</w:t>
            </w:r>
            <w:r>
              <w:rPr>
                <w:rFonts w:hint="eastAsia" w:cs="Times New Roman"/>
                <w:color w:val="auto"/>
                <w:highlight w:val="none"/>
              </w:rPr>
              <w:t>。</w:t>
            </w:r>
          </w:p>
          <w:p w14:paraId="5100C283">
            <w:pPr>
              <w:pStyle w:val="69"/>
              <w:spacing w:before="65" w:after="65"/>
              <w:jc w:val="both"/>
              <w:rPr>
                <w:rFonts w:cs="Times New Roman"/>
                <w:color w:val="auto"/>
                <w:highlight w:val="none"/>
              </w:rPr>
            </w:pPr>
            <w:r>
              <w:rPr>
                <w:rFonts w:cs="Times New Roman"/>
                <w:bCs w:val="0"/>
                <w:color w:val="auto"/>
                <w:highlight w:val="none"/>
              </w:rPr>
              <w:t>车辆冲洗废水</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洗车废水沉淀池（50m</w:t>
            </w:r>
            <w:r>
              <w:rPr>
                <w:rFonts w:cs="Times New Roman"/>
                <w:color w:val="auto"/>
                <w:highlight w:val="none"/>
                <w:vertAlign w:val="superscript"/>
              </w:rPr>
              <w:t>3</w:t>
            </w:r>
            <w:r>
              <w:rPr>
                <w:rFonts w:cs="Times New Roman"/>
                <w:color w:val="auto"/>
                <w:highlight w:val="none"/>
              </w:rPr>
              <w:t>）处理后回用于车辆冲洗，不外排</w:t>
            </w:r>
            <w:r>
              <w:rPr>
                <w:rFonts w:hint="eastAsia" w:cs="Times New Roman"/>
                <w:color w:val="auto"/>
                <w:highlight w:val="none"/>
              </w:rPr>
              <w:t>。</w:t>
            </w:r>
          </w:p>
          <w:p w14:paraId="2532FF8C">
            <w:pPr>
              <w:pStyle w:val="69"/>
              <w:spacing w:before="65" w:after="65"/>
              <w:jc w:val="both"/>
              <w:rPr>
                <w:rFonts w:cs="Times New Roman"/>
                <w:color w:val="auto"/>
                <w:highlight w:val="none"/>
              </w:rPr>
            </w:pPr>
            <w:r>
              <w:rPr>
                <w:rFonts w:hint="eastAsia" w:cs="Times New Roman"/>
                <w:bCs w:val="0"/>
                <w:color w:val="auto"/>
                <w:highlight w:val="none"/>
              </w:rPr>
              <w:t>③</w:t>
            </w:r>
            <w:r>
              <w:rPr>
                <w:rFonts w:cs="Times New Roman"/>
                <w:bCs w:val="0"/>
                <w:color w:val="auto"/>
                <w:highlight w:val="none"/>
              </w:rPr>
              <w:t>初期雨水</w:t>
            </w:r>
            <w:r>
              <w:rPr>
                <w:rFonts w:cs="Times New Roman"/>
                <w:color w:val="auto"/>
                <w:highlight w:val="none"/>
              </w:rPr>
              <w:t>：经雨水管道收集后汇入</w:t>
            </w:r>
            <w:r>
              <w:rPr>
                <w:rFonts w:hint="eastAsia" w:cs="Times New Roman"/>
                <w:color w:val="auto"/>
                <w:highlight w:val="none"/>
              </w:rPr>
              <w:t>依托的乐山市沙湾区豪沐科技有限公司</w:t>
            </w:r>
            <w:r>
              <w:rPr>
                <w:rFonts w:cs="Times New Roman"/>
                <w:color w:val="auto"/>
                <w:highlight w:val="none"/>
              </w:rPr>
              <w:t>初期雨水池（600m</w:t>
            </w:r>
            <w:r>
              <w:rPr>
                <w:rFonts w:cs="Times New Roman"/>
                <w:color w:val="auto"/>
                <w:highlight w:val="none"/>
                <w:vertAlign w:val="superscript"/>
              </w:rPr>
              <w:t>3</w:t>
            </w:r>
            <w:r>
              <w:rPr>
                <w:rFonts w:cs="Times New Roman"/>
                <w:color w:val="auto"/>
                <w:highlight w:val="none"/>
              </w:rPr>
              <w:t>），初期雨水经初期雨水池沉淀处理后回用于喷雾降尘，不外排。</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0825D2D">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3D4D7C">
            <w:pPr>
              <w:pStyle w:val="69"/>
              <w:spacing w:before="65" w:after="65"/>
              <w:rPr>
                <w:rFonts w:cs="Times New Roman"/>
                <w:color w:val="auto"/>
                <w:highlight w:val="none"/>
              </w:rPr>
            </w:pPr>
            <w:r>
              <w:rPr>
                <w:rFonts w:cs="Times New Roman"/>
                <w:color w:val="auto"/>
                <w:highlight w:val="none"/>
              </w:rPr>
              <w:t>噪声、固废</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D24220">
            <w:pPr>
              <w:pStyle w:val="69"/>
              <w:spacing w:before="65" w:after="65"/>
              <w:rPr>
                <w:rFonts w:cs="Times New Roman"/>
                <w:color w:val="auto"/>
                <w:highlight w:val="none"/>
              </w:rPr>
            </w:pPr>
            <w:r>
              <w:rPr>
                <w:rFonts w:hint="eastAsia" w:cs="Times New Roman"/>
                <w:color w:val="auto"/>
                <w:highlight w:val="none"/>
              </w:rPr>
              <w:t>新建+依托</w:t>
            </w:r>
          </w:p>
        </w:tc>
      </w:tr>
      <w:tr w14:paraId="6C0C3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jc w:val="center"/>
        </w:trPr>
        <w:tc>
          <w:tcPr>
            <w:tcW w:w="244" w:type="pct"/>
            <w:vMerge w:val="continue"/>
            <w:tcBorders>
              <w:left w:val="single" w:color="000000" w:sz="4" w:space="0"/>
              <w:right w:val="single" w:color="000000" w:sz="4" w:space="0"/>
            </w:tcBorders>
            <w:shd w:val="clear" w:color="auto" w:fill="FFFFFF"/>
            <w:vAlign w:val="center"/>
          </w:tcPr>
          <w:p w14:paraId="26773C36">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4DB4D7">
            <w:pPr>
              <w:pStyle w:val="69"/>
              <w:spacing w:before="65" w:after="65"/>
              <w:rPr>
                <w:rFonts w:cs="Times New Roman"/>
                <w:color w:val="auto"/>
                <w:highlight w:val="none"/>
              </w:rPr>
            </w:pPr>
            <w:r>
              <w:rPr>
                <w:rFonts w:cs="Times New Roman"/>
                <w:color w:val="auto"/>
                <w:highlight w:val="none"/>
              </w:rPr>
              <w:t>噪声治理</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1F720D">
            <w:pPr>
              <w:pStyle w:val="69"/>
              <w:spacing w:before="65" w:after="65"/>
              <w:rPr>
                <w:rFonts w:cs="Times New Roman"/>
                <w:color w:val="auto"/>
                <w:highlight w:val="none"/>
              </w:rPr>
            </w:pPr>
            <w:r>
              <w:rPr>
                <w:rFonts w:cs="Times New Roman"/>
                <w:color w:val="auto"/>
                <w:highlight w:val="none"/>
              </w:rPr>
              <w:t>选用低噪声设备，加强保养；合理布局，对各生产设备采取</w:t>
            </w:r>
            <w:r>
              <w:rPr>
                <w:rFonts w:hint="eastAsia" w:cs="Times New Roman"/>
                <w:color w:val="auto"/>
                <w:highlight w:val="none"/>
              </w:rPr>
              <w:t>减振</w:t>
            </w:r>
            <w:r>
              <w:rPr>
                <w:rFonts w:cs="Times New Roman"/>
                <w:color w:val="auto"/>
                <w:highlight w:val="none"/>
              </w:rPr>
              <w:t>、隔声措施，加强管理。</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671D4F">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C4F92">
            <w:pPr>
              <w:pStyle w:val="69"/>
              <w:spacing w:before="65" w:after="65"/>
              <w:rPr>
                <w:rFonts w:cs="Times New Roman"/>
                <w:color w:val="auto"/>
                <w:highlight w:val="none"/>
              </w:rPr>
            </w:pPr>
            <w:r>
              <w:rPr>
                <w:rFonts w:hint="eastAsia" w:cs="Times New Roman"/>
                <w:color w:val="auto"/>
                <w:highlight w:val="none"/>
              </w:rPr>
              <w:t>噪声</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54EC9">
            <w:pPr>
              <w:pStyle w:val="69"/>
              <w:spacing w:before="65" w:after="65"/>
              <w:rPr>
                <w:rFonts w:cs="Times New Roman"/>
                <w:color w:val="auto"/>
                <w:highlight w:val="none"/>
              </w:rPr>
            </w:pPr>
            <w:r>
              <w:rPr>
                <w:rFonts w:hint="eastAsia" w:cs="Times New Roman"/>
                <w:color w:val="auto"/>
                <w:highlight w:val="none"/>
              </w:rPr>
              <w:t>新建</w:t>
            </w:r>
          </w:p>
        </w:tc>
      </w:tr>
      <w:tr w14:paraId="387E3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915" w:hRule="atLeast"/>
          <w:jc w:val="center"/>
        </w:trPr>
        <w:tc>
          <w:tcPr>
            <w:tcW w:w="244" w:type="pct"/>
            <w:vMerge w:val="continue"/>
            <w:tcBorders>
              <w:left w:val="single" w:color="000000" w:sz="4" w:space="0"/>
              <w:right w:val="single" w:color="000000" w:sz="4" w:space="0"/>
            </w:tcBorders>
            <w:shd w:val="clear" w:color="auto" w:fill="FFFFFF"/>
            <w:vAlign w:val="center"/>
          </w:tcPr>
          <w:p w14:paraId="2BD046E9">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D24FE">
            <w:pPr>
              <w:pStyle w:val="69"/>
              <w:spacing w:before="65" w:after="65"/>
              <w:rPr>
                <w:rFonts w:cs="Times New Roman"/>
                <w:color w:val="auto"/>
                <w:highlight w:val="none"/>
              </w:rPr>
            </w:pPr>
            <w:r>
              <w:rPr>
                <w:rFonts w:cs="Times New Roman"/>
                <w:color w:val="auto"/>
                <w:highlight w:val="none"/>
              </w:rPr>
              <w:t>固废治理</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127FF">
            <w:pPr>
              <w:pStyle w:val="69"/>
              <w:spacing w:before="65" w:after="65"/>
              <w:jc w:val="both"/>
              <w:rPr>
                <w:color w:val="auto"/>
                <w:highlight w:val="none"/>
              </w:rPr>
            </w:pPr>
            <w:r>
              <w:rPr>
                <w:rFonts w:hint="eastAsia"/>
                <w:color w:val="auto"/>
                <w:highlight w:val="none"/>
              </w:rPr>
              <w:t>①生活垃圾：经厂区内垃圾桶统一收集后委托环卫部门清运处置；餐厨垃圾和隔油池废油定期交由有资质的单位进行处置。</w:t>
            </w:r>
          </w:p>
          <w:p w14:paraId="31284811">
            <w:pPr>
              <w:pStyle w:val="69"/>
              <w:spacing w:before="65" w:after="65"/>
              <w:jc w:val="both"/>
              <w:rPr>
                <w:color w:val="auto"/>
                <w:highlight w:val="none"/>
              </w:rPr>
            </w:pPr>
            <w:r>
              <w:rPr>
                <w:rFonts w:hint="eastAsia"/>
                <w:color w:val="auto"/>
                <w:highlight w:val="none"/>
              </w:rPr>
              <w:t>②一般固废：废滤袋、废布袋、布袋收尘灰、沉淀池沉砂、废包装材料（废聚丙烯酰胺包装袋、废聚合氯化铝包装袋、废捕收剂桶、废碳酸钠包装袋、废氯化镁包装袋）暂存于一般固废间（20m</w:t>
            </w:r>
            <w:r>
              <w:rPr>
                <w:rFonts w:hint="eastAsia"/>
                <w:color w:val="auto"/>
                <w:highlight w:val="none"/>
                <w:vertAlign w:val="superscript"/>
              </w:rPr>
              <w:t>2</w:t>
            </w:r>
            <w:r>
              <w:rPr>
                <w:rFonts w:hint="eastAsia"/>
                <w:color w:val="auto"/>
                <w:highlight w:val="none"/>
              </w:rPr>
              <w:t>），废滤袋、废布袋由供货厂家回收，布袋收尘灰回用于生产，沉淀池沉砂回用于生产，废包装材料（废聚丙烯酰胺包装袋、废聚合氯化铝包装袋、废捕收剂桶、废碳酸钠包装袋、废氯化镁包装袋）定期外售废品回收站；尾矿、黑砂暂存于尾矿仓库，外售陶瓷生产厂家综合利用。</w:t>
            </w:r>
          </w:p>
          <w:p w14:paraId="71617356">
            <w:pPr>
              <w:pStyle w:val="69"/>
              <w:spacing w:before="65" w:after="65"/>
              <w:jc w:val="both"/>
              <w:rPr>
                <w:rFonts w:cs="Times New Roman"/>
                <w:color w:val="auto"/>
                <w:highlight w:val="none"/>
              </w:rPr>
            </w:pPr>
            <w:r>
              <w:rPr>
                <w:rFonts w:hint="eastAsia"/>
                <w:color w:val="auto"/>
                <w:highlight w:val="none"/>
              </w:rPr>
              <w:t>③危险废物：废氢氧化钠包装袋、废机油、废机油桶、含油抹布及手套暂存于危废暂存间（10m</w:t>
            </w:r>
            <w:r>
              <w:rPr>
                <w:rFonts w:hint="eastAsia"/>
                <w:color w:val="auto"/>
                <w:highlight w:val="none"/>
                <w:vertAlign w:val="superscript"/>
              </w:rPr>
              <w:t>2</w:t>
            </w:r>
            <w:r>
              <w:rPr>
                <w:rFonts w:hint="eastAsia"/>
                <w:color w:val="auto"/>
                <w:highlight w:val="none"/>
              </w:rPr>
              <w:t>），定期交由有危废资质的单位进行处置。</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292AF2A">
            <w:pPr>
              <w:pStyle w:val="69"/>
              <w:spacing w:before="65" w:after="65"/>
              <w:rPr>
                <w:rFonts w:cs="Times New Roman"/>
                <w:color w:val="auto"/>
                <w:highlight w:val="none"/>
              </w:rPr>
            </w:pPr>
          </w:p>
        </w:tc>
        <w:tc>
          <w:tcPr>
            <w:tcW w:w="493" w:type="pct"/>
            <w:tcBorders>
              <w:top w:val="single" w:color="000000" w:sz="4" w:space="0"/>
              <w:left w:val="single" w:color="000000" w:sz="4" w:space="0"/>
              <w:right w:val="single" w:color="000000" w:sz="4" w:space="0"/>
            </w:tcBorders>
            <w:shd w:val="clear" w:color="auto" w:fill="FFFFFF"/>
            <w:vAlign w:val="center"/>
          </w:tcPr>
          <w:p w14:paraId="1056C117">
            <w:pPr>
              <w:pStyle w:val="69"/>
              <w:spacing w:before="65" w:after="65"/>
              <w:rPr>
                <w:rFonts w:cs="Times New Roman"/>
                <w:color w:val="auto"/>
                <w:highlight w:val="none"/>
              </w:rPr>
            </w:pPr>
            <w:r>
              <w:rPr>
                <w:rFonts w:hint="eastAsia" w:cs="Times New Roman"/>
                <w:color w:val="auto"/>
                <w:highlight w:val="none"/>
              </w:rPr>
              <w:t>固废</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3A593C">
            <w:pPr>
              <w:pStyle w:val="69"/>
              <w:spacing w:before="65" w:after="65"/>
              <w:rPr>
                <w:rFonts w:cs="Times New Roman"/>
                <w:color w:val="auto"/>
                <w:highlight w:val="none"/>
              </w:rPr>
            </w:pPr>
            <w:r>
              <w:rPr>
                <w:rFonts w:hint="eastAsia" w:cs="Times New Roman"/>
                <w:color w:val="auto"/>
                <w:highlight w:val="none"/>
              </w:rPr>
              <w:t>新建</w:t>
            </w:r>
          </w:p>
        </w:tc>
      </w:tr>
      <w:tr w14:paraId="7B130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4" w:hRule="atLeast"/>
          <w:jc w:val="center"/>
        </w:trPr>
        <w:tc>
          <w:tcPr>
            <w:tcW w:w="244" w:type="pct"/>
            <w:vMerge w:val="continue"/>
            <w:tcBorders>
              <w:left w:val="single" w:color="000000" w:sz="4" w:space="0"/>
              <w:right w:val="single" w:color="000000" w:sz="4" w:space="0"/>
            </w:tcBorders>
            <w:shd w:val="clear" w:color="auto" w:fill="FFFFFF"/>
            <w:vAlign w:val="center"/>
          </w:tcPr>
          <w:p w14:paraId="5C12F47E">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A7E42">
            <w:pPr>
              <w:pStyle w:val="69"/>
              <w:spacing w:before="65" w:after="65"/>
              <w:rPr>
                <w:rFonts w:cs="Times New Roman"/>
                <w:color w:val="auto"/>
                <w:highlight w:val="none"/>
              </w:rPr>
            </w:pPr>
            <w:r>
              <w:rPr>
                <w:rFonts w:cs="Times New Roman"/>
                <w:color w:val="auto"/>
                <w:highlight w:val="none"/>
              </w:rPr>
              <w:t>地下水、土壤污染防治</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A86D1">
            <w:pPr>
              <w:pStyle w:val="69"/>
              <w:spacing w:before="65" w:after="65"/>
              <w:jc w:val="both"/>
              <w:rPr>
                <w:rFonts w:cs="Times New Roman"/>
                <w:color w:val="auto"/>
                <w:highlight w:val="none"/>
              </w:rPr>
            </w:pPr>
            <w:r>
              <w:rPr>
                <w:rFonts w:cs="Times New Roman"/>
                <w:color w:val="auto"/>
                <w:highlight w:val="none"/>
              </w:rPr>
              <w:t>重点防渗区：生产废水处理区、</w:t>
            </w:r>
            <w:r>
              <w:rPr>
                <w:rFonts w:hint="eastAsia" w:cs="Times New Roman"/>
                <w:color w:val="auto"/>
                <w:highlight w:val="none"/>
              </w:rPr>
              <w:t>危废暂存间</w:t>
            </w:r>
            <w:r>
              <w:rPr>
                <w:rFonts w:cs="Times New Roman"/>
                <w:color w:val="auto"/>
                <w:highlight w:val="none"/>
              </w:rPr>
              <w:t>、事故应急池、药剂库、初期雨水池</w:t>
            </w:r>
            <w:r>
              <w:rPr>
                <w:rFonts w:hint="eastAsia" w:cs="Times New Roman"/>
                <w:color w:val="auto"/>
                <w:highlight w:val="none"/>
              </w:rPr>
              <w:t>、压滤车间</w:t>
            </w:r>
            <w:r>
              <w:rPr>
                <w:rFonts w:cs="Times New Roman"/>
                <w:color w:val="auto"/>
                <w:highlight w:val="none"/>
              </w:rPr>
              <w:t>进行重点防渗，采用20cm厚的P8防渗混凝土进行防渗，</w:t>
            </w:r>
            <w:r>
              <w:rPr>
                <w:rFonts w:hint="eastAsia" w:cs="Times New Roman"/>
                <w:color w:val="auto"/>
                <w:highlight w:val="none"/>
              </w:rPr>
              <w:t>危废暂存间</w:t>
            </w:r>
            <w:r>
              <w:rPr>
                <w:rFonts w:cs="Times New Roman"/>
                <w:color w:val="auto"/>
                <w:highlight w:val="none"/>
              </w:rPr>
              <w:t>和药剂库增设不锈钢金属托盘，Mb≥6.0m、K≤1×10</w:t>
            </w:r>
            <w:r>
              <w:rPr>
                <w:rFonts w:cs="Times New Roman"/>
                <w:color w:val="auto"/>
                <w:highlight w:val="none"/>
                <w:vertAlign w:val="superscript"/>
              </w:rPr>
              <w:t>-7</w:t>
            </w:r>
            <w:r>
              <w:rPr>
                <w:rFonts w:cs="Times New Roman"/>
                <w:color w:val="auto"/>
                <w:highlight w:val="none"/>
              </w:rPr>
              <w:t>cm/s（其中危险废物暂存间渗透系数K≤1×10</w:t>
            </w:r>
            <w:r>
              <w:rPr>
                <w:rFonts w:cs="Times New Roman"/>
                <w:color w:val="auto"/>
                <w:highlight w:val="none"/>
                <w:vertAlign w:val="superscript"/>
              </w:rPr>
              <w:t>-10</w:t>
            </w:r>
            <w:r>
              <w:rPr>
                <w:rFonts w:cs="Times New Roman"/>
                <w:color w:val="auto"/>
                <w:highlight w:val="none"/>
              </w:rPr>
              <w:t>cm/s）的要求；</w:t>
            </w:r>
            <w:r>
              <w:rPr>
                <w:rFonts w:hint="eastAsia" w:cs="Times New Roman"/>
                <w:color w:val="auto"/>
                <w:highlight w:val="none"/>
              </w:rPr>
              <w:t>废</w:t>
            </w:r>
            <w:r>
              <w:rPr>
                <w:rFonts w:cs="Times New Roman"/>
                <w:color w:val="auto"/>
                <w:highlight w:val="none"/>
              </w:rPr>
              <w:t>水输送管道采用高强度防腐材质。</w:t>
            </w:r>
          </w:p>
          <w:p w14:paraId="7FE2B56C">
            <w:pPr>
              <w:pStyle w:val="69"/>
              <w:spacing w:before="65" w:after="65"/>
              <w:jc w:val="both"/>
              <w:rPr>
                <w:rFonts w:cs="Times New Roman"/>
                <w:color w:val="auto"/>
                <w:highlight w:val="none"/>
              </w:rPr>
            </w:pPr>
            <w:r>
              <w:rPr>
                <w:rFonts w:cs="Times New Roman"/>
                <w:color w:val="auto"/>
                <w:highlight w:val="none"/>
              </w:rPr>
              <w:t>一般防渗区：碎矿车间、磨矿车间、加工车间、精矿仓库、尾矿仓库、一般固废间、预处理池、洗车区、洗车废水沉淀池</w:t>
            </w:r>
            <w:r>
              <w:rPr>
                <w:rFonts w:hint="eastAsia" w:cs="Times New Roman"/>
                <w:color w:val="auto"/>
                <w:highlight w:val="none"/>
              </w:rPr>
              <w:t>、工具间</w:t>
            </w:r>
            <w:r>
              <w:rPr>
                <w:rFonts w:cs="Times New Roman"/>
                <w:color w:val="auto"/>
                <w:highlight w:val="none"/>
              </w:rPr>
              <w:t>采用20cm厚的P</w:t>
            </w:r>
            <w:r>
              <w:rPr>
                <w:rFonts w:hint="eastAsia" w:cs="Times New Roman"/>
                <w:color w:val="auto"/>
                <w:highlight w:val="none"/>
              </w:rPr>
              <w:t>6</w:t>
            </w:r>
            <w:r>
              <w:rPr>
                <w:rFonts w:cs="Times New Roman"/>
                <w:color w:val="auto"/>
                <w:highlight w:val="none"/>
              </w:rPr>
              <w:t>防渗混凝土进行防渗，要求等效黏土防渗层Mb≥1.5m</w:t>
            </w:r>
            <w:r>
              <w:rPr>
                <w:rFonts w:hint="eastAsia" w:cs="Times New Roman"/>
                <w:color w:val="auto"/>
                <w:highlight w:val="none"/>
              </w:rPr>
              <w:t>，</w:t>
            </w:r>
            <w:r>
              <w:rPr>
                <w:rFonts w:cs="Times New Roman"/>
                <w:color w:val="auto"/>
                <w:highlight w:val="none"/>
              </w:rPr>
              <w:t>渗透系数K≤1×10</w:t>
            </w:r>
            <w:r>
              <w:rPr>
                <w:rFonts w:cs="Times New Roman"/>
                <w:color w:val="auto"/>
                <w:highlight w:val="none"/>
                <w:vertAlign w:val="superscript"/>
              </w:rPr>
              <w:t>-7</w:t>
            </w:r>
            <w:r>
              <w:rPr>
                <w:rFonts w:cs="Times New Roman"/>
                <w:color w:val="auto"/>
                <w:highlight w:val="none"/>
              </w:rPr>
              <w:t>cm/s。</w:t>
            </w:r>
          </w:p>
          <w:p w14:paraId="3756E499">
            <w:pPr>
              <w:pStyle w:val="69"/>
              <w:spacing w:before="65" w:after="65"/>
              <w:jc w:val="both"/>
              <w:rPr>
                <w:rFonts w:cs="Times New Roman"/>
                <w:color w:val="auto"/>
                <w:highlight w:val="none"/>
              </w:rPr>
            </w:pPr>
            <w:r>
              <w:rPr>
                <w:rFonts w:cs="Times New Roman"/>
                <w:color w:val="auto"/>
                <w:highlight w:val="none"/>
              </w:rPr>
              <w:t>简单防渗区：厂区道路、办公区等场内其他区域采用一般地面硬化。</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8C9EDF">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789F4">
            <w:pPr>
              <w:pStyle w:val="69"/>
              <w:spacing w:before="65" w:after="65"/>
              <w:rPr>
                <w:rFonts w:cs="Times New Roman"/>
                <w:color w:val="auto"/>
                <w:highlight w:val="none"/>
              </w:rPr>
            </w:pPr>
            <w:r>
              <w:rPr>
                <w:rFonts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457A5">
            <w:pPr>
              <w:pStyle w:val="69"/>
              <w:spacing w:before="65" w:after="65"/>
              <w:rPr>
                <w:rFonts w:hint="default" w:eastAsia="宋体" w:cs="Times New Roman"/>
                <w:color w:val="auto"/>
                <w:highlight w:val="none"/>
                <w:lang w:val="en-US" w:eastAsia="zh-CN"/>
              </w:rPr>
            </w:pPr>
            <w:r>
              <w:rPr>
                <w:rFonts w:hint="eastAsia" w:cs="Times New Roman"/>
                <w:color w:val="auto"/>
                <w:highlight w:val="none"/>
              </w:rPr>
              <w:t>新建</w:t>
            </w:r>
            <w:r>
              <w:rPr>
                <w:rFonts w:hint="eastAsia" w:cs="Times New Roman"/>
                <w:color w:val="auto"/>
                <w:highlight w:val="none"/>
                <w:lang w:val="en-US" w:eastAsia="zh-CN"/>
              </w:rPr>
              <w:t>+依托</w:t>
            </w:r>
          </w:p>
        </w:tc>
      </w:tr>
      <w:tr w14:paraId="040CBF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64" w:hRule="atLeast"/>
          <w:jc w:val="center"/>
        </w:trPr>
        <w:tc>
          <w:tcPr>
            <w:tcW w:w="244" w:type="pct"/>
            <w:vMerge w:val="continue"/>
            <w:tcBorders>
              <w:left w:val="single" w:color="000000" w:sz="4" w:space="0"/>
              <w:bottom w:val="single" w:color="000000" w:sz="4" w:space="0"/>
              <w:right w:val="single" w:color="000000" w:sz="4" w:space="0"/>
            </w:tcBorders>
            <w:shd w:val="clear" w:color="auto" w:fill="FFFFFF"/>
            <w:vAlign w:val="center"/>
          </w:tcPr>
          <w:p w14:paraId="251138B7">
            <w:pPr>
              <w:pStyle w:val="69"/>
              <w:spacing w:before="65" w:after="65"/>
              <w:rPr>
                <w:rFonts w:cs="Times New Roman"/>
                <w:color w:val="auto"/>
                <w:highlight w:val="none"/>
              </w:rPr>
            </w:pP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B997BA">
            <w:pPr>
              <w:pStyle w:val="69"/>
              <w:spacing w:before="65" w:after="65"/>
              <w:rPr>
                <w:rFonts w:cs="Times New Roman"/>
                <w:color w:val="auto"/>
                <w:highlight w:val="none"/>
              </w:rPr>
            </w:pPr>
            <w:r>
              <w:rPr>
                <w:rFonts w:cs="Times New Roman"/>
                <w:color w:val="auto"/>
                <w:highlight w:val="none"/>
              </w:rPr>
              <w:t>环境风险防范措施</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FE8CD8">
            <w:pPr>
              <w:pStyle w:val="69"/>
              <w:spacing w:before="65" w:after="65"/>
              <w:jc w:val="both"/>
              <w:rPr>
                <w:rFonts w:cs="Times New Roman"/>
                <w:color w:val="auto"/>
                <w:highlight w:val="none"/>
              </w:rPr>
            </w:pPr>
            <w:r>
              <w:rPr>
                <w:rFonts w:hint="eastAsia" w:cs="Times New Roman"/>
                <w:color w:val="auto"/>
                <w:highlight w:val="none"/>
              </w:rPr>
              <w:t>危废暂存间</w:t>
            </w:r>
            <w:r>
              <w:rPr>
                <w:rFonts w:cs="Times New Roman"/>
                <w:color w:val="auto"/>
                <w:highlight w:val="none"/>
              </w:rPr>
              <w:t>设置导流沟和收集池：落实防风、防晒、防雨、防漏、防渗、防腐的</w:t>
            </w:r>
            <w:r>
              <w:rPr>
                <w:rFonts w:hint="eastAsia" w:cs="Times New Roman"/>
                <w:color w:val="auto"/>
                <w:highlight w:val="none"/>
              </w:rPr>
              <w:t>“</w:t>
            </w:r>
            <w:r>
              <w:rPr>
                <w:rFonts w:cs="Times New Roman"/>
                <w:color w:val="auto"/>
                <w:highlight w:val="none"/>
              </w:rPr>
              <w:t>六防</w:t>
            </w:r>
            <w:r>
              <w:rPr>
                <w:rFonts w:hint="eastAsia" w:cs="Times New Roman"/>
                <w:color w:val="auto"/>
                <w:highlight w:val="none"/>
              </w:rPr>
              <w:t>”</w:t>
            </w:r>
            <w:r>
              <w:rPr>
                <w:rFonts w:cs="Times New Roman"/>
                <w:color w:val="auto"/>
                <w:highlight w:val="none"/>
              </w:rPr>
              <w:t>措施；加强运输风险管理，设置警示标识，配备相应数量灭火器，开展员工安全培训；加强污染防治设施管理和维护；严格执行环评及相关法律法规要求。</w:t>
            </w:r>
            <w:r>
              <w:rPr>
                <w:rFonts w:hint="eastAsia" w:cs="Times New Roman"/>
                <w:color w:val="auto"/>
                <w:highlight w:val="none"/>
              </w:rPr>
              <w:t>企业设置</w:t>
            </w:r>
            <w:r>
              <w:rPr>
                <w:rFonts w:hint="eastAsia" w:cs="Times New Roman"/>
                <w:color w:val="auto"/>
                <w:highlight w:val="none"/>
                <w:lang w:val="en-US" w:eastAsia="zh-CN"/>
              </w:rPr>
              <w:t>1</w:t>
            </w:r>
            <w:r>
              <w:rPr>
                <w:rFonts w:hint="eastAsia" w:cs="Times New Roman"/>
                <w:color w:val="auto"/>
                <w:highlight w:val="none"/>
              </w:rPr>
              <w:t>个事故应急池（容积</w:t>
            </w:r>
            <w:r>
              <w:rPr>
                <w:rFonts w:hint="eastAsia" w:cs="Times New Roman"/>
                <w:color w:val="auto"/>
                <w:highlight w:val="none"/>
                <w:lang w:val="en-US" w:eastAsia="zh-CN"/>
              </w:rPr>
              <w:t>1020</w:t>
            </w:r>
            <w:r>
              <w:rPr>
                <w:rFonts w:hint="eastAsia" w:cs="Times New Roman"/>
                <w:color w:val="auto"/>
                <w:highlight w:val="none"/>
              </w:rPr>
              <w:t>m</w:t>
            </w:r>
            <w:r>
              <w:rPr>
                <w:rFonts w:hint="eastAsia" w:cs="Times New Roman"/>
                <w:color w:val="auto"/>
                <w:highlight w:val="none"/>
                <w:vertAlign w:val="superscript"/>
              </w:rPr>
              <w:t>3</w:t>
            </w:r>
            <w:r>
              <w:rPr>
                <w:rFonts w:hint="eastAsia"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26DFEE0">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D7D15C">
            <w:pPr>
              <w:pStyle w:val="69"/>
              <w:spacing w:before="65" w:after="65"/>
              <w:rPr>
                <w:rFonts w:cs="Times New Roman"/>
                <w:color w:val="auto"/>
                <w:highlight w:val="none"/>
              </w:rPr>
            </w:pPr>
            <w:r>
              <w:rPr>
                <w:rFonts w:hint="eastAsia" w:cs="Times New Roman"/>
                <w:color w:val="auto"/>
                <w:highlight w:val="none"/>
              </w:rPr>
              <w:t>/</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87852B">
            <w:pPr>
              <w:pStyle w:val="69"/>
              <w:spacing w:before="65" w:after="65"/>
              <w:rPr>
                <w:rFonts w:cs="Times New Roman"/>
                <w:color w:val="auto"/>
                <w:highlight w:val="none"/>
              </w:rPr>
            </w:pPr>
            <w:r>
              <w:rPr>
                <w:rFonts w:hint="eastAsia" w:cs="Times New Roman"/>
                <w:color w:val="auto"/>
                <w:highlight w:val="none"/>
              </w:rPr>
              <w:t>新建</w:t>
            </w:r>
          </w:p>
        </w:tc>
      </w:tr>
      <w:tr w14:paraId="759B2C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2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E10A8">
            <w:pPr>
              <w:pStyle w:val="69"/>
              <w:spacing w:before="65" w:after="65"/>
              <w:rPr>
                <w:rFonts w:cs="Times New Roman"/>
                <w:color w:val="auto"/>
                <w:highlight w:val="none"/>
              </w:rPr>
            </w:pPr>
            <w:r>
              <w:rPr>
                <w:rFonts w:cs="Times New Roman"/>
                <w:color w:val="auto"/>
                <w:highlight w:val="none"/>
              </w:rPr>
              <w:t>生活办公</w:t>
            </w:r>
          </w:p>
        </w:tc>
        <w:tc>
          <w:tcPr>
            <w:tcW w:w="42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A206E6">
            <w:pPr>
              <w:pStyle w:val="69"/>
              <w:spacing w:before="65" w:after="65"/>
              <w:rPr>
                <w:rFonts w:cs="Times New Roman"/>
                <w:color w:val="auto"/>
                <w:highlight w:val="none"/>
              </w:rPr>
            </w:pPr>
            <w:r>
              <w:rPr>
                <w:rFonts w:cs="Times New Roman"/>
                <w:color w:val="auto"/>
                <w:highlight w:val="none"/>
              </w:rPr>
              <w:t>办公生活楼</w:t>
            </w:r>
          </w:p>
        </w:tc>
        <w:tc>
          <w:tcPr>
            <w:tcW w:w="247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F87C9">
            <w:pPr>
              <w:pStyle w:val="69"/>
              <w:spacing w:before="65" w:after="65"/>
              <w:jc w:val="both"/>
              <w:rPr>
                <w:rFonts w:cs="Times New Roman"/>
                <w:color w:val="auto"/>
                <w:highlight w:val="none"/>
              </w:rPr>
            </w:pPr>
            <w:r>
              <w:rPr>
                <w:rFonts w:hint="eastAsia" w:cs="Times New Roman"/>
                <w:color w:val="auto"/>
                <w:highlight w:val="none"/>
              </w:rPr>
              <w:t>租用</w:t>
            </w:r>
            <w:r>
              <w:rPr>
                <w:rFonts w:cs="Times New Roman"/>
                <w:color w:val="auto"/>
                <w:highlight w:val="none"/>
              </w:rPr>
              <w:t>1栋办公生活楼（配套设置有职工食堂和职工宿舍），</w:t>
            </w:r>
            <w:r>
              <w:rPr>
                <w:rFonts w:hint="eastAsia" w:cs="Times New Roman"/>
                <w:color w:val="auto"/>
                <w:highlight w:val="none"/>
              </w:rPr>
              <w:t>3</w:t>
            </w:r>
            <w:r>
              <w:rPr>
                <w:rFonts w:cs="Times New Roman"/>
                <w:color w:val="auto"/>
                <w:highlight w:val="none"/>
              </w:rPr>
              <w:t>F，砖混结构，位于厂区东南侧，占地面积约990m</w:t>
            </w:r>
            <w:r>
              <w:rPr>
                <w:rFonts w:cs="Times New Roman"/>
                <w:color w:val="auto"/>
                <w:highlight w:val="none"/>
                <w:vertAlign w:val="superscript"/>
              </w:rPr>
              <w:t>2</w:t>
            </w:r>
            <w:r>
              <w:rPr>
                <w:rFonts w:cs="Times New Roman"/>
                <w:color w:val="auto"/>
                <w:highlight w:val="none"/>
              </w:rPr>
              <w:t>。</w:t>
            </w:r>
          </w:p>
        </w:tc>
        <w:tc>
          <w:tcPr>
            <w:tcW w:w="65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3908E1">
            <w:pPr>
              <w:pStyle w:val="69"/>
              <w:spacing w:before="65" w:after="65"/>
              <w:rPr>
                <w:rFonts w:cs="Times New Roman"/>
                <w:color w:val="auto"/>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1677EE">
            <w:pPr>
              <w:pStyle w:val="69"/>
              <w:spacing w:before="65" w:after="65"/>
              <w:rPr>
                <w:rFonts w:cs="Times New Roman"/>
                <w:color w:val="auto"/>
                <w:highlight w:val="none"/>
              </w:rPr>
            </w:pPr>
            <w:r>
              <w:rPr>
                <w:rFonts w:cs="Times New Roman"/>
                <w:color w:val="auto"/>
                <w:highlight w:val="none"/>
              </w:rPr>
              <w:t>生活污水</w:t>
            </w:r>
            <w:r>
              <w:rPr>
                <w:rFonts w:hint="eastAsia" w:cs="Times New Roman"/>
                <w:color w:val="auto"/>
                <w:highlight w:val="none"/>
              </w:rPr>
              <w:t>（含食堂废水）</w:t>
            </w:r>
            <w:r>
              <w:rPr>
                <w:rFonts w:cs="Times New Roman"/>
                <w:color w:val="auto"/>
                <w:highlight w:val="none"/>
              </w:rPr>
              <w:t>；生活垃圾；噪声；食堂油烟</w:t>
            </w:r>
          </w:p>
        </w:tc>
        <w:tc>
          <w:tcPr>
            <w:tcW w:w="70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03B748">
            <w:pPr>
              <w:pStyle w:val="69"/>
              <w:spacing w:before="65" w:after="65"/>
              <w:rPr>
                <w:rFonts w:cs="Times New Roman"/>
                <w:color w:val="auto"/>
                <w:highlight w:val="none"/>
              </w:rPr>
            </w:pPr>
            <w:r>
              <w:rPr>
                <w:rFonts w:hint="eastAsia" w:cs="Times New Roman"/>
                <w:color w:val="auto"/>
                <w:highlight w:val="none"/>
              </w:rPr>
              <w:t>依托</w:t>
            </w:r>
          </w:p>
        </w:tc>
      </w:tr>
    </w:tbl>
    <w:p w14:paraId="5D065707">
      <w:pPr>
        <w:pStyle w:val="3"/>
        <w:adjustRightInd w:val="0"/>
        <w:rPr>
          <w:rFonts w:cs="Times New Roman"/>
          <w:color w:val="auto"/>
          <w:highlight w:val="none"/>
        </w:rPr>
      </w:pPr>
      <w:bookmarkStart w:id="102" w:name="_Toc207"/>
      <w:r>
        <w:rPr>
          <w:rFonts w:hint="eastAsia" w:cs="Times New Roman"/>
          <w:color w:val="auto"/>
          <w:highlight w:val="none"/>
        </w:rPr>
        <w:t>依托可行性分析</w:t>
      </w:r>
      <w:bookmarkEnd w:id="102"/>
    </w:p>
    <w:p w14:paraId="57459A8F">
      <w:pPr>
        <w:ind w:firstLine="480"/>
        <w:rPr>
          <w:rFonts w:cs="Times New Roman"/>
          <w:color w:val="auto"/>
          <w:highlight w:val="none"/>
        </w:rPr>
      </w:pPr>
      <w:r>
        <w:rPr>
          <w:rFonts w:hint="eastAsia" w:cs="Times New Roman"/>
          <w:color w:val="auto"/>
          <w:highlight w:val="none"/>
        </w:rPr>
        <w:t>本项目依托可行性分析如下：</w:t>
      </w:r>
    </w:p>
    <w:p w14:paraId="244732D2">
      <w:pPr>
        <w:pStyle w:val="12"/>
        <w:rPr>
          <w:rFonts w:cs="Times New Roman"/>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2</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5</w:t>
      </w:r>
      <w:r>
        <w:rPr>
          <w:color w:val="auto"/>
          <w:highlight w:val="none"/>
        </w:rPr>
        <w:fldChar w:fldCharType="end"/>
      </w:r>
      <w:r>
        <w:rPr>
          <w:rFonts w:hint="eastAsia"/>
          <w:color w:val="auto"/>
          <w:highlight w:val="none"/>
        </w:rPr>
        <w:t>依托可行性分析</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712"/>
        <w:gridCol w:w="2870"/>
        <w:gridCol w:w="3315"/>
        <w:gridCol w:w="952"/>
      </w:tblGrid>
      <w:tr w14:paraId="05E27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11" w:type="pct"/>
            <w:gridSpan w:val="2"/>
            <w:vAlign w:val="center"/>
          </w:tcPr>
          <w:p w14:paraId="5A757815">
            <w:pPr>
              <w:pStyle w:val="37"/>
              <w:rPr>
                <w:b/>
                <w:bCs/>
                <w:color w:val="auto"/>
                <w:highlight w:val="none"/>
              </w:rPr>
            </w:pPr>
            <w:r>
              <w:rPr>
                <w:b/>
                <w:bCs/>
                <w:color w:val="auto"/>
                <w:highlight w:val="none"/>
              </w:rPr>
              <w:t>项目名称</w:t>
            </w:r>
          </w:p>
        </w:tc>
        <w:tc>
          <w:tcPr>
            <w:tcW w:w="1684" w:type="pct"/>
            <w:vAlign w:val="center"/>
          </w:tcPr>
          <w:p w14:paraId="678C96A4">
            <w:pPr>
              <w:pStyle w:val="37"/>
              <w:rPr>
                <w:b/>
                <w:bCs/>
                <w:color w:val="auto"/>
                <w:highlight w:val="none"/>
              </w:rPr>
            </w:pPr>
            <w:r>
              <w:rPr>
                <w:rFonts w:hint="eastAsia"/>
                <w:b/>
                <w:bCs/>
                <w:color w:val="auto"/>
                <w:highlight w:val="none"/>
              </w:rPr>
              <w:t>乐山市沙湾区豪沐科技有限公司现有项目</w:t>
            </w:r>
          </w:p>
        </w:tc>
        <w:tc>
          <w:tcPr>
            <w:tcW w:w="1945" w:type="pct"/>
            <w:vAlign w:val="center"/>
          </w:tcPr>
          <w:p w14:paraId="177C09B1">
            <w:pPr>
              <w:pStyle w:val="37"/>
              <w:rPr>
                <w:b/>
                <w:bCs/>
                <w:color w:val="auto"/>
                <w:highlight w:val="none"/>
              </w:rPr>
            </w:pPr>
            <w:r>
              <w:rPr>
                <w:rFonts w:hint="eastAsia"/>
                <w:b/>
                <w:bCs/>
                <w:color w:val="auto"/>
                <w:highlight w:val="none"/>
              </w:rPr>
              <w:t>本项目</w:t>
            </w:r>
          </w:p>
        </w:tc>
        <w:tc>
          <w:tcPr>
            <w:tcW w:w="558" w:type="pct"/>
            <w:vAlign w:val="center"/>
          </w:tcPr>
          <w:p w14:paraId="0C8C854C">
            <w:pPr>
              <w:pStyle w:val="37"/>
              <w:rPr>
                <w:b/>
                <w:bCs/>
                <w:color w:val="auto"/>
                <w:highlight w:val="none"/>
              </w:rPr>
            </w:pPr>
            <w:r>
              <w:rPr>
                <w:rFonts w:hint="eastAsia"/>
                <w:b/>
                <w:bCs/>
                <w:color w:val="auto"/>
                <w:highlight w:val="none"/>
              </w:rPr>
              <w:t>是否可行</w:t>
            </w:r>
          </w:p>
        </w:tc>
      </w:tr>
      <w:tr w14:paraId="0169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93" w:type="pct"/>
            <w:vMerge w:val="restart"/>
            <w:vAlign w:val="center"/>
          </w:tcPr>
          <w:p w14:paraId="5D23FE9B">
            <w:pPr>
              <w:pStyle w:val="37"/>
              <w:rPr>
                <w:color w:val="auto"/>
                <w:highlight w:val="none"/>
              </w:rPr>
            </w:pPr>
            <w:r>
              <w:rPr>
                <w:rFonts w:hint="eastAsia"/>
                <w:color w:val="auto"/>
                <w:highlight w:val="none"/>
              </w:rPr>
              <w:t>辅助工程</w:t>
            </w:r>
          </w:p>
        </w:tc>
        <w:tc>
          <w:tcPr>
            <w:tcW w:w="417" w:type="pct"/>
            <w:shd w:val="clear" w:color="auto" w:fill="auto"/>
            <w:vAlign w:val="center"/>
          </w:tcPr>
          <w:p w14:paraId="48EB6F21">
            <w:pPr>
              <w:pStyle w:val="37"/>
              <w:rPr>
                <w:color w:val="auto"/>
                <w:highlight w:val="none"/>
              </w:rPr>
            </w:pPr>
            <w:r>
              <w:rPr>
                <w:color w:val="auto"/>
                <w:highlight w:val="none"/>
              </w:rPr>
              <w:t>门卫室</w:t>
            </w:r>
          </w:p>
        </w:tc>
        <w:tc>
          <w:tcPr>
            <w:tcW w:w="1684" w:type="pct"/>
            <w:shd w:val="clear" w:color="auto" w:fill="auto"/>
            <w:vAlign w:val="center"/>
          </w:tcPr>
          <w:p w14:paraId="0B131145">
            <w:pPr>
              <w:pStyle w:val="37"/>
              <w:jc w:val="left"/>
              <w:rPr>
                <w:color w:val="auto"/>
                <w:highlight w:val="none"/>
              </w:rPr>
            </w:pPr>
            <w:r>
              <w:rPr>
                <w:color w:val="auto"/>
                <w:highlight w:val="none"/>
              </w:rPr>
              <w:t>乐山市沙湾区豪沐科技有限公司厂区西侧</w:t>
            </w:r>
            <w:r>
              <w:rPr>
                <w:rFonts w:hint="eastAsia"/>
                <w:color w:val="auto"/>
                <w:highlight w:val="none"/>
              </w:rPr>
              <w:t>已修建一间</w:t>
            </w:r>
            <w:r>
              <w:rPr>
                <w:color w:val="auto"/>
                <w:highlight w:val="none"/>
              </w:rPr>
              <w:t>占地面积约35</w:t>
            </w:r>
            <w:r>
              <w:rPr>
                <w:rFonts w:hint="eastAsia"/>
                <w:color w:val="auto"/>
                <w:highlight w:val="none"/>
              </w:rPr>
              <w:t>m</w:t>
            </w:r>
            <w:r>
              <w:rPr>
                <w:rFonts w:hint="eastAsia"/>
                <w:color w:val="auto"/>
                <w:highlight w:val="none"/>
                <w:vertAlign w:val="superscript"/>
              </w:rPr>
              <w:t>2</w:t>
            </w:r>
            <w:r>
              <w:rPr>
                <w:rFonts w:hint="eastAsia"/>
                <w:color w:val="auto"/>
                <w:highlight w:val="none"/>
              </w:rPr>
              <w:t>的门卫室。</w:t>
            </w:r>
          </w:p>
        </w:tc>
        <w:tc>
          <w:tcPr>
            <w:tcW w:w="1945" w:type="pct"/>
            <w:shd w:val="clear" w:color="auto" w:fill="auto"/>
            <w:vAlign w:val="center"/>
          </w:tcPr>
          <w:p w14:paraId="758A3418">
            <w:pPr>
              <w:pStyle w:val="37"/>
              <w:jc w:val="left"/>
              <w:rPr>
                <w:color w:val="auto"/>
                <w:highlight w:val="none"/>
              </w:rPr>
            </w:pPr>
            <w:r>
              <w:rPr>
                <w:rFonts w:hint="eastAsia"/>
                <w:color w:val="auto"/>
                <w:highlight w:val="none"/>
              </w:rPr>
              <w:t>本项目不新建门卫室，乐山市沙湾区豪沐科技有限公司的门卫室能满足本项目要求。</w:t>
            </w:r>
          </w:p>
        </w:tc>
        <w:tc>
          <w:tcPr>
            <w:tcW w:w="558" w:type="pct"/>
            <w:shd w:val="clear" w:color="auto" w:fill="auto"/>
            <w:vAlign w:val="center"/>
          </w:tcPr>
          <w:p w14:paraId="51FD671E">
            <w:pPr>
              <w:pStyle w:val="37"/>
              <w:rPr>
                <w:color w:val="auto"/>
                <w:highlight w:val="none"/>
              </w:rPr>
            </w:pPr>
            <w:r>
              <w:rPr>
                <w:rFonts w:hint="eastAsia"/>
                <w:color w:val="auto"/>
                <w:highlight w:val="none"/>
              </w:rPr>
              <w:t>可行</w:t>
            </w:r>
          </w:p>
        </w:tc>
      </w:tr>
      <w:tr w14:paraId="35129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93" w:type="pct"/>
            <w:vMerge w:val="continue"/>
            <w:vAlign w:val="center"/>
          </w:tcPr>
          <w:p w14:paraId="511F7FFD">
            <w:pPr>
              <w:pStyle w:val="37"/>
              <w:rPr>
                <w:color w:val="auto"/>
                <w:highlight w:val="none"/>
              </w:rPr>
            </w:pPr>
          </w:p>
        </w:tc>
        <w:tc>
          <w:tcPr>
            <w:tcW w:w="417" w:type="pct"/>
            <w:shd w:val="clear" w:color="auto" w:fill="auto"/>
            <w:vAlign w:val="center"/>
          </w:tcPr>
          <w:p w14:paraId="407DE135">
            <w:pPr>
              <w:pStyle w:val="37"/>
              <w:rPr>
                <w:color w:val="auto"/>
                <w:highlight w:val="none"/>
              </w:rPr>
            </w:pPr>
            <w:r>
              <w:rPr>
                <w:color w:val="auto"/>
                <w:highlight w:val="none"/>
              </w:rPr>
              <w:t>洗车区</w:t>
            </w:r>
          </w:p>
        </w:tc>
        <w:tc>
          <w:tcPr>
            <w:tcW w:w="1684" w:type="pct"/>
            <w:shd w:val="clear" w:color="auto" w:fill="auto"/>
            <w:vAlign w:val="center"/>
          </w:tcPr>
          <w:p w14:paraId="38357A75">
            <w:pPr>
              <w:pStyle w:val="37"/>
              <w:jc w:val="left"/>
              <w:rPr>
                <w:color w:val="auto"/>
                <w:highlight w:val="none"/>
              </w:rPr>
            </w:pPr>
            <w:r>
              <w:rPr>
                <w:color w:val="auto"/>
                <w:highlight w:val="none"/>
              </w:rPr>
              <w:t>乐山市沙湾区豪沐科技有限公司厂区</w:t>
            </w:r>
            <w:r>
              <w:rPr>
                <w:rFonts w:hint="eastAsia"/>
                <w:color w:val="auto"/>
                <w:highlight w:val="none"/>
              </w:rPr>
              <w:t>北</w:t>
            </w:r>
            <w:r>
              <w:rPr>
                <w:color w:val="auto"/>
                <w:highlight w:val="none"/>
              </w:rPr>
              <w:t>侧已修建一间占地面积约</w:t>
            </w:r>
            <w:r>
              <w:rPr>
                <w:rFonts w:hint="eastAsia"/>
                <w:color w:val="auto"/>
                <w:highlight w:val="none"/>
              </w:rPr>
              <w:t>10</w:t>
            </w:r>
            <w:r>
              <w:rPr>
                <w:color w:val="auto"/>
                <w:highlight w:val="none"/>
              </w:rPr>
              <w:t>m</w:t>
            </w:r>
            <w:r>
              <w:rPr>
                <w:color w:val="auto"/>
                <w:highlight w:val="none"/>
                <w:vertAlign w:val="superscript"/>
              </w:rPr>
              <w:t>2</w:t>
            </w:r>
            <w:r>
              <w:rPr>
                <w:color w:val="auto"/>
                <w:highlight w:val="none"/>
              </w:rPr>
              <w:t>的洗车区。</w:t>
            </w:r>
          </w:p>
        </w:tc>
        <w:tc>
          <w:tcPr>
            <w:tcW w:w="1945" w:type="pct"/>
            <w:shd w:val="clear" w:color="auto" w:fill="auto"/>
            <w:vAlign w:val="center"/>
          </w:tcPr>
          <w:p w14:paraId="76A7A9ED">
            <w:pPr>
              <w:pStyle w:val="37"/>
              <w:jc w:val="left"/>
              <w:rPr>
                <w:color w:val="auto"/>
                <w:highlight w:val="none"/>
              </w:rPr>
            </w:pPr>
            <w:r>
              <w:rPr>
                <w:rFonts w:hint="eastAsia"/>
                <w:color w:val="auto"/>
                <w:highlight w:val="none"/>
              </w:rPr>
              <w:t>本项目不新建洗车区，乐山市沙湾区豪沐科技有限公司的洗车区能满足本项目要求。</w:t>
            </w:r>
          </w:p>
        </w:tc>
        <w:tc>
          <w:tcPr>
            <w:tcW w:w="558" w:type="pct"/>
            <w:shd w:val="clear" w:color="auto" w:fill="auto"/>
            <w:vAlign w:val="center"/>
          </w:tcPr>
          <w:p w14:paraId="192ED79F">
            <w:pPr>
              <w:pStyle w:val="37"/>
              <w:rPr>
                <w:color w:val="auto"/>
                <w:highlight w:val="none"/>
              </w:rPr>
            </w:pPr>
            <w:r>
              <w:rPr>
                <w:rFonts w:hint="eastAsia"/>
                <w:color w:val="auto"/>
                <w:highlight w:val="none"/>
              </w:rPr>
              <w:t>可行</w:t>
            </w:r>
          </w:p>
        </w:tc>
      </w:tr>
      <w:tr w14:paraId="06A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93" w:type="pct"/>
            <w:vMerge w:val="restart"/>
            <w:vAlign w:val="center"/>
          </w:tcPr>
          <w:p w14:paraId="2673D502">
            <w:pPr>
              <w:pStyle w:val="37"/>
              <w:rPr>
                <w:color w:val="auto"/>
                <w:highlight w:val="none"/>
              </w:rPr>
            </w:pPr>
            <w:r>
              <w:rPr>
                <w:color w:val="auto"/>
                <w:highlight w:val="none"/>
              </w:rPr>
              <w:t>环保工程</w:t>
            </w:r>
          </w:p>
        </w:tc>
        <w:tc>
          <w:tcPr>
            <w:tcW w:w="417" w:type="pct"/>
            <w:shd w:val="clear" w:color="auto" w:fill="auto"/>
            <w:vAlign w:val="center"/>
          </w:tcPr>
          <w:p w14:paraId="44BF6C24">
            <w:pPr>
              <w:pStyle w:val="37"/>
              <w:rPr>
                <w:color w:val="auto"/>
                <w:highlight w:val="none"/>
              </w:rPr>
            </w:pPr>
            <w:r>
              <w:rPr>
                <w:color w:val="auto"/>
                <w:highlight w:val="none"/>
              </w:rPr>
              <w:t>废</w:t>
            </w:r>
            <w:r>
              <w:rPr>
                <w:rFonts w:hint="eastAsia"/>
                <w:color w:val="auto"/>
                <w:highlight w:val="none"/>
              </w:rPr>
              <w:t>水</w:t>
            </w:r>
          </w:p>
        </w:tc>
        <w:tc>
          <w:tcPr>
            <w:tcW w:w="1684" w:type="pct"/>
            <w:shd w:val="clear" w:color="auto" w:fill="auto"/>
            <w:vAlign w:val="center"/>
          </w:tcPr>
          <w:p w14:paraId="7EA486AD">
            <w:pPr>
              <w:pStyle w:val="37"/>
              <w:jc w:val="left"/>
              <w:rPr>
                <w:color w:val="auto"/>
                <w:highlight w:val="none"/>
              </w:rPr>
            </w:pPr>
            <w:r>
              <w:rPr>
                <w:color w:val="auto"/>
                <w:highlight w:val="none"/>
              </w:rPr>
              <w:t>乐山市沙湾区豪沐科技有限公司</w:t>
            </w:r>
            <w:r>
              <w:rPr>
                <w:rFonts w:hint="eastAsia"/>
                <w:color w:val="auto"/>
                <w:highlight w:val="none"/>
              </w:rPr>
              <w:t>已修建1个20m</w:t>
            </w:r>
            <w:r>
              <w:rPr>
                <w:rFonts w:hint="eastAsia"/>
                <w:color w:val="auto"/>
                <w:highlight w:val="none"/>
                <w:vertAlign w:val="superscript"/>
              </w:rPr>
              <w:t>3</w:t>
            </w:r>
            <w:r>
              <w:rPr>
                <w:rFonts w:hint="eastAsia"/>
                <w:color w:val="auto"/>
                <w:highlight w:val="none"/>
              </w:rPr>
              <w:t>的生活污水预处理池、1个50m</w:t>
            </w:r>
            <w:r>
              <w:rPr>
                <w:rFonts w:hint="eastAsia"/>
                <w:color w:val="auto"/>
                <w:highlight w:val="none"/>
                <w:vertAlign w:val="superscript"/>
              </w:rPr>
              <w:t>3</w:t>
            </w:r>
            <w:r>
              <w:rPr>
                <w:rFonts w:hint="eastAsia"/>
                <w:color w:val="auto"/>
                <w:highlight w:val="none"/>
              </w:rPr>
              <w:t>的洗车废水沉淀池、1个600m</w:t>
            </w:r>
            <w:r>
              <w:rPr>
                <w:rFonts w:hint="eastAsia"/>
                <w:color w:val="auto"/>
                <w:highlight w:val="none"/>
                <w:vertAlign w:val="superscript"/>
              </w:rPr>
              <w:t>3</w:t>
            </w:r>
            <w:r>
              <w:rPr>
                <w:rFonts w:hint="eastAsia"/>
                <w:color w:val="auto"/>
                <w:highlight w:val="none"/>
              </w:rPr>
              <w:t>的初期雨水池</w:t>
            </w:r>
            <w:r>
              <w:rPr>
                <w:color w:val="auto"/>
                <w:highlight w:val="none"/>
              </w:rPr>
              <w:t>。</w:t>
            </w:r>
          </w:p>
        </w:tc>
        <w:tc>
          <w:tcPr>
            <w:tcW w:w="1945" w:type="pct"/>
            <w:shd w:val="clear" w:color="auto" w:fill="auto"/>
            <w:vAlign w:val="center"/>
          </w:tcPr>
          <w:p w14:paraId="08CFA6BE">
            <w:pPr>
              <w:pStyle w:val="37"/>
              <w:jc w:val="left"/>
              <w:rPr>
                <w:color w:val="auto"/>
                <w:highlight w:val="none"/>
              </w:rPr>
            </w:pPr>
            <w:r>
              <w:rPr>
                <w:rFonts w:hint="eastAsia"/>
                <w:color w:val="auto"/>
                <w:highlight w:val="none"/>
              </w:rPr>
              <w:t>乐山市沙湾区豪沐科技有限公司的生活污水产生量为9.52m</w:t>
            </w:r>
            <w:r>
              <w:rPr>
                <w:rFonts w:hint="eastAsia"/>
                <w:color w:val="auto"/>
                <w:highlight w:val="none"/>
                <w:vertAlign w:val="superscript"/>
              </w:rPr>
              <w:t>3</w:t>
            </w:r>
            <w:r>
              <w:rPr>
                <w:rFonts w:hint="eastAsia"/>
                <w:color w:val="auto"/>
                <w:highlight w:val="none"/>
              </w:rPr>
              <w:t>/d，本项目生活污水产生量为9.52m</w:t>
            </w:r>
            <w:r>
              <w:rPr>
                <w:rFonts w:hint="eastAsia"/>
                <w:color w:val="auto"/>
                <w:highlight w:val="none"/>
                <w:vertAlign w:val="superscript"/>
              </w:rPr>
              <w:t>3</w:t>
            </w:r>
            <w:r>
              <w:rPr>
                <w:rFonts w:hint="eastAsia"/>
                <w:color w:val="auto"/>
                <w:highlight w:val="none"/>
              </w:rPr>
              <w:t>/d，乐山市沙湾区豪沐科技有限公司的生活污水预处理池容量为20m</w:t>
            </w:r>
            <w:r>
              <w:rPr>
                <w:rFonts w:hint="eastAsia"/>
                <w:color w:val="auto"/>
                <w:highlight w:val="none"/>
                <w:vertAlign w:val="superscript"/>
              </w:rPr>
              <w:t>3</w:t>
            </w:r>
            <w:r>
              <w:rPr>
                <w:rFonts w:hint="eastAsia"/>
                <w:color w:val="auto"/>
                <w:highlight w:val="none"/>
              </w:rPr>
              <w:t>，能满足本项目要求。</w:t>
            </w:r>
          </w:p>
          <w:p w14:paraId="213C7F4C">
            <w:pPr>
              <w:pStyle w:val="37"/>
              <w:jc w:val="left"/>
              <w:rPr>
                <w:color w:val="auto"/>
                <w:highlight w:val="none"/>
              </w:rPr>
            </w:pPr>
            <w:r>
              <w:rPr>
                <w:color w:val="auto"/>
                <w:highlight w:val="none"/>
              </w:rPr>
              <w:t>乐山市沙湾区豪沐科技有限公司的</w:t>
            </w:r>
            <w:r>
              <w:rPr>
                <w:rFonts w:hint="eastAsia"/>
                <w:color w:val="auto"/>
                <w:highlight w:val="none"/>
              </w:rPr>
              <w:t>车辆冲洗废水产生量为</w:t>
            </w:r>
            <w:r>
              <w:rPr>
                <w:color w:val="auto"/>
                <w:highlight w:val="none"/>
              </w:rPr>
              <w:t>5.67m</w:t>
            </w:r>
            <w:r>
              <w:rPr>
                <w:color w:val="auto"/>
                <w:highlight w:val="none"/>
                <w:vertAlign w:val="superscript"/>
              </w:rPr>
              <w:t>3</w:t>
            </w:r>
            <w:r>
              <w:rPr>
                <w:color w:val="auto"/>
                <w:highlight w:val="none"/>
              </w:rPr>
              <w:t>/d</w:t>
            </w:r>
            <w:r>
              <w:rPr>
                <w:rFonts w:hint="eastAsia"/>
                <w:color w:val="auto"/>
                <w:highlight w:val="none"/>
              </w:rPr>
              <w:t>，本项目车辆冲洗废水产生量为4.08m</w:t>
            </w:r>
            <w:r>
              <w:rPr>
                <w:rFonts w:hint="eastAsia"/>
                <w:color w:val="auto"/>
                <w:highlight w:val="none"/>
                <w:vertAlign w:val="superscript"/>
              </w:rPr>
              <w:t>3</w:t>
            </w:r>
            <w:r>
              <w:rPr>
                <w:rFonts w:hint="eastAsia"/>
                <w:color w:val="auto"/>
                <w:highlight w:val="none"/>
              </w:rPr>
              <w:t>/d，乐山市沙湾区豪沐科技有限公司的洗车废水沉淀池容量为50m</w:t>
            </w:r>
            <w:r>
              <w:rPr>
                <w:rFonts w:hint="eastAsia"/>
                <w:color w:val="auto"/>
                <w:highlight w:val="none"/>
                <w:vertAlign w:val="superscript"/>
              </w:rPr>
              <w:t>3</w:t>
            </w:r>
            <w:r>
              <w:rPr>
                <w:rFonts w:hint="eastAsia"/>
                <w:color w:val="auto"/>
                <w:highlight w:val="none"/>
              </w:rPr>
              <w:t>，能满足本项目要求。</w:t>
            </w:r>
          </w:p>
          <w:p w14:paraId="28EC49E6">
            <w:pPr>
              <w:pStyle w:val="37"/>
              <w:jc w:val="left"/>
              <w:rPr>
                <w:color w:val="auto"/>
                <w:highlight w:val="none"/>
              </w:rPr>
            </w:pPr>
            <w:r>
              <w:rPr>
                <w:color w:val="auto"/>
                <w:highlight w:val="none"/>
              </w:rPr>
              <w:t>乐山市沙湾区豪沐科技有限公司</w:t>
            </w:r>
            <w:r>
              <w:rPr>
                <w:rFonts w:hint="eastAsia"/>
                <w:color w:val="auto"/>
                <w:highlight w:val="none"/>
              </w:rPr>
              <w:t>和乐山市豪宸新能源科技有限公司合计的初期雨水收集量为：585.45m</w:t>
            </w:r>
            <w:r>
              <w:rPr>
                <w:rFonts w:hint="eastAsia"/>
                <w:color w:val="auto"/>
                <w:highlight w:val="none"/>
                <w:vertAlign w:val="superscript"/>
              </w:rPr>
              <w:t>3</w:t>
            </w:r>
            <w:r>
              <w:rPr>
                <w:rFonts w:hint="eastAsia"/>
                <w:color w:val="auto"/>
                <w:highlight w:val="none"/>
              </w:rPr>
              <w:t>/次，乐山市沙湾区豪沐科技有限公司的初期雨水池容量为</w:t>
            </w:r>
            <w:r>
              <w:rPr>
                <w:color w:val="auto"/>
                <w:highlight w:val="none"/>
              </w:rPr>
              <w:t>600m</w:t>
            </w:r>
            <w:r>
              <w:rPr>
                <w:color w:val="auto"/>
                <w:highlight w:val="none"/>
                <w:vertAlign w:val="superscript"/>
              </w:rPr>
              <w:t>3</w:t>
            </w:r>
            <w:r>
              <w:rPr>
                <w:rFonts w:hint="eastAsia"/>
                <w:color w:val="auto"/>
                <w:highlight w:val="none"/>
              </w:rPr>
              <w:t>，能满足本项目要求。</w:t>
            </w:r>
          </w:p>
        </w:tc>
        <w:tc>
          <w:tcPr>
            <w:tcW w:w="558" w:type="pct"/>
            <w:shd w:val="clear" w:color="auto" w:fill="auto"/>
            <w:vAlign w:val="center"/>
          </w:tcPr>
          <w:p w14:paraId="0BDBB461">
            <w:pPr>
              <w:pStyle w:val="37"/>
              <w:rPr>
                <w:color w:val="auto"/>
                <w:highlight w:val="none"/>
              </w:rPr>
            </w:pPr>
            <w:r>
              <w:rPr>
                <w:rFonts w:hint="eastAsia"/>
                <w:color w:val="auto"/>
                <w:highlight w:val="none"/>
              </w:rPr>
              <w:t>可行</w:t>
            </w:r>
          </w:p>
        </w:tc>
      </w:tr>
      <w:tr w14:paraId="2438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393" w:type="pct"/>
            <w:vMerge w:val="continue"/>
            <w:vAlign w:val="center"/>
          </w:tcPr>
          <w:p w14:paraId="4D16DE63">
            <w:pPr>
              <w:pStyle w:val="37"/>
              <w:rPr>
                <w:color w:val="auto"/>
                <w:highlight w:val="none"/>
              </w:rPr>
            </w:pPr>
          </w:p>
        </w:tc>
        <w:tc>
          <w:tcPr>
            <w:tcW w:w="417" w:type="pct"/>
            <w:shd w:val="clear" w:color="auto" w:fill="auto"/>
            <w:vAlign w:val="center"/>
          </w:tcPr>
          <w:p w14:paraId="5C7343F6">
            <w:pPr>
              <w:pStyle w:val="37"/>
              <w:rPr>
                <w:color w:val="auto"/>
                <w:highlight w:val="none"/>
              </w:rPr>
            </w:pPr>
            <w:r>
              <w:rPr>
                <w:rFonts w:hint="eastAsia"/>
                <w:color w:val="auto"/>
                <w:highlight w:val="none"/>
              </w:rPr>
              <w:t>地下水、土壤污染防治</w:t>
            </w:r>
          </w:p>
        </w:tc>
        <w:tc>
          <w:tcPr>
            <w:tcW w:w="1684" w:type="pct"/>
            <w:shd w:val="clear" w:color="auto" w:fill="auto"/>
            <w:vAlign w:val="center"/>
          </w:tcPr>
          <w:p w14:paraId="00E6DC94">
            <w:pPr>
              <w:pStyle w:val="37"/>
              <w:jc w:val="left"/>
              <w:rPr>
                <w:rFonts w:hint="default" w:eastAsia="宋体"/>
                <w:color w:val="auto"/>
                <w:highlight w:val="none"/>
                <w:lang w:val="en-US" w:eastAsia="zh-CN"/>
              </w:rPr>
            </w:pPr>
            <w:r>
              <w:rPr>
                <w:rFonts w:hint="eastAsia"/>
                <w:color w:val="auto"/>
                <w:highlight w:val="none"/>
              </w:rPr>
              <w:t>乐山市沙湾区豪沐科技有限公司</w:t>
            </w:r>
            <w:r>
              <w:rPr>
                <w:rFonts w:hint="eastAsia"/>
                <w:color w:val="auto"/>
                <w:highlight w:val="none"/>
                <w:lang w:val="en-US" w:eastAsia="zh-CN"/>
              </w:rPr>
              <w:t>初期雨水池已采取重点防渗。洗车区、洗车废水沉淀池已采取一般防渗。门卫室、办公生活楼已采取简单防渗</w:t>
            </w:r>
          </w:p>
        </w:tc>
        <w:tc>
          <w:tcPr>
            <w:tcW w:w="1945" w:type="pct"/>
            <w:shd w:val="clear" w:color="auto" w:fill="auto"/>
            <w:vAlign w:val="center"/>
          </w:tcPr>
          <w:p w14:paraId="389E503D">
            <w:pPr>
              <w:pStyle w:val="37"/>
              <w:jc w:val="left"/>
              <w:rPr>
                <w:rFonts w:hint="default" w:eastAsia="宋体"/>
                <w:color w:val="auto"/>
                <w:highlight w:val="none"/>
                <w:lang w:val="en-US" w:eastAsia="zh-CN"/>
              </w:rPr>
            </w:pPr>
            <w:r>
              <w:rPr>
                <w:rFonts w:hint="eastAsia"/>
                <w:color w:val="auto"/>
                <w:highlight w:val="none"/>
                <w:lang w:val="en-US" w:eastAsia="zh-CN"/>
              </w:rPr>
              <w:t>本项目依托乐山市沙湾区豪沐科技有限公司初期雨水池、洗车区、洗车废水沉淀池、门卫室、办公生活楼，能满足本项目要求。</w:t>
            </w:r>
          </w:p>
        </w:tc>
        <w:tc>
          <w:tcPr>
            <w:tcW w:w="558" w:type="pct"/>
            <w:shd w:val="clear" w:color="auto" w:fill="auto"/>
            <w:vAlign w:val="center"/>
          </w:tcPr>
          <w:p w14:paraId="60CBC5E0">
            <w:pPr>
              <w:pStyle w:val="37"/>
              <w:rPr>
                <w:rFonts w:hint="eastAsia"/>
                <w:color w:val="auto"/>
                <w:highlight w:val="none"/>
              </w:rPr>
            </w:pPr>
            <w:r>
              <w:rPr>
                <w:rFonts w:hint="eastAsia"/>
                <w:color w:val="auto"/>
                <w:highlight w:val="none"/>
              </w:rPr>
              <w:t>可行</w:t>
            </w:r>
          </w:p>
        </w:tc>
      </w:tr>
      <w:tr w14:paraId="6BD5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3" w:type="pct"/>
            <w:vAlign w:val="center"/>
          </w:tcPr>
          <w:p w14:paraId="5033A8D0">
            <w:pPr>
              <w:pStyle w:val="37"/>
              <w:rPr>
                <w:color w:val="auto"/>
                <w:highlight w:val="none"/>
              </w:rPr>
            </w:pPr>
            <w:r>
              <w:rPr>
                <w:color w:val="auto"/>
                <w:highlight w:val="none"/>
              </w:rPr>
              <w:t>生活办公</w:t>
            </w:r>
          </w:p>
        </w:tc>
        <w:tc>
          <w:tcPr>
            <w:tcW w:w="417" w:type="pct"/>
            <w:shd w:val="clear" w:color="auto" w:fill="auto"/>
            <w:vAlign w:val="center"/>
          </w:tcPr>
          <w:p w14:paraId="68E01784">
            <w:pPr>
              <w:pStyle w:val="37"/>
              <w:rPr>
                <w:color w:val="auto"/>
                <w:highlight w:val="none"/>
              </w:rPr>
            </w:pPr>
            <w:r>
              <w:rPr>
                <w:color w:val="auto"/>
                <w:highlight w:val="none"/>
              </w:rPr>
              <w:t>办公生活楼</w:t>
            </w:r>
          </w:p>
        </w:tc>
        <w:tc>
          <w:tcPr>
            <w:tcW w:w="1684" w:type="pct"/>
            <w:shd w:val="clear" w:color="auto" w:fill="auto"/>
            <w:vAlign w:val="center"/>
          </w:tcPr>
          <w:p w14:paraId="77F308A1">
            <w:pPr>
              <w:pStyle w:val="37"/>
              <w:jc w:val="left"/>
              <w:rPr>
                <w:color w:val="auto"/>
                <w:highlight w:val="none"/>
              </w:rPr>
            </w:pPr>
            <w:r>
              <w:rPr>
                <w:color w:val="auto"/>
                <w:highlight w:val="none"/>
              </w:rPr>
              <w:t>乐山市沙湾区豪沐科技有限公司</w:t>
            </w:r>
            <w:r>
              <w:rPr>
                <w:rFonts w:hint="eastAsia"/>
                <w:color w:val="auto"/>
                <w:highlight w:val="none"/>
              </w:rPr>
              <w:t>建设有1栋3层的办公生活楼</w:t>
            </w:r>
            <w:r>
              <w:rPr>
                <w:rFonts w:hint="eastAsia"/>
                <w:color w:val="auto"/>
                <w:highlight w:val="none"/>
                <w:lang w:eastAsia="zh-CN"/>
              </w:rPr>
              <w:t>（</w:t>
            </w:r>
            <w:r>
              <w:rPr>
                <w:rFonts w:hint="eastAsia"/>
                <w:color w:val="auto"/>
                <w:highlight w:val="none"/>
                <w:lang w:val="en-US" w:eastAsia="zh-CN"/>
              </w:rPr>
              <w:t>配套设置有职工食堂和职工宿舍</w:t>
            </w:r>
            <w:r>
              <w:rPr>
                <w:rFonts w:hint="eastAsia"/>
                <w:color w:val="auto"/>
                <w:highlight w:val="none"/>
                <w:lang w:eastAsia="zh-CN"/>
              </w:rPr>
              <w:t>）</w:t>
            </w:r>
            <w:r>
              <w:rPr>
                <w:rFonts w:hint="eastAsia"/>
                <w:color w:val="auto"/>
                <w:highlight w:val="none"/>
              </w:rPr>
              <w:t>。</w:t>
            </w:r>
          </w:p>
        </w:tc>
        <w:tc>
          <w:tcPr>
            <w:tcW w:w="1945" w:type="pct"/>
            <w:shd w:val="clear" w:color="auto" w:fill="auto"/>
            <w:vAlign w:val="center"/>
          </w:tcPr>
          <w:p w14:paraId="419EF4FC">
            <w:pPr>
              <w:pStyle w:val="37"/>
              <w:jc w:val="left"/>
              <w:rPr>
                <w:rFonts w:hint="default" w:eastAsia="宋体"/>
                <w:color w:val="auto"/>
                <w:highlight w:val="none"/>
                <w:lang w:val="en-US" w:eastAsia="zh-CN"/>
              </w:rPr>
            </w:pPr>
            <w:r>
              <w:rPr>
                <w:rFonts w:hint="eastAsia"/>
                <w:color w:val="auto"/>
                <w:highlight w:val="none"/>
              </w:rPr>
              <w:t>本项目租用乐山市沙湾区豪沐科技有限公司办公生活楼的一楼作为办公用房，能满足本项目要求。</w:t>
            </w:r>
            <w:r>
              <w:rPr>
                <w:rFonts w:hint="eastAsia"/>
                <w:color w:val="auto"/>
                <w:highlight w:val="none"/>
                <w:lang w:val="en-US" w:eastAsia="zh-CN"/>
              </w:rPr>
              <w:t>本项目食堂依托乐山市沙湾区豪沐科技有限公司办公楼内的食堂，能满足本项目要求。</w:t>
            </w:r>
          </w:p>
        </w:tc>
        <w:tc>
          <w:tcPr>
            <w:tcW w:w="558" w:type="pct"/>
            <w:shd w:val="clear" w:color="auto" w:fill="auto"/>
            <w:vAlign w:val="center"/>
          </w:tcPr>
          <w:p w14:paraId="0A2941FD">
            <w:pPr>
              <w:pStyle w:val="37"/>
              <w:rPr>
                <w:color w:val="auto"/>
                <w:highlight w:val="none"/>
              </w:rPr>
            </w:pPr>
            <w:r>
              <w:rPr>
                <w:rFonts w:hint="eastAsia"/>
                <w:color w:val="auto"/>
                <w:highlight w:val="none"/>
              </w:rPr>
              <w:t>可行</w:t>
            </w:r>
          </w:p>
        </w:tc>
      </w:tr>
    </w:tbl>
    <w:p w14:paraId="6F8F49BA">
      <w:pPr>
        <w:pStyle w:val="3"/>
        <w:adjustRightInd w:val="0"/>
        <w:rPr>
          <w:rFonts w:cs="Times New Roman"/>
          <w:color w:val="auto"/>
          <w:highlight w:val="none"/>
        </w:rPr>
      </w:pPr>
      <w:bookmarkStart w:id="103" w:name="_Toc24435"/>
      <w:r>
        <w:rPr>
          <w:rFonts w:cs="Times New Roman"/>
          <w:color w:val="auto"/>
          <w:highlight w:val="none"/>
        </w:rPr>
        <w:t>主要原辅料及能耗</w:t>
      </w:r>
      <w:bookmarkEnd w:id="103"/>
    </w:p>
    <w:p w14:paraId="670C5C3B">
      <w:pPr>
        <w:adjustRightInd w:val="0"/>
        <w:ind w:firstLine="480"/>
        <w:rPr>
          <w:rFonts w:cs="Times New Roman"/>
          <w:color w:val="auto"/>
          <w:highlight w:val="none"/>
        </w:rPr>
      </w:pPr>
      <w:r>
        <w:rPr>
          <w:rFonts w:cs="Times New Roman"/>
          <w:color w:val="auto"/>
          <w:highlight w:val="none"/>
        </w:rPr>
        <w:t>项目运营期主要原辅材料和能耗见下表。</w:t>
      </w:r>
    </w:p>
    <w:p w14:paraId="603B206B">
      <w:pPr>
        <w:pStyle w:val="12"/>
        <w:adjustRightInd w:val="0"/>
        <w:ind w:firstLine="48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项目原辅材料一览表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1191"/>
        <w:gridCol w:w="1336"/>
        <w:gridCol w:w="716"/>
        <w:gridCol w:w="1101"/>
        <w:gridCol w:w="859"/>
        <w:gridCol w:w="812"/>
        <w:gridCol w:w="1058"/>
        <w:gridCol w:w="1029"/>
      </w:tblGrid>
      <w:tr w14:paraId="4BA8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tblHeader/>
          <w:jc w:val="center"/>
        </w:trPr>
        <w:tc>
          <w:tcPr>
            <w:tcW w:w="247" w:type="pct"/>
            <w:vAlign w:val="center"/>
          </w:tcPr>
          <w:p w14:paraId="575792AB">
            <w:pPr>
              <w:pStyle w:val="69"/>
              <w:spacing w:before="65" w:after="65"/>
              <w:rPr>
                <w:rFonts w:cs="Times New Roman"/>
                <w:b/>
                <w:bCs w:val="0"/>
                <w:color w:val="auto"/>
                <w:highlight w:val="none"/>
              </w:rPr>
            </w:pPr>
            <w:r>
              <w:rPr>
                <w:rFonts w:cs="Times New Roman"/>
                <w:b/>
                <w:bCs w:val="0"/>
                <w:color w:val="auto"/>
                <w:highlight w:val="none"/>
              </w:rPr>
              <w:t>类别</w:t>
            </w:r>
          </w:p>
        </w:tc>
        <w:tc>
          <w:tcPr>
            <w:tcW w:w="698" w:type="pct"/>
            <w:vAlign w:val="center"/>
          </w:tcPr>
          <w:p w14:paraId="55A2963E">
            <w:pPr>
              <w:pStyle w:val="69"/>
              <w:spacing w:before="65" w:after="65"/>
              <w:rPr>
                <w:rFonts w:cs="Times New Roman"/>
                <w:b/>
                <w:bCs w:val="0"/>
                <w:color w:val="auto"/>
                <w:highlight w:val="none"/>
              </w:rPr>
            </w:pPr>
            <w:r>
              <w:rPr>
                <w:rFonts w:cs="Times New Roman"/>
                <w:b/>
                <w:bCs w:val="0"/>
                <w:color w:val="auto"/>
                <w:highlight w:val="none"/>
              </w:rPr>
              <w:t>名称</w:t>
            </w:r>
          </w:p>
        </w:tc>
        <w:tc>
          <w:tcPr>
            <w:tcW w:w="783" w:type="pct"/>
            <w:vAlign w:val="center"/>
          </w:tcPr>
          <w:p w14:paraId="596AA67B">
            <w:pPr>
              <w:pStyle w:val="69"/>
              <w:spacing w:before="65" w:after="65"/>
              <w:rPr>
                <w:rFonts w:cs="Times New Roman"/>
                <w:b/>
                <w:bCs w:val="0"/>
                <w:color w:val="auto"/>
                <w:highlight w:val="none"/>
              </w:rPr>
            </w:pPr>
            <w:r>
              <w:rPr>
                <w:rFonts w:cs="Times New Roman"/>
                <w:b/>
                <w:bCs w:val="0"/>
                <w:color w:val="auto"/>
                <w:highlight w:val="none"/>
              </w:rPr>
              <w:t>成分</w:t>
            </w:r>
          </w:p>
        </w:tc>
        <w:tc>
          <w:tcPr>
            <w:tcW w:w="420" w:type="pct"/>
            <w:vAlign w:val="center"/>
          </w:tcPr>
          <w:p w14:paraId="6B81B457">
            <w:pPr>
              <w:pStyle w:val="69"/>
              <w:spacing w:before="65" w:after="65"/>
              <w:rPr>
                <w:rFonts w:cs="Times New Roman"/>
                <w:b/>
                <w:bCs w:val="0"/>
                <w:color w:val="auto"/>
                <w:highlight w:val="none"/>
              </w:rPr>
            </w:pPr>
            <w:r>
              <w:rPr>
                <w:rFonts w:cs="Times New Roman"/>
                <w:b/>
                <w:bCs w:val="0"/>
                <w:color w:val="auto"/>
                <w:highlight w:val="none"/>
              </w:rPr>
              <w:t>状态</w:t>
            </w:r>
          </w:p>
        </w:tc>
        <w:tc>
          <w:tcPr>
            <w:tcW w:w="645" w:type="pct"/>
            <w:vAlign w:val="center"/>
          </w:tcPr>
          <w:p w14:paraId="69F070E1">
            <w:pPr>
              <w:pStyle w:val="69"/>
              <w:spacing w:before="65" w:after="65"/>
              <w:rPr>
                <w:rFonts w:cs="Times New Roman"/>
                <w:b/>
                <w:bCs w:val="0"/>
                <w:color w:val="auto"/>
                <w:highlight w:val="none"/>
              </w:rPr>
            </w:pPr>
            <w:r>
              <w:rPr>
                <w:rFonts w:cs="Times New Roman"/>
                <w:b/>
                <w:bCs w:val="0"/>
                <w:color w:val="auto"/>
                <w:highlight w:val="none"/>
              </w:rPr>
              <w:t>年耗量（t）</w:t>
            </w:r>
          </w:p>
        </w:tc>
        <w:tc>
          <w:tcPr>
            <w:tcW w:w="503" w:type="pct"/>
            <w:vAlign w:val="center"/>
          </w:tcPr>
          <w:p w14:paraId="48274A92">
            <w:pPr>
              <w:pStyle w:val="69"/>
              <w:spacing w:before="65" w:after="65"/>
              <w:rPr>
                <w:rFonts w:cs="Times New Roman"/>
                <w:b/>
                <w:bCs w:val="0"/>
                <w:color w:val="auto"/>
                <w:highlight w:val="none"/>
              </w:rPr>
            </w:pPr>
            <w:r>
              <w:rPr>
                <w:rFonts w:hint="eastAsia"/>
                <w:b/>
                <w:bCs w:val="0"/>
                <w:color w:val="auto"/>
                <w:highlight w:val="none"/>
              </w:rPr>
              <w:t>最大</w:t>
            </w:r>
            <w:r>
              <w:rPr>
                <w:rFonts w:cs="Times New Roman"/>
                <w:b/>
                <w:bCs w:val="0"/>
                <w:color w:val="auto"/>
                <w:highlight w:val="none"/>
              </w:rPr>
              <w:t>储存量（t）</w:t>
            </w:r>
          </w:p>
        </w:tc>
        <w:tc>
          <w:tcPr>
            <w:tcW w:w="476" w:type="pct"/>
            <w:vAlign w:val="center"/>
          </w:tcPr>
          <w:p w14:paraId="26648CEC">
            <w:pPr>
              <w:pStyle w:val="69"/>
              <w:spacing w:before="65" w:after="65"/>
              <w:rPr>
                <w:rFonts w:cs="Times New Roman"/>
                <w:b/>
                <w:bCs w:val="0"/>
                <w:color w:val="auto"/>
                <w:highlight w:val="none"/>
              </w:rPr>
            </w:pPr>
            <w:r>
              <w:rPr>
                <w:rFonts w:cs="Times New Roman"/>
                <w:b/>
                <w:bCs w:val="0"/>
                <w:color w:val="auto"/>
                <w:highlight w:val="none"/>
              </w:rPr>
              <w:t>来源</w:t>
            </w:r>
          </w:p>
        </w:tc>
        <w:tc>
          <w:tcPr>
            <w:tcW w:w="620" w:type="pct"/>
            <w:vAlign w:val="center"/>
          </w:tcPr>
          <w:p w14:paraId="7A7EF0F4">
            <w:pPr>
              <w:pStyle w:val="69"/>
              <w:spacing w:before="65" w:after="65"/>
              <w:rPr>
                <w:rFonts w:cs="Times New Roman"/>
                <w:b/>
                <w:bCs w:val="0"/>
                <w:color w:val="auto"/>
                <w:highlight w:val="none"/>
              </w:rPr>
            </w:pPr>
            <w:r>
              <w:rPr>
                <w:rFonts w:cs="Times New Roman"/>
                <w:b/>
                <w:bCs w:val="0"/>
                <w:color w:val="auto"/>
                <w:highlight w:val="none"/>
              </w:rPr>
              <w:t>包装规格</w:t>
            </w:r>
          </w:p>
        </w:tc>
        <w:tc>
          <w:tcPr>
            <w:tcW w:w="603" w:type="pct"/>
            <w:vAlign w:val="center"/>
          </w:tcPr>
          <w:p w14:paraId="72EEBBD2">
            <w:pPr>
              <w:pStyle w:val="69"/>
              <w:spacing w:before="65" w:after="65"/>
              <w:rPr>
                <w:rFonts w:cs="Times New Roman"/>
                <w:b/>
                <w:bCs w:val="0"/>
                <w:color w:val="auto"/>
                <w:highlight w:val="none"/>
              </w:rPr>
            </w:pPr>
            <w:r>
              <w:rPr>
                <w:rFonts w:cs="Times New Roman"/>
                <w:b/>
                <w:bCs w:val="0"/>
                <w:color w:val="auto"/>
                <w:highlight w:val="none"/>
              </w:rPr>
              <w:t>贮存场所</w:t>
            </w:r>
          </w:p>
        </w:tc>
      </w:tr>
      <w:tr w14:paraId="22C1D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restart"/>
            <w:vAlign w:val="center"/>
          </w:tcPr>
          <w:p w14:paraId="1463B7DF">
            <w:pPr>
              <w:pStyle w:val="69"/>
              <w:spacing w:before="65" w:after="65"/>
              <w:rPr>
                <w:rFonts w:cs="Times New Roman"/>
                <w:color w:val="auto"/>
                <w:highlight w:val="none"/>
              </w:rPr>
            </w:pPr>
            <w:r>
              <w:rPr>
                <w:rFonts w:cs="Times New Roman"/>
                <w:color w:val="auto"/>
                <w:highlight w:val="none"/>
              </w:rPr>
              <w:t>原辅料</w:t>
            </w:r>
          </w:p>
        </w:tc>
        <w:tc>
          <w:tcPr>
            <w:tcW w:w="698" w:type="pct"/>
            <w:vAlign w:val="center"/>
          </w:tcPr>
          <w:p w14:paraId="5091A21B">
            <w:pPr>
              <w:pStyle w:val="69"/>
              <w:spacing w:before="65" w:after="65"/>
              <w:rPr>
                <w:rFonts w:cs="Times New Roman"/>
                <w:color w:val="auto"/>
                <w:highlight w:val="none"/>
              </w:rPr>
            </w:pPr>
            <w:r>
              <w:rPr>
                <w:rFonts w:cs="Times New Roman"/>
                <w:color w:val="auto"/>
                <w:highlight w:val="none"/>
              </w:rPr>
              <w:t>锂辉石原矿</w:t>
            </w:r>
          </w:p>
        </w:tc>
        <w:tc>
          <w:tcPr>
            <w:tcW w:w="783" w:type="pct"/>
            <w:vAlign w:val="center"/>
          </w:tcPr>
          <w:p w14:paraId="7E04B335">
            <w:pPr>
              <w:pStyle w:val="69"/>
              <w:spacing w:before="65" w:after="65"/>
              <w:rPr>
                <w:rFonts w:cs="Times New Roman"/>
                <w:color w:val="auto"/>
                <w:highlight w:val="none"/>
              </w:rPr>
            </w:pPr>
            <w:r>
              <w:rPr>
                <w:rFonts w:cs="Times New Roman"/>
                <w:color w:val="auto"/>
                <w:highlight w:val="none"/>
              </w:rPr>
              <w:t>锂辉石</w:t>
            </w:r>
          </w:p>
        </w:tc>
        <w:tc>
          <w:tcPr>
            <w:tcW w:w="420" w:type="pct"/>
            <w:vAlign w:val="center"/>
          </w:tcPr>
          <w:p w14:paraId="155BEA73">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023DEA5D">
            <w:pPr>
              <w:pStyle w:val="37"/>
              <w:rPr>
                <w:color w:val="auto"/>
                <w:highlight w:val="none"/>
              </w:rPr>
            </w:pPr>
            <w:r>
              <w:rPr>
                <w:rFonts w:hint="eastAsia"/>
                <w:color w:val="auto"/>
                <w:highlight w:val="none"/>
              </w:rPr>
              <w:t>360000</w:t>
            </w:r>
          </w:p>
        </w:tc>
        <w:tc>
          <w:tcPr>
            <w:tcW w:w="503" w:type="pct"/>
            <w:vAlign w:val="center"/>
          </w:tcPr>
          <w:p w14:paraId="1C54A830">
            <w:pPr>
              <w:pStyle w:val="69"/>
              <w:spacing w:before="65" w:after="65"/>
              <w:rPr>
                <w:color w:val="auto"/>
                <w:highlight w:val="none"/>
              </w:rPr>
            </w:pPr>
            <w:r>
              <w:rPr>
                <w:color w:val="auto"/>
                <w:highlight w:val="none"/>
              </w:rPr>
              <w:t>49000</w:t>
            </w:r>
          </w:p>
        </w:tc>
        <w:tc>
          <w:tcPr>
            <w:tcW w:w="476" w:type="pct"/>
            <w:vAlign w:val="center"/>
          </w:tcPr>
          <w:p w14:paraId="76C4E7F8">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7B03FE37">
            <w:pPr>
              <w:pStyle w:val="69"/>
              <w:spacing w:before="65" w:after="65"/>
              <w:rPr>
                <w:rFonts w:cs="Times New Roman"/>
                <w:color w:val="auto"/>
                <w:highlight w:val="none"/>
              </w:rPr>
            </w:pPr>
            <w:r>
              <w:rPr>
                <w:rFonts w:cs="Times New Roman"/>
                <w:color w:val="auto"/>
                <w:highlight w:val="none"/>
              </w:rPr>
              <w:t>/</w:t>
            </w:r>
          </w:p>
        </w:tc>
        <w:tc>
          <w:tcPr>
            <w:tcW w:w="603" w:type="pct"/>
            <w:vAlign w:val="center"/>
          </w:tcPr>
          <w:p w14:paraId="633C7E30">
            <w:pPr>
              <w:pStyle w:val="69"/>
              <w:spacing w:before="65" w:after="65"/>
              <w:rPr>
                <w:rFonts w:cs="Times New Roman"/>
                <w:color w:val="auto"/>
                <w:highlight w:val="none"/>
              </w:rPr>
            </w:pPr>
            <w:r>
              <w:rPr>
                <w:rFonts w:cs="Times New Roman"/>
                <w:color w:val="auto"/>
                <w:highlight w:val="none"/>
              </w:rPr>
              <w:t>原矿仓库</w:t>
            </w:r>
          </w:p>
        </w:tc>
      </w:tr>
      <w:tr w14:paraId="02B2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0201D166">
            <w:pPr>
              <w:pStyle w:val="69"/>
              <w:spacing w:before="65" w:after="65"/>
              <w:rPr>
                <w:rFonts w:cs="Times New Roman"/>
                <w:color w:val="auto"/>
                <w:highlight w:val="none"/>
                <w:lang w:eastAsia="zh-Hans"/>
              </w:rPr>
            </w:pPr>
          </w:p>
        </w:tc>
        <w:tc>
          <w:tcPr>
            <w:tcW w:w="698" w:type="pct"/>
            <w:vAlign w:val="center"/>
          </w:tcPr>
          <w:p w14:paraId="1ACAE231">
            <w:pPr>
              <w:pStyle w:val="69"/>
              <w:spacing w:before="65" w:after="65"/>
              <w:rPr>
                <w:rFonts w:cs="Times New Roman"/>
                <w:color w:val="auto"/>
                <w:highlight w:val="none"/>
              </w:rPr>
            </w:pPr>
            <w:r>
              <w:rPr>
                <w:rFonts w:cs="Times New Roman"/>
                <w:color w:val="auto"/>
                <w:highlight w:val="none"/>
              </w:rPr>
              <w:t>氢氧化钠</w:t>
            </w:r>
          </w:p>
        </w:tc>
        <w:tc>
          <w:tcPr>
            <w:tcW w:w="783" w:type="pct"/>
            <w:vAlign w:val="center"/>
          </w:tcPr>
          <w:p w14:paraId="745424C0">
            <w:pPr>
              <w:pStyle w:val="69"/>
              <w:spacing w:before="65" w:after="65"/>
              <w:rPr>
                <w:rFonts w:cs="Times New Roman"/>
                <w:color w:val="auto"/>
                <w:highlight w:val="none"/>
              </w:rPr>
            </w:pPr>
            <w:r>
              <w:rPr>
                <w:rFonts w:cs="Times New Roman"/>
                <w:color w:val="auto"/>
                <w:highlight w:val="none"/>
              </w:rPr>
              <w:t>NaOH</w:t>
            </w:r>
          </w:p>
        </w:tc>
        <w:tc>
          <w:tcPr>
            <w:tcW w:w="420" w:type="pct"/>
            <w:vAlign w:val="center"/>
          </w:tcPr>
          <w:p w14:paraId="5B12DE5F">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7DE9CFD4">
            <w:pPr>
              <w:pStyle w:val="37"/>
              <w:rPr>
                <w:color w:val="auto"/>
                <w:highlight w:val="none"/>
              </w:rPr>
            </w:pPr>
            <w:r>
              <w:rPr>
                <w:rFonts w:hint="eastAsia"/>
                <w:color w:val="auto"/>
                <w:highlight w:val="none"/>
              </w:rPr>
              <w:t>7.83</w:t>
            </w:r>
          </w:p>
        </w:tc>
        <w:tc>
          <w:tcPr>
            <w:tcW w:w="503" w:type="pct"/>
            <w:vAlign w:val="center"/>
          </w:tcPr>
          <w:p w14:paraId="0DD6F8BF">
            <w:pPr>
              <w:pStyle w:val="69"/>
              <w:spacing w:before="65" w:after="65"/>
              <w:rPr>
                <w:color w:val="auto"/>
                <w:highlight w:val="none"/>
              </w:rPr>
            </w:pPr>
            <w:r>
              <w:rPr>
                <w:color w:val="auto"/>
                <w:highlight w:val="none"/>
              </w:rPr>
              <w:t>0.1</w:t>
            </w:r>
          </w:p>
        </w:tc>
        <w:tc>
          <w:tcPr>
            <w:tcW w:w="476" w:type="pct"/>
            <w:vAlign w:val="center"/>
          </w:tcPr>
          <w:p w14:paraId="0B116D44">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36996DD2">
            <w:pPr>
              <w:pStyle w:val="69"/>
              <w:spacing w:before="65" w:after="65"/>
              <w:rPr>
                <w:rFonts w:cs="Times New Roman"/>
                <w:color w:val="auto"/>
                <w:highlight w:val="none"/>
              </w:rPr>
            </w:pPr>
            <w:r>
              <w:rPr>
                <w:rFonts w:cs="Times New Roman"/>
                <w:color w:val="auto"/>
                <w:highlight w:val="none"/>
              </w:rPr>
              <w:t>25kg/袋</w:t>
            </w:r>
          </w:p>
        </w:tc>
        <w:tc>
          <w:tcPr>
            <w:tcW w:w="603" w:type="pct"/>
            <w:vAlign w:val="center"/>
          </w:tcPr>
          <w:p w14:paraId="3716D9E5">
            <w:pPr>
              <w:pStyle w:val="69"/>
              <w:spacing w:before="65" w:after="65"/>
              <w:rPr>
                <w:rFonts w:cs="Times New Roman"/>
                <w:color w:val="auto"/>
                <w:highlight w:val="none"/>
              </w:rPr>
            </w:pPr>
            <w:r>
              <w:rPr>
                <w:rFonts w:cs="Times New Roman"/>
                <w:color w:val="auto"/>
                <w:highlight w:val="none"/>
              </w:rPr>
              <w:t>药剂库</w:t>
            </w:r>
          </w:p>
        </w:tc>
      </w:tr>
      <w:tr w14:paraId="3E75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01C663F0">
            <w:pPr>
              <w:pStyle w:val="69"/>
              <w:spacing w:before="65" w:after="65"/>
              <w:rPr>
                <w:rFonts w:cs="Times New Roman"/>
                <w:color w:val="auto"/>
                <w:highlight w:val="none"/>
                <w:lang w:eastAsia="zh-Hans"/>
              </w:rPr>
            </w:pPr>
          </w:p>
        </w:tc>
        <w:tc>
          <w:tcPr>
            <w:tcW w:w="698" w:type="pct"/>
            <w:vAlign w:val="center"/>
          </w:tcPr>
          <w:p w14:paraId="32F48C9D">
            <w:pPr>
              <w:pStyle w:val="69"/>
              <w:spacing w:before="65" w:after="65"/>
              <w:rPr>
                <w:rFonts w:cs="Times New Roman"/>
                <w:color w:val="auto"/>
                <w:highlight w:val="none"/>
              </w:rPr>
            </w:pPr>
            <w:r>
              <w:rPr>
                <w:rFonts w:cs="Times New Roman"/>
                <w:color w:val="auto"/>
                <w:highlight w:val="none"/>
              </w:rPr>
              <w:t>碳酸钠</w:t>
            </w:r>
          </w:p>
        </w:tc>
        <w:tc>
          <w:tcPr>
            <w:tcW w:w="783" w:type="pct"/>
            <w:vAlign w:val="center"/>
          </w:tcPr>
          <w:p w14:paraId="6AC323C4">
            <w:pPr>
              <w:pStyle w:val="69"/>
              <w:spacing w:before="65" w:after="65"/>
              <w:rPr>
                <w:rFonts w:cs="Times New Roman"/>
                <w:color w:val="auto"/>
                <w:highlight w:val="none"/>
              </w:rPr>
            </w:pPr>
            <w:r>
              <w:rPr>
                <w:rFonts w:cs="Times New Roman"/>
                <w:color w:val="auto"/>
                <w:highlight w:val="none"/>
              </w:rPr>
              <w:t>Na</w:t>
            </w:r>
            <w:r>
              <w:rPr>
                <w:rFonts w:cs="Times New Roman"/>
                <w:color w:val="auto"/>
                <w:highlight w:val="none"/>
                <w:vertAlign w:val="subscript"/>
              </w:rPr>
              <w:t>2</w:t>
            </w:r>
            <w:r>
              <w:rPr>
                <w:rFonts w:cs="Times New Roman"/>
                <w:color w:val="auto"/>
                <w:highlight w:val="none"/>
              </w:rPr>
              <w:t>CO</w:t>
            </w:r>
            <w:r>
              <w:rPr>
                <w:rFonts w:cs="Times New Roman"/>
                <w:color w:val="auto"/>
                <w:highlight w:val="none"/>
                <w:vertAlign w:val="subscript"/>
              </w:rPr>
              <w:t>3</w:t>
            </w:r>
          </w:p>
        </w:tc>
        <w:tc>
          <w:tcPr>
            <w:tcW w:w="420" w:type="pct"/>
            <w:vAlign w:val="center"/>
          </w:tcPr>
          <w:p w14:paraId="5B400C5D">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432736C8">
            <w:pPr>
              <w:pStyle w:val="37"/>
              <w:rPr>
                <w:color w:val="auto"/>
                <w:highlight w:val="none"/>
              </w:rPr>
            </w:pPr>
            <w:r>
              <w:rPr>
                <w:rFonts w:hint="eastAsia"/>
                <w:color w:val="auto"/>
                <w:highlight w:val="none"/>
              </w:rPr>
              <w:t>563.76</w:t>
            </w:r>
          </w:p>
        </w:tc>
        <w:tc>
          <w:tcPr>
            <w:tcW w:w="503" w:type="pct"/>
            <w:vAlign w:val="center"/>
          </w:tcPr>
          <w:p w14:paraId="526D7F2E">
            <w:pPr>
              <w:pStyle w:val="69"/>
              <w:spacing w:before="65" w:after="65"/>
              <w:rPr>
                <w:color w:val="auto"/>
                <w:highlight w:val="none"/>
              </w:rPr>
            </w:pPr>
            <w:r>
              <w:rPr>
                <w:color w:val="auto"/>
                <w:highlight w:val="none"/>
              </w:rPr>
              <w:t>100</w:t>
            </w:r>
          </w:p>
        </w:tc>
        <w:tc>
          <w:tcPr>
            <w:tcW w:w="476" w:type="pct"/>
            <w:vAlign w:val="center"/>
          </w:tcPr>
          <w:p w14:paraId="4DB4F076">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3179B629">
            <w:pPr>
              <w:pStyle w:val="69"/>
              <w:spacing w:before="65" w:after="65"/>
              <w:rPr>
                <w:rFonts w:cs="Times New Roman"/>
                <w:color w:val="auto"/>
                <w:highlight w:val="none"/>
              </w:rPr>
            </w:pPr>
            <w:r>
              <w:rPr>
                <w:rFonts w:cs="Times New Roman"/>
                <w:color w:val="auto"/>
                <w:highlight w:val="none"/>
              </w:rPr>
              <w:t>50kg/袋</w:t>
            </w:r>
          </w:p>
        </w:tc>
        <w:tc>
          <w:tcPr>
            <w:tcW w:w="603" w:type="pct"/>
            <w:vAlign w:val="center"/>
          </w:tcPr>
          <w:p w14:paraId="254E0DD3">
            <w:pPr>
              <w:pStyle w:val="69"/>
              <w:spacing w:before="65" w:after="65"/>
              <w:rPr>
                <w:rFonts w:cs="Times New Roman"/>
                <w:color w:val="auto"/>
                <w:highlight w:val="none"/>
              </w:rPr>
            </w:pPr>
            <w:r>
              <w:rPr>
                <w:rFonts w:cs="Times New Roman"/>
                <w:color w:val="auto"/>
                <w:highlight w:val="none"/>
              </w:rPr>
              <w:t>药剂库</w:t>
            </w:r>
          </w:p>
        </w:tc>
      </w:tr>
      <w:tr w14:paraId="48FD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2EE7983E">
            <w:pPr>
              <w:pStyle w:val="69"/>
              <w:spacing w:before="65" w:after="65"/>
              <w:rPr>
                <w:rFonts w:cs="Times New Roman"/>
                <w:color w:val="auto"/>
                <w:highlight w:val="none"/>
                <w:lang w:eastAsia="zh-Hans"/>
              </w:rPr>
            </w:pPr>
          </w:p>
        </w:tc>
        <w:tc>
          <w:tcPr>
            <w:tcW w:w="698" w:type="pct"/>
            <w:vAlign w:val="center"/>
          </w:tcPr>
          <w:p w14:paraId="05C852ED">
            <w:pPr>
              <w:pStyle w:val="69"/>
              <w:spacing w:before="65" w:after="65"/>
              <w:rPr>
                <w:rFonts w:cs="Times New Roman"/>
                <w:color w:val="auto"/>
                <w:highlight w:val="none"/>
              </w:rPr>
            </w:pPr>
            <w:r>
              <w:rPr>
                <w:rFonts w:cs="Times New Roman"/>
                <w:color w:val="auto"/>
                <w:highlight w:val="none"/>
              </w:rPr>
              <w:t>氯化镁</w:t>
            </w:r>
          </w:p>
        </w:tc>
        <w:tc>
          <w:tcPr>
            <w:tcW w:w="783" w:type="pct"/>
            <w:vAlign w:val="center"/>
          </w:tcPr>
          <w:p w14:paraId="7121FDC0">
            <w:pPr>
              <w:pStyle w:val="69"/>
              <w:spacing w:before="65" w:after="65"/>
              <w:rPr>
                <w:rFonts w:cs="Times New Roman"/>
                <w:color w:val="auto"/>
                <w:highlight w:val="none"/>
              </w:rPr>
            </w:pPr>
            <w:r>
              <w:rPr>
                <w:rFonts w:cs="Times New Roman"/>
                <w:color w:val="auto"/>
                <w:highlight w:val="none"/>
              </w:rPr>
              <w:t>MgCl</w:t>
            </w:r>
            <w:r>
              <w:rPr>
                <w:rFonts w:cs="Times New Roman"/>
                <w:color w:val="auto"/>
                <w:highlight w:val="none"/>
                <w:vertAlign w:val="subscript"/>
              </w:rPr>
              <w:t>2</w:t>
            </w:r>
          </w:p>
        </w:tc>
        <w:tc>
          <w:tcPr>
            <w:tcW w:w="420" w:type="pct"/>
            <w:vAlign w:val="center"/>
          </w:tcPr>
          <w:p w14:paraId="40109CAC">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585737F1">
            <w:pPr>
              <w:pStyle w:val="37"/>
              <w:rPr>
                <w:color w:val="auto"/>
                <w:highlight w:val="none"/>
              </w:rPr>
            </w:pPr>
            <w:r>
              <w:rPr>
                <w:rFonts w:hint="eastAsia"/>
                <w:color w:val="auto"/>
                <w:highlight w:val="none"/>
              </w:rPr>
              <w:t>156.6</w:t>
            </w:r>
          </w:p>
        </w:tc>
        <w:tc>
          <w:tcPr>
            <w:tcW w:w="503" w:type="pct"/>
            <w:vAlign w:val="center"/>
          </w:tcPr>
          <w:p w14:paraId="250A0101">
            <w:pPr>
              <w:pStyle w:val="69"/>
              <w:spacing w:before="65" w:after="65"/>
              <w:rPr>
                <w:color w:val="auto"/>
                <w:highlight w:val="none"/>
              </w:rPr>
            </w:pPr>
            <w:r>
              <w:rPr>
                <w:color w:val="auto"/>
                <w:highlight w:val="none"/>
              </w:rPr>
              <w:t>5</w:t>
            </w:r>
          </w:p>
        </w:tc>
        <w:tc>
          <w:tcPr>
            <w:tcW w:w="476" w:type="pct"/>
            <w:vAlign w:val="center"/>
          </w:tcPr>
          <w:p w14:paraId="0BD53EC9">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0ED65A12">
            <w:pPr>
              <w:pStyle w:val="69"/>
              <w:spacing w:before="65" w:after="65"/>
              <w:rPr>
                <w:rFonts w:cs="Times New Roman"/>
                <w:color w:val="auto"/>
                <w:highlight w:val="none"/>
              </w:rPr>
            </w:pPr>
            <w:r>
              <w:rPr>
                <w:rFonts w:cs="Times New Roman"/>
                <w:color w:val="auto"/>
                <w:highlight w:val="none"/>
              </w:rPr>
              <w:t>50kg/袋</w:t>
            </w:r>
          </w:p>
        </w:tc>
        <w:tc>
          <w:tcPr>
            <w:tcW w:w="603" w:type="pct"/>
            <w:vAlign w:val="center"/>
          </w:tcPr>
          <w:p w14:paraId="504A2F18">
            <w:pPr>
              <w:pStyle w:val="69"/>
              <w:spacing w:before="65" w:after="65"/>
              <w:rPr>
                <w:rFonts w:cs="Times New Roman"/>
                <w:color w:val="auto"/>
                <w:highlight w:val="none"/>
              </w:rPr>
            </w:pPr>
            <w:r>
              <w:rPr>
                <w:rFonts w:cs="Times New Roman"/>
                <w:color w:val="auto"/>
                <w:highlight w:val="none"/>
              </w:rPr>
              <w:t>药剂库</w:t>
            </w:r>
          </w:p>
        </w:tc>
      </w:tr>
      <w:tr w14:paraId="7DD3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3F6FC257">
            <w:pPr>
              <w:pStyle w:val="69"/>
              <w:spacing w:before="65" w:after="65"/>
              <w:rPr>
                <w:rFonts w:cs="Times New Roman"/>
                <w:color w:val="auto"/>
                <w:highlight w:val="none"/>
                <w:lang w:eastAsia="zh-Hans"/>
              </w:rPr>
            </w:pPr>
          </w:p>
        </w:tc>
        <w:tc>
          <w:tcPr>
            <w:tcW w:w="698" w:type="pct"/>
            <w:vAlign w:val="center"/>
          </w:tcPr>
          <w:p w14:paraId="3D7F5221">
            <w:pPr>
              <w:pStyle w:val="69"/>
              <w:spacing w:before="65" w:after="65"/>
              <w:rPr>
                <w:rFonts w:cs="Times New Roman"/>
                <w:color w:val="auto"/>
                <w:highlight w:val="none"/>
              </w:rPr>
            </w:pPr>
            <w:r>
              <w:rPr>
                <w:rFonts w:cs="Times New Roman"/>
                <w:color w:val="auto"/>
                <w:highlight w:val="none"/>
              </w:rPr>
              <w:t>捕收剂</w:t>
            </w:r>
          </w:p>
        </w:tc>
        <w:tc>
          <w:tcPr>
            <w:tcW w:w="783" w:type="pct"/>
            <w:vAlign w:val="center"/>
          </w:tcPr>
          <w:p w14:paraId="587EA39D">
            <w:pPr>
              <w:pStyle w:val="69"/>
              <w:spacing w:before="65" w:after="65"/>
              <w:rPr>
                <w:rFonts w:cs="Times New Roman"/>
                <w:color w:val="auto"/>
                <w:highlight w:val="none"/>
              </w:rPr>
            </w:pPr>
            <w:r>
              <w:rPr>
                <w:rFonts w:cs="Times New Roman"/>
                <w:color w:val="auto"/>
                <w:highlight w:val="none"/>
              </w:rPr>
              <w:t>RCO</w:t>
            </w:r>
            <w:r>
              <w:rPr>
                <w:rFonts w:cs="Times New Roman"/>
                <w:color w:val="auto"/>
                <w:highlight w:val="none"/>
                <w:vertAlign w:val="subscript"/>
              </w:rPr>
              <w:t>2</w:t>
            </w:r>
            <w:r>
              <w:rPr>
                <w:rFonts w:cs="Times New Roman"/>
                <w:color w:val="auto"/>
                <w:highlight w:val="none"/>
              </w:rPr>
              <w:t>Na</w:t>
            </w:r>
          </w:p>
        </w:tc>
        <w:tc>
          <w:tcPr>
            <w:tcW w:w="420" w:type="pct"/>
            <w:vAlign w:val="center"/>
          </w:tcPr>
          <w:p w14:paraId="0D579FE5">
            <w:pPr>
              <w:pStyle w:val="69"/>
              <w:spacing w:before="65" w:after="65"/>
              <w:rPr>
                <w:rFonts w:cs="Times New Roman"/>
                <w:color w:val="auto"/>
                <w:highlight w:val="none"/>
              </w:rPr>
            </w:pPr>
            <w:r>
              <w:rPr>
                <w:rFonts w:cs="Times New Roman"/>
                <w:color w:val="auto"/>
                <w:highlight w:val="none"/>
              </w:rPr>
              <w:t>液态</w:t>
            </w:r>
          </w:p>
        </w:tc>
        <w:tc>
          <w:tcPr>
            <w:tcW w:w="1101" w:type="dxa"/>
            <w:vAlign w:val="center"/>
          </w:tcPr>
          <w:p w14:paraId="759DD035">
            <w:pPr>
              <w:pStyle w:val="37"/>
              <w:rPr>
                <w:color w:val="auto"/>
                <w:highlight w:val="none"/>
              </w:rPr>
            </w:pPr>
            <w:r>
              <w:rPr>
                <w:rFonts w:hint="eastAsia"/>
                <w:color w:val="auto"/>
                <w:highlight w:val="none"/>
              </w:rPr>
              <w:t>532.44</w:t>
            </w:r>
          </w:p>
        </w:tc>
        <w:tc>
          <w:tcPr>
            <w:tcW w:w="503" w:type="pct"/>
            <w:vAlign w:val="center"/>
          </w:tcPr>
          <w:p w14:paraId="42496E0D">
            <w:pPr>
              <w:pStyle w:val="69"/>
              <w:spacing w:before="65" w:after="65"/>
              <w:rPr>
                <w:color w:val="auto"/>
                <w:highlight w:val="none"/>
              </w:rPr>
            </w:pPr>
            <w:r>
              <w:rPr>
                <w:color w:val="auto"/>
                <w:highlight w:val="none"/>
              </w:rPr>
              <w:t>50</w:t>
            </w:r>
          </w:p>
        </w:tc>
        <w:tc>
          <w:tcPr>
            <w:tcW w:w="476" w:type="pct"/>
            <w:vAlign w:val="center"/>
          </w:tcPr>
          <w:p w14:paraId="160FB8AD">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742C710D">
            <w:pPr>
              <w:pStyle w:val="69"/>
              <w:spacing w:before="65" w:after="65"/>
              <w:rPr>
                <w:rFonts w:cs="Times New Roman"/>
                <w:color w:val="auto"/>
                <w:highlight w:val="none"/>
              </w:rPr>
            </w:pPr>
            <w:r>
              <w:rPr>
                <w:rFonts w:cs="Times New Roman"/>
                <w:color w:val="auto"/>
                <w:highlight w:val="none"/>
              </w:rPr>
              <w:t>50kg/桶</w:t>
            </w:r>
          </w:p>
        </w:tc>
        <w:tc>
          <w:tcPr>
            <w:tcW w:w="603" w:type="pct"/>
            <w:vAlign w:val="center"/>
          </w:tcPr>
          <w:p w14:paraId="67FA065E">
            <w:pPr>
              <w:pStyle w:val="69"/>
              <w:spacing w:before="65" w:after="65"/>
              <w:rPr>
                <w:rFonts w:cs="Times New Roman"/>
                <w:color w:val="auto"/>
                <w:highlight w:val="none"/>
              </w:rPr>
            </w:pPr>
            <w:r>
              <w:rPr>
                <w:rFonts w:cs="Times New Roman"/>
                <w:color w:val="auto"/>
                <w:highlight w:val="none"/>
              </w:rPr>
              <w:t>药剂库</w:t>
            </w:r>
          </w:p>
        </w:tc>
      </w:tr>
      <w:tr w14:paraId="21EB0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298DE96D">
            <w:pPr>
              <w:pStyle w:val="69"/>
              <w:spacing w:before="65" w:after="65"/>
              <w:rPr>
                <w:rFonts w:cs="Times New Roman"/>
                <w:color w:val="auto"/>
                <w:highlight w:val="none"/>
                <w:lang w:eastAsia="zh-Hans"/>
              </w:rPr>
            </w:pPr>
          </w:p>
        </w:tc>
        <w:tc>
          <w:tcPr>
            <w:tcW w:w="698" w:type="pct"/>
            <w:vAlign w:val="center"/>
          </w:tcPr>
          <w:p w14:paraId="4440BE8F">
            <w:pPr>
              <w:pStyle w:val="69"/>
              <w:spacing w:before="65" w:after="65"/>
              <w:rPr>
                <w:rFonts w:cs="Times New Roman"/>
                <w:color w:val="auto"/>
                <w:highlight w:val="none"/>
              </w:rPr>
            </w:pPr>
            <w:r>
              <w:rPr>
                <w:rFonts w:cs="Times New Roman"/>
                <w:color w:val="auto"/>
                <w:highlight w:val="none"/>
              </w:rPr>
              <w:t>聚凝剂</w:t>
            </w:r>
          </w:p>
        </w:tc>
        <w:tc>
          <w:tcPr>
            <w:tcW w:w="783" w:type="pct"/>
            <w:vAlign w:val="center"/>
          </w:tcPr>
          <w:p w14:paraId="02DB4420">
            <w:pPr>
              <w:pStyle w:val="69"/>
              <w:spacing w:before="65" w:after="65"/>
              <w:rPr>
                <w:rFonts w:cs="Times New Roman"/>
                <w:color w:val="auto"/>
                <w:highlight w:val="none"/>
              </w:rPr>
            </w:pPr>
            <w:r>
              <w:rPr>
                <w:rFonts w:cs="Times New Roman"/>
                <w:color w:val="auto"/>
                <w:highlight w:val="none"/>
              </w:rPr>
              <w:t>聚合氯化铝</w:t>
            </w:r>
          </w:p>
        </w:tc>
        <w:tc>
          <w:tcPr>
            <w:tcW w:w="420" w:type="pct"/>
            <w:vAlign w:val="center"/>
          </w:tcPr>
          <w:p w14:paraId="30D140BD">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66AD6695">
            <w:pPr>
              <w:pStyle w:val="37"/>
              <w:rPr>
                <w:color w:val="auto"/>
                <w:highlight w:val="none"/>
              </w:rPr>
            </w:pPr>
            <w:r>
              <w:rPr>
                <w:rFonts w:hint="eastAsia"/>
                <w:color w:val="auto"/>
                <w:highlight w:val="none"/>
              </w:rPr>
              <w:t>1346.76</w:t>
            </w:r>
          </w:p>
        </w:tc>
        <w:tc>
          <w:tcPr>
            <w:tcW w:w="503" w:type="pct"/>
            <w:vAlign w:val="center"/>
          </w:tcPr>
          <w:p w14:paraId="25453D65">
            <w:pPr>
              <w:pStyle w:val="69"/>
              <w:spacing w:before="65" w:after="65"/>
              <w:rPr>
                <w:color w:val="auto"/>
                <w:highlight w:val="none"/>
              </w:rPr>
            </w:pPr>
            <w:r>
              <w:rPr>
                <w:color w:val="auto"/>
                <w:highlight w:val="none"/>
              </w:rPr>
              <w:t>100</w:t>
            </w:r>
          </w:p>
        </w:tc>
        <w:tc>
          <w:tcPr>
            <w:tcW w:w="476" w:type="pct"/>
            <w:vAlign w:val="center"/>
          </w:tcPr>
          <w:p w14:paraId="6C51084E">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7BB89683">
            <w:pPr>
              <w:pStyle w:val="69"/>
              <w:spacing w:before="65" w:after="65"/>
              <w:rPr>
                <w:rFonts w:cs="Times New Roman"/>
                <w:color w:val="auto"/>
                <w:highlight w:val="none"/>
              </w:rPr>
            </w:pPr>
            <w:r>
              <w:rPr>
                <w:rFonts w:cs="Times New Roman"/>
                <w:color w:val="auto"/>
                <w:highlight w:val="none"/>
              </w:rPr>
              <w:t>25kg/袋</w:t>
            </w:r>
          </w:p>
        </w:tc>
        <w:tc>
          <w:tcPr>
            <w:tcW w:w="603" w:type="pct"/>
            <w:vAlign w:val="center"/>
          </w:tcPr>
          <w:p w14:paraId="73731B4B">
            <w:pPr>
              <w:pStyle w:val="69"/>
              <w:spacing w:before="65" w:after="65"/>
              <w:rPr>
                <w:rFonts w:cs="Times New Roman"/>
                <w:color w:val="auto"/>
                <w:highlight w:val="none"/>
              </w:rPr>
            </w:pPr>
            <w:r>
              <w:rPr>
                <w:rFonts w:cs="Times New Roman"/>
                <w:color w:val="auto"/>
                <w:highlight w:val="none"/>
              </w:rPr>
              <w:t>药剂库</w:t>
            </w:r>
          </w:p>
        </w:tc>
      </w:tr>
      <w:tr w14:paraId="0149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50A870C4">
            <w:pPr>
              <w:pStyle w:val="69"/>
              <w:spacing w:before="65" w:after="65"/>
              <w:rPr>
                <w:rFonts w:cs="Times New Roman"/>
                <w:color w:val="auto"/>
                <w:highlight w:val="none"/>
                <w:lang w:eastAsia="zh-Hans"/>
              </w:rPr>
            </w:pPr>
          </w:p>
        </w:tc>
        <w:tc>
          <w:tcPr>
            <w:tcW w:w="698" w:type="pct"/>
            <w:vAlign w:val="center"/>
          </w:tcPr>
          <w:p w14:paraId="68FAF028">
            <w:pPr>
              <w:pStyle w:val="69"/>
              <w:spacing w:before="65" w:after="65"/>
              <w:rPr>
                <w:rFonts w:cs="Times New Roman"/>
                <w:color w:val="auto"/>
                <w:highlight w:val="none"/>
              </w:rPr>
            </w:pPr>
            <w:r>
              <w:rPr>
                <w:rFonts w:cs="Times New Roman"/>
                <w:color w:val="auto"/>
                <w:highlight w:val="none"/>
              </w:rPr>
              <w:t>絮凝剂</w:t>
            </w:r>
          </w:p>
        </w:tc>
        <w:tc>
          <w:tcPr>
            <w:tcW w:w="783" w:type="pct"/>
            <w:vAlign w:val="center"/>
          </w:tcPr>
          <w:p w14:paraId="7DDC3061">
            <w:pPr>
              <w:pStyle w:val="69"/>
              <w:spacing w:before="65" w:after="65"/>
              <w:rPr>
                <w:rFonts w:cs="Times New Roman"/>
                <w:color w:val="auto"/>
                <w:highlight w:val="none"/>
              </w:rPr>
            </w:pPr>
            <w:r>
              <w:rPr>
                <w:rFonts w:cs="Times New Roman"/>
                <w:color w:val="auto"/>
                <w:highlight w:val="none"/>
              </w:rPr>
              <w:t>聚丙烯酰胺</w:t>
            </w:r>
          </w:p>
        </w:tc>
        <w:tc>
          <w:tcPr>
            <w:tcW w:w="420" w:type="pct"/>
            <w:vAlign w:val="center"/>
          </w:tcPr>
          <w:p w14:paraId="0338F121">
            <w:pPr>
              <w:pStyle w:val="69"/>
              <w:spacing w:before="65" w:after="65"/>
              <w:rPr>
                <w:rFonts w:cs="Times New Roman"/>
                <w:color w:val="auto"/>
                <w:highlight w:val="none"/>
              </w:rPr>
            </w:pPr>
            <w:r>
              <w:rPr>
                <w:rFonts w:cs="Times New Roman"/>
                <w:color w:val="auto"/>
                <w:highlight w:val="none"/>
              </w:rPr>
              <w:t>固态</w:t>
            </w:r>
          </w:p>
        </w:tc>
        <w:tc>
          <w:tcPr>
            <w:tcW w:w="1101" w:type="dxa"/>
            <w:vAlign w:val="center"/>
          </w:tcPr>
          <w:p w14:paraId="3A872414">
            <w:pPr>
              <w:pStyle w:val="37"/>
              <w:rPr>
                <w:color w:val="auto"/>
                <w:highlight w:val="none"/>
              </w:rPr>
            </w:pPr>
            <w:r>
              <w:rPr>
                <w:rFonts w:hint="eastAsia"/>
                <w:color w:val="auto"/>
                <w:highlight w:val="none"/>
              </w:rPr>
              <w:t>4.698</w:t>
            </w:r>
          </w:p>
        </w:tc>
        <w:tc>
          <w:tcPr>
            <w:tcW w:w="503" w:type="pct"/>
            <w:vAlign w:val="center"/>
          </w:tcPr>
          <w:p w14:paraId="6D7FE9BC">
            <w:pPr>
              <w:pStyle w:val="69"/>
              <w:spacing w:before="65" w:after="65"/>
              <w:rPr>
                <w:rFonts w:cs="Times New Roman"/>
                <w:color w:val="auto"/>
                <w:highlight w:val="none"/>
              </w:rPr>
            </w:pPr>
            <w:r>
              <w:rPr>
                <w:rFonts w:cs="Times New Roman"/>
                <w:color w:val="auto"/>
                <w:highlight w:val="none"/>
              </w:rPr>
              <w:t>2</w:t>
            </w:r>
          </w:p>
        </w:tc>
        <w:tc>
          <w:tcPr>
            <w:tcW w:w="476" w:type="pct"/>
            <w:vAlign w:val="center"/>
          </w:tcPr>
          <w:p w14:paraId="5F36B34D">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5089814A">
            <w:pPr>
              <w:pStyle w:val="69"/>
              <w:spacing w:before="65" w:after="65"/>
              <w:rPr>
                <w:rFonts w:cs="Times New Roman"/>
                <w:color w:val="auto"/>
                <w:highlight w:val="none"/>
              </w:rPr>
            </w:pPr>
            <w:r>
              <w:rPr>
                <w:rFonts w:cs="Times New Roman"/>
                <w:color w:val="auto"/>
                <w:highlight w:val="none"/>
              </w:rPr>
              <w:t>25kg/袋</w:t>
            </w:r>
          </w:p>
        </w:tc>
        <w:tc>
          <w:tcPr>
            <w:tcW w:w="603" w:type="pct"/>
            <w:vAlign w:val="center"/>
          </w:tcPr>
          <w:p w14:paraId="4631D870">
            <w:pPr>
              <w:pStyle w:val="69"/>
              <w:spacing w:before="65" w:after="65"/>
              <w:rPr>
                <w:rFonts w:cs="Times New Roman"/>
                <w:color w:val="auto"/>
                <w:highlight w:val="none"/>
              </w:rPr>
            </w:pPr>
            <w:r>
              <w:rPr>
                <w:rFonts w:cs="Times New Roman"/>
                <w:color w:val="auto"/>
                <w:highlight w:val="none"/>
              </w:rPr>
              <w:t>药剂库</w:t>
            </w:r>
          </w:p>
        </w:tc>
      </w:tr>
      <w:tr w14:paraId="4CFA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6B2CCE7E">
            <w:pPr>
              <w:pStyle w:val="69"/>
              <w:spacing w:before="65" w:after="65"/>
              <w:rPr>
                <w:rFonts w:cs="Times New Roman"/>
                <w:color w:val="auto"/>
                <w:highlight w:val="none"/>
                <w:lang w:eastAsia="zh-Hans"/>
              </w:rPr>
            </w:pPr>
          </w:p>
        </w:tc>
        <w:tc>
          <w:tcPr>
            <w:tcW w:w="698" w:type="pct"/>
            <w:vAlign w:val="center"/>
          </w:tcPr>
          <w:p w14:paraId="30FA9536">
            <w:pPr>
              <w:pStyle w:val="69"/>
              <w:spacing w:before="65" w:after="65"/>
              <w:rPr>
                <w:rFonts w:cs="Times New Roman"/>
                <w:color w:val="auto"/>
                <w:highlight w:val="none"/>
              </w:rPr>
            </w:pPr>
            <w:r>
              <w:rPr>
                <w:rFonts w:cs="Times New Roman"/>
                <w:color w:val="auto"/>
                <w:highlight w:val="none"/>
              </w:rPr>
              <w:t>机油</w:t>
            </w:r>
          </w:p>
        </w:tc>
        <w:tc>
          <w:tcPr>
            <w:tcW w:w="783" w:type="pct"/>
            <w:vAlign w:val="center"/>
          </w:tcPr>
          <w:p w14:paraId="183B0B1E">
            <w:pPr>
              <w:pStyle w:val="69"/>
              <w:spacing w:before="65" w:after="65"/>
              <w:rPr>
                <w:rFonts w:cs="Times New Roman"/>
                <w:color w:val="auto"/>
                <w:highlight w:val="none"/>
              </w:rPr>
            </w:pPr>
            <w:r>
              <w:rPr>
                <w:rFonts w:cs="Times New Roman"/>
                <w:color w:val="auto"/>
                <w:highlight w:val="none"/>
              </w:rPr>
              <w:t>油类物质</w:t>
            </w:r>
          </w:p>
        </w:tc>
        <w:tc>
          <w:tcPr>
            <w:tcW w:w="420" w:type="pct"/>
            <w:vAlign w:val="center"/>
          </w:tcPr>
          <w:p w14:paraId="2C2630DA">
            <w:pPr>
              <w:pStyle w:val="69"/>
              <w:spacing w:before="65" w:after="65"/>
              <w:rPr>
                <w:rFonts w:cs="Times New Roman"/>
                <w:color w:val="auto"/>
                <w:highlight w:val="none"/>
              </w:rPr>
            </w:pPr>
            <w:r>
              <w:rPr>
                <w:rFonts w:cs="Times New Roman"/>
                <w:color w:val="auto"/>
                <w:highlight w:val="none"/>
              </w:rPr>
              <w:t>液态</w:t>
            </w:r>
          </w:p>
        </w:tc>
        <w:tc>
          <w:tcPr>
            <w:tcW w:w="645" w:type="pct"/>
            <w:vAlign w:val="center"/>
          </w:tcPr>
          <w:p w14:paraId="502CE274">
            <w:pPr>
              <w:pStyle w:val="69"/>
              <w:spacing w:before="65" w:after="65"/>
              <w:rPr>
                <w:rFonts w:cs="Times New Roman"/>
                <w:color w:val="auto"/>
                <w:highlight w:val="none"/>
              </w:rPr>
            </w:pPr>
            <w:r>
              <w:rPr>
                <w:rFonts w:cs="Times New Roman"/>
                <w:color w:val="auto"/>
                <w:highlight w:val="none"/>
              </w:rPr>
              <w:t>0.2</w:t>
            </w:r>
          </w:p>
        </w:tc>
        <w:tc>
          <w:tcPr>
            <w:tcW w:w="503" w:type="pct"/>
            <w:vAlign w:val="center"/>
          </w:tcPr>
          <w:p w14:paraId="64F84C03">
            <w:pPr>
              <w:pStyle w:val="69"/>
              <w:spacing w:before="65" w:after="65"/>
              <w:rPr>
                <w:rFonts w:cs="Times New Roman"/>
                <w:color w:val="auto"/>
                <w:highlight w:val="none"/>
              </w:rPr>
            </w:pPr>
            <w:r>
              <w:rPr>
                <w:rFonts w:cs="Times New Roman"/>
                <w:color w:val="auto"/>
                <w:highlight w:val="none"/>
              </w:rPr>
              <w:t>0.1</w:t>
            </w:r>
          </w:p>
        </w:tc>
        <w:tc>
          <w:tcPr>
            <w:tcW w:w="476" w:type="pct"/>
            <w:vAlign w:val="center"/>
          </w:tcPr>
          <w:p w14:paraId="2489010F">
            <w:pPr>
              <w:pStyle w:val="69"/>
              <w:spacing w:before="65" w:after="65"/>
              <w:rPr>
                <w:rFonts w:cs="Times New Roman"/>
                <w:color w:val="auto"/>
                <w:highlight w:val="none"/>
              </w:rPr>
            </w:pPr>
            <w:r>
              <w:rPr>
                <w:rFonts w:cs="Times New Roman"/>
                <w:color w:val="auto"/>
                <w:highlight w:val="none"/>
              </w:rPr>
              <w:t>外购</w:t>
            </w:r>
          </w:p>
        </w:tc>
        <w:tc>
          <w:tcPr>
            <w:tcW w:w="620" w:type="pct"/>
            <w:vAlign w:val="center"/>
          </w:tcPr>
          <w:p w14:paraId="36FA5A7E">
            <w:pPr>
              <w:pStyle w:val="69"/>
              <w:spacing w:before="65" w:after="65"/>
              <w:rPr>
                <w:rFonts w:cs="Times New Roman"/>
                <w:color w:val="auto"/>
                <w:highlight w:val="none"/>
              </w:rPr>
            </w:pPr>
            <w:r>
              <w:rPr>
                <w:rFonts w:cs="Times New Roman"/>
                <w:color w:val="auto"/>
                <w:highlight w:val="none"/>
              </w:rPr>
              <w:t>20kg/桶</w:t>
            </w:r>
          </w:p>
        </w:tc>
        <w:tc>
          <w:tcPr>
            <w:tcW w:w="603" w:type="pct"/>
            <w:vAlign w:val="center"/>
          </w:tcPr>
          <w:p w14:paraId="3D6E5689">
            <w:pPr>
              <w:pStyle w:val="69"/>
              <w:spacing w:before="65" w:after="65"/>
              <w:rPr>
                <w:rFonts w:cs="Times New Roman"/>
                <w:color w:val="auto"/>
                <w:highlight w:val="none"/>
              </w:rPr>
            </w:pPr>
            <w:r>
              <w:rPr>
                <w:rFonts w:cs="Times New Roman"/>
                <w:color w:val="auto"/>
                <w:highlight w:val="none"/>
              </w:rPr>
              <w:t>工具间</w:t>
            </w:r>
          </w:p>
        </w:tc>
      </w:tr>
      <w:tr w14:paraId="471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44E11FD2">
            <w:pPr>
              <w:pStyle w:val="69"/>
              <w:spacing w:before="65" w:after="65"/>
              <w:rPr>
                <w:rFonts w:cs="Times New Roman"/>
                <w:color w:val="auto"/>
                <w:highlight w:val="none"/>
                <w:lang w:eastAsia="zh-Hans"/>
              </w:rPr>
            </w:pPr>
          </w:p>
        </w:tc>
        <w:tc>
          <w:tcPr>
            <w:tcW w:w="698" w:type="pct"/>
            <w:vAlign w:val="center"/>
          </w:tcPr>
          <w:p w14:paraId="0B8E8938">
            <w:pPr>
              <w:pStyle w:val="69"/>
              <w:spacing w:before="65" w:after="65"/>
              <w:rPr>
                <w:rFonts w:cs="Times New Roman"/>
                <w:color w:val="auto"/>
                <w:highlight w:val="none"/>
              </w:rPr>
            </w:pPr>
            <w:r>
              <w:rPr>
                <w:rFonts w:hint="eastAsia" w:cs="Times New Roman"/>
                <w:color w:val="auto"/>
                <w:highlight w:val="none"/>
              </w:rPr>
              <w:t>汽油</w:t>
            </w:r>
          </w:p>
        </w:tc>
        <w:tc>
          <w:tcPr>
            <w:tcW w:w="783" w:type="pct"/>
            <w:vAlign w:val="center"/>
          </w:tcPr>
          <w:p w14:paraId="7632D938">
            <w:pPr>
              <w:pStyle w:val="69"/>
              <w:spacing w:before="65" w:after="65"/>
              <w:rPr>
                <w:rFonts w:cs="Times New Roman"/>
                <w:color w:val="auto"/>
                <w:highlight w:val="none"/>
              </w:rPr>
            </w:pPr>
            <w:r>
              <w:rPr>
                <w:rFonts w:hint="eastAsia" w:cs="Times New Roman"/>
                <w:color w:val="auto"/>
                <w:highlight w:val="none"/>
              </w:rPr>
              <w:t>油类物质</w:t>
            </w:r>
          </w:p>
        </w:tc>
        <w:tc>
          <w:tcPr>
            <w:tcW w:w="420" w:type="pct"/>
            <w:vAlign w:val="center"/>
          </w:tcPr>
          <w:p w14:paraId="17C43C2C">
            <w:pPr>
              <w:pStyle w:val="69"/>
              <w:spacing w:before="65" w:after="65"/>
              <w:rPr>
                <w:rFonts w:cs="Times New Roman"/>
                <w:color w:val="auto"/>
                <w:highlight w:val="none"/>
              </w:rPr>
            </w:pPr>
            <w:r>
              <w:rPr>
                <w:rFonts w:hint="eastAsia" w:cs="Times New Roman"/>
                <w:color w:val="auto"/>
                <w:highlight w:val="none"/>
              </w:rPr>
              <w:t>液态</w:t>
            </w:r>
          </w:p>
        </w:tc>
        <w:tc>
          <w:tcPr>
            <w:tcW w:w="645" w:type="pct"/>
            <w:vAlign w:val="center"/>
          </w:tcPr>
          <w:p w14:paraId="5E451D27">
            <w:pPr>
              <w:pStyle w:val="69"/>
              <w:spacing w:before="65" w:after="65"/>
              <w:rPr>
                <w:rFonts w:cs="Times New Roman"/>
                <w:color w:val="auto"/>
                <w:highlight w:val="none"/>
              </w:rPr>
            </w:pPr>
            <w:r>
              <w:rPr>
                <w:rFonts w:hint="eastAsia" w:cs="Times New Roman"/>
                <w:color w:val="auto"/>
                <w:highlight w:val="none"/>
              </w:rPr>
              <w:t>0.2</w:t>
            </w:r>
          </w:p>
        </w:tc>
        <w:tc>
          <w:tcPr>
            <w:tcW w:w="503" w:type="pct"/>
            <w:vAlign w:val="center"/>
          </w:tcPr>
          <w:p w14:paraId="1C7C51B6">
            <w:pPr>
              <w:pStyle w:val="69"/>
              <w:spacing w:before="65" w:after="65"/>
              <w:rPr>
                <w:rFonts w:cs="Times New Roman"/>
                <w:color w:val="auto"/>
                <w:highlight w:val="none"/>
              </w:rPr>
            </w:pPr>
            <w:r>
              <w:rPr>
                <w:rFonts w:hint="eastAsia" w:cs="Times New Roman"/>
                <w:color w:val="auto"/>
                <w:highlight w:val="none"/>
              </w:rPr>
              <w:t>0.1</w:t>
            </w:r>
          </w:p>
        </w:tc>
        <w:tc>
          <w:tcPr>
            <w:tcW w:w="476" w:type="pct"/>
            <w:vAlign w:val="center"/>
          </w:tcPr>
          <w:p w14:paraId="68578636">
            <w:pPr>
              <w:pStyle w:val="69"/>
              <w:spacing w:before="65" w:after="65"/>
              <w:rPr>
                <w:rFonts w:cs="Times New Roman"/>
                <w:color w:val="auto"/>
                <w:highlight w:val="none"/>
              </w:rPr>
            </w:pPr>
            <w:r>
              <w:rPr>
                <w:rFonts w:hint="eastAsia" w:cs="Times New Roman"/>
                <w:color w:val="auto"/>
                <w:highlight w:val="none"/>
              </w:rPr>
              <w:t>外购</w:t>
            </w:r>
          </w:p>
        </w:tc>
        <w:tc>
          <w:tcPr>
            <w:tcW w:w="620" w:type="pct"/>
            <w:vAlign w:val="center"/>
          </w:tcPr>
          <w:p w14:paraId="00C4B052">
            <w:pPr>
              <w:pStyle w:val="69"/>
              <w:spacing w:before="65" w:after="65"/>
              <w:rPr>
                <w:rFonts w:cs="Times New Roman"/>
                <w:color w:val="auto"/>
                <w:highlight w:val="none"/>
              </w:rPr>
            </w:pPr>
            <w:r>
              <w:rPr>
                <w:rFonts w:hint="eastAsia" w:cs="Times New Roman"/>
                <w:color w:val="auto"/>
                <w:highlight w:val="none"/>
              </w:rPr>
              <w:t>20kg/桶</w:t>
            </w:r>
          </w:p>
        </w:tc>
        <w:tc>
          <w:tcPr>
            <w:tcW w:w="603" w:type="pct"/>
            <w:vAlign w:val="center"/>
          </w:tcPr>
          <w:p w14:paraId="14ACE015">
            <w:pPr>
              <w:pStyle w:val="69"/>
              <w:spacing w:before="65" w:after="65"/>
              <w:rPr>
                <w:rFonts w:cs="Times New Roman"/>
                <w:color w:val="auto"/>
                <w:highlight w:val="none"/>
              </w:rPr>
            </w:pPr>
            <w:r>
              <w:rPr>
                <w:rFonts w:hint="eastAsia" w:cs="Times New Roman"/>
                <w:color w:val="auto"/>
                <w:highlight w:val="none"/>
              </w:rPr>
              <w:t>工具间</w:t>
            </w:r>
          </w:p>
        </w:tc>
      </w:tr>
      <w:tr w14:paraId="08AE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restart"/>
            <w:vAlign w:val="center"/>
          </w:tcPr>
          <w:p w14:paraId="46194A02">
            <w:pPr>
              <w:pStyle w:val="69"/>
              <w:spacing w:before="65" w:after="65"/>
              <w:rPr>
                <w:rFonts w:cs="Times New Roman"/>
                <w:color w:val="auto"/>
                <w:highlight w:val="none"/>
              </w:rPr>
            </w:pPr>
            <w:r>
              <w:rPr>
                <w:rFonts w:cs="Times New Roman"/>
                <w:color w:val="auto"/>
                <w:highlight w:val="none"/>
              </w:rPr>
              <w:t>能源</w:t>
            </w:r>
          </w:p>
        </w:tc>
        <w:tc>
          <w:tcPr>
            <w:tcW w:w="698" w:type="pct"/>
            <w:vAlign w:val="center"/>
          </w:tcPr>
          <w:p w14:paraId="5339166D">
            <w:pPr>
              <w:pStyle w:val="69"/>
              <w:spacing w:before="65" w:after="65"/>
              <w:rPr>
                <w:rFonts w:cs="Times New Roman"/>
                <w:color w:val="auto"/>
                <w:highlight w:val="none"/>
              </w:rPr>
            </w:pPr>
            <w:r>
              <w:rPr>
                <w:rFonts w:cs="Times New Roman"/>
                <w:color w:val="auto"/>
                <w:highlight w:val="none"/>
              </w:rPr>
              <w:t>水（m</w:t>
            </w:r>
            <w:r>
              <w:rPr>
                <w:rFonts w:cs="Times New Roman"/>
                <w:color w:val="auto"/>
                <w:highlight w:val="none"/>
                <w:vertAlign w:val="superscript"/>
              </w:rPr>
              <w:t>3</w:t>
            </w:r>
            <w:r>
              <w:rPr>
                <w:rFonts w:cs="Times New Roman"/>
                <w:color w:val="auto"/>
                <w:highlight w:val="none"/>
              </w:rPr>
              <w:t>）</w:t>
            </w:r>
          </w:p>
        </w:tc>
        <w:tc>
          <w:tcPr>
            <w:tcW w:w="783" w:type="pct"/>
            <w:vAlign w:val="center"/>
          </w:tcPr>
          <w:p w14:paraId="501E3C6C">
            <w:pPr>
              <w:pStyle w:val="69"/>
              <w:spacing w:before="65" w:after="65"/>
              <w:rPr>
                <w:rFonts w:cs="Times New Roman"/>
                <w:color w:val="auto"/>
                <w:highlight w:val="none"/>
              </w:rPr>
            </w:pPr>
            <w:r>
              <w:rPr>
                <w:rFonts w:cs="Times New Roman"/>
                <w:color w:val="auto"/>
                <w:highlight w:val="none"/>
              </w:rPr>
              <w:t>/</w:t>
            </w:r>
          </w:p>
        </w:tc>
        <w:tc>
          <w:tcPr>
            <w:tcW w:w="420" w:type="pct"/>
            <w:vAlign w:val="center"/>
          </w:tcPr>
          <w:p w14:paraId="3300D97F">
            <w:pPr>
              <w:pStyle w:val="69"/>
              <w:spacing w:before="65" w:after="65"/>
              <w:rPr>
                <w:rFonts w:cs="Times New Roman"/>
                <w:color w:val="auto"/>
                <w:highlight w:val="none"/>
              </w:rPr>
            </w:pPr>
            <w:r>
              <w:rPr>
                <w:rFonts w:cs="Times New Roman"/>
                <w:color w:val="auto"/>
                <w:highlight w:val="none"/>
              </w:rPr>
              <w:t>/</w:t>
            </w:r>
          </w:p>
        </w:tc>
        <w:tc>
          <w:tcPr>
            <w:tcW w:w="645" w:type="pct"/>
            <w:vAlign w:val="center"/>
          </w:tcPr>
          <w:p w14:paraId="42A4A3F2">
            <w:pPr>
              <w:pStyle w:val="69"/>
              <w:spacing w:before="65" w:after="65"/>
              <w:rPr>
                <w:rFonts w:cs="Times New Roman"/>
                <w:color w:val="auto"/>
                <w:highlight w:val="none"/>
              </w:rPr>
            </w:pPr>
            <w:r>
              <w:rPr>
                <w:rFonts w:cs="Times New Roman"/>
                <w:color w:val="auto"/>
                <w:highlight w:val="none"/>
              </w:rPr>
              <w:t>195780m</w:t>
            </w:r>
            <w:r>
              <w:rPr>
                <w:rFonts w:cs="Times New Roman"/>
                <w:color w:val="auto"/>
                <w:highlight w:val="none"/>
                <w:vertAlign w:val="superscript"/>
              </w:rPr>
              <w:t>3</w:t>
            </w:r>
            <w:r>
              <w:rPr>
                <w:rFonts w:cs="Times New Roman"/>
                <w:color w:val="auto"/>
                <w:highlight w:val="none"/>
              </w:rPr>
              <w:t>/a</w:t>
            </w:r>
          </w:p>
        </w:tc>
        <w:tc>
          <w:tcPr>
            <w:tcW w:w="503" w:type="pct"/>
            <w:vAlign w:val="center"/>
          </w:tcPr>
          <w:p w14:paraId="41324757">
            <w:pPr>
              <w:pStyle w:val="69"/>
              <w:spacing w:before="65" w:after="65"/>
              <w:rPr>
                <w:rFonts w:cs="Times New Roman"/>
                <w:color w:val="auto"/>
                <w:highlight w:val="none"/>
              </w:rPr>
            </w:pPr>
            <w:r>
              <w:rPr>
                <w:rFonts w:cs="Times New Roman"/>
                <w:color w:val="auto"/>
                <w:highlight w:val="none"/>
              </w:rPr>
              <w:t>/</w:t>
            </w:r>
          </w:p>
        </w:tc>
        <w:tc>
          <w:tcPr>
            <w:tcW w:w="476" w:type="pct"/>
            <w:vAlign w:val="center"/>
          </w:tcPr>
          <w:p w14:paraId="40E7B8EF">
            <w:pPr>
              <w:pStyle w:val="69"/>
              <w:spacing w:before="65" w:after="65"/>
              <w:rPr>
                <w:rFonts w:cs="Times New Roman"/>
                <w:color w:val="auto"/>
                <w:highlight w:val="none"/>
              </w:rPr>
            </w:pPr>
            <w:r>
              <w:rPr>
                <w:rFonts w:cs="Times New Roman"/>
                <w:color w:val="auto"/>
                <w:highlight w:val="none"/>
              </w:rPr>
              <w:t>园区管网</w:t>
            </w:r>
          </w:p>
        </w:tc>
        <w:tc>
          <w:tcPr>
            <w:tcW w:w="620" w:type="pct"/>
            <w:vAlign w:val="center"/>
          </w:tcPr>
          <w:p w14:paraId="14AE8AFC">
            <w:pPr>
              <w:pStyle w:val="69"/>
              <w:spacing w:before="65" w:after="65"/>
              <w:rPr>
                <w:rFonts w:cs="Times New Roman"/>
                <w:color w:val="auto"/>
                <w:highlight w:val="none"/>
              </w:rPr>
            </w:pPr>
            <w:r>
              <w:rPr>
                <w:rFonts w:cs="Times New Roman"/>
                <w:color w:val="auto"/>
                <w:highlight w:val="none"/>
              </w:rPr>
              <w:t>/</w:t>
            </w:r>
          </w:p>
        </w:tc>
        <w:tc>
          <w:tcPr>
            <w:tcW w:w="603" w:type="pct"/>
            <w:vAlign w:val="center"/>
          </w:tcPr>
          <w:p w14:paraId="07169714">
            <w:pPr>
              <w:pStyle w:val="69"/>
              <w:spacing w:before="65" w:after="65"/>
              <w:rPr>
                <w:rFonts w:cs="Times New Roman"/>
                <w:color w:val="auto"/>
                <w:highlight w:val="none"/>
              </w:rPr>
            </w:pPr>
            <w:r>
              <w:rPr>
                <w:rFonts w:cs="Times New Roman"/>
                <w:color w:val="auto"/>
                <w:highlight w:val="none"/>
              </w:rPr>
              <w:t>/</w:t>
            </w:r>
          </w:p>
        </w:tc>
      </w:tr>
      <w:tr w14:paraId="0D4A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7" w:type="pct"/>
            <w:vMerge w:val="continue"/>
            <w:vAlign w:val="center"/>
          </w:tcPr>
          <w:p w14:paraId="2BDF5F6E">
            <w:pPr>
              <w:pStyle w:val="69"/>
              <w:spacing w:before="65" w:after="65"/>
              <w:rPr>
                <w:rFonts w:cs="Times New Roman"/>
                <w:color w:val="auto"/>
                <w:highlight w:val="none"/>
              </w:rPr>
            </w:pPr>
          </w:p>
        </w:tc>
        <w:tc>
          <w:tcPr>
            <w:tcW w:w="698" w:type="pct"/>
            <w:vAlign w:val="center"/>
          </w:tcPr>
          <w:p w14:paraId="335CC372">
            <w:pPr>
              <w:pStyle w:val="69"/>
              <w:spacing w:before="65" w:after="65"/>
              <w:rPr>
                <w:rFonts w:cs="Times New Roman"/>
                <w:color w:val="auto"/>
                <w:highlight w:val="none"/>
              </w:rPr>
            </w:pPr>
            <w:r>
              <w:rPr>
                <w:rFonts w:cs="Times New Roman"/>
                <w:color w:val="auto"/>
                <w:highlight w:val="none"/>
              </w:rPr>
              <w:t>电（kW·h）</w:t>
            </w:r>
          </w:p>
        </w:tc>
        <w:tc>
          <w:tcPr>
            <w:tcW w:w="783" w:type="pct"/>
            <w:vAlign w:val="center"/>
          </w:tcPr>
          <w:p w14:paraId="08C2C702">
            <w:pPr>
              <w:pStyle w:val="69"/>
              <w:spacing w:before="65" w:after="65"/>
              <w:rPr>
                <w:rFonts w:cs="Times New Roman"/>
                <w:color w:val="auto"/>
                <w:highlight w:val="none"/>
              </w:rPr>
            </w:pPr>
            <w:r>
              <w:rPr>
                <w:rFonts w:cs="Times New Roman"/>
                <w:color w:val="auto"/>
                <w:highlight w:val="none"/>
              </w:rPr>
              <w:t>/</w:t>
            </w:r>
          </w:p>
        </w:tc>
        <w:tc>
          <w:tcPr>
            <w:tcW w:w="420" w:type="pct"/>
            <w:vAlign w:val="center"/>
          </w:tcPr>
          <w:p w14:paraId="33593BFE">
            <w:pPr>
              <w:pStyle w:val="69"/>
              <w:spacing w:before="65" w:after="65"/>
              <w:rPr>
                <w:rFonts w:cs="Times New Roman"/>
                <w:color w:val="auto"/>
                <w:highlight w:val="none"/>
              </w:rPr>
            </w:pPr>
            <w:r>
              <w:rPr>
                <w:rFonts w:cs="Times New Roman"/>
                <w:color w:val="auto"/>
                <w:highlight w:val="none"/>
              </w:rPr>
              <w:t>/</w:t>
            </w:r>
          </w:p>
        </w:tc>
        <w:tc>
          <w:tcPr>
            <w:tcW w:w="645" w:type="pct"/>
            <w:vAlign w:val="center"/>
          </w:tcPr>
          <w:p w14:paraId="015F55D2">
            <w:pPr>
              <w:pStyle w:val="69"/>
              <w:spacing w:before="65" w:after="65"/>
              <w:rPr>
                <w:rFonts w:cs="Times New Roman"/>
                <w:color w:val="auto"/>
                <w:highlight w:val="none"/>
              </w:rPr>
            </w:pPr>
            <w:r>
              <w:rPr>
                <w:rFonts w:cs="Times New Roman"/>
                <w:color w:val="auto"/>
                <w:highlight w:val="none"/>
              </w:rPr>
              <w:t>2160万kW·h</w:t>
            </w:r>
          </w:p>
        </w:tc>
        <w:tc>
          <w:tcPr>
            <w:tcW w:w="503" w:type="pct"/>
            <w:vAlign w:val="center"/>
          </w:tcPr>
          <w:p w14:paraId="416C04E6">
            <w:pPr>
              <w:pStyle w:val="69"/>
              <w:spacing w:before="65" w:after="65"/>
              <w:rPr>
                <w:rFonts w:cs="Times New Roman"/>
                <w:color w:val="auto"/>
                <w:highlight w:val="none"/>
              </w:rPr>
            </w:pPr>
            <w:r>
              <w:rPr>
                <w:rFonts w:cs="Times New Roman"/>
                <w:color w:val="auto"/>
                <w:highlight w:val="none"/>
              </w:rPr>
              <w:t>/</w:t>
            </w:r>
          </w:p>
        </w:tc>
        <w:tc>
          <w:tcPr>
            <w:tcW w:w="476" w:type="pct"/>
            <w:vAlign w:val="center"/>
          </w:tcPr>
          <w:p w14:paraId="6804BA74">
            <w:pPr>
              <w:pStyle w:val="69"/>
              <w:spacing w:before="65" w:after="65"/>
              <w:rPr>
                <w:rFonts w:cs="Times New Roman"/>
                <w:color w:val="auto"/>
                <w:highlight w:val="none"/>
              </w:rPr>
            </w:pPr>
            <w:r>
              <w:rPr>
                <w:rFonts w:cs="Times New Roman"/>
                <w:color w:val="auto"/>
                <w:highlight w:val="none"/>
              </w:rPr>
              <w:t>园区电网</w:t>
            </w:r>
          </w:p>
        </w:tc>
        <w:tc>
          <w:tcPr>
            <w:tcW w:w="620" w:type="pct"/>
            <w:vAlign w:val="center"/>
          </w:tcPr>
          <w:p w14:paraId="1871E3B6">
            <w:pPr>
              <w:pStyle w:val="69"/>
              <w:spacing w:before="65" w:after="65"/>
              <w:rPr>
                <w:rFonts w:cs="Times New Roman"/>
                <w:color w:val="auto"/>
                <w:highlight w:val="none"/>
              </w:rPr>
            </w:pPr>
            <w:r>
              <w:rPr>
                <w:rFonts w:cs="Times New Roman"/>
                <w:color w:val="auto"/>
                <w:highlight w:val="none"/>
              </w:rPr>
              <w:t>/</w:t>
            </w:r>
          </w:p>
        </w:tc>
        <w:tc>
          <w:tcPr>
            <w:tcW w:w="603" w:type="pct"/>
            <w:vAlign w:val="center"/>
          </w:tcPr>
          <w:p w14:paraId="64398259">
            <w:pPr>
              <w:pStyle w:val="69"/>
              <w:spacing w:before="65" w:after="65"/>
              <w:rPr>
                <w:rFonts w:cs="Times New Roman"/>
                <w:color w:val="auto"/>
                <w:highlight w:val="none"/>
              </w:rPr>
            </w:pPr>
            <w:r>
              <w:rPr>
                <w:rFonts w:cs="Times New Roman"/>
                <w:color w:val="auto"/>
                <w:highlight w:val="none"/>
              </w:rPr>
              <w:t>/</w:t>
            </w:r>
          </w:p>
        </w:tc>
      </w:tr>
    </w:tbl>
    <w:p w14:paraId="7FA6344D">
      <w:pPr>
        <w:adjustRightInd w:val="0"/>
        <w:spacing w:before="163" w:beforeLines="50"/>
        <w:ind w:firstLine="482"/>
        <w:rPr>
          <w:rFonts w:cs="Times New Roman"/>
          <w:b/>
          <w:color w:val="auto"/>
          <w:szCs w:val="22"/>
          <w:highlight w:val="none"/>
        </w:rPr>
      </w:pPr>
      <w:r>
        <w:rPr>
          <w:rFonts w:cs="Times New Roman"/>
          <w:b/>
          <w:color w:val="auto"/>
          <w:szCs w:val="22"/>
          <w:highlight w:val="none"/>
        </w:rPr>
        <w:t>主要原辅料简介：</w:t>
      </w:r>
    </w:p>
    <w:p w14:paraId="26316EA0">
      <w:pPr>
        <w:adjustRightInd w:val="0"/>
        <w:ind w:firstLine="482"/>
        <w:rPr>
          <w:rFonts w:cs="Times New Roman"/>
          <w:b/>
          <w:bCs/>
          <w:color w:val="auto"/>
          <w:highlight w:val="none"/>
        </w:rPr>
      </w:pPr>
      <w:r>
        <w:rPr>
          <w:rFonts w:cs="Times New Roman"/>
          <w:b/>
          <w:bCs/>
          <w:color w:val="auto"/>
          <w:highlight w:val="none"/>
        </w:rPr>
        <w:t>（1）锂辉石原矿</w:t>
      </w:r>
    </w:p>
    <w:p w14:paraId="516DC551">
      <w:pPr>
        <w:adjustRightInd w:val="0"/>
        <w:ind w:firstLine="480"/>
        <w:rPr>
          <w:rFonts w:cs="Times New Roman"/>
          <w:color w:val="auto"/>
          <w:highlight w:val="none"/>
        </w:rPr>
      </w:pPr>
      <w:r>
        <w:rPr>
          <w:rFonts w:cs="Times New Roman"/>
          <w:color w:val="auto"/>
          <w:highlight w:val="none"/>
        </w:rPr>
        <w:t>本项目加工甘孜州融达锂业有限公司提供的锂辉石原矿，锂辉石原矿通过公路运输。锂辉石原矿总体呈块状构造，呈现灰白色与灰黑色，灰白色样品中夹杂有黑色点状物，灰黑色样品断口处呈现灰黑色。</w:t>
      </w:r>
    </w:p>
    <w:p w14:paraId="7B37A26B">
      <w:pPr>
        <w:adjustRightInd w:val="0"/>
        <w:ind w:firstLine="480"/>
        <w:rPr>
          <w:rFonts w:cs="Times New Roman"/>
          <w:color w:val="auto"/>
          <w:highlight w:val="none"/>
        </w:rPr>
      </w:pPr>
      <w:r>
        <w:rPr>
          <w:rFonts w:cs="Times New Roman"/>
          <w:color w:val="auto"/>
          <w:highlight w:val="none"/>
        </w:rPr>
        <w:t>锂辉石原矿为块状，包装方式为散装，运输方式为骑汽车运输，入厂质量标准执行《</w:t>
      </w:r>
      <w:r>
        <w:rPr>
          <w:rFonts w:hint="eastAsia" w:cs="Times New Roman"/>
          <w:color w:val="auto"/>
          <w:highlight w:val="none"/>
        </w:rPr>
        <w:t>乐山市豪宸新能源科技有限公司</w:t>
      </w:r>
      <w:r>
        <w:rPr>
          <w:rFonts w:cs="Times New Roman"/>
          <w:color w:val="auto"/>
          <w:highlight w:val="none"/>
        </w:rPr>
        <w:t>企业标准——锂辉石精矿》（HMKJ-20260121）</w:t>
      </w:r>
      <w:r>
        <w:rPr>
          <w:rFonts w:hint="eastAsia" w:cs="Times New Roman"/>
          <w:color w:val="auto"/>
          <w:highlight w:val="none"/>
        </w:rPr>
        <w:t>。</w:t>
      </w:r>
    </w:p>
    <w:p w14:paraId="205ED597">
      <w:pPr>
        <w:adjustRightInd w:val="0"/>
        <w:ind w:firstLine="480"/>
        <w:rPr>
          <w:rFonts w:cs="Times New Roman"/>
          <w:color w:val="auto"/>
          <w:highlight w:val="none"/>
        </w:rPr>
      </w:pPr>
      <w:r>
        <w:rPr>
          <w:rFonts w:cs="Times New Roman"/>
          <w:color w:val="auto"/>
          <w:highlight w:val="none"/>
        </w:rPr>
        <w:t>根据建设单位提供的《锂矿全成分检测报告》（四川省捷信隆检测技术有限公司，外委字（202</w:t>
      </w:r>
      <w:r>
        <w:rPr>
          <w:rFonts w:hint="eastAsia" w:cs="Times New Roman"/>
          <w:color w:val="auto"/>
          <w:highlight w:val="none"/>
          <w:lang w:val="en-US" w:eastAsia="zh-CN"/>
        </w:rPr>
        <w:t>6</w:t>
      </w:r>
      <w:r>
        <w:rPr>
          <w:rFonts w:cs="Times New Roman"/>
          <w:color w:val="auto"/>
          <w:highlight w:val="none"/>
        </w:rPr>
        <w:t>）Q-</w:t>
      </w:r>
      <w:r>
        <w:rPr>
          <w:rFonts w:hint="eastAsia" w:cs="Times New Roman"/>
          <w:color w:val="auto"/>
          <w:highlight w:val="none"/>
          <w:lang w:val="en-US" w:eastAsia="zh-CN"/>
        </w:rPr>
        <w:t>195</w:t>
      </w:r>
      <w:r>
        <w:rPr>
          <w:rFonts w:cs="Times New Roman"/>
          <w:color w:val="auto"/>
          <w:highlight w:val="none"/>
        </w:rPr>
        <w:t>），见附件1</w:t>
      </w:r>
      <w:r>
        <w:rPr>
          <w:rFonts w:hint="eastAsia" w:cs="Times New Roman"/>
          <w:color w:val="auto"/>
          <w:highlight w:val="none"/>
          <w:lang w:val="en-US" w:eastAsia="zh-CN"/>
        </w:rPr>
        <w:t>3</w:t>
      </w:r>
      <w:r>
        <w:rPr>
          <w:rFonts w:cs="Times New Roman"/>
          <w:color w:val="auto"/>
          <w:highlight w:val="none"/>
        </w:rPr>
        <w:t>，本项目使用的锂辉石原矿主要成分如下：</w:t>
      </w:r>
    </w:p>
    <w:p w14:paraId="7134B8ED">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7</w:t>
      </w:r>
      <w:r>
        <w:rPr>
          <w:rFonts w:cs="Times New Roman"/>
          <w:color w:val="auto"/>
          <w:highlight w:val="none"/>
        </w:rPr>
        <w:fldChar w:fldCharType="end"/>
      </w:r>
      <w:r>
        <w:rPr>
          <w:rFonts w:cs="Times New Roman"/>
          <w:color w:val="auto"/>
          <w:szCs w:val="21"/>
          <w:highlight w:val="none"/>
        </w:rPr>
        <w:t>锂原矿全成分检测报告</w:t>
      </w:r>
    </w:p>
    <w:tbl>
      <w:tblPr>
        <w:tblStyle w:val="75"/>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2358"/>
        <w:gridCol w:w="1986"/>
        <w:gridCol w:w="1986"/>
        <w:gridCol w:w="1983"/>
      </w:tblGrid>
      <w:tr w14:paraId="4EDD6C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1418"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EA74959">
            <w:pPr>
              <w:pStyle w:val="69"/>
              <w:bidi w:val="0"/>
              <w:rPr>
                <w:b/>
                <w:bCs w:val="0"/>
                <w:color w:val="auto"/>
                <w:highlight w:val="none"/>
              </w:rPr>
            </w:pPr>
            <w:r>
              <w:rPr>
                <w:b/>
                <w:bCs w:val="0"/>
                <w:color w:val="auto"/>
                <w:highlight w:val="none"/>
              </w:rPr>
              <w:t>分析项目</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42B58884">
            <w:pPr>
              <w:pStyle w:val="69"/>
              <w:bidi w:val="0"/>
              <w:rPr>
                <w:b/>
                <w:bCs w:val="0"/>
                <w:color w:val="auto"/>
                <w:highlight w:val="none"/>
              </w:rPr>
            </w:pPr>
            <w:r>
              <w:rPr>
                <w:b/>
                <w:bCs w:val="0"/>
                <w:color w:val="auto"/>
                <w:highlight w:val="none"/>
              </w:rPr>
              <w:t>含量</w:t>
            </w:r>
          </w:p>
        </w:tc>
        <w:tc>
          <w:tcPr>
            <w:tcW w:w="11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42F7BC">
            <w:pPr>
              <w:pStyle w:val="69"/>
              <w:bidi w:val="0"/>
              <w:rPr>
                <w:b/>
                <w:bCs w:val="0"/>
                <w:color w:val="auto"/>
                <w:highlight w:val="none"/>
              </w:rPr>
            </w:pPr>
            <w:r>
              <w:rPr>
                <w:b/>
                <w:bCs w:val="0"/>
                <w:color w:val="auto"/>
                <w:highlight w:val="none"/>
              </w:rPr>
              <w:t>分析项目</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2926C196">
            <w:pPr>
              <w:pStyle w:val="69"/>
              <w:bidi w:val="0"/>
              <w:rPr>
                <w:b/>
                <w:bCs w:val="0"/>
                <w:color w:val="auto"/>
                <w:highlight w:val="none"/>
              </w:rPr>
            </w:pPr>
            <w:r>
              <w:rPr>
                <w:b/>
                <w:bCs w:val="0"/>
                <w:color w:val="auto"/>
                <w:highlight w:val="none"/>
              </w:rPr>
              <w:t>含量</w:t>
            </w:r>
          </w:p>
        </w:tc>
      </w:tr>
      <w:tr w14:paraId="4B33D5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9C83B3">
            <w:pPr>
              <w:pStyle w:val="69"/>
              <w:bidi w:val="0"/>
              <w:rPr>
                <w:color w:val="auto"/>
                <w:highlight w:val="none"/>
              </w:rPr>
            </w:pPr>
            <w:r>
              <w:rPr>
                <w:color w:val="auto"/>
                <w:highlight w:val="none"/>
              </w:rPr>
              <w:t>Li2O</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2753A80">
            <w:pPr>
              <w:pStyle w:val="69"/>
              <w:bidi w:val="0"/>
              <w:rPr>
                <w:color w:val="auto"/>
                <w:highlight w:val="none"/>
              </w:rPr>
            </w:pPr>
            <w:r>
              <w:rPr>
                <w:color w:val="auto"/>
                <w:highlight w:val="none"/>
              </w:rPr>
              <w:t>1.48%</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6521D7C">
            <w:pPr>
              <w:pStyle w:val="69"/>
              <w:bidi w:val="0"/>
              <w:rPr>
                <w:color w:val="auto"/>
                <w:highlight w:val="none"/>
              </w:rPr>
            </w:pPr>
            <w:r>
              <w:rPr>
                <w:color w:val="auto"/>
                <w:highlight w:val="none"/>
              </w:rPr>
              <w:t>Pb</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474207D8">
            <w:pPr>
              <w:pStyle w:val="69"/>
              <w:bidi w:val="0"/>
              <w:rPr>
                <w:color w:val="auto"/>
                <w:highlight w:val="none"/>
              </w:rPr>
            </w:pPr>
            <w:r>
              <w:rPr>
                <w:color w:val="auto"/>
                <w:highlight w:val="none"/>
              </w:rPr>
              <w:t>未检出</w:t>
            </w:r>
          </w:p>
        </w:tc>
      </w:tr>
      <w:tr w14:paraId="4FDF8E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95DFD1">
            <w:pPr>
              <w:pStyle w:val="69"/>
              <w:bidi w:val="0"/>
              <w:rPr>
                <w:color w:val="auto"/>
                <w:highlight w:val="none"/>
              </w:rPr>
            </w:pPr>
            <w:r>
              <w:rPr>
                <w:color w:val="auto"/>
                <w:highlight w:val="none"/>
              </w:rPr>
              <w:t>CaO</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6B82638">
            <w:pPr>
              <w:pStyle w:val="69"/>
              <w:bidi w:val="0"/>
              <w:rPr>
                <w:color w:val="auto"/>
                <w:highlight w:val="none"/>
              </w:rPr>
            </w:pPr>
            <w:r>
              <w:rPr>
                <w:color w:val="auto"/>
                <w:highlight w:val="none"/>
              </w:rPr>
              <w:t>1.13%</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19F359F">
            <w:pPr>
              <w:pStyle w:val="69"/>
              <w:bidi w:val="0"/>
              <w:rPr>
                <w:color w:val="auto"/>
                <w:highlight w:val="none"/>
              </w:rPr>
            </w:pPr>
            <w:r>
              <w:rPr>
                <w:color w:val="auto"/>
                <w:highlight w:val="none"/>
              </w:rPr>
              <w:t>Hg</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23D8D13B">
            <w:pPr>
              <w:pStyle w:val="69"/>
              <w:bidi w:val="0"/>
              <w:rPr>
                <w:color w:val="auto"/>
                <w:highlight w:val="none"/>
              </w:rPr>
            </w:pPr>
            <w:r>
              <w:rPr>
                <w:color w:val="auto"/>
                <w:highlight w:val="none"/>
              </w:rPr>
              <w:t>未检出</w:t>
            </w:r>
          </w:p>
        </w:tc>
      </w:tr>
      <w:tr w14:paraId="241B38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6370A6">
            <w:pPr>
              <w:pStyle w:val="69"/>
              <w:bidi w:val="0"/>
              <w:rPr>
                <w:color w:val="auto"/>
                <w:highlight w:val="none"/>
              </w:rPr>
            </w:pPr>
            <w:r>
              <w:rPr>
                <w:color w:val="auto"/>
                <w:highlight w:val="none"/>
              </w:rPr>
              <w:t>SiO2</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7E5651F">
            <w:pPr>
              <w:pStyle w:val="69"/>
              <w:bidi w:val="0"/>
              <w:rPr>
                <w:color w:val="auto"/>
                <w:highlight w:val="none"/>
              </w:rPr>
            </w:pPr>
            <w:r>
              <w:rPr>
                <w:color w:val="auto"/>
                <w:highlight w:val="none"/>
              </w:rPr>
              <w:t>71.17%</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66547C8">
            <w:pPr>
              <w:pStyle w:val="69"/>
              <w:bidi w:val="0"/>
              <w:rPr>
                <w:color w:val="auto"/>
                <w:highlight w:val="none"/>
              </w:rPr>
            </w:pPr>
            <w:r>
              <w:rPr>
                <w:color w:val="auto"/>
                <w:highlight w:val="none"/>
              </w:rPr>
              <w:t>Cd</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467F7E40">
            <w:pPr>
              <w:pStyle w:val="69"/>
              <w:bidi w:val="0"/>
              <w:rPr>
                <w:color w:val="auto"/>
                <w:highlight w:val="none"/>
              </w:rPr>
            </w:pPr>
            <w:r>
              <w:rPr>
                <w:color w:val="auto"/>
                <w:highlight w:val="none"/>
              </w:rPr>
              <w:t>未检出</w:t>
            </w:r>
          </w:p>
        </w:tc>
      </w:tr>
      <w:tr w14:paraId="486E99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5C7C2F">
            <w:pPr>
              <w:pStyle w:val="69"/>
              <w:bidi w:val="0"/>
              <w:rPr>
                <w:color w:val="auto"/>
                <w:highlight w:val="none"/>
              </w:rPr>
            </w:pPr>
            <w:r>
              <w:rPr>
                <w:color w:val="auto"/>
                <w:highlight w:val="none"/>
              </w:rPr>
              <w:t>Al2O3</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4E14E287">
            <w:pPr>
              <w:pStyle w:val="69"/>
              <w:bidi w:val="0"/>
              <w:rPr>
                <w:color w:val="auto"/>
                <w:highlight w:val="none"/>
              </w:rPr>
            </w:pPr>
            <w:r>
              <w:rPr>
                <w:color w:val="auto"/>
                <w:highlight w:val="none"/>
              </w:rPr>
              <w:t>15.18%</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2432B83">
            <w:pPr>
              <w:pStyle w:val="69"/>
              <w:bidi w:val="0"/>
              <w:rPr>
                <w:color w:val="auto"/>
                <w:highlight w:val="none"/>
              </w:rPr>
            </w:pPr>
            <w:r>
              <w:rPr>
                <w:color w:val="auto"/>
                <w:highlight w:val="none"/>
              </w:rPr>
              <w:t>Cr</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35E90B98">
            <w:pPr>
              <w:pStyle w:val="69"/>
              <w:bidi w:val="0"/>
              <w:rPr>
                <w:color w:val="auto"/>
                <w:highlight w:val="none"/>
              </w:rPr>
            </w:pPr>
            <w:r>
              <w:rPr>
                <w:color w:val="auto"/>
                <w:highlight w:val="none"/>
              </w:rPr>
              <w:t>未检出</w:t>
            </w:r>
          </w:p>
        </w:tc>
      </w:tr>
      <w:tr w14:paraId="06295E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F99CE4">
            <w:pPr>
              <w:pStyle w:val="69"/>
              <w:bidi w:val="0"/>
              <w:rPr>
                <w:color w:val="auto"/>
                <w:highlight w:val="none"/>
              </w:rPr>
            </w:pPr>
            <w:r>
              <w:rPr>
                <w:color w:val="auto"/>
                <w:highlight w:val="none"/>
              </w:rPr>
              <w:t>Na2O</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6404A799">
            <w:pPr>
              <w:pStyle w:val="69"/>
              <w:bidi w:val="0"/>
              <w:rPr>
                <w:color w:val="auto"/>
                <w:highlight w:val="none"/>
              </w:rPr>
            </w:pPr>
            <w:r>
              <w:rPr>
                <w:color w:val="auto"/>
                <w:highlight w:val="none"/>
              </w:rPr>
              <w:t>2.35%</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219E9172">
            <w:pPr>
              <w:pStyle w:val="69"/>
              <w:bidi w:val="0"/>
              <w:rPr>
                <w:color w:val="auto"/>
                <w:highlight w:val="none"/>
              </w:rPr>
            </w:pPr>
            <w:r>
              <w:rPr>
                <w:color w:val="auto"/>
                <w:highlight w:val="none"/>
              </w:rPr>
              <w:t>As</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5B3E755D">
            <w:pPr>
              <w:pStyle w:val="69"/>
              <w:bidi w:val="0"/>
              <w:rPr>
                <w:color w:val="auto"/>
                <w:highlight w:val="none"/>
              </w:rPr>
            </w:pPr>
            <w:r>
              <w:rPr>
                <w:color w:val="auto"/>
                <w:highlight w:val="none"/>
              </w:rPr>
              <w:t>未检出</w:t>
            </w:r>
          </w:p>
        </w:tc>
      </w:tr>
      <w:tr w14:paraId="54DEF4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178BA7">
            <w:pPr>
              <w:pStyle w:val="69"/>
              <w:bidi w:val="0"/>
              <w:rPr>
                <w:color w:val="auto"/>
                <w:highlight w:val="none"/>
              </w:rPr>
            </w:pPr>
            <w:r>
              <w:rPr>
                <w:color w:val="auto"/>
                <w:highlight w:val="none"/>
              </w:rPr>
              <w:t>K2O</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2E5577A3">
            <w:pPr>
              <w:pStyle w:val="69"/>
              <w:bidi w:val="0"/>
              <w:rPr>
                <w:color w:val="auto"/>
                <w:highlight w:val="none"/>
              </w:rPr>
            </w:pPr>
            <w:r>
              <w:rPr>
                <w:color w:val="auto"/>
                <w:highlight w:val="none"/>
              </w:rPr>
              <w:t>3.51%</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FDB6655">
            <w:pPr>
              <w:pStyle w:val="69"/>
              <w:bidi w:val="0"/>
              <w:rPr>
                <w:color w:val="auto"/>
                <w:highlight w:val="none"/>
              </w:rPr>
            </w:pPr>
            <w:r>
              <w:rPr>
                <w:color w:val="auto"/>
                <w:highlight w:val="none"/>
              </w:rPr>
              <w:t>Ni</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3EF1949C">
            <w:pPr>
              <w:pStyle w:val="69"/>
              <w:bidi w:val="0"/>
              <w:rPr>
                <w:color w:val="auto"/>
                <w:highlight w:val="none"/>
              </w:rPr>
            </w:pPr>
            <w:r>
              <w:rPr>
                <w:color w:val="auto"/>
                <w:highlight w:val="none"/>
              </w:rPr>
              <w:t>未检出</w:t>
            </w:r>
          </w:p>
        </w:tc>
      </w:tr>
      <w:tr w14:paraId="7C6C3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FCADB">
            <w:pPr>
              <w:pStyle w:val="69"/>
              <w:bidi w:val="0"/>
              <w:rPr>
                <w:color w:val="auto"/>
                <w:highlight w:val="none"/>
              </w:rPr>
            </w:pPr>
            <w:r>
              <w:rPr>
                <w:color w:val="auto"/>
                <w:highlight w:val="none"/>
              </w:rPr>
              <w:t>MgO</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825D799">
            <w:pPr>
              <w:pStyle w:val="69"/>
              <w:bidi w:val="0"/>
              <w:rPr>
                <w:color w:val="auto"/>
                <w:highlight w:val="none"/>
              </w:rPr>
            </w:pPr>
            <w:r>
              <w:rPr>
                <w:color w:val="auto"/>
                <w:highlight w:val="none"/>
              </w:rPr>
              <w:t>0.82%</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ECCF095">
            <w:pPr>
              <w:pStyle w:val="69"/>
              <w:bidi w:val="0"/>
              <w:rPr>
                <w:color w:val="auto"/>
                <w:highlight w:val="none"/>
              </w:rPr>
            </w:pPr>
            <w:r>
              <w:rPr>
                <w:color w:val="auto"/>
                <w:highlight w:val="none"/>
              </w:rPr>
              <w:t>Mn</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77366276">
            <w:pPr>
              <w:pStyle w:val="69"/>
              <w:bidi w:val="0"/>
              <w:rPr>
                <w:color w:val="auto"/>
                <w:highlight w:val="none"/>
              </w:rPr>
            </w:pPr>
            <w:r>
              <w:rPr>
                <w:color w:val="auto"/>
                <w:highlight w:val="none"/>
              </w:rPr>
              <w:t>未检出</w:t>
            </w:r>
          </w:p>
        </w:tc>
      </w:tr>
      <w:tr w14:paraId="57C47D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6D3E2E">
            <w:pPr>
              <w:pStyle w:val="69"/>
              <w:bidi w:val="0"/>
              <w:rPr>
                <w:color w:val="auto"/>
                <w:highlight w:val="none"/>
              </w:rPr>
            </w:pPr>
            <w:r>
              <w:rPr>
                <w:color w:val="auto"/>
                <w:highlight w:val="none"/>
              </w:rPr>
              <w:t>TiO2</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CF75D6C">
            <w:pPr>
              <w:pStyle w:val="69"/>
              <w:bidi w:val="0"/>
              <w:rPr>
                <w:color w:val="auto"/>
                <w:highlight w:val="none"/>
              </w:rPr>
            </w:pPr>
            <w:r>
              <w:rPr>
                <w:color w:val="auto"/>
                <w:highlight w:val="none"/>
              </w:rPr>
              <w:t>0.11%</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38C7FBF6">
            <w:pPr>
              <w:pStyle w:val="69"/>
              <w:bidi w:val="0"/>
              <w:rPr>
                <w:color w:val="auto"/>
                <w:highlight w:val="none"/>
              </w:rPr>
            </w:pPr>
            <w:r>
              <w:rPr>
                <w:color w:val="auto"/>
                <w:highlight w:val="none"/>
              </w:rPr>
              <w:t>Ag</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6B19CC6E">
            <w:pPr>
              <w:pStyle w:val="69"/>
              <w:bidi w:val="0"/>
              <w:rPr>
                <w:color w:val="auto"/>
                <w:highlight w:val="none"/>
              </w:rPr>
            </w:pPr>
            <w:r>
              <w:rPr>
                <w:color w:val="auto"/>
                <w:highlight w:val="none"/>
              </w:rPr>
              <w:t>未检出</w:t>
            </w:r>
          </w:p>
        </w:tc>
      </w:tr>
      <w:tr w14:paraId="2B50E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0C2340">
            <w:pPr>
              <w:pStyle w:val="69"/>
              <w:bidi w:val="0"/>
              <w:rPr>
                <w:color w:val="auto"/>
                <w:highlight w:val="none"/>
              </w:rPr>
            </w:pPr>
            <w:r>
              <w:rPr>
                <w:color w:val="auto"/>
                <w:highlight w:val="none"/>
              </w:rPr>
              <w:t>Fe</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4B11C9F">
            <w:pPr>
              <w:pStyle w:val="69"/>
              <w:bidi w:val="0"/>
              <w:rPr>
                <w:color w:val="auto"/>
                <w:highlight w:val="none"/>
              </w:rPr>
            </w:pPr>
            <w:r>
              <w:rPr>
                <w:color w:val="auto"/>
                <w:highlight w:val="none"/>
              </w:rPr>
              <w:t>1.58%</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49A3FFD0">
            <w:pPr>
              <w:pStyle w:val="69"/>
              <w:bidi w:val="0"/>
              <w:rPr>
                <w:color w:val="auto"/>
                <w:highlight w:val="none"/>
              </w:rPr>
            </w:pPr>
            <w:r>
              <w:rPr>
                <w:color w:val="auto"/>
                <w:highlight w:val="none"/>
              </w:rPr>
              <w:t>Cu</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3399B8BD">
            <w:pPr>
              <w:pStyle w:val="69"/>
              <w:bidi w:val="0"/>
              <w:rPr>
                <w:color w:val="auto"/>
                <w:highlight w:val="none"/>
              </w:rPr>
            </w:pPr>
            <w:r>
              <w:rPr>
                <w:color w:val="auto"/>
                <w:highlight w:val="none"/>
              </w:rPr>
              <w:t>未检出</w:t>
            </w:r>
          </w:p>
        </w:tc>
      </w:tr>
      <w:tr w14:paraId="6FD6CB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9CFCE8">
            <w:pPr>
              <w:pStyle w:val="69"/>
              <w:bidi w:val="0"/>
              <w:rPr>
                <w:color w:val="auto"/>
                <w:highlight w:val="none"/>
              </w:rPr>
            </w:pPr>
            <w:r>
              <w:rPr>
                <w:color w:val="auto"/>
                <w:highlight w:val="none"/>
              </w:rPr>
              <w:t>Fe2O3</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39F49D0">
            <w:pPr>
              <w:pStyle w:val="69"/>
              <w:bidi w:val="0"/>
              <w:rPr>
                <w:color w:val="auto"/>
                <w:highlight w:val="none"/>
              </w:rPr>
            </w:pPr>
            <w:r>
              <w:rPr>
                <w:color w:val="auto"/>
                <w:highlight w:val="none"/>
              </w:rPr>
              <w:t>0.37%</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20DFA23B">
            <w:pPr>
              <w:pStyle w:val="69"/>
              <w:bidi w:val="0"/>
              <w:rPr>
                <w:color w:val="auto"/>
                <w:highlight w:val="none"/>
              </w:rPr>
            </w:pPr>
            <w:r>
              <w:rPr>
                <w:color w:val="auto"/>
                <w:highlight w:val="none"/>
              </w:rPr>
              <w:t>Zn</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3E5F79F7">
            <w:pPr>
              <w:pStyle w:val="69"/>
              <w:bidi w:val="0"/>
              <w:rPr>
                <w:color w:val="auto"/>
                <w:highlight w:val="none"/>
              </w:rPr>
            </w:pPr>
            <w:r>
              <w:rPr>
                <w:color w:val="auto"/>
                <w:highlight w:val="none"/>
              </w:rPr>
              <w:t>未检出</w:t>
            </w:r>
          </w:p>
        </w:tc>
      </w:tr>
      <w:tr w14:paraId="7E8DB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5C0818">
            <w:pPr>
              <w:pStyle w:val="69"/>
              <w:bidi w:val="0"/>
              <w:rPr>
                <w:color w:val="auto"/>
                <w:highlight w:val="none"/>
              </w:rPr>
            </w:pPr>
            <w:r>
              <w:rPr>
                <w:color w:val="auto"/>
                <w:highlight w:val="none"/>
              </w:rPr>
              <w:t>P2O5</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4BAF4547">
            <w:pPr>
              <w:pStyle w:val="69"/>
              <w:bidi w:val="0"/>
              <w:rPr>
                <w:color w:val="auto"/>
                <w:highlight w:val="none"/>
              </w:rPr>
            </w:pPr>
            <w:r>
              <w:rPr>
                <w:color w:val="auto"/>
                <w:highlight w:val="none"/>
              </w:rPr>
              <w:t>0.02%</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E01965A">
            <w:pPr>
              <w:pStyle w:val="69"/>
              <w:bidi w:val="0"/>
              <w:rPr>
                <w:color w:val="auto"/>
                <w:highlight w:val="none"/>
              </w:rPr>
            </w:pPr>
            <w:r>
              <w:rPr>
                <w:color w:val="auto"/>
                <w:highlight w:val="none"/>
              </w:rPr>
              <w:t>V</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3DF1C134">
            <w:pPr>
              <w:pStyle w:val="69"/>
              <w:bidi w:val="0"/>
              <w:rPr>
                <w:color w:val="auto"/>
                <w:highlight w:val="none"/>
              </w:rPr>
            </w:pPr>
            <w:r>
              <w:rPr>
                <w:color w:val="auto"/>
                <w:highlight w:val="none"/>
              </w:rPr>
              <w:t>未检出</w:t>
            </w:r>
          </w:p>
        </w:tc>
      </w:tr>
      <w:tr w14:paraId="44AFC2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DDD9A7">
            <w:pPr>
              <w:pStyle w:val="69"/>
              <w:bidi w:val="0"/>
              <w:rPr>
                <w:color w:val="auto"/>
                <w:highlight w:val="none"/>
              </w:rPr>
            </w:pPr>
            <w:r>
              <w:rPr>
                <w:color w:val="auto"/>
                <w:highlight w:val="none"/>
              </w:rPr>
              <w:t>烧失量</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3FF3960A">
            <w:pPr>
              <w:pStyle w:val="69"/>
              <w:bidi w:val="0"/>
              <w:rPr>
                <w:color w:val="auto"/>
                <w:highlight w:val="none"/>
              </w:rPr>
            </w:pPr>
            <w:r>
              <w:rPr>
                <w:color w:val="auto"/>
                <w:highlight w:val="none"/>
              </w:rPr>
              <w:t>0.41%</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7ECFC436">
            <w:pPr>
              <w:pStyle w:val="69"/>
              <w:bidi w:val="0"/>
              <w:rPr>
                <w:color w:val="auto"/>
                <w:highlight w:val="none"/>
              </w:rPr>
            </w:pPr>
            <w:r>
              <w:rPr>
                <w:color w:val="auto"/>
                <w:highlight w:val="none"/>
              </w:rPr>
              <w:t>Co</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03A74FDF">
            <w:pPr>
              <w:pStyle w:val="69"/>
              <w:bidi w:val="0"/>
              <w:rPr>
                <w:color w:val="auto"/>
                <w:highlight w:val="none"/>
              </w:rPr>
            </w:pPr>
            <w:r>
              <w:rPr>
                <w:color w:val="auto"/>
                <w:highlight w:val="none"/>
              </w:rPr>
              <w:t>未检出</w:t>
            </w:r>
          </w:p>
        </w:tc>
      </w:tr>
      <w:tr w14:paraId="6FA4D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454BA">
            <w:pPr>
              <w:pStyle w:val="69"/>
              <w:bidi w:val="0"/>
              <w:rPr>
                <w:color w:val="auto"/>
                <w:highlight w:val="none"/>
              </w:rPr>
            </w:pPr>
            <w:r>
              <w:rPr>
                <w:color w:val="auto"/>
                <w:highlight w:val="none"/>
              </w:rPr>
              <w:t>C</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2231B8B">
            <w:pPr>
              <w:pStyle w:val="69"/>
              <w:bidi w:val="0"/>
              <w:rPr>
                <w:color w:val="auto"/>
                <w:highlight w:val="none"/>
              </w:rPr>
            </w:pPr>
            <w:r>
              <w:rPr>
                <w:color w:val="auto"/>
                <w:highlight w:val="none"/>
              </w:rPr>
              <w:t>0.035%</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67E47145">
            <w:pPr>
              <w:pStyle w:val="69"/>
              <w:bidi w:val="0"/>
              <w:rPr>
                <w:color w:val="auto"/>
                <w:highlight w:val="none"/>
              </w:rPr>
            </w:pPr>
            <w:r>
              <w:rPr>
                <w:color w:val="auto"/>
                <w:highlight w:val="none"/>
              </w:rPr>
              <w:t>TI</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41DA52BC">
            <w:pPr>
              <w:pStyle w:val="69"/>
              <w:bidi w:val="0"/>
              <w:rPr>
                <w:color w:val="auto"/>
                <w:highlight w:val="none"/>
              </w:rPr>
            </w:pPr>
            <w:r>
              <w:rPr>
                <w:color w:val="auto"/>
                <w:highlight w:val="none"/>
              </w:rPr>
              <w:t>未检出</w:t>
            </w:r>
          </w:p>
        </w:tc>
      </w:tr>
      <w:tr w14:paraId="21CC8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726DA3">
            <w:pPr>
              <w:pStyle w:val="69"/>
              <w:bidi w:val="0"/>
              <w:rPr>
                <w:color w:val="auto"/>
                <w:highlight w:val="none"/>
              </w:rPr>
            </w:pPr>
            <w:r>
              <w:rPr>
                <w:color w:val="auto"/>
                <w:highlight w:val="none"/>
              </w:rPr>
              <w:t>S</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AE4C994">
            <w:pPr>
              <w:pStyle w:val="69"/>
              <w:bidi w:val="0"/>
              <w:rPr>
                <w:color w:val="auto"/>
                <w:highlight w:val="none"/>
              </w:rPr>
            </w:pPr>
            <w:r>
              <w:rPr>
                <w:color w:val="auto"/>
                <w:highlight w:val="none"/>
              </w:rPr>
              <w:t>0.018%</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615F18E">
            <w:pPr>
              <w:pStyle w:val="69"/>
              <w:bidi w:val="0"/>
              <w:rPr>
                <w:color w:val="auto"/>
                <w:highlight w:val="none"/>
              </w:rPr>
            </w:pPr>
            <w:r>
              <w:rPr>
                <w:color w:val="auto"/>
                <w:highlight w:val="none"/>
              </w:rPr>
              <w:t>Sb</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22E0B6AB">
            <w:pPr>
              <w:pStyle w:val="69"/>
              <w:bidi w:val="0"/>
              <w:rPr>
                <w:color w:val="auto"/>
                <w:highlight w:val="none"/>
              </w:rPr>
            </w:pPr>
            <w:r>
              <w:rPr>
                <w:color w:val="auto"/>
                <w:highlight w:val="none"/>
              </w:rPr>
              <w:t>未检出</w:t>
            </w:r>
          </w:p>
        </w:tc>
      </w:tr>
      <w:tr w14:paraId="7F0831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14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8796E">
            <w:pPr>
              <w:pStyle w:val="69"/>
              <w:bidi w:val="0"/>
              <w:rPr>
                <w:color w:val="auto"/>
                <w:highlight w:val="none"/>
              </w:rPr>
            </w:pPr>
            <w:r>
              <w:rPr>
                <w:color w:val="auto"/>
                <w:highlight w:val="none"/>
              </w:rPr>
              <w:t>合计</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57774208">
            <w:pPr>
              <w:pStyle w:val="69"/>
              <w:bidi w:val="0"/>
              <w:rPr>
                <w:color w:val="auto"/>
                <w:highlight w:val="none"/>
              </w:rPr>
            </w:pPr>
            <w:r>
              <w:rPr>
                <w:color w:val="auto"/>
                <w:highlight w:val="none"/>
              </w:rPr>
              <w:t>98.183%</w:t>
            </w:r>
          </w:p>
        </w:tc>
        <w:tc>
          <w:tcPr>
            <w:tcW w:w="1194" w:type="pct"/>
            <w:tcBorders>
              <w:top w:val="single" w:color="000000" w:sz="4" w:space="0"/>
              <w:left w:val="single" w:color="000000" w:sz="4" w:space="0"/>
              <w:bottom w:val="single" w:color="000000" w:sz="4" w:space="0"/>
              <w:right w:val="single" w:color="000000" w:sz="4" w:space="0"/>
            </w:tcBorders>
            <w:shd w:val="clear" w:color="auto" w:fill="FFFFFF"/>
          </w:tcPr>
          <w:p w14:paraId="152D1B47">
            <w:pPr>
              <w:pStyle w:val="69"/>
              <w:bidi w:val="0"/>
              <w:rPr>
                <w:color w:val="auto"/>
                <w:highlight w:val="none"/>
              </w:rPr>
            </w:pPr>
            <w:r>
              <w:rPr>
                <w:color w:val="auto"/>
                <w:highlight w:val="none"/>
              </w:rPr>
              <w:t>/</w:t>
            </w:r>
          </w:p>
        </w:tc>
        <w:tc>
          <w:tcPr>
            <w:tcW w:w="1192" w:type="pct"/>
            <w:tcBorders>
              <w:top w:val="single" w:color="000000" w:sz="4" w:space="0"/>
              <w:left w:val="single" w:color="000000" w:sz="4" w:space="0"/>
              <w:bottom w:val="single" w:color="000000" w:sz="4" w:space="0"/>
              <w:right w:val="single" w:color="000000" w:sz="4" w:space="0"/>
            </w:tcBorders>
            <w:shd w:val="clear" w:color="auto" w:fill="FFFFFF"/>
          </w:tcPr>
          <w:p w14:paraId="7E7C3B9F">
            <w:pPr>
              <w:pStyle w:val="69"/>
              <w:bidi w:val="0"/>
              <w:rPr>
                <w:color w:val="auto"/>
                <w:highlight w:val="none"/>
              </w:rPr>
            </w:pPr>
            <w:r>
              <w:rPr>
                <w:color w:val="auto"/>
                <w:highlight w:val="none"/>
              </w:rPr>
              <w:t>/</w:t>
            </w:r>
          </w:p>
        </w:tc>
      </w:tr>
    </w:tbl>
    <w:p w14:paraId="786E6CF6">
      <w:pPr>
        <w:adjustRightInd w:val="0"/>
        <w:ind w:firstLine="480"/>
        <w:rPr>
          <w:rFonts w:cs="Times New Roman"/>
          <w:color w:val="auto"/>
          <w:highlight w:val="none"/>
        </w:rPr>
      </w:pPr>
      <w:r>
        <w:rPr>
          <w:rFonts w:cs="Times New Roman"/>
          <w:color w:val="auto"/>
          <w:highlight w:val="none"/>
        </w:rPr>
        <w:t>根据《四川省</w:t>
      </w:r>
      <w:r>
        <w:rPr>
          <w:rFonts w:hint="eastAsia" w:cs="Times New Roman"/>
          <w:color w:val="auto"/>
          <w:highlight w:val="none"/>
        </w:rPr>
        <w:t>“</w:t>
      </w:r>
      <w:r>
        <w:rPr>
          <w:rFonts w:cs="Times New Roman"/>
          <w:color w:val="auto"/>
          <w:highlight w:val="none"/>
        </w:rPr>
        <w:t>十四五</w:t>
      </w:r>
      <w:r>
        <w:rPr>
          <w:rFonts w:hint="eastAsia" w:cs="Times New Roman"/>
          <w:color w:val="auto"/>
          <w:highlight w:val="none"/>
        </w:rPr>
        <w:t>”</w:t>
      </w:r>
      <w:r>
        <w:rPr>
          <w:rFonts w:cs="Times New Roman"/>
          <w:color w:val="auto"/>
          <w:highlight w:val="none"/>
        </w:rPr>
        <w:t>重金属污染防控工作方案》相关要求：重点重金属污染物为铅（Pb）、汞（Hg）、镉（Cd）、铬（Cr）、砷（As）、铊（Tl）和锑（Sb），并对铅、汞、镉、铬和砷五种重金属污染物排放量实施总量控制。</w:t>
      </w:r>
    </w:p>
    <w:p w14:paraId="3F570CAF">
      <w:pPr>
        <w:adjustRightInd w:val="0"/>
        <w:ind w:firstLine="482"/>
        <w:rPr>
          <w:rFonts w:cs="Times New Roman"/>
          <w:b/>
          <w:bCs/>
          <w:color w:val="auto"/>
          <w:highlight w:val="none"/>
        </w:rPr>
      </w:pPr>
      <w:r>
        <w:rPr>
          <w:rFonts w:cs="Times New Roman"/>
          <w:b/>
          <w:bCs/>
          <w:color w:val="auto"/>
          <w:highlight w:val="none"/>
        </w:rPr>
        <w:t>根据本项目锂矿石原料成分检测报告，重点防控的重金属（铅（Pb）、汞（Hg）、镉（Cd）、铬（Cr）、砷（As）、铊（Tl）和锑（Sb））为未检出。本报告要求：若原矿来源发生变化需重新对原矿进行全成分检测分析，确保原矿中不含有重金属</w:t>
      </w:r>
      <w:r>
        <w:rPr>
          <w:rFonts w:hint="eastAsia" w:cs="Times New Roman"/>
          <w:b/>
          <w:bCs/>
          <w:color w:val="auto"/>
          <w:highlight w:val="none"/>
        </w:rPr>
        <w:t>（见附件</w:t>
      </w:r>
      <w:r>
        <w:rPr>
          <w:rFonts w:hint="eastAsia" w:cs="Times New Roman"/>
          <w:b/>
          <w:bCs/>
          <w:color w:val="auto"/>
          <w:highlight w:val="none"/>
          <w:lang w:val="en-US" w:eastAsia="zh-CN"/>
        </w:rPr>
        <w:t>20</w:t>
      </w:r>
      <w:r>
        <w:rPr>
          <w:rFonts w:hint="eastAsia" w:cs="Times New Roman"/>
          <w:b/>
          <w:bCs/>
          <w:color w:val="auto"/>
          <w:highlight w:val="none"/>
        </w:rPr>
        <w:t>关于锂矿石原料成分检测的承诺）</w:t>
      </w:r>
      <w:r>
        <w:rPr>
          <w:rFonts w:cs="Times New Roman"/>
          <w:b/>
          <w:bCs/>
          <w:color w:val="auto"/>
          <w:highlight w:val="none"/>
        </w:rPr>
        <w:t>。</w:t>
      </w:r>
    </w:p>
    <w:p w14:paraId="098E5E09">
      <w:pPr>
        <w:adjustRightInd w:val="0"/>
        <w:ind w:firstLine="482"/>
        <w:rPr>
          <w:rFonts w:cs="Times New Roman"/>
          <w:b/>
          <w:bCs/>
          <w:color w:val="auto"/>
          <w:highlight w:val="none"/>
        </w:rPr>
      </w:pPr>
      <w:r>
        <w:rPr>
          <w:rFonts w:cs="Times New Roman"/>
          <w:b/>
          <w:bCs/>
          <w:color w:val="auto"/>
          <w:highlight w:val="none"/>
        </w:rPr>
        <w:t>由于本项目属于有色金属矿采选业，项目拟采取分区防渗、强化大气污染治理等污染防治措施，从源头和生产过程上控制项目对区域地下水和土壤环境的污染源强。</w:t>
      </w:r>
    </w:p>
    <w:p w14:paraId="35BA252F">
      <w:pPr>
        <w:adjustRightInd w:val="0"/>
        <w:ind w:firstLine="480"/>
        <w:rPr>
          <w:rFonts w:cs="Times New Roman"/>
          <w:color w:val="auto"/>
          <w:highlight w:val="none"/>
        </w:rPr>
      </w:pPr>
      <w:r>
        <w:rPr>
          <w:rFonts w:cs="Times New Roman"/>
          <w:color w:val="auto"/>
          <w:highlight w:val="none"/>
        </w:rPr>
        <w:t>考虑到原矿中可能含放射性物质等，建设单位委托四川省捷信隆检测技术有限公司进行了原矿及各产品的放射性检测，见附件1</w:t>
      </w:r>
      <w:r>
        <w:rPr>
          <w:rFonts w:hint="eastAsia" w:cs="Times New Roman"/>
          <w:color w:val="auto"/>
          <w:highlight w:val="none"/>
          <w:lang w:val="en-US" w:eastAsia="zh-CN"/>
        </w:rPr>
        <w:t>4</w:t>
      </w:r>
      <w:r>
        <w:rPr>
          <w:rFonts w:cs="Times New Roman"/>
          <w:color w:val="auto"/>
          <w:highlight w:val="none"/>
        </w:rPr>
        <w:t>，具体见下表。</w:t>
      </w:r>
    </w:p>
    <w:p w14:paraId="41315277">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8</w:t>
      </w:r>
      <w:r>
        <w:rPr>
          <w:rFonts w:cs="Times New Roman"/>
          <w:color w:val="auto"/>
          <w:highlight w:val="none"/>
        </w:rPr>
        <w:fldChar w:fldCharType="end"/>
      </w:r>
      <w:r>
        <w:rPr>
          <w:rFonts w:cs="Times New Roman"/>
          <w:color w:val="auto"/>
          <w:szCs w:val="21"/>
          <w:highlight w:val="none"/>
        </w:rPr>
        <w:t>放射性检测结果</w:t>
      </w:r>
    </w:p>
    <w:tbl>
      <w:tblPr>
        <w:tblStyle w:val="75"/>
        <w:tblW w:w="500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377"/>
        <w:gridCol w:w="1158"/>
        <w:gridCol w:w="1158"/>
        <w:gridCol w:w="1159"/>
        <w:gridCol w:w="1158"/>
        <w:gridCol w:w="1158"/>
        <w:gridCol w:w="1158"/>
      </w:tblGrid>
      <w:tr w14:paraId="1C4A04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827"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C3589A2">
            <w:pPr>
              <w:pStyle w:val="69"/>
              <w:bidi w:val="0"/>
              <w:rPr>
                <w:b/>
                <w:bCs w:val="0"/>
                <w:color w:val="auto"/>
                <w:highlight w:val="none"/>
              </w:rPr>
            </w:pPr>
            <w:r>
              <w:rPr>
                <w:b/>
                <w:bCs w:val="0"/>
                <w:color w:val="auto"/>
                <w:highlight w:val="none"/>
              </w:rPr>
              <w:t>类型</w:t>
            </w:r>
          </w:p>
        </w:tc>
        <w:tc>
          <w:tcPr>
            <w:tcW w:w="2086" w:type="pct"/>
            <w:gridSpan w:val="3"/>
            <w:tcBorders>
              <w:top w:val="single" w:color="000000" w:sz="4" w:space="0"/>
              <w:left w:val="single" w:color="000000" w:sz="4" w:space="0"/>
              <w:bottom w:val="single" w:color="000000" w:sz="4" w:space="0"/>
              <w:right w:val="single" w:color="000000" w:sz="4" w:space="0"/>
            </w:tcBorders>
            <w:shd w:val="clear" w:color="auto" w:fill="FFFFFF"/>
          </w:tcPr>
          <w:p w14:paraId="4CEDBCA1">
            <w:pPr>
              <w:pStyle w:val="69"/>
              <w:bidi w:val="0"/>
              <w:rPr>
                <w:b/>
                <w:bCs w:val="0"/>
                <w:color w:val="auto"/>
                <w:highlight w:val="none"/>
              </w:rPr>
            </w:pPr>
            <w:r>
              <w:rPr>
                <w:b/>
                <w:bCs w:val="0"/>
                <w:color w:val="auto"/>
                <w:highlight w:val="none"/>
              </w:rPr>
              <w:t>比活度</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576A4FD8">
            <w:pPr>
              <w:pStyle w:val="69"/>
              <w:bidi w:val="0"/>
              <w:rPr>
                <w:b/>
                <w:bCs w:val="0"/>
                <w:color w:val="auto"/>
                <w:highlight w:val="none"/>
              </w:rPr>
            </w:pPr>
            <w:r>
              <w:rPr>
                <w:b/>
                <w:bCs w:val="0"/>
                <w:color w:val="auto"/>
                <w:highlight w:val="none"/>
              </w:rPr>
              <w:t>内照指数</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2485E5C4">
            <w:pPr>
              <w:pStyle w:val="69"/>
              <w:bidi w:val="0"/>
              <w:rPr>
                <w:b/>
                <w:bCs w:val="0"/>
                <w:color w:val="auto"/>
                <w:highlight w:val="none"/>
              </w:rPr>
            </w:pPr>
            <w:r>
              <w:rPr>
                <w:b/>
                <w:bCs w:val="0"/>
                <w:color w:val="auto"/>
                <w:highlight w:val="none"/>
              </w:rPr>
              <w:t>外照指数</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3FCC50F1">
            <w:pPr>
              <w:pStyle w:val="69"/>
              <w:bidi w:val="0"/>
              <w:rPr>
                <w:b/>
                <w:bCs w:val="0"/>
                <w:color w:val="auto"/>
                <w:highlight w:val="none"/>
              </w:rPr>
            </w:pPr>
            <w:r>
              <w:rPr>
                <w:b/>
                <w:bCs w:val="0"/>
                <w:color w:val="auto"/>
                <w:highlight w:val="none"/>
              </w:rPr>
              <w:t>镭当量浓度</w:t>
            </w:r>
          </w:p>
        </w:tc>
      </w:tr>
      <w:tr w14:paraId="50FD10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82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AE5D23">
            <w:pPr>
              <w:pStyle w:val="69"/>
              <w:bidi w:val="0"/>
              <w:rPr>
                <w:color w:val="auto"/>
                <w:highlight w:val="none"/>
              </w:rPr>
            </w:pP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6237F1E3">
            <w:pPr>
              <w:pStyle w:val="69"/>
              <w:bidi w:val="0"/>
              <w:rPr>
                <w:b/>
                <w:bCs w:val="0"/>
                <w:color w:val="auto"/>
                <w:highlight w:val="none"/>
              </w:rPr>
            </w:pPr>
            <w:r>
              <w:rPr>
                <w:b/>
                <w:bCs w:val="0"/>
                <w:color w:val="auto"/>
                <w:highlight w:val="none"/>
              </w:rPr>
              <w:t>Ra</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17477A11">
            <w:pPr>
              <w:pStyle w:val="69"/>
              <w:bidi w:val="0"/>
              <w:rPr>
                <w:b/>
                <w:bCs w:val="0"/>
                <w:color w:val="auto"/>
                <w:highlight w:val="none"/>
              </w:rPr>
            </w:pPr>
            <w:r>
              <w:rPr>
                <w:b/>
                <w:bCs w:val="0"/>
                <w:color w:val="auto"/>
                <w:highlight w:val="none"/>
              </w:rPr>
              <w:t>Th</w:t>
            </w:r>
          </w:p>
        </w:tc>
        <w:tc>
          <w:tcPr>
            <w:tcW w:w="696" w:type="pct"/>
            <w:tcBorders>
              <w:top w:val="single" w:color="000000" w:sz="4" w:space="0"/>
              <w:left w:val="single" w:color="000000" w:sz="4" w:space="0"/>
              <w:bottom w:val="single" w:color="000000" w:sz="4" w:space="0"/>
              <w:right w:val="single" w:color="000000" w:sz="4" w:space="0"/>
            </w:tcBorders>
            <w:shd w:val="clear" w:color="auto" w:fill="FFFFFF"/>
          </w:tcPr>
          <w:p w14:paraId="2C22A788">
            <w:pPr>
              <w:pStyle w:val="69"/>
              <w:bidi w:val="0"/>
              <w:rPr>
                <w:b/>
                <w:bCs w:val="0"/>
                <w:color w:val="auto"/>
                <w:highlight w:val="none"/>
              </w:rPr>
            </w:pPr>
            <w:r>
              <w:rPr>
                <w:b/>
                <w:bCs w:val="0"/>
                <w:color w:val="auto"/>
                <w:highlight w:val="none"/>
              </w:rPr>
              <w:t>K</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4881DF94">
            <w:pPr>
              <w:pStyle w:val="69"/>
              <w:bidi w:val="0"/>
              <w:rPr>
                <w:b/>
                <w:bCs w:val="0"/>
                <w:color w:val="auto"/>
                <w:highlight w:val="none"/>
              </w:rPr>
            </w:pPr>
            <w:r>
              <w:rPr>
                <w:b/>
                <w:bCs w:val="0"/>
                <w:color w:val="auto"/>
                <w:highlight w:val="none"/>
              </w:rPr>
              <w:t>IRa</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396AFC12">
            <w:pPr>
              <w:pStyle w:val="69"/>
              <w:bidi w:val="0"/>
              <w:rPr>
                <w:b/>
                <w:bCs w:val="0"/>
                <w:color w:val="auto"/>
                <w:highlight w:val="none"/>
              </w:rPr>
            </w:pPr>
            <w:r>
              <w:rPr>
                <w:b/>
                <w:bCs w:val="0"/>
                <w:color w:val="auto"/>
                <w:highlight w:val="none"/>
              </w:rPr>
              <w:t>IY</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58550712">
            <w:pPr>
              <w:pStyle w:val="69"/>
              <w:bidi w:val="0"/>
              <w:rPr>
                <w:b/>
                <w:bCs w:val="0"/>
                <w:color w:val="auto"/>
                <w:highlight w:val="none"/>
              </w:rPr>
            </w:pPr>
            <w:r>
              <w:rPr>
                <w:b/>
                <w:bCs w:val="0"/>
                <w:color w:val="auto"/>
                <w:highlight w:val="none"/>
              </w:rPr>
              <w:t>Bq/</w:t>
            </w:r>
            <w:r>
              <w:rPr>
                <w:rFonts w:hint="eastAsia"/>
                <w:b/>
                <w:bCs w:val="0"/>
                <w:color w:val="auto"/>
                <w:highlight w:val="none"/>
              </w:rPr>
              <w:t>kg</w:t>
            </w:r>
          </w:p>
        </w:tc>
      </w:tr>
      <w:tr w14:paraId="6A721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8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79C14B">
            <w:pPr>
              <w:pStyle w:val="69"/>
              <w:bidi w:val="0"/>
              <w:rPr>
                <w:color w:val="auto"/>
                <w:highlight w:val="none"/>
              </w:rPr>
            </w:pPr>
            <w:r>
              <w:rPr>
                <w:color w:val="auto"/>
                <w:highlight w:val="none"/>
              </w:rPr>
              <w:t>锂原矿</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34F91EA8">
            <w:pPr>
              <w:pStyle w:val="69"/>
              <w:bidi w:val="0"/>
              <w:rPr>
                <w:color w:val="auto"/>
                <w:highlight w:val="none"/>
              </w:rPr>
            </w:pPr>
            <w:r>
              <w:rPr>
                <w:color w:val="auto"/>
                <w:highlight w:val="none"/>
              </w:rPr>
              <w:t>1.</w:t>
            </w:r>
            <w:r>
              <w:rPr>
                <w:rFonts w:hint="eastAsia"/>
                <w:color w:val="auto"/>
                <w:highlight w:val="none"/>
              </w:rPr>
              <w:t>54</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5419E6A6">
            <w:pPr>
              <w:pStyle w:val="69"/>
              <w:bidi w:val="0"/>
              <w:rPr>
                <w:color w:val="auto"/>
                <w:highlight w:val="none"/>
              </w:rPr>
            </w:pPr>
            <w:r>
              <w:rPr>
                <w:rFonts w:hint="eastAsia"/>
                <w:color w:val="auto"/>
                <w:highlight w:val="none"/>
              </w:rPr>
              <w:t>82.11</w:t>
            </w:r>
          </w:p>
        </w:tc>
        <w:tc>
          <w:tcPr>
            <w:tcW w:w="696" w:type="pct"/>
            <w:tcBorders>
              <w:top w:val="single" w:color="000000" w:sz="4" w:space="0"/>
              <w:left w:val="single" w:color="000000" w:sz="4" w:space="0"/>
              <w:bottom w:val="single" w:color="000000" w:sz="4" w:space="0"/>
              <w:right w:val="single" w:color="000000" w:sz="4" w:space="0"/>
            </w:tcBorders>
            <w:shd w:val="clear" w:color="auto" w:fill="FFFFFF"/>
          </w:tcPr>
          <w:p w14:paraId="00B2636C">
            <w:pPr>
              <w:pStyle w:val="69"/>
              <w:bidi w:val="0"/>
              <w:rPr>
                <w:color w:val="auto"/>
                <w:highlight w:val="none"/>
              </w:rPr>
            </w:pPr>
            <w:r>
              <w:rPr>
                <w:color w:val="auto"/>
                <w:highlight w:val="none"/>
              </w:rPr>
              <w:t>103</w:t>
            </w:r>
            <w:r>
              <w:rPr>
                <w:rFonts w:hint="eastAsia"/>
                <w:color w:val="auto"/>
                <w:highlight w:val="none"/>
              </w:rPr>
              <w:t>5.4</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569CD60A">
            <w:pPr>
              <w:pStyle w:val="69"/>
              <w:bidi w:val="0"/>
              <w:rPr>
                <w:color w:val="auto"/>
                <w:highlight w:val="none"/>
              </w:rPr>
            </w:pPr>
            <w:r>
              <w:rPr>
                <w:color w:val="auto"/>
                <w:highlight w:val="none"/>
              </w:rPr>
              <w:t>0.0</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59CC1320">
            <w:pPr>
              <w:pStyle w:val="69"/>
              <w:bidi w:val="0"/>
              <w:rPr>
                <w:color w:val="auto"/>
                <w:highlight w:val="none"/>
              </w:rPr>
            </w:pPr>
            <w:r>
              <w:rPr>
                <w:color w:val="auto"/>
                <w:highlight w:val="none"/>
              </w:rPr>
              <w:t>0.</w:t>
            </w:r>
            <w:r>
              <w:rPr>
                <w:rFonts w:hint="eastAsia"/>
                <w:color w:val="auto"/>
                <w:highlight w:val="none"/>
              </w:rPr>
              <w:t>5</w:t>
            </w:r>
          </w:p>
        </w:tc>
        <w:tc>
          <w:tcPr>
            <w:tcW w:w="695" w:type="pct"/>
            <w:tcBorders>
              <w:top w:val="single" w:color="000000" w:sz="4" w:space="0"/>
              <w:left w:val="single" w:color="000000" w:sz="4" w:space="0"/>
              <w:bottom w:val="single" w:color="000000" w:sz="4" w:space="0"/>
              <w:right w:val="single" w:color="000000" w:sz="4" w:space="0"/>
            </w:tcBorders>
            <w:shd w:val="clear" w:color="auto" w:fill="FFFFFF"/>
          </w:tcPr>
          <w:p w14:paraId="0506A199">
            <w:pPr>
              <w:pStyle w:val="69"/>
              <w:bidi w:val="0"/>
              <w:rPr>
                <w:color w:val="auto"/>
                <w:highlight w:val="none"/>
              </w:rPr>
            </w:pPr>
            <w:r>
              <w:rPr>
                <w:rFonts w:hint="eastAsia"/>
                <w:color w:val="auto"/>
                <w:highlight w:val="none"/>
              </w:rPr>
              <w:t>179.85</w:t>
            </w:r>
          </w:p>
        </w:tc>
      </w:tr>
    </w:tbl>
    <w:p w14:paraId="3706567A">
      <w:pPr>
        <w:adjustRightInd w:val="0"/>
        <w:ind w:firstLine="480"/>
        <w:rPr>
          <w:rFonts w:cs="Times New Roman"/>
          <w:color w:val="auto"/>
          <w:highlight w:val="none"/>
        </w:rPr>
      </w:pPr>
      <w:r>
        <w:rPr>
          <w:rFonts w:cs="Times New Roman"/>
          <w:color w:val="auto"/>
          <w:highlight w:val="none"/>
        </w:rPr>
        <w:t>根据检测结果可知，项目拟加工的原矿石及产品锂辉石原矿、精矿、尾矿的放射性均较低，满足《有色金属矿产品的天然放射性限值》（GB20664-2006）相关限值标准要求。项目原矿中各放射性核素的活度浓度与其相应的豁免活度浓度之比的和小于1，对照《电离辐射防护与辐射源安全基本标准》（GB18871-2002）可以得到豁免；且本项目不属于《矿产资源开发利用辐射环境监督管理名录》（公告2020年第54号）中规定的行业，因此不需要编制辐射环境影响评价专篇。</w:t>
      </w:r>
    </w:p>
    <w:p w14:paraId="09304B1C">
      <w:pPr>
        <w:adjustRightInd w:val="0"/>
        <w:ind w:firstLine="480"/>
        <w:rPr>
          <w:rFonts w:cs="Times New Roman"/>
          <w:color w:val="auto"/>
          <w:highlight w:val="none"/>
        </w:rPr>
      </w:pPr>
      <w:r>
        <w:rPr>
          <w:rFonts w:cs="Times New Roman"/>
          <w:color w:val="auto"/>
          <w:highlight w:val="none"/>
        </w:rPr>
        <w:t>本次评价要求，</w:t>
      </w:r>
      <w:r>
        <w:rPr>
          <w:rFonts w:cs="Times New Roman"/>
          <w:color w:val="auto"/>
          <w:highlight w:val="none"/>
          <w:u w:val="single"/>
        </w:rPr>
        <w:t>建设单位必须定期对原料进行入厂放射性抽样检测，检测可外委其他有相应检测资质的公司进行</w:t>
      </w:r>
      <w:r>
        <w:rPr>
          <w:rFonts w:hint="eastAsia" w:cs="Times New Roman"/>
          <w:color w:val="auto"/>
          <w:highlight w:val="none"/>
          <w:u w:val="single"/>
        </w:rPr>
        <w:t>。</w:t>
      </w:r>
      <w:r>
        <w:rPr>
          <w:rFonts w:cs="Times New Roman"/>
          <w:color w:val="auto"/>
          <w:highlight w:val="none"/>
          <w:u w:val="single"/>
        </w:rPr>
        <w:t>若后期产品放射性核素的活度浓度与其相应的豁免活度浓度之比的和大于1，建设单位需另行编制核与辐射环境影响评价专章</w:t>
      </w:r>
      <w:r>
        <w:rPr>
          <w:rFonts w:cs="Times New Roman"/>
          <w:color w:val="auto"/>
          <w:highlight w:val="none"/>
        </w:rPr>
        <w:t>。</w:t>
      </w:r>
    </w:p>
    <w:p w14:paraId="1CBE1AE9">
      <w:pPr>
        <w:adjustRightInd w:val="0"/>
        <w:ind w:firstLine="482"/>
        <w:rPr>
          <w:rFonts w:cs="Times New Roman"/>
          <w:b/>
          <w:bCs/>
          <w:color w:val="auto"/>
          <w:highlight w:val="none"/>
        </w:rPr>
      </w:pPr>
      <w:r>
        <w:rPr>
          <w:rFonts w:cs="Times New Roman"/>
          <w:b/>
          <w:bCs/>
          <w:color w:val="auto"/>
          <w:highlight w:val="none"/>
        </w:rPr>
        <w:t>（2）其他原辅材料理化性质</w:t>
      </w:r>
    </w:p>
    <w:p w14:paraId="441B16CA">
      <w:pPr>
        <w:adjustRightInd w:val="0"/>
        <w:ind w:firstLine="482"/>
        <w:rPr>
          <w:rFonts w:cs="Times New Roman"/>
          <w:color w:val="auto"/>
          <w:highlight w:val="none"/>
        </w:rPr>
      </w:pPr>
      <w:r>
        <w:rPr>
          <w:rFonts w:cs="Times New Roman"/>
          <w:b/>
          <w:bCs/>
          <w:color w:val="auto"/>
          <w:highlight w:val="none"/>
        </w:rPr>
        <w:t>浮选剂</w:t>
      </w:r>
      <w:r>
        <w:rPr>
          <w:rFonts w:cs="Times New Roman"/>
          <w:color w:val="auto"/>
          <w:highlight w:val="none"/>
        </w:rPr>
        <w:t>：本项目使用的浮选剂，外购片碱、碳酸钠、活化剂及捕收剂，在厂区内根据实际需求进行配置。预浮所用的浮选剂为浮选剂①，根据乐山市全沫矿产品有限公司运行阶段生产经验数据，浮选剂①的最佳配比为氢氧化钠：碳酸钠：氯化镁：捕收剂=7：421：175：397，预浮时浮选剂约占总用量的1</w:t>
      </w:r>
      <w:r>
        <w:rPr>
          <w:rFonts w:hint="eastAsia" w:cs="Times New Roman"/>
          <w:color w:val="auto"/>
          <w:highlight w:val="none"/>
        </w:rPr>
        <w:t>0.63</w:t>
      </w:r>
      <w:r>
        <w:rPr>
          <w:rFonts w:cs="Times New Roman"/>
          <w:color w:val="auto"/>
          <w:highlight w:val="none"/>
        </w:rPr>
        <w:t>%。</w:t>
      </w:r>
      <w:r>
        <w:rPr>
          <w:rFonts w:cs="Times New Roman"/>
          <w:b/>
          <w:bCs/>
          <w:color w:val="auto"/>
          <w:highlight w:val="none"/>
        </w:rPr>
        <w:t>预浮时根据锂原矿的不同，所使用的浮选剂配比也不同，实际生产时会灵活调整浮选剂配比</w:t>
      </w:r>
      <w:r>
        <w:rPr>
          <w:rFonts w:cs="Times New Roman"/>
          <w:color w:val="auto"/>
          <w:highlight w:val="none"/>
        </w:rPr>
        <w:t>；浮选所用的浮选剂为浮选剂②，</w:t>
      </w:r>
      <w:r>
        <w:rPr>
          <w:rFonts w:hint="eastAsia" w:cs="Times New Roman"/>
          <w:color w:val="auto"/>
          <w:highlight w:val="none"/>
        </w:rPr>
        <w:t>根据乐山市全沫矿产品有限公司运行阶段生产经验数据</w:t>
      </w:r>
      <w:r>
        <w:rPr>
          <w:rFonts w:cs="Times New Roman"/>
          <w:color w:val="auto"/>
          <w:highlight w:val="none"/>
        </w:rPr>
        <w:t>，浮选剂②的最佳配比为氢氧化钠：碳酸钠：氯化镁：捕收剂=6：504：132：476，预浮时浮选剂约占总用量的</w:t>
      </w:r>
      <w:r>
        <w:rPr>
          <w:rFonts w:hint="eastAsia" w:cs="Times New Roman"/>
          <w:color w:val="auto"/>
          <w:highlight w:val="none"/>
        </w:rPr>
        <w:t>89.37</w:t>
      </w:r>
      <w:r>
        <w:rPr>
          <w:rFonts w:cs="Times New Roman"/>
          <w:color w:val="auto"/>
          <w:highlight w:val="none"/>
        </w:rPr>
        <w:t>%。</w:t>
      </w:r>
      <w:r>
        <w:rPr>
          <w:rFonts w:cs="Times New Roman"/>
          <w:b/>
          <w:bCs/>
          <w:color w:val="auto"/>
          <w:highlight w:val="none"/>
        </w:rPr>
        <w:t>浮选时根据锂原矿的不同，所使用的浮选剂配比也不同，实际生产时会灵活调整浮选剂配比</w:t>
      </w:r>
      <w:r>
        <w:rPr>
          <w:rFonts w:cs="Times New Roman"/>
          <w:color w:val="auto"/>
          <w:highlight w:val="none"/>
        </w:rPr>
        <w:t>。</w:t>
      </w:r>
      <w:r>
        <w:rPr>
          <w:rFonts w:hint="eastAsia"/>
          <w:color w:val="auto"/>
          <w:highlight w:val="none"/>
        </w:rPr>
        <w:t>浮选剂①氢氧化钠用量为0.9396t/a，碳酸钠用量为56.376t/a，氯化镁用量为23.49t/a，捕收剂用量为53.244t/a；浮选剂②氢氧化钠用量为6.8904t/a，碳酸钠用量为507.384t/a，氯化镁用量为133.11t/a，捕收剂用量为479.196t/a；合计用量：氢氧化钠用量为7.83t/a，碳酸钠用量为563.76t/a，氯化镁用量为156.6t/a，捕收剂用量为532.44t/a。</w:t>
      </w:r>
    </w:p>
    <w:p w14:paraId="5E461B6C">
      <w:pPr>
        <w:adjustRightInd w:val="0"/>
        <w:ind w:firstLine="482"/>
        <w:rPr>
          <w:rFonts w:cs="Times New Roman"/>
          <w:color w:val="auto"/>
          <w:highlight w:val="none"/>
        </w:rPr>
      </w:pPr>
      <w:r>
        <w:rPr>
          <w:rFonts w:cs="Times New Roman"/>
          <w:b/>
          <w:bCs/>
          <w:color w:val="auto"/>
          <w:highlight w:val="none"/>
        </w:rPr>
        <w:t>絮凝剂</w:t>
      </w:r>
      <w:r>
        <w:rPr>
          <w:rFonts w:cs="Times New Roman"/>
          <w:color w:val="auto"/>
          <w:highlight w:val="none"/>
        </w:rPr>
        <w:t>：本项目采用絮凝剂为聚丙烯酰胺（PAM），是一种线状的有机高分子聚合物，同时也是一种高分子水处理絮凝剂产品，可以吸附水中的悬浮颗粒，在颗粒之间起链接架桥作用，使细颗粒形成比较大的絮团，并且加快了沉淀的速度。这一过程称之为絮凝，因其良好的絮凝效果PAM作为水处理的絮凝剂并且被广泛用于污水处理。</w:t>
      </w:r>
    </w:p>
    <w:p w14:paraId="4296E87C">
      <w:pPr>
        <w:adjustRightInd w:val="0"/>
        <w:ind w:firstLine="482"/>
        <w:rPr>
          <w:rFonts w:cs="Times New Roman"/>
          <w:color w:val="auto"/>
          <w:highlight w:val="none"/>
        </w:rPr>
      </w:pPr>
      <w:r>
        <w:rPr>
          <w:rFonts w:cs="Times New Roman"/>
          <w:b/>
          <w:bCs/>
          <w:color w:val="auto"/>
          <w:highlight w:val="none"/>
        </w:rPr>
        <w:t>聚凝剂</w:t>
      </w:r>
      <w:r>
        <w:rPr>
          <w:rFonts w:cs="Times New Roman"/>
          <w:color w:val="auto"/>
          <w:highlight w:val="none"/>
        </w:rPr>
        <w:t>：本项目采用聚凝剂为聚合氯化铝PAC，聚合氯化铝是一种净水材料，无机高分子混凝剂，又被简称为聚铝剂，英文缩写为PAC，由于氢氧根离子的架桥作用和多价阴离子的聚合作用而生产的分子量较大、电荷较高的无机高分子水处理药剂。在形态上又可以分为固体和液体两种。固体按颜色不同又分为棕褐色、米黄色、金黄色和白色，液体可以呈现为无色透明、微黄色、浅黄色至黄褐色。本项目购买的聚凝剂为白色固体。</w:t>
      </w:r>
    </w:p>
    <w:p w14:paraId="3261A641">
      <w:pPr>
        <w:pStyle w:val="12"/>
        <w:adjustRightInd w:val="0"/>
        <w:ind w:firstLine="48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其他原辅材料理化性质特性表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
        <w:gridCol w:w="1158"/>
        <w:gridCol w:w="2463"/>
        <w:gridCol w:w="1473"/>
        <w:gridCol w:w="2984"/>
      </w:tblGrid>
      <w:tr w14:paraId="27E6B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1" w:type="pct"/>
            <w:vAlign w:val="center"/>
          </w:tcPr>
          <w:p w14:paraId="6733D0D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lang w:bidi="ar"/>
              </w:rPr>
              <w:t>名称</w:t>
            </w:r>
          </w:p>
        </w:tc>
        <w:tc>
          <w:tcPr>
            <w:tcW w:w="679" w:type="pct"/>
            <w:vAlign w:val="center"/>
          </w:tcPr>
          <w:p w14:paraId="49DFE860">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lang w:bidi="ar"/>
              </w:rPr>
              <w:t>分子式</w:t>
            </w:r>
          </w:p>
        </w:tc>
        <w:tc>
          <w:tcPr>
            <w:tcW w:w="1444" w:type="pct"/>
            <w:vAlign w:val="center"/>
          </w:tcPr>
          <w:p w14:paraId="2DE2990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lang w:bidi="ar"/>
              </w:rPr>
              <w:t>物化特性</w:t>
            </w:r>
          </w:p>
        </w:tc>
        <w:tc>
          <w:tcPr>
            <w:tcW w:w="864" w:type="pct"/>
            <w:vAlign w:val="center"/>
          </w:tcPr>
          <w:p w14:paraId="69152F1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lang w:bidi="ar"/>
              </w:rPr>
              <w:t>燃烧爆炸性</w:t>
            </w:r>
          </w:p>
        </w:tc>
        <w:tc>
          <w:tcPr>
            <w:tcW w:w="1750" w:type="pct"/>
            <w:vAlign w:val="center"/>
          </w:tcPr>
          <w:p w14:paraId="6CBCF3ED">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lang w:bidi="ar"/>
              </w:rPr>
              <w:t>毒性毒理</w:t>
            </w:r>
          </w:p>
        </w:tc>
      </w:tr>
      <w:tr w14:paraId="69D5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584C462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碳酸钠</w:t>
            </w:r>
          </w:p>
        </w:tc>
        <w:tc>
          <w:tcPr>
            <w:tcW w:w="679" w:type="pct"/>
            <w:vAlign w:val="center"/>
          </w:tcPr>
          <w:p w14:paraId="012CE9F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Na</w:t>
            </w:r>
            <w:r>
              <w:rPr>
                <w:rFonts w:cs="Times New Roman"/>
                <w:color w:val="auto"/>
                <w:kern w:val="21"/>
                <w:sz w:val="21"/>
                <w:highlight w:val="none"/>
                <w:vertAlign w:val="subscript"/>
              </w:rPr>
              <w:t>2</w:t>
            </w:r>
            <w:r>
              <w:rPr>
                <w:rFonts w:cs="Times New Roman"/>
                <w:color w:val="auto"/>
                <w:kern w:val="21"/>
                <w:sz w:val="21"/>
                <w:highlight w:val="none"/>
              </w:rPr>
              <w:t>CO</w:t>
            </w:r>
            <w:r>
              <w:rPr>
                <w:rFonts w:cs="Times New Roman"/>
                <w:color w:val="auto"/>
                <w:kern w:val="21"/>
                <w:sz w:val="21"/>
                <w:highlight w:val="none"/>
                <w:vertAlign w:val="subscript"/>
              </w:rPr>
              <w:t>3</w:t>
            </w:r>
          </w:p>
        </w:tc>
        <w:tc>
          <w:tcPr>
            <w:tcW w:w="1444" w:type="pct"/>
            <w:vAlign w:val="center"/>
          </w:tcPr>
          <w:p w14:paraId="331781D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分子量105.99，CAS号：497-19-8。白色无味颗粒或粉末，易溶于水和甘油，密度2.532g/cm</w:t>
            </w:r>
            <w:r>
              <w:rPr>
                <w:rFonts w:cs="Times New Roman"/>
                <w:color w:val="auto"/>
                <w:kern w:val="21"/>
                <w:sz w:val="21"/>
                <w:highlight w:val="none"/>
                <w:vertAlign w:val="superscript"/>
                <w:lang w:bidi="ar"/>
              </w:rPr>
              <w:t>3</w:t>
            </w:r>
            <w:r>
              <w:rPr>
                <w:rFonts w:cs="Times New Roman"/>
                <w:color w:val="auto"/>
                <w:kern w:val="21"/>
                <w:sz w:val="21"/>
                <w:highlight w:val="none"/>
                <w:lang w:bidi="ar"/>
              </w:rPr>
              <w:t>。熔点851℃，沸点1744℃。</w:t>
            </w:r>
          </w:p>
        </w:tc>
        <w:tc>
          <w:tcPr>
            <w:tcW w:w="864" w:type="pct"/>
            <w:vAlign w:val="center"/>
          </w:tcPr>
          <w:p w14:paraId="27DDE7C9">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不燃，具有腐蚀性、刺激性。</w:t>
            </w:r>
          </w:p>
        </w:tc>
        <w:tc>
          <w:tcPr>
            <w:tcW w:w="1750" w:type="pct"/>
            <w:vAlign w:val="center"/>
          </w:tcPr>
          <w:p w14:paraId="0711C99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健康危害：具有弱刺激性和弱腐蚀性。直接接触可引起皮肤和眼灼伤。生产中吸入其粉尘和烟雾可引起呼吸道刺激和结膜炎，还可有鼻黏膜溃疡、萎缩及鼻中隔穿孔。长时间接触该品溶液可发生湿疹、皮炎、鸡眼状溃疡和皮肤松弛。接触该品的作业工人呼吸器官疾病发病率升高。误服可造成消化道灼伤、黏膜糜烂、出血和休克。</w:t>
            </w:r>
          </w:p>
          <w:p w14:paraId="506FBDE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毒性：LD</w:t>
            </w:r>
            <w:r>
              <w:rPr>
                <w:rFonts w:cs="Times New Roman"/>
                <w:color w:val="auto"/>
                <w:kern w:val="21"/>
                <w:sz w:val="21"/>
                <w:highlight w:val="none"/>
                <w:vertAlign w:val="subscript"/>
                <w:lang w:bidi="ar"/>
              </w:rPr>
              <w:t>50</w:t>
            </w:r>
            <w:r>
              <w:rPr>
                <w:rFonts w:cs="Times New Roman"/>
                <w:color w:val="auto"/>
                <w:kern w:val="21"/>
                <w:sz w:val="21"/>
                <w:highlight w:val="none"/>
                <w:lang w:bidi="ar"/>
              </w:rPr>
              <w:t>：4090mg/kg（大鼠经口），LC</w:t>
            </w:r>
            <w:r>
              <w:rPr>
                <w:rFonts w:cs="Times New Roman"/>
                <w:color w:val="auto"/>
                <w:kern w:val="21"/>
                <w:sz w:val="21"/>
                <w:highlight w:val="none"/>
                <w:vertAlign w:val="subscript"/>
                <w:lang w:bidi="ar"/>
              </w:rPr>
              <w:t>50</w:t>
            </w:r>
            <w:r>
              <w:rPr>
                <w:rFonts w:cs="Times New Roman"/>
                <w:color w:val="auto"/>
                <w:kern w:val="21"/>
                <w:sz w:val="21"/>
                <w:highlight w:val="none"/>
                <w:lang w:bidi="ar"/>
              </w:rPr>
              <w:t>：2300mg/m</w:t>
            </w:r>
            <w:r>
              <w:rPr>
                <w:rFonts w:cs="Times New Roman"/>
                <w:color w:val="auto"/>
                <w:kern w:val="21"/>
                <w:sz w:val="21"/>
                <w:highlight w:val="none"/>
                <w:vertAlign w:val="superscript"/>
                <w:lang w:bidi="ar"/>
              </w:rPr>
              <w:t>3</w:t>
            </w:r>
            <w:r>
              <w:rPr>
                <w:rFonts w:cs="Times New Roman"/>
                <w:color w:val="auto"/>
                <w:kern w:val="21"/>
                <w:sz w:val="21"/>
                <w:highlight w:val="none"/>
                <w:lang w:bidi="ar"/>
              </w:rPr>
              <w:t>，2小时（大鼠吸入）。</w:t>
            </w:r>
          </w:p>
        </w:tc>
      </w:tr>
      <w:tr w14:paraId="51B4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4DE2BFDD">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氢氧化钠</w:t>
            </w:r>
          </w:p>
        </w:tc>
        <w:tc>
          <w:tcPr>
            <w:tcW w:w="679" w:type="pct"/>
            <w:vAlign w:val="center"/>
          </w:tcPr>
          <w:p w14:paraId="0EE76A6A">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NaOH</w:t>
            </w:r>
          </w:p>
        </w:tc>
        <w:tc>
          <w:tcPr>
            <w:tcW w:w="1444" w:type="pct"/>
            <w:vAlign w:val="center"/>
          </w:tcPr>
          <w:p w14:paraId="5EEA11E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分子量40.01，蒸汽压0.13kPa（739℃），熔点：318.4℃，沸点：1390℃，易溶于水、乙醇、甘油，不溶于丙酮；相对密度（水=1）2.12，常温下稳定。</w:t>
            </w:r>
          </w:p>
        </w:tc>
        <w:tc>
          <w:tcPr>
            <w:tcW w:w="864" w:type="pct"/>
            <w:vAlign w:val="center"/>
          </w:tcPr>
          <w:p w14:paraId="54BE1AB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本品不会燃烧，遇水和水蒸气大量放热，形成腐蚀性溶液。与酸发生中和反应并放热。具有强腐蚀性。</w:t>
            </w:r>
          </w:p>
        </w:tc>
        <w:tc>
          <w:tcPr>
            <w:tcW w:w="1750" w:type="pct"/>
            <w:vAlign w:val="center"/>
          </w:tcPr>
          <w:p w14:paraId="1C12EC9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lang w:bidi="ar"/>
              </w:rPr>
            </w:pPr>
            <w:r>
              <w:rPr>
                <w:rFonts w:cs="Times New Roman"/>
                <w:color w:val="auto"/>
                <w:kern w:val="21"/>
                <w:sz w:val="21"/>
                <w:highlight w:val="none"/>
                <w:lang w:bidi="ar"/>
              </w:rPr>
              <w:t>健康危害：本品有强烈刺激和腐蚀性。</w:t>
            </w:r>
          </w:p>
          <w:p w14:paraId="1D0B331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侵入途径：吸入、食入。</w:t>
            </w:r>
          </w:p>
        </w:tc>
      </w:tr>
      <w:tr w14:paraId="68157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069E0DE2">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氯化镁</w:t>
            </w:r>
          </w:p>
        </w:tc>
        <w:tc>
          <w:tcPr>
            <w:tcW w:w="679" w:type="pct"/>
            <w:vAlign w:val="center"/>
          </w:tcPr>
          <w:p w14:paraId="7887535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MgCl</w:t>
            </w:r>
            <w:r>
              <w:rPr>
                <w:rFonts w:cs="Times New Roman"/>
                <w:color w:val="auto"/>
                <w:kern w:val="21"/>
                <w:sz w:val="21"/>
                <w:highlight w:val="none"/>
                <w:vertAlign w:val="subscript"/>
              </w:rPr>
              <w:t>2</w:t>
            </w:r>
          </w:p>
        </w:tc>
        <w:tc>
          <w:tcPr>
            <w:tcW w:w="1444" w:type="pct"/>
            <w:vAlign w:val="center"/>
          </w:tcPr>
          <w:p w14:paraId="7A95324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分子量为95.21，呈现为无色、无嗅的小片、颗粒、块状式单斜晶系晶体，味苦，极易受潮、极易溶于水且能溶于乙醇；其相对密度2.316~2.33（25℃），熔点714℃，沸点达1412℃。</w:t>
            </w:r>
          </w:p>
        </w:tc>
        <w:tc>
          <w:tcPr>
            <w:tcW w:w="864" w:type="pct"/>
            <w:vAlign w:val="center"/>
          </w:tcPr>
          <w:p w14:paraId="48B7C45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不燃。</w:t>
            </w:r>
          </w:p>
        </w:tc>
        <w:tc>
          <w:tcPr>
            <w:tcW w:w="1750" w:type="pct"/>
            <w:vAlign w:val="center"/>
          </w:tcPr>
          <w:p w14:paraId="4CF4D829">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氯化镁属低毒物质，大鼠经口LD50为2800mg/kg，人经口服4~5g能引起腹泻，根据FAO/WHO（1994年）规定，其每日容许摄入量（ADI）不作特殊要求。</w:t>
            </w:r>
          </w:p>
        </w:tc>
      </w:tr>
      <w:tr w14:paraId="19AF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1A47FE2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氧化石蜡皂</w:t>
            </w:r>
          </w:p>
        </w:tc>
        <w:tc>
          <w:tcPr>
            <w:tcW w:w="679" w:type="pct"/>
            <w:vAlign w:val="center"/>
          </w:tcPr>
          <w:p w14:paraId="56EE8A57">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RCO</w:t>
            </w:r>
            <w:r>
              <w:rPr>
                <w:rFonts w:cs="Times New Roman"/>
                <w:color w:val="auto"/>
                <w:kern w:val="21"/>
                <w:sz w:val="21"/>
                <w:highlight w:val="none"/>
                <w:vertAlign w:val="subscript"/>
              </w:rPr>
              <w:t>2</w:t>
            </w:r>
            <w:r>
              <w:rPr>
                <w:rFonts w:cs="Times New Roman"/>
                <w:color w:val="auto"/>
                <w:kern w:val="21"/>
                <w:sz w:val="21"/>
                <w:highlight w:val="none"/>
              </w:rPr>
              <w:t>Na</w:t>
            </w:r>
          </w:p>
        </w:tc>
        <w:tc>
          <w:tcPr>
            <w:tcW w:w="1444" w:type="pct"/>
            <w:vAlign w:val="center"/>
          </w:tcPr>
          <w:p w14:paraId="183E19D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红褐色，膏状物或粉状物溶于水，主要用有色金属矿和黑色金属矿及非金属矿作为捕收剂、起泡剂使用，适用于磷矿、钨矿、萤石矿、锂辉石矿、辉钼石矿、赤铁矿、铝土矿等。</w:t>
            </w:r>
          </w:p>
        </w:tc>
        <w:tc>
          <w:tcPr>
            <w:tcW w:w="864" w:type="pct"/>
            <w:vAlign w:val="center"/>
          </w:tcPr>
          <w:p w14:paraId="217194E9">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不燃。</w:t>
            </w:r>
          </w:p>
        </w:tc>
        <w:tc>
          <w:tcPr>
            <w:tcW w:w="1750" w:type="pct"/>
            <w:vAlign w:val="center"/>
          </w:tcPr>
          <w:p w14:paraId="1D6A7FA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无毒。</w:t>
            </w:r>
          </w:p>
        </w:tc>
      </w:tr>
      <w:tr w14:paraId="6934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014C7324">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聚合氯化铝</w:t>
            </w:r>
          </w:p>
        </w:tc>
        <w:tc>
          <w:tcPr>
            <w:tcW w:w="679" w:type="pct"/>
            <w:vAlign w:val="center"/>
          </w:tcPr>
          <w:p w14:paraId="6CE9CE18">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AlCl</w:t>
            </w:r>
            <w:r>
              <w:rPr>
                <w:rFonts w:cs="Times New Roman"/>
                <w:color w:val="auto"/>
                <w:kern w:val="21"/>
                <w:sz w:val="21"/>
                <w:highlight w:val="none"/>
                <w:vertAlign w:val="subscript"/>
              </w:rPr>
              <w:t>3</w:t>
            </w:r>
          </w:p>
        </w:tc>
        <w:tc>
          <w:tcPr>
            <w:tcW w:w="1444" w:type="pct"/>
            <w:vAlign w:val="center"/>
          </w:tcPr>
          <w:p w14:paraId="60945A6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英文缩写PAC，分子量133.34，无机高分子水处理药剂，无色或黄色固体，易溶于水及稀酒精，不溶于无水酒精及甘油。</w:t>
            </w:r>
          </w:p>
        </w:tc>
        <w:tc>
          <w:tcPr>
            <w:tcW w:w="864" w:type="pct"/>
            <w:vAlign w:val="center"/>
          </w:tcPr>
          <w:p w14:paraId="365C947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不燃。</w:t>
            </w:r>
          </w:p>
        </w:tc>
        <w:tc>
          <w:tcPr>
            <w:tcW w:w="1750" w:type="pct"/>
            <w:vAlign w:val="center"/>
          </w:tcPr>
          <w:p w14:paraId="18B8161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无毒。</w:t>
            </w:r>
          </w:p>
        </w:tc>
      </w:tr>
      <w:tr w14:paraId="5899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1" w:type="pct"/>
            <w:vAlign w:val="center"/>
          </w:tcPr>
          <w:p w14:paraId="0CB1DDB2">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聚丙烯酰胺</w:t>
            </w:r>
          </w:p>
        </w:tc>
        <w:tc>
          <w:tcPr>
            <w:tcW w:w="679" w:type="pct"/>
            <w:vAlign w:val="center"/>
          </w:tcPr>
          <w:p w14:paraId="1E92BF5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w:t>
            </w:r>
            <w:r>
              <w:rPr>
                <w:rFonts w:cs="Times New Roman"/>
                <w:color w:val="auto"/>
                <w:kern w:val="21"/>
                <w:sz w:val="21"/>
                <w:highlight w:val="none"/>
                <w:vertAlign w:val="subscript"/>
              </w:rPr>
              <w:t>3</w:t>
            </w:r>
            <w:r>
              <w:rPr>
                <w:rFonts w:cs="Times New Roman"/>
                <w:color w:val="auto"/>
                <w:kern w:val="21"/>
                <w:sz w:val="21"/>
                <w:highlight w:val="none"/>
              </w:rPr>
              <w:t>H</w:t>
            </w:r>
            <w:r>
              <w:rPr>
                <w:rFonts w:cs="Times New Roman"/>
                <w:color w:val="auto"/>
                <w:kern w:val="21"/>
                <w:sz w:val="21"/>
                <w:highlight w:val="none"/>
                <w:vertAlign w:val="subscript"/>
              </w:rPr>
              <w:t>5</w:t>
            </w:r>
            <w:r>
              <w:rPr>
                <w:rFonts w:cs="Times New Roman"/>
                <w:color w:val="auto"/>
                <w:kern w:val="21"/>
                <w:sz w:val="21"/>
                <w:highlight w:val="none"/>
              </w:rPr>
              <w:t>NO</w:t>
            </w:r>
            <w:r>
              <w:rPr>
                <w:rFonts w:cs="Times New Roman"/>
                <w:color w:val="auto"/>
                <w:kern w:val="21"/>
                <w:sz w:val="21"/>
                <w:highlight w:val="none"/>
                <w:vertAlign w:val="subscript"/>
              </w:rPr>
              <w:t>n</w:t>
            </w:r>
            <w:r>
              <w:rPr>
                <w:rFonts w:cs="Times New Roman"/>
                <w:color w:val="auto"/>
                <w:kern w:val="21"/>
                <w:sz w:val="21"/>
                <w:highlight w:val="none"/>
              </w:rPr>
              <w:t>)</w:t>
            </w:r>
          </w:p>
        </w:tc>
        <w:tc>
          <w:tcPr>
            <w:tcW w:w="1444" w:type="pct"/>
            <w:vAlign w:val="center"/>
          </w:tcPr>
          <w:p w14:paraId="7EC27577">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英文缩写PAM，分子量71.07，线状有机高分子聚合物，溶于水，可吸附水中悬浮颗粒。</w:t>
            </w:r>
          </w:p>
        </w:tc>
        <w:tc>
          <w:tcPr>
            <w:tcW w:w="864" w:type="pct"/>
            <w:vAlign w:val="center"/>
          </w:tcPr>
          <w:p w14:paraId="05215DC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不燃。</w:t>
            </w:r>
          </w:p>
        </w:tc>
        <w:tc>
          <w:tcPr>
            <w:tcW w:w="1750" w:type="pct"/>
            <w:vAlign w:val="center"/>
          </w:tcPr>
          <w:p w14:paraId="6C17656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无毒。</w:t>
            </w:r>
          </w:p>
        </w:tc>
      </w:tr>
    </w:tbl>
    <w:p w14:paraId="1E54C188">
      <w:pPr>
        <w:pStyle w:val="3"/>
        <w:adjustRightInd w:val="0"/>
        <w:rPr>
          <w:rFonts w:cs="Times New Roman"/>
          <w:color w:val="auto"/>
          <w:highlight w:val="none"/>
        </w:rPr>
      </w:pPr>
      <w:bookmarkStart w:id="104" w:name="_Toc23201"/>
      <w:r>
        <w:rPr>
          <w:rFonts w:cs="Times New Roman"/>
          <w:color w:val="auto"/>
          <w:highlight w:val="none"/>
        </w:rPr>
        <w:t>项目主要生产设备</w:t>
      </w:r>
      <w:bookmarkEnd w:id="104"/>
    </w:p>
    <w:p w14:paraId="34914AAF">
      <w:pPr>
        <w:adjustRightInd w:val="0"/>
        <w:ind w:firstLine="480"/>
        <w:rPr>
          <w:rFonts w:cs="Times New Roman"/>
          <w:color w:val="auto"/>
          <w:highlight w:val="none"/>
        </w:rPr>
      </w:pPr>
      <w:r>
        <w:rPr>
          <w:rFonts w:cs="Times New Roman"/>
          <w:color w:val="auto"/>
          <w:highlight w:val="none"/>
        </w:rPr>
        <w:t>（1）本项目主要设备见下表。</w:t>
      </w:r>
    </w:p>
    <w:p w14:paraId="44EAF1F7">
      <w:pPr>
        <w:pStyle w:val="12"/>
        <w:adjustRightInd w:val="0"/>
        <w:ind w:firstLine="48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10</w:t>
      </w:r>
      <w:r>
        <w:rPr>
          <w:rFonts w:cs="Times New Roman"/>
          <w:color w:val="auto"/>
          <w:highlight w:val="none"/>
        </w:rPr>
        <w:fldChar w:fldCharType="end"/>
      </w:r>
      <w:r>
        <w:rPr>
          <w:rFonts w:cs="Times New Roman"/>
          <w:color w:val="auto"/>
          <w:highlight w:val="none"/>
        </w:rPr>
        <w:t>项目主要设备一览表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8"/>
        <w:gridCol w:w="1810"/>
        <w:gridCol w:w="1368"/>
        <w:gridCol w:w="3180"/>
        <w:gridCol w:w="1121"/>
      </w:tblGrid>
      <w:tr w14:paraId="28829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9" w:type="pct"/>
            <w:vAlign w:val="center"/>
          </w:tcPr>
          <w:p w14:paraId="04517B22">
            <w:pPr>
              <w:pStyle w:val="69"/>
              <w:spacing w:before="65" w:after="65"/>
              <w:rPr>
                <w:rFonts w:cs="Times New Roman"/>
                <w:b/>
                <w:bCs w:val="0"/>
                <w:color w:val="auto"/>
                <w:highlight w:val="none"/>
              </w:rPr>
            </w:pPr>
            <w:r>
              <w:rPr>
                <w:rFonts w:cs="Times New Roman"/>
                <w:b/>
                <w:bCs w:val="0"/>
                <w:color w:val="auto"/>
                <w:highlight w:val="none"/>
              </w:rPr>
              <w:t>位置</w:t>
            </w:r>
          </w:p>
        </w:tc>
        <w:tc>
          <w:tcPr>
            <w:tcW w:w="1062" w:type="pct"/>
            <w:vAlign w:val="center"/>
          </w:tcPr>
          <w:p w14:paraId="44ED7821">
            <w:pPr>
              <w:pStyle w:val="69"/>
              <w:spacing w:before="65" w:after="65"/>
              <w:rPr>
                <w:rFonts w:cs="Times New Roman"/>
                <w:b/>
                <w:bCs w:val="0"/>
                <w:color w:val="auto"/>
                <w:highlight w:val="none"/>
              </w:rPr>
            </w:pPr>
            <w:r>
              <w:rPr>
                <w:rFonts w:cs="Times New Roman"/>
                <w:b/>
                <w:bCs w:val="0"/>
                <w:color w:val="auto"/>
                <w:highlight w:val="none"/>
              </w:rPr>
              <w:t>设备名称</w:t>
            </w:r>
          </w:p>
        </w:tc>
        <w:tc>
          <w:tcPr>
            <w:tcW w:w="803" w:type="pct"/>
            <w:vAlign w:val="center"/>
          </w:tcPr>
          <w:p w14:paraId="65266D57">
            <w:pPr>
              <w:pStyle w:val="69"/>
              <w:spacing w:before="65" w:after="65"/>
              <w:rPr>
                <w:rFonts w:cs="Times New Roman"/>
                <w:b/>
                <w:bCs w:val="0"/>
                <w:color w:val="auto"/>
                <w:highlight w:val="none"/>
              </w:rPr>
            </w:pPr>
            <w:r>
              <w:rPr>
                <w:rFonts w:cs="Times New Roman"/>
                <w:b/>
                <w:bCs w:val="0"/>
                <w:color w:val="auto"/>
                <w:highlight w:val="none"/>
              </w:rPr>
              <w:t>数量（台/套）</w:t>
            </w:r>
          </w:p>
        </w:tc>
        <w:tc>
          <w:tcPr>
            <w:tcW w:w="1866" w:type="pct"/>
            <w:vAlign w:val="center"/>
          </w:tcPr>
          <w:p w14:paraId="0E3D9D44">
            <w:pPr>
              <w:pStyle w:val="69"/>
              <w:spacing w:before="65" w:after="65"/>
              <w:rPr>
                <w:rFonts w:cs="Times New Roman"/>
                <w:b/>
                <w:bCs w:val="0"/>
                <w:color w:val="auto"/>
                <w:highlight w:val="none"/>
              </w:rPr>
            </w:pPr>
            <w:r>
              <w:rPr>
                <w:rFonts w:cs="Times New Roman"/>
                <w:b/>
                <w:bCs w:val="0"/>
                <w:color w:val="auto"/>
                <w:highlight w:val="none"/>
              </w:rPr>
              <w:t>规格/型号</w:t>
            </w:r>
          </w:p>
        </w:tc>
        <w:tc>
          <w:tcPr>
            <w:tcW w:w="658" w:type="pct"/>
            <w:vAlign w:val="center"/>
          </w:tcPr>
          <w:p w14:paraId="6CC6FA70">
            <w:pPr>
              <w:pStyle w:val="69"/>
              <w:spacing w:before="65" w:after="65"/>
              <w:rPr>
                <w:rFonts w:cs="Times New Roman"/>
                <w:b/>
                <w:bCs w:val="0"/>
                <w:color w:val="auto"/>
                <w:highlight w:val="none"/>
              </w:rPr>
            </w:pPr>
            <w:r>
              <w:rPr>
                <w:rFonts w:cs="Times New Roman"/>
                <w:b/>
                <w:bCs w:val="0"/>
                <w:color w:val="auto"/>
                <w:highlight w:val="none"/>
              </w:rPr>
              <w:t>作用</w:t>
            </w:r>
          </w:p>
        </w:tc>
      </w:tr>
      <w:tr w14:paraId="4CAF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restart"/>
            <w:vAlign w:val="center"/>
          </w:tcPr>
          <w:p w14:paraId="3520F2B7">
            <w:pPr>
              <w:pStyle w:val="69"/>
              <w:spacing w:before="65" w:after="65"/>
              <w:rPr>
                <w:rFonts w:cs="Times New Roman"/>
                <w:color w:val="auto"/>
                <w:highlight w:val="none"/>
              </w:rPr>
            </w:pPr>
            <w:r>
              <w:rPr>
                <w:rFonts w:cs="Times New Roman"/>
                <w:color w:val="auto"/>
                <w:highlight w:val="none"/>
              </w:rPr>
              <w:t>碎矿车间</w:t>
            </w:r>
          </w:p>
        </w:tc>
        <w:tc>
          <w:tcPr>
            <w:tcW w:w="1062" w:type="pct"/>
            <w:vAlign w:val="center"/>
          </w:tcPr>
          <w:p w14:paraId="4C0C2142">
            <w:pPr>
              <w:pStyle w:val="69"/>
              <w:spacing w:before="65" w:after="65"/>
              <w:rPr>
                <w:rFonts w:cs="Times New Roman"/>
                <w:color w:val="auto"/>
                <w:highlight w:val="none"/>
              </w:rPr>
            </w:pPr>
            <w:r>
              <w:rPr>
                <w:rFonts w:cs="Times New Roman"/>
                <w:color w:val="auto"/>
                <w:highlight w:val="none"/>
              </w:rPr>
              <w:t>给料机</w:t>
            </w:r>
          </w:p>
        </w:tc>
        <w:tc>
          <w:tcPr>
            <w:tcW w:w="803" w:type="pct"/>
            <w:vAlign w:val="center"/>
          </w:tcPr>
          <w:p w14:paraId="0864C576">
            <w:pPr>
              <w:pStyle w:val="69"/>
              <w:spacing w:before="65" w:after="65"/>
              <w:rPr>
                <w:rFonts w:cs="Times New Roman"/>
                <w:color w:val="auto"/>
                <w:highlight w:val="none"/>
              </w:rPr>
            </w:pPr>
            <w:r>
              <w:rPr>
                <w:rFonts w:hint="eastAsia" w:cs="Times New Roman"/>
                <w:color w:val="auto"/>
                <w:highlight w:val="none"/>
              </w:rPr>
              <w:t>3</w:t>
            </w:r>
          </w:p>
        </w:tc>
        <w:tc>
          <w:tcPr>
            <w:tcW w:w="1866" w:type="pct"/>
            <w:vAlign w:val="center"/>
          </w:tcPr>
          <w:p w14:paraId="1CF7E33C">
            <w:pPr>
              <w:pStyle w:val="69"/>
              <w:spacing w:before="65" w:after="65"/>
              <w:rPr>
                <w:rFonts w:cs="Times New Roman"/>
                <w:color w:val="auto"/>
                <w:highlight w:val="none"/>
              </w:rPr>
            </w:pPr>
            <w:r>
              <w:rPr>
                <w:rFonts w:cs="Times New Roman"/>
                <w:color w:val="auto"/>
                <w:highlight w:val="none"/>
              </w:rPr>
              <w:t>PG800×3000</w:t>
            </w:r>
          </w:p>
        </w:tc>
        <w:tc>
          <w:tcPr>
            <w:tcW w:w="658" w:type="pct"/>
            <w:vAlign w:val="center"/>
          </w:tcPr>
          <w:p w14:paraId="6CD54471">
            <w:pPr>
              <w:pStyle w:val="69"/>
              <w:spacing w:before="65" w:after="65"/>
              <w:rPr>
                <w:rFonts w:cs="Times New Roman"/>
                <w:color w:val="auto"/>
                <w:highlight w:val="none"/>
              </w:rPr>
            </w:pPr>
            <w:r>
              <w:rPr>
                <w:rFonts w:cs="Times New Roman"/>
                <w:color w:val="auto"/>
                <w:highlight w:val="none"/>
              </w:rPr>
              <w:t>给料</w:t>
            </w:r>
          </w:p>
        </w:tc>
      </w:tr>
      <w:tr w14:paraId="37AC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099260E1">
            <w:pPr>
              <w:pStyle w:val="69"/>
              <w:spacing w:before="65" w:after="65"/>
              <w:rPr>
                <w:rFonts w:cs="Times New Roman"/>
                <w:color w:val="auto"/>
                <w:highlight w:val="none"/>
              </w:rPr>
            </w:pPr>
          </w:p>
        </w:tc>
        <w:tc>
          <w:tcPr>
            <w:tcW w:w="1062" w:type="pct"/>
            <w:vAlign w:val="center"/>
          </w:tcPr>
          <w:p w14:paraId="4F9B40F3">
            <w:pPr>
              <w:pStyle w:val="69"/>
              <w:spacing w:before="65" w:after="65"/>
              <w:rPr>
                <w:rFonts w:cs="Times New Roman"/>
                <w:color w:val="auto"/>
                <w:highlight w:val="none"/>
              </w:rPr>
            </w:pPr>
            <w:r>
              <w:rPr>
                <w:rFonts w:cs="Times New Roman"/>
                <w:color w:val="auto"/>
                <w:highlight w:val="none"/>
              </w:rPr>
              <w:t>颚式破碎机</w:t>
            </w:r>
          </w:p>
        </w:tc>
        <w:tc>
          <w:tcPr>
            <w:tcW w:w="803" w:type="pct"/>
            <w:vAlign w:val="center"/>
          </w:tcPr>
          <w:p w14:paraId="12178060">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2AA48B0A">
            <w:pPr>
              <w:pStyle w:val="69"/>
              <w:spacing w:before="65" w:after="65"/>
              <w:rPr>
                <w:rFonts w:cs="Times New Roman"/>
                <w:color w:val="auto"/>
                <w:highlight w:val="none"/>
              </w:rPr>
            </w:pPr>
            <w:r>
              <w:rPr>
                <w:rFonts w:cs="Times New Roman"/>
                <w:color w:val="auto"/>
                <w:highlight w:val="none"/>
              </w:rPr>
              <w:t>XY-751060</w:t>
            </w:r>
          </w:p>
        </w:tc>
        <w:tc>
          <w:tcPr>
            <w:tcW w:w="658" w:type="pct"/>
            <w:vAlign w:val="center"/>
          </w:tcPr>
          <w:p w14:paraId="0576BFE6">
            <w:pPr>
              <w:pStyle w:val="69"/>
              <w:spacing w:before="65" w:after="65"/>
              <w:rPr>
                <w:rFonts w:cs="Times New Roman"/>
                <w:color w:val="auto"/>
                <w:highlight w:val="none"/>
              </w:rPr>
            </w:pPr>
            <w:r>
              <w:rPr>
                <w:rFonts w:cs="Times New Roman"/>
                <w:color w:val="auto"/>
                <w:highlight w:val="none"/>
              </w:rPr>
              <w:t>破碎原矿</w:t>
            </w:r>
          </w:p>
        </w:tc>
      </w:tr>
      <w:tr w14:paraId="6AE7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73052CBD">
            <w:pPr>
              <w:pStyle w:val="69"/>
              <w:spacing w:before="65" w:after="65"/>
              <w:rPr>
                <w:rFonts w:cs="Times New Roman"/>
                <w:color w:val="auto"/>
                <w:highlight w:val="none"/>
              </w:rPr>
            </w:pPr>
          </w:p>
        </w:tc>
        <w:tc>
          <w:tcPr>
            <w:tcW w:w="1062" w:type="pct"/>
            <w:vAlign w:val="center"/>
          </w:tcPr>
          <w:p w14:paraId="28923B75">
            <w:pPr>
              <w:pStyle w:val="69"/>
              <w:spacing w:before="65" w:after="65"/>
              <w:rPr>
                <w:rFonts w:cs="Times New Roman"/>
                <w:color w:val="auto"/>
                <w:highlight w:val="none"/>
              </w:rPr>
            </w:pPr>
            <w:r>
              <w:rPr>
                <w:rFonts w:cs="Times New Roman"/>
                <w:color w:val="auto"/>
                <w:highlight w:val="none"/>
              </w:rPr>
              <w:t>颚式破碎机</w:t>
            </w:r>
          </w:p>
        </w:tc>
        <w:tc>
          <w:tcPr>
            <w:tcW w:w="803" w:type="pct"/>
            <w:vAlign w:val="center"/>
          </w:tcPr>
          <w:p w14:paraId="0CFFC775">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4B937FB6">
            <w:pPr>
              <w:pStyle w:val="69"/>
              <w:spacing w:before="65" w:after="65"/>
              <w:rPr>
                <w:rFonts w:cs="Times New Roman"/>
                <w:color w:val="auto"/>
                <w:highlight w:val="none"/>
              </w:rPr>
            </w:pPr>
            <w:r>
              <w:rPr>
                <w:rFonts w:cs="Times New Roman"/>
                <w:color w:val="auto"/>
                <w:highlight w:val="none"/>
              </w:rPr>
              <w:t>XY-6090</w:t>
            </w:r>
          </w:p>
        </w:tc>
        <w:tc>
          <w:tcPr>
            <w:tcW w:w="658" w:type="pct"/>
            <w:vAlign w:val="center"/>
          </w:tcPr>
          <w:p w14:paraId="74974966">
            <w:pPr>
              <w:pStyle w:val="69"/>
              <w:spacing w:before="65" w:after="65"/>
              <w:rPr>
                <w:rFonts w:cs="Times New Roman"/>
                <w:color w:val="auto"/>
                <w:highlight w:val="none"/>
              </w:rPr>
            </w:pPr>
            <w:r>
              <w:rPr>
                <w:rFonts w:cs="Times New Roman"/>
                <w:color w:val="auto"/>
                <w:highlight w:val="none"/>
              </w:rPr>
              <w:t>破碎原矿</w:t>
            </w:r>
          </w:p>
        </w:tc>
      </w:tr>
      <w:tr w14:paraId="0D67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567992D5">
            <w:pPr>
              <w:pStyle w:val="69"/>
              <w:spacing w:before="65" w:after="65"/>
              <w:rPr>
                <w:rFonts w:cs="Times New Roman"/>
                <w:color w:val="auto"/>
                <w:highlight w:val="none"/>
              </w:rPr>
            </w:pPr>
          </w:p>
        </w:tc>
        <w:tc>
          <w:tcPr>
            <w:tcW w:w="1062" w:type="pct"/>
            <w:vAlign w:val="center"/>
          </w:tcPr>
          <w:p w14:paraId="1102E3E7">
            <w:pPr>
              <w:pStyle w:val="69"/>
              <w:spacing w:before="65" w:after="65"/>
              <w:rPr>
                <w:rFonts w:cs="Times New Roman"/>
                <w:color w:val="auto"/>
                <w:highlight w:val="none"/>
              </w:rPr>
            </w:pPr>
            <w:r>
              <w:rPr>
                <w:rFonts w:cs="Times New Roman"/>
                <w:color w:val="auto"/>
                <w:highlight w:val="none"/>
              </w:rPr>
              <w:t>圆锥破碎机</w:t>
            </w:r>
          </w:p>
        </w:tc>
        <w:tc>
          <w:tcPr>
            <w:tcW w:w="803" w:type="pct"/>
            <w:vAlign w:val="center"/>
          </w:tcPr>
          <w:p w14:paraId="36EDC553">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5AB7C1AA">
            <w:pPr>
              <w:pStyle w:val="69"/>
              <w:spacing w:before="65" w:after="65"/>
              <w:rPr>
                <w:rFonts w:cs="Times New Roman"/>
                <w:color w:val="auto"/>
                <w:highlight w:val="none"/>
              </w:rPr>
            </w:pPr>
            <w:r>
              <w:rPr>
                <w:rFonts w:cs="Times New Roman"/>
                <w:color w:val="auto"/>
                <w:highlight w:val="none"/>
              </w:rPr>
              <w:t>XY-1400</w:t>
            </w:r>
          </w:p>
        </w:tc>
        <w:tc>
          <w:tcPr>
            <w:tcW w:w="658" w:type="pct"/>
            <w:vAlign w:val="center"/>
          </w:tcPr>
          <w:p w14:paraId="568D7FA8">
            <w:pPr>
              <w:pStyle w:val="69"/>
              <w:spacing w:before="65" w:after="65"/>
              <w:rPr>
                <w:rFonts w:cs="Times New Roman"/>
                <w:color w:val="auto"/>
                <w:highlight w:val="none"/>
              </w:rPr>
            </w:pPr>
            <w:r>
              <w:rPr>
                <w:rFonts w:cs="Times New Roman"/>
                <w:color w:val="auto"/>
                <w:highlight w:val="none"/>
              </w:rPr>
              <w:t>破碎原矿</w:t>
            </w:r>
          </w:p>
        </w:tc>
      </w:tr>
      <w:tr w14:paraId="56186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4B730E07">
            <w:pPr>
              <w:pStyle w:val="69"/>
              <w:spacing w:before="65" w:after="65"/>
              <w:rPr>
                <w:rFonts w:cs="Times New Roman"/>
                <w:color w:val="auto"/>
                <w:highlight w:val="none"/>
              </w:rPr>
            </w:pPr>
          </w:p>
        </w:tc>
        <w:tc>
          <w:tcPr>
            <w:tcW w:w="1062" w:type="pct"/>
            <w:vAlign w:val="center"/>
          </w:tcPr>
          <w:p w14:paraId="17EDEF59">
            <w:pPr>
              <w:pStyle w:val="69"/>
              <w:spacing w:before="65" w:after="65"/>
              <w:rPr>
                <w:rFonts w:cs="Times New Roman"/>
                <w:color w:val="auto"/>
                <w:highlight w:val="none"/>
              </w:rPr>
            </w:pPr>
            <w:r>
              <w:rPr>
                <w:rFonts w:cs="Times New Roman"/>
                <w:color w:val="auto"/>
                <w:highlight w:val="none"/>
              </w:rPr>
              <w:t>立轴式冲击破</w:t>
            </w:r>
          </w:p>
        </w:tc>
        <w:tc>
          <w:tcPr>
            <w:tcW w:w="803" w:type="pct"/>
            <w:vAlign w:val="center"/>
          </w:tcPr>
          <w:p w14:paraId="1E03E3C7">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164616D9">
            <w:pPr>
              <w:pStyle w:val="69"/>
              <w:spacing w:before="65" w:after="65"/>
              <w:rPr>
                <w:rFonts w:cs="Times New Roman"/>
                <w:color w:val="auto"/>
                <w:highlight w:val="none"/>
              </w:rPr>
            </w:pPr>
            <w:r>
              <w:rPr>
                <w:rFonts w:cs="Times New Roman"/>
                <w:color w:val="auto"/>
                <w:highlight w:val="none"/>
              </w:rPr>
              <w:t>XY-10000</w:t>
            </w:r>
          </w:p>
        </w:tc>
        <w:tc>
          <w:tcPr>
            <w:tcW w:w="658" w:type="pct"/>
            <w:vAlign w:val="center"/>
          </w:tcPr>
          <w:p w14:paraId="19E7363C">
            <w:pPr>
              <w:pStyle w:val="69"/>
              <w:spacing w:before="65" w:after="65"/>
              <w:rPr>
                <w:rFonts w:cs="Times New Roman"/>
                <w:color w:val="auto"/>
                <w:highlight w:val="none"/>
              </w:rPr>
            </w:pPr>
            <w:r>
              <w:rPr>
                <w:rFonts w:cs="Times New Roman"/>
                <w:color w:val="auto"/>
                <w:highlight w:val="none"/>
              </w:rPr>
              <w:t>破碎原矿</w:t>
            </w:r>
          </w:p>
        </w:tc>
      </w:tr>
      <w:tr w14:paraId="2D76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01211A04">
            <w:pPr>
              <w:pStyle w:val="69"/>
              <w:spacing w:before="65" w:after="65"/>
              <w:rPr>
                <w:rFonts w:cs="Times New Roman"/>
                <w:color w:val="auto"/>
                <w:highlight w:val="none"/>
              </w:rPr>
            </w:pPr>
          </w:p>
        </w:tc>
        <w:tc>
          <w:tcPr>
            <w:tcW w:w="1062" w:type="pct"/>
            <w:vAlign w:val="center"/>
          </w:tcPr>
          <w:p w14:paraId="6DEFB2F0">
            <w:pPr>
              <w:pStyle w:val="69"/>
              <w:spacing w:before="65" w:after="65"/>
              <w:rPr>
                <w:rFonts w:cs="Times New Roman"/>
                <w:color w:val="auto"/>
                <w:highlight w:val="none"/>
              </w:rPr>
            </w:pPr>
            <w:r>
              <w:rPr>
                <w:rFonts w:cs="Times New Roman"/>
                <w:color w:val="auto"/>
                <w:highlight w:val="none"/>
              </w:rPr>
              <w:t>圆振动筛</w:t>
            </w:r>
          </w:p>
        </w:tc>
        <w:tc>
          <w:tcPr>
            <w:tcW w:w="803" w:type="pct"/>
            <w:vAlign w:val="center"/>
          </w:tcPr>
          <w:p w14:paraId="1FB096D4">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549708C6">
            <w:pPr>
              <w:pStyle w:val="69"/>
              <w:spacing w:before="65" w:after="65"/>
              <w:rPr>
                <w:rFonts w:cs="Times New Roman"/>
                <w:color w:val="auto"/>
                <w:highlight w:val="none"/>
              </w:rPr>
            </w:pPr>
            <w:r>
              <w:rPr>
                <w:rFonts w:cs="Times New Roman"/>
                <w:color w:val="auto"/>
                <w:highlight w:val="none"/>
              </w:rPr>
              <w:t>2YKH2460</w:t>
            </w:r>
          </w:p>
        </w:tc>
        <w:tc>
          <w:tcPr>
            <w:tcW w:w="658" w:type="pct"/>
            <w:vAlign w:val="center"/>
          </w:tcPr>
          <w:p w14:paraId="413871E4">
            <w:pPr>
              <w:pStyle w:val="69"/>
              <w:spacing w:before="65" w:after="65"/>
              <w:rPr>
                <w:rFonts w:cs="Times New Roman"/>
                <w:color w:val="auto"/>
                <w:highlight w:val="none"/>
              </w:rPr>
            </w:pPr>
            <w:r>
              <w:rPr>
                <w:rFonts w:cs="Times New Roman"/>
                <w:color w:val="auto"/>
                <w:highlight w:val="none"/>
              </w:rPr>
              <w:t>筛分</w:t>
            </w:r>
          </w:p>
        </w:tc>
      </w:tr>
      <w:tr w14:paraId="2D4F2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2448ED8A">
            <w:pPr>
              <w:pStyle w:val="69"/>
              <w:spacing w:before="65" w:after="65"/>
              <w:rPr>
                <w:rFonts w:cs="Times New Roman"/>
                <w:color w:val="auto"/>
                <w:highlight w:val="none"/>
              </w:rPr>
            </w:pPr>
          </w:p>
        </w:tc>
        <w:tc>
          <w:tcPr>
            <w:tcW w:w="1062" w:type="pct"/>
            <w:vAlign w:val="center"/>
          </w:tcPr>
          <w:p w14:paraId="1CCD839A">
            <w:pPr>
              <w:pStyle w:val="69"/>
              <w:spacing w:before="65" w:after="65"/>
              <w:rPr>
                <w:rFonts w:cs="Times New Roman"/>
                <w:color w:val="auto"/>
                <w:highlight w:val="none"/>
              </w:rPr>
            </w:pPr>
            <w:r>
              <w:rPr>
                <w:rFonts w:cs="Times New Roman"/>
                <w:color w:val="auto"/>
                <w:highlight w:val="none"/>
              </w:rPr>
              <w:t>密闭输送带</w:t>
            </w:r>
          </w:p>
        </w:tc>
        <w:tc>
          <w:tcPr>
            <w:tcW w:w="803" w:type="pct"/>
            <w:vAlign w:val="center"/>
          </w:tcPr>
          <w:p w14:paraId="133E74D4">
            <w:pPr>
              <w:pStyle w:val="69"/>
              <w:spacing w:before="65" w:after="65"/>
              <w:rPr>
                <w:rFonts w:cs="Times New Roman"/>
                <w:color w:val="auto"/>
                <w:highlight w:val="none"/>
              </w:rPr>
            </w:pPr>
            <w:r>
              <w:rPr>
                <w:rFonts w:cs="Times New Roman"/>
                <w:color w:val="auto"/>
                <w:highlight w:val="none"/>
              </w:rPr>
              <w:t>7</w:t>
            </w:r>
          </w:p>
        </w:tc>
        <w:tc>
          <w:tcPr>
            <w:tcW w:w="1866" w:type="pct"/>
            <w:vAlign w:val="center"/>
          </w:tcPr>
          <w:p w14:paraId="5E14A03C">
            <w:pPr>
              <w:pStyle w:val="69"/>
              <w:spacing w:before="65" w:after="65"/>
              <w:rPr>
                <w:rFonts w:cs="Times New Roman"/>
                <w:color w:val="auto"/>
                <w:highlight w:val="none"/>
              </w:rPr>
            </w:pPr>
            <w:r>
              <w:rPr>
                <w:rFonts w:cs="Times New Roman"/>
                <w:color w:val="auto"/>
                <w:highlight w:val="none"/>
              </w:rPr>
              <w:t>/</w:t>
            </w:r>
          </w:p>
        </w:tc>
        <w:tc>
          <w:tcPr>
            <w:tcW w:w="658" w:type="pct"/>
            <w:vAlign w:val="center"/>
          </w:tcPr>
          <w:p w14:paraId="585418FA">
            <w:pPr>
              <w:pStyle w:val="69"/>
              <w:spacing w:before="65" w:after="65"/>
              <w:rPr>
                <w:rFonts w:cs="Times New Roman"/>
                <w:color w:val="auto"/>
                <w:highlight w:val="none"/>
              </w:rPr>
            </w:pPr>
            <w:r>
              <w:rPr>
                <w:rFonts w:cs="Times New Roman"/>
                <w:color w:val="auto"/>
                <w:highlight w:val="none"/>
              </w:rPr>
              <w:t>物料运输</w:t>
            </w:r>
          </w:p>
        </w:tc>
      </w:tr>
      <w:tr w14:paraId="68FE6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4F986433">
            <w:pPr>
              <w:pStyle w:val="69"/>
              <w:spacing w:before="65" w:after="65"/>
              <w:rPr>
                <w:rFonts w:cs="Times New Roman"/>
                <w:color w:val="auto"/>
                <w:highlight w:val="none"/>
              </w:rPr>
            </w:pPr>
          </w:p>
        </w:tc>
        <w:tc>
          <w:tcPr>
            <w:tcW w:w="1062" w:type="pct"/>
            <w:vAlign w:val="center"/>
          </w:tcPr>
          <w:p w14:paraId="2448D404">
            <w:pPr>
              <w:pStyle w:val="69"/>
              <w:spacing w:before="65" w:after="65"/>
              <w:rPr>
                <w:rFonts w:cs="Times New Roman"/>
                <w:color w:val="auto"/>
                <w:highlight w:val="none"/>
              </w:rPr>
            </w:pPr>
            <w:r>
              <w:rPr>
                <w:rFonts w:cs="Times New Roman"/>
                <w:color w:val="auto"/>
                <w:highlight w:val="none"/>
              </w:rPr>
              <w:t>布袋除尘器</w:t>
            </w:r>
          </w:p>
        </w:tc>
        <w:tc>
          <w:tcPr>
            <w:tcW w:w="803" w:type="pct"/>
            <w:vAlign w:val="center"/>
          </w:tcPr>
          <w:p w14:paraId="18FA6EFA">
            <w:pPr>
              <w:pStyle w:val="69"/>
              <w:spacing w:before="65" w:after="65"/>
              <w:rPr>
                <w:rFonts w:cs="Times New Roman"/>
                <w:color w:val="auto"/>
                <w:highlight w:val="none"/>
              </w:rPr>
            </w:pPr>
            <w:r>
              <w:rPr>
                <w:rFonts w:hint="eastAsia" w:cs="Times New Roman"/>
                <w:color w:val="auto"/>
                <w:highlight w:val="none"/>
              </w:rPr>
              <w:t>2</w:t>
            </w:r>
          </w:p>
        </w:tc>
        <w:tc>
          <w:tcPr>
            <w:tcW w:w="1866" w:type="pct"/>
            <w:vAlign w:val="center"/>
          </w:tcPr>
          <w:p w14:paraId="5A803846">
            <w:pPr>
              <w:pStyle w:val="69"/>
              <w:spacing w:before="65" w:after="65"/>
              <w:rPr>
                <w:rFonts w:cs="Times New Roman"/>
                <w:color w:val="auto"/>
                <w:highlight w:val="none"/>
              </w:rPr>
            </w:pPr>
            <w:r>
              <w:rPr>
                <w:rFonts w:cs="Times New Roman"/>
                <w:color w:val="auto"/>
                <w:highlight w:val="none"/>
              </w:rPr>
              <w:t>/</w:t>
            </w:r>
          </w:p>
        </w:tc>
        <w:tc>
          <w:tcPr>
            <w:tcW w:w="658" w:type="pct"/>
            <w:vAlign w:val="center"/>
          </w:tcPr>
          <w:p w14:paraId="03FBABE7">
            <w:pPr>
              <w:pStyle w:val="69"/>
              <w:spacing w:before="65" w:after="65"/>
              <w:rPr>
                <w:rFonts w:cs="Times New Roman"/>
                <w:color w:val="auto"/>
                <w:highlight w:val="none"/>
              </w:rPr>
            </w:pPr>
            <w:r>
              <w:rPr>
                <w:rFonts w:cs="Times New Roman"/>
                <w:color w:val="auto"/>
                <w:highlight w:val="none"/>
              </w:rPr>
              <w:t>废气处理</w:t>
            </w:r>
          </w:p>
        </w:tc>
      </w:tr>
      <w:tr w14:paraId="14DB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01F17DF9">
            <w:pPr>
              <w:pStyle w:val="69"/>
              <w:spacing w:before="65" w:after="65"/>
              <w:rPr>
                <w:rFonts w:cs="Times New Roman"/>
                <w:color w:val="auto"/>
                <w:highlight w:val="none"/>
              </w:rPr>
            </w:pPr>
          </w:p>
        </w:tc>
        <w:tc>
          <w:tcPr>
            <w:tcW w:w="1062" w:type="pct"/>
            <w:vAlign w:val="center"/>
          </w:tcPr>
          <w:p w14:paraId="287A76D3">
            <w:pPr>
              <w:pStyle w:val="69"/>
              <w:spacing w:before="65" w:after="65"/>
              <w:rPr>
                <w:rFonts w:cs="Times New Roman"/>
                <w:color w:val="auto"/>
                <w:highlight w:val="none"/>
              </w:rPr>
            </w:pPr>
            <w:r>
              <w:rPr>
                <w:rFonts w:cs="Times New Roman"/>
                <w:color w:val="auto"/>
                <w:highlight w:val="none"/>
              </w:rPr>
              <w:t>风机</w:t>
            </w:r>
          </w:p>
        </w:tc>
        <w:tc>
          <w:tcPr>
            <w:tcW w:w="803" w:type="pct"/>
            <w:vAlign w:val="center"/>
          </w:tcPr>
          <w:p w14:paraId="7D2D4D6D">
            <w:pPr>
              <w:pStyle w:val="69"/>
              <w:spacing w:before="65" w:after="65"/>
              <w:rPr>
                <w:rFonts w:cs="Times New Roman"/>
                <w:color w:val="auto"/>
                <w:highlight w:val="none"/>
              </w:rPr>
            </w:pPr>
            <w:r>
              <w:rPr>
                <w:rFonts w:hint="eastAsia" w:cs="Times New Roman"/>
                <w:color w:val="auto"/>
                <w:highlight w:val="none"/>
              </w:rPr>
              <w:t>2</w:t>
            </w:r>
          </w:p>
        </w:tc>
        <w:tc>
          <w:tcPr>
            <w:tcW w:w="1866" w:type="pct"/>
            <w:vAlign w:val="center"/>
          </w:tcPr>
          <w:p w14:paraId="4E003819">
            <w:pPr>
              <w:pStyle w:val="69"/>
              <w:spacing w:before="65" w:after="65"/>
              <w:rPr>
                <w:rFonts w:cs="Times New Roman"/>
                <w:color w:val="auto"/>
                <w:highlight w:val="none"/>
              </w:rPr>
            </w:pPr>
            <w:r>
              <w:rPr>
                <w:rFonts w:hint="eastAsia" w:cs="Times New Roman"/>
                <w:color w:val="auto"/>
                <w:highlight w:val="none"/>
              </w:rPr>
              <w:t>/</w:t>
            </w:r>
          </w:p>
        </w:tc>
        <w:tc>
          <w:tcPr>
            <w:tcW w:w="658" w:type="pct"/>
            <w:vAlign w:val="center"/>
          </w:tcPr>
          <w:p w14:paraId="7974E754">
            <w:pPr>
              <w:pStyle w:val="69"/>
              <w:spacing w:before="65" w:after="65"/>
              <w:rPr>
                <w:rFonts w:cs="Times New Roman"/>
                <w:color w:val="auto"/>
                <w:highlight w:val="none"/>
              </w:rPr>
            </w:pPr>
            <w:r>
              <w:rPr>
                <w:rFonts w:cs="Times New Roman"/>
                <w:color w:val="auto"/>
                <w:highlight w:val="none"/>
              </w:rPr>
              <w:t>废气处理配套设施</w:t>
            </w:r>
          </w:p>
        </w:tc>
      </w:tr>
      <w:tr w14:paraId="31D6D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restart"/>
            <w:vAlign w:val="center"/>
          </w:tcPr>
          <w:p w14:paraId="41630051">
            <w:pPr>
              <w:pStyle w:val="69"/>
              <w:spacing w:before="65" w:after="65"/>
              <w:rPr>
                <w:rFonts w:cs="Times New Roman"/>
                <w:color w:val="auto"/>
                <w:highlight w:val="none"/>
              </w:rPr>
            </w:pPr>
            <w:r>
              <w:rPr>
                <w:rFonts w:cs="Times New Roman"/>
                <w:color w:val="auto"/>
                <w:highlight w:val="none"/>
              </w:rPr>
              <w:t>磨矿车间</w:t>
            </w:r>
          </w:p>
        </w:tc>
        <w:tc>
          <w:tcPr>
            <w:tcW w:w="1062" w:type="pct"/>
            <w:vAlign w:val="center"/>
          </w:tcPr>
          <w:p w14:paraId="0E0FF600">
            <w:pPr>
              <w:pStyle w:val="69"/>
              <w:spacing w:before="65" w:after="65"/>
              <w:rPr>
                <w:rFonts w:cs="Times New Roman"/>
                <w:color w:val="auto"/>
                <w:highlight w:val="none"/>
              </w:rPr>
            </w:pPr>
            <w:r>
              <w:rPr>
                <w:rFonts w:cs="Times New Roman"/>
                <w:color w:val="auto"/>
                <w:highlight w:val="none"/>
              </w:rPr>
              <w:t>溢流型球磨机</w:t>
            </w:r>
          </w:p>
        </w:tc>
        <w:tc>
          <w:tcPr>
            <w:tcW w:w="803" w:type="pct"/>
            <w:vAlign w:val="center"/>
          </w:tcPr>
          <w:p w14:paraId="155D17EC">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2F6B7BDF">
            <w:pPr>
              <w:pStyle w:val="69"/>
              <w:spacing w:before="65" w:after="65"/>
              <w:rPr>
                <w:rFonts w:cs="Times New Roman"/>
                <w:color w:val="auto"/>
                <w:highlight w:val="none"/>
              </w:rPr>
            </w:pPr>
            <w:r>
              <w:rPr>
                <w:rFonts w:cs="Times New Roman"/>
                <w:color w:val="auto"/>
                <w:highlight w:val="none"/>
              </w:rPr>
              <w:t>Φ</w:t>
            </w:r>
            <w:r>
              <w:rPr>
                <w:rFonts w:hint="eastAsia" w:cs="Times New Roman"/>
                <w:color w:val="auto"/>
                <w:highlight w:val="none"/>
              </w:rPr>
              <w:t>3.2×5m</w:t>
            </w:r>
          </w:p>
        </w:tc>
        <w:tc>
          <w:tcPr>
            <w:tcW w:w="658" w:type="pct"/>
            <w:vAlign w:val="center"/>
          </w:tcPr>
          <w:p w14:paraId="497BEA42">
            <w:pPr>
              <w:pStyle w:val="69"/>
              <w:spacing w:before="65" w:after="65"/>
              <w:rPr>
                <w:rFonts w:cs="Times New Roman"/>
                <w:color w:val="auto"/>
                <w:highlight w:val="none"/>
              </w:rPr>
            </w:pPr>
            <w:r>
              <w:rPr>
                <w:rFonts w:cs="Times New Roman"/>
                <w:color w:val="auto"/>
                <w:highlight w:val="none"/>
              </w:rPr>
              <w:t>球磨</w:t>
            </w:r>
          </w:p>
        </w:tc>
      </w:tr>
      <w:tr w14:paraId="7084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19A00309">
            <w:pPr>
              <w:pStyle w:val="69"/>
              <w:spacing w:before="65" w:after="65"/>
              <w:rPr>
                <w:rFonts w:cs="Times New Roman"/>
                <w:color w:val="auto"/>
                <w:highlight w:val="none"/>
              </w:rPr>
            </w:pPr>
          </w:p>
        </w:tc>
        <w:tc>
          <w:tcPr>
            <w:tcW w:w="1062" w:type="pct"/>
            <w:vAlign w:val="center"/>
          </w:tcPr>
          <w:p w14:paraId="2AA134E8">
            <w:pPr>
              <w:pStyle w:val="69"/>
              <w:spacing w:before="65" w:after="65"/>
              <w:rPr>
                <w:rFonts w:cs="Times New Roman"/>
                <w:color w:val="auto"/>
                <w:highlight w:val="none"/>
              </w:rPr>
            </w:pPr>
            <w:r>
              <w:rPr>
                <w:rFonts w:cs="Times New Roman"/>
                <w:color w:val="auto"/>
                <w:highlight w:val="none"/>
              </w:rPr>
              <w:t>磨矿分级旋流器组</w:t>
            </w:r>
          </w:p>
        </w:tc>
        <w:tc>
          <w:tcPr>
            <w:tcW w:w="803" w:type="pct"/>
            <w:vAlign w:val="center"/>
          </w:tcPr>
          <w:p w14:paraId="05776A72">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513B59CD">
            <w:pPr>
              <w:pStyle w:val="69"/>
              <w:spacing w:before="65" w:after="65"/>
              <w:rPr>
                <w:rFonts w:cs="Times New Roman"/>
                <w:color w:val="auto"/>
                <w:highlight w:val="none"/>
              </w:rPr>
            </w:pPr>
            <w:r>
              <w:rPr>
                <w:rFonts w:cs="Times New Roman"/>
                <w:color w:val="auto"/>
                <w:highlight w:val="none"/>
              </w:rPr>
              <w:t>Φ350×</w:t>
            </w:r>
            <w:r>
              <w:rPr>
                <w:rFonts w:hint="eastAsia" w:cs="Times New Roman"/>
                <w:color w:val="auto"/>
                <w:highlight w:val="none"/>
              </w:rPr>
              <w:t>4</w:t>
            </w:r>
          </w:p>
        </w:tc>
        <w:tc>
          <w:tcPr>
            <w:tcW w:w="658" w:type="pct"/>
            <w:vAlign w:val="center"/>
          </w:tcPr>
          <w:p w14:paraId="6CF0E4C3">
            <w:pPr>
              <w:pStyle w:val="69"/>
              <w:spacing w:before="65" w:after="65"/>
              <w:rPr>
                <w:rFonts w:cs="Times New Roman"/>
                <w:color w:val="auto"/>
                <w:highlight w:val="none"/>
              </w:rPr>
            </w:pPr>
            <w:r>
              <w:rPr>
                <w:rFonts w:cs="Times New Roman"/>
                <w:color w:val="auto"/>
                <w:highlight w:val="none"/>
              </w:rPr>
              <w:t>分级</w:t>
            </w:r>
          </w:p>
        </w:tc>
      </w:tr>
      <w:tr w14:paraId="27A0B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39162A68">
            <w:pPr>
              <w:pStyle w:val="69"/>
              <w:spacing w:before="65" w:after="65"/>
              <w:rPr>
                <w:rFonts w:cs="Times New Roman"/>
                <w:color w:val="auto"/>
                <w:highlight w:val="none"/>
              </w:rPr>
            </w:pPr>
          </w:p>
        </w:tc>
        <w:tc>
          <w:tcPr>
            <w:tcW w:w="1062" w:type="pct"/>
            <w:vAlign w:val="center"/>
          </w:tcPr>
          <w:p w14:paraId="22659958">
            <w:pPr>
              <w:pStyle w:val="69"/>
              <w:spacing w:before="65" w:after="65"/>
              <w:rPr>
                <w:rFonts w:cs="Times New Roman"/>
                <w:color w:val="auto"/>
                <w:highlight w:val="none"/>
              </w:rPr>
            </w:pPr>
            <w:r>
              <w:rPr>
                <w:rFonts w:cs="Times New Roman"/>
                <w:color w:val="auto"/>
                <w:highlight w:val="none"/>
              </w:rPr>
              <w:t>磁选机</w:t>
            </w:r>
          </w:p>
        </w:tc>
        <w:tc>
          <w:tcPr>
            <w:tcW w:w="803" w:type="pct"/>
            <w:vAlign w:val="center"/>
          </w:tcPr>
          <w:p w14:paraId="2EB89C56">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7B526123">
            <w:pPr>
              <w:pStyle w:val="69"/>
              <w:spacing w:before="65" w:after="65"/>
              <w:rPr>
                <w:rFonts w:cs="Times New Roman"/>
                <w:color w:val="auto"/>
                <w:highlight w:val="none"/>
              </w:rPr>
            </w:pPr>
            <w:r>
              <w:rPr>
                <w:rFonts w:cs="Times New Roman"/>
                <w:color w:val="auto"/>
                <w:highlight w:val="none"/>
              </w:rPr>
              <w:t>B=1200</w:t>
            </w:r>
          </w:p>
        </w:tc>
        <w:tc>
          <w:tcPr>
            <w:tcW w:w="658" w:type="pct"/>
            <w:vAlign w:val="center"/>
          </w:tcPr>
          <w:p w14:paraId="22656A03">
            <w:pPr>
              <w:pStyle w:val="69"/>
              <w:spacing w:before="65" w:after="65"/>
              <w:rPr>
                <w:rFonts w:cs="Times New Roman"/>
                <w:color w:val="auto"/>
                <w:highlight w:val="none"/>
              </w:rPr>
            </w:pPr>
            <w:r>
              <w:rPr>
                <w:rFonts w:cs="Times New Roman"/>
                <w:color w:val="auto"/>
                <w:highlight w:val="none"/>
              </w:rPr>
              <w:t>磁选</w:t>
            </w:r>
          </w:p>
        </w:tc>
      </w:tr>
      <w:tr w14:paraId="025E6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restart"/>
            <w:vAlign w:val="center"/>
          </w:tcPr>
          <w:p w14:paraId="5B977B84">
            <w:pPr>
              <w:pStyle w:val="69"/>
              <w:spacing w:before="65" w:after="65"/>
              <w:rPr>
                <w:rFonts w:cs="Times New Roman"/>
                <w:color w:val="auto"/>
                <w:highlight w:val="none"/>
              </w:rPr>
            </w:pPr>
            <w:r>
              <w:rPr>
                <w:rFonts w:cs="Times New Roman"/>
                <w:color w:val="auto"/>
                <w:highlight w:val="none"/>
              </w:rPr>
              <w:t>加工车间</w:t>
            </w:r>
          </w:p>
        </w:tc>
        <w:tc>
          <w:tcPr>
            <w:tcW w:w="1062" w:type="pct"/>
            <w:vAlign w:val="center"/>
          </w:tcPr>
          <w:p w14:paraId="5D6A5EBA">
            <w:pPr>
              <w:pStyle w:val="69"/>
              <w:spacing w:before="65" w:after="65"/>
              <w:rPr>
                <w:rFonts w:cs="Times New Roman"/>
                <w:color w:val="auto"/>
                <w:highlight w:val="none"/>
              </w:rPr>
            </w:pPr>
            <w:r>
              <w:rPr>
                <w:rFonts w:cs="Times New Roman"/>
                <w:color w:val="auto"/>
                <w:highlight w:val="none"/>
              </w:rPr>
              <w:t>脱泥旋流器组</w:t>
            </w:r>
          </w:p>
        </w:tc>
        <w:tc>
          <w:tcPr>
            <w:tcW w:w="803" w:type="pct"/>
            <w:vAlign w:val="center"/>
          </w:tcPr>
          <w:p w14:paraId="54C0F55D">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0991CAED">
            <w:pPr>
              <w:pStyle w:val="69"/>
              <w:spacing w:before="65" w:after="65"/>
              <w:rPr>
                <w:rFonts w:cs="Times New Roman"/>
                <w:color w:val="auto"/>
                <w:highlight w:val="none"/>
              </w:rPr>
            </w:pPr>
            <w:r>
              <w:rPr>
                <w:rFonts w:cs="Times New Roman"/>
                <w:color w:val="auto"/>
                <w:highlight w:val="none"/>
              </w:rPr>
              <w:t>Φ150×10</w:t>
            </w:r>
          </w:p>
        </w:tc>
        <w:tc>
          <w:tcPr>
            <w:tcW w:w="658" w:type="pct"/>
            <w:vAlign w:val="center"/>
          </w:tcPr>
          <w:p w14:paraId="3922AD48">
            <w:pPr>
              <w:pStyle w:val="69"/>
              <w:spacing w:before="65" w:after="65"/>
              <w:rPr>
                <w:rFonts w:cs="Times New Roman"/>
                <w:color w:val="auto"/>
                <w:highlight w:val="none"/>
              </w:rPr>
            </w:pPr>
            <w:r>
              <w:rPr>
                <w:rFonts w:cs="Times New Roman"/>
                <w:color w:val="auto"/>
                <w:highlight w:val="none"/>
              </w:rPr>
              <w:t>脱泥</w:t>
            </w:r>
          </w:p>
        </w:tc>
      </w:tr>
      <w:tr w14:paraId="1D49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7B647188">
            <w:pPr>
              <w:pStyle w:val="69"/>
              <w:spacing w:before="65" w:after="65"/>
              <w:rPr>
                <w:rFonts w:cs="Times New Roman"/>
                <w:color w:val="auto"/>
                <w:highlight w:val="none"/>
              </w:rPr>
            </w:pPr>
          </w:p>
        </w:tc>
        <w:tc>
          <w:tcPr>
            <w:tcW w:w="1062" w:type="pct"/>
            <w:vAlign w:val="center"/>
          </w:tcPr>
          <w:p w14:paraId="576478CD">
            <w:pPr>
              <w:pStyle w:val="69"/>
              <w:spacing w:before="65" w:after="65"/>
              <w:rPr>
                <w:rFonts w:cs="Times New Roman"/>
                <w:color w:val="auto"/>
                <w:highlight w:val="none"/>
              </w:rPr>
            </w:pPr>
            <w:r>
              <w:rPr>
                <w:rFonts w:cs="Times New Roman"/>
                <w:color w:val="auto"/>
                <w:highlight w:val="none"/>
              </w:rPr>
              <w:t>脱泥旋流器组</w:t>
            </w:r>
          </w:p>
        </w:tc>
        <w:tc>
          <w:tcPr>
            <w:tcW w:w="803" w:type="pct"/>
            <w:vAlign w:val="center"/>
          </w:tcPr>
          <w:p w14:paraId="447B2DC2">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44974AC9">
            <w:pPr>
              <w:pStyle w:val="69"/>
              <w:spacing w:before="65" w:after="65"/>
              <w:rPr>
                <w:rFonts w:cs="Times New Roman"/>
                <w:color w:val="auto"/>
                <w:highlight w:val="none"/>
              </w:rPr>
            </w:pPr>
            <w:r>
              <w:rPr>
                <w:rFonts w:cs="Times New Roman"/>
                <w:color w:val="auto"/>
                <w:highlight w:val="none"/>
              </w:rPr>
              <w:t>Φ100×10</w:t>
            </w:r>
          </w:p>
        </w:tc>
        <w:tc>
          <w:tcPr>
            <w:tcW w:w="658" w:type="pct"/>
            <w:vAlign w:val="center"/>
          </w:tcPr>
          <w:p w14:paraId="7B1CDCA7">
            <w:pPr>
              <w:pStyle w:val="69"/>
              <w:spacing w:before="65" w:after="65"/>
              <w:rPr>
                <w:rFonts w:cs="Times New Roman"/>
                <w:color w:val="auto"/>
                <w:highlight w:val="none"/>
              </w:rPr>
            </w:pPr>
            <w:r>
              <w:rPr>
                <w:rFonts w:cs="Times New Roman"/>
                <w:color w:val="auto"/>
                <w:highlight w:val="none"/>
              </w:rPr>
              <w:t>脱泥</w:t>
            </w:r>
          </w:p>
        </w:tc>
      </w:tr>
      <w:tr w14:paraId="1F1CC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39CEBD22">
            <w:pPr>
              <w:pStyle w:val="69"/>
              <w:spacing w:before="65" w:after="65"/>
              <w:rPr>
                <w:rFonts w:cs="Times New Roman"/>
                <w:color w:val="auto"/>
                <w:highlight w:val="none"/>
              </w:rPr>
            </w:pPr>
          </w:p>
        </w:tc>
        <w:tc>
          <w:tcPr>
            <w:tcW w:w="1062" w:type="pct"/>
            <w:vAlign w:val="center"/>
          </w:tcPr>
          <w:p w14:paraId="4B3AA681">
            <w:pPr>
              <w:pStyle w:val="69"/>
              <w:spacing w:before="65" w:after="65"/>
              <w:rPr>
                <w:rFonts w:cs="Times New Roman"/>
                <w:color w:val="auto"/>
                <w:highlight w:val="none"/>
              </w:rPr>
            </w:pPr>
            <w:r>
              <w:rPr>
                <w:rFonts w:cs="Times New Roman"/>
                <w:color w:val="auto"/>
                <w:highlight w:val="none"/>
              </w:rPr>
              <w:t>浮选机</w:t>
            </w:r>
          </w:p>
        </w:tc>
        <w:tc>
          <w:tcPr>
            <w:tcW w:w="803" w:type="pct"/>
            <w:vAlign w:val="center"/>
          </w:tcPr>
          <w:p w14:paraId="241284F2">
            <w:pPr>
              <w:pStyle w:val="69"/>
              <w:spacing w:before="65" w:after="65"/>
              <w:rPr>
                <w:rFonts w:cs="Times New Roman"/>
                <w:color w:val="auto"/>
                <w:highlight w:val="none"/>
              </w:rPr>
            </w:pPr>
            <w:r>
              <w:rPr>
                <w:rFonts w:cs="Times New Roman"/>
                <w:color w:val="auto"/>
                <w:highlight w:val="none"/>
              </w:rPr>
              <w:t>9</w:t>
            </w:r>
          </w:p>
        </w:tc>
        <w:tc>
          <w:tcPr>
            <w:tcW w:w="1866" w:type="pct"/>
            <w:vAlign w:val="center"/>
          </w:tcPr>
          <w:p w14:paraId="758308D5">
            <w:pPr>
              <w:pStyle w:val="69"/>
              <w:spacing w:before="65" w:after="65"/>
              <w:rPr>
                <w:rFonts w:cs="Times New Roman"/>
                <w:color w:val="auto"/>
                <w:highlight w:val="none"/>
              </w:rPr>
            </w:pPr>
            <w:r>
              <w:rPr>
                <w:rFonts w:cs="Times New Roman"/>
                <w:color w:val="auto"/>
                <w:highlight w:val="none"/>
              </w:rPr>
              <w:t>XCF-</w:t>
            </w:r>
            <w:r>
              <w:rPr>
                <w:rFonts w:hint="eastAsia" w:cs="Times New Roman"/>
                <w:color w:val="auto"/>
                <w:highlight w:val="none"/>
              </w:rPr>
              <w:t>16</w:t>
            </w:r>
          </w:p>
        </w:tc>
        <w:tc>
          <w:tcPr>
            <w:tcW w:w="658" w:type="pct"/>
            <w:vAlign w:val="center"/>
          </w:tcPr>
          <w:p w14:paraId="3EF6DA2D">
            <w:pPr>
              <w:pStyle w:val="69"/>
              <w:spacing w:before="65" w:after="65"/>
              <w:rPr>
                <w:rFonts w:cs="Times New Roman"/>
                <w:color w:val="auto"/>
                <w:highlight w:val="none"/>
              </w:rPr>
            </w:pPr>
            <w:r>
              <w:rPr>
                <w:rFonts w:cs="Times New Roman"/>
                <w:color w:val="auto"/>
                <w:highlight w:val="none"/>
              </w:rPr>
              <w:t>浮选</w:t>
            </w:r>
          </w:p>
        </w:tc>
      </w:tr>
      <w:tr w14:paraId="1F72B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jc w:val="center"/>
        </w:trPr>
        <w:tc>
          <w:tcPr>
            <w:tcW w:w="609" w:type="pct"/>
            <w:vMerge w:val="continue"/>
            <w:vAlign w:val="center"/>
          </w:tcPr>
          <w:p w14:paraId="2D37F41D">
            <w:pPr>
              <w:pStyle w:val="69"/>
              <w:spacing w:before="65" w:after="65"/>
              <w:rPr>
                <w:rFonts w:cs="Times New Roman"/>
                <w:color w:val="auto"/>
                <w:highlight w:val="none"/>
              </w:rPr>
            </w:pPr>
          </w:p>
        </w:tc>
        <w:tc>
          <w:tcPr>
            <w:tcW w:w="1062" w:type="pct"/>
            <w:vAlign w:val="center"/>
          </w:tcPr>
          <w:p w14:paraId="569CC13E">
            <w:pPr>
              <w:pStyle w:val="69"/>
              <w:spacing w:before="65" w:after="65"/>
              <w:rPr>
                <w:rFonts w:cs="Times New Roman"/>
                <w:color w:val="auto"/>
                <w:highlight w:val="none"/>
              </w:rPr>
            </w:pPr>
            <w:r>
              <w:rPr>
                <w:rFonts w:cs="Times New Roman"/>
                <w:color w:val="auto"/>
                <w:highlight w:val="none"/>
              </w:rPr>
              <w:t>浮选机</w:t>
            </w:r>
          </w:p>
        </w:tc>
        <w:tc>
          <w:tcPr>
            <w:tcW w:w="803" w:type="pct"/>
            <w:vAlign w:val="center"/>
          </w:tcPr>
          <w:p w14:paraId="56AE5704">
            <w:pPr>
              <w:pStyle w:val="69"/>
              <w:spacing w:before="65" w:after="65"/>
              <w:rPr>
                <w:rFonts w:cs="Times New Roman"/>
                <w:color w:val="auto"/>
                <w:highlight w:val="none"/>
              </w:rPr>
            </w:pPr>
            <w:r>
              <w:rPr>
                <w:rFonts w:cs="Times New Roman"/>
                <w:color w:val="auto"/>
                <w:highlight w:val="none"/>
              </w:rPr>
              <w:t>13</w:t>
            </w:r>
          </w:p>
        </w:tc>
        <w:tc>
          <w:tcPr>
            <w:tcW w:w="1866" w:type="pct"/>
            <w:vAlign w:val="center"/>
          </w:tcPr>
          <w:p w14:paraId="794D1914">
            <w:pPr>
              <w:pStyle w:val="69"/>
              <w:spacing w:before="65" w:after="65"/>
              <w:rPr>
                <w:rFonts w:cs="Times New Roman"/>
                <w:color w:val="auto"/>
                <w:highlight w:val="none"/>
              </w:rPr>
            </w:pPr>
            <w:r>
              <w:rPr>
                <w:rFonts w:cs="Times New Roman"/>
                <w:color w:val="auto"/>
                <w:highlight w:val="none"/>
              </w:rPr>
              <w:t>KYF-</w:t>
            </w:r>
            <w:r>
              <w:rPr>
                <w:rFonts w:hint="eastAsia" w:cs="Times New Roman"/>
                <w:color w:val="auto"/>
                <w:highlight w:val="none"/>
              </w:rPr>
              <w:t>16</w:t>
            </w:r>
          </w:p>
        </w:tc>
        <w:tc>
          <w:tcPr>
            <w:tcW w:w="658" w:type="pct"/>
            <w:vAlign w:val="center"/>
          </w:tcPr>
          <w:p w14:paraId="1DC8124C">
            <w:pPr>
              <w:pStyle w:val="69"/>
              <w:spacing w:before="65" w:after="65"/>
              <w:rPr>
                <w:rFonts w:cs="Times New Roman"/>
                <w:color w:val="auto"/>
                <w:highlight w:val="none"/>
              </w:rPr>
            </w:pPr>
            <w:r>
              <w:rPr>
                <w:rFonts w:cs="Times New Roman"/>
                <w:color w:val="auto"/>
                <w:highlight w:val="none"/>
              </w:rPr>
              <w:t>浮选</w:t>
            </w:r>
          </w:p>
        </w:tc>
      </w:tr>
      <w:tr w14:paraId="730D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0E9CF802">
            <w:pPr>
              <w:pStyle w:val="69"/>
              <w:spacing w:before="65" w:after="65"/>
              <w:rPr>
                <w:rFonts w:cs="Times New Roman"/>
                <w:color w:val="auto"/>
                <w:highlight w:val="none"/>
              </w:rPr>
            </w:pPr>
          </w:p>
        </w:tc>
        <w:tc>
          <w:tcPr>
            <w:tcW w:w="1062" w:type="pct"/>
            <w:vAlign w:val="center"/>
          </w:tcPr>
          <w:p w14:paraId="36E31FD9">
            <w:pPr>
              <w:pStyle w:val="69"/>
              <w:spacing w:before="65" w:after="65"/>
              <w:rPr>
                <w:rFonts w:cs="Times New Roman"/>
                <w:color w:val="auto"/>
                <w:highlight w:val="none"/>
              </w:rPr>
            </w:pPr>
            <w:r>
              <w:rPr>
                <w:rFonts w:cs="Times New Roman"/>
                <w:color w:val="auto"/>
                <w:highlight w:val="none"/>
              </w:rPr>
              <w:t>药剂搅拌槽</w:t>
            </w:r>
          </w:p>
        </w:tc>
        <w:tc>
          <w:tcPr>
            <w:tcW w:w="803" w:type="pct"/>
            <w:vAlign w:val="center"/>
          </w:tcPr>
          <w:p w14:paraId="4249875F">
            <w:pPr>
              <w:pStyle w:val="69"/>
              <w:spacing w:before="65" w:after="65"/>
              <w:rPr>
                <w:rFonts w:cs="Times New Roman"/>
                <w:color w:val="auto"/>
                <w:highlight w:val="none"/>
              </w:rPr>
            </w:pPr>
            <w:r>
              <w:rPr>
                <w:rFonts w:cs="Times New Roman"/>
                <w:color w:val="auto"/>
                <w:highlight w:val="none"/>
              </w:rPr>
              <w:t>6</w:t>
            </w:r>
          </w:p>
        </w:tc>
        <w:tc>
          <w:tcPr>
            <w:tcW w:w="1866" w:type="pct"/>
            <w:vAlign w:val="center"/>
          </w:tcPr>
          <w:p w14:paraId="19DB228D">
            <w:pPr>
              <w:pStyle w:val="69"/>
              <w:spacing w:before="65" w:after="65"/>
              <w:rPr>
                <w:rFonts w:cs="Times New Roman"/>
                <w:color w:val="auto"/>
                <w:highlight w:val="none"/>
              </w:rPr>
            </w:pPr>
            <w:r>
              <w:rPr>
                <w:rFonts w:hint="eastAsia" w:cs="Times New Roman"/>
                <w:color w:val="auto"/>
                <w:highlight w:val="none"/>
              </w:rPr>
              <w:t>BJW2000×2000</w:t>
            </w:r>
          </w:p>
        </w:tc>
        <w:tc>
          <w:tcPr>
            <w:tcW w:w="658" w:type="pct"/>
            <w:vAlign w:val="center"/>
          </w:tcPr>
          <w:p w14:paraId="06C9494D">
            <w:pPr>
              <w:pStyle w:val="69"/>
              <w:spacing w:before="65" w:after="65"/>
              <w:rPr>
                <w:rFonts w:cs="Times New Roman"/>
                <w:color w:val="auto"/>
                <w:highlight w:val="none"/>
              </w:rPr>
            </w:pPr>
            <w:r>
              <w:rPr>
                <w:rFonts w:cs="Times New Roman"/>
                <w:color w:val="auto"/>
                <w:highlight w:val="none"/>
              </w:rPr>
              <w:t>药剂搅拌</w:t>
            </w:r>
          </w:p>
        </w:tc>
      </w:tr>
      <w:tr w14:paraId="1C63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73763599">
            <w:pPr>
              <w:pStyle w:val="69"/>
              <w:spacing w:before="65" w:after="65"/>
              <w:rPr>
                <w:rFonts w:cs="Times New Roman"/>
                <w:color w:val="auto"/>
                <w:highlight w:val="none"/>
              </w:rPr>
            </w:pPr>
          </w:p>
        </w:tc>
        <w:tc>
          <w:tcPr>
            <w:tcW w:w="1062" w:type="pct"/>
            <w:vAlign w:val="center"/>
          </w:tcPr>
          <w:p w14:paraId="18F33515">
            <w:pPr>
              <w:pStyle w:val="69"/>
              <w:spacing w:before="65" w:after="65"/>
              <w:rPr>
                <w:rFonts w:cs="Times New Roman"/>
                <w:color w:val="auto"/>
                <w:highlight w:val="none"/>
              </w:rPr>
            </w:pPr>
            <w:r>
              <w:rPr>
                <w:rFonts w:cs="Times New Roman"/>
                <w:color w:val="auto"/>
                <w:highlight w:val="none"/>
              </w:rPr>
              <w:t>云母强力矿浆搅拌槽</w:t>
            </w:r>
          </w:p>
        </w:tc>
        <w:tc>
          <w:tcPr>
            <w:tcW w:w="803" w:type="pct"/>
            <w:vAlign w:val="center"/>
          </w:tcPr>
          <w:p w14:paraId="45481BE7">
            <w:pPr>
              <w:pStyle w:val="69"/>
              <w:spacing w:before="65" w:after="65"/>
              <w:rPr>
                <w:rFonts w:cs="Times New Roman"/>
                <w:color w:val="auto"/>
                <w:highlight w:val="none"/>
              </w:rPr>
            </w:pPr>
            <w:r>
              <w:rPr>
                <w:rFonts w:cs="Times New Roman"/>
                <w:color w:val="auto"/>
                <w:highlight w:val="none"/>
              </w:rPr>
              <w:t>3</w:t>
            </w:r>
          </w:p>
        </w:tc>
        <w:tc>
          <w:tcPr>
            <w:tcW w:w="1866" w:type="pct"/>
            <w:vAlign w:val="center"/>
          </w:tcPr>
          <w:p w14:paraId="7A634C60">
            <w:pPr>
              <w:pStyle w:val="69"/>
              <w:spacing w:before="65" w:after="65"/>
              <w:rPr>
                <w:rFonts w:cs="Times New Roman"/>
                <w:color w:val="auto"/>
                <w:highlight w:val="none"/>
              </w:rPr>
            </w:pPr>
            <w:r>
              <w:rPr>
                <w:rFonts w:cs="Times New Roman"/>
                <w:color w:val="auto"/>
                <w:highlight w:val="none"/>
              </w:rPr>
              <w:t>BJ3000×3000</w:t>
            </w:r>
          </w:p>
        </w:tc>
        <w:tc>
          <w:tcPr>
            <w:tcW w:w="658" w:type="pct"/>
            <w:vAlign w:val="center"/>
          </w:tcPr>
          <w:p w14:paraId="4E75E873">
            <w:pPr>
              <w:pStyle w:val="69"/>
              <w:spacing w:before="65" w:after="65"/>
              <w:rPr>
                <w:rFonts w:cs="Times New Roman"/>
                <w:color w:val="auto"/>
                <w:highlight w:val="none"/>
              </w:rPr>
            </w:pPr>
            <w:r>
              <w:rPr>
                <w:rFonts w:cs="Times New Roman"/>
                <w:color w:val="auto"/>
                <w:highlight w:val="none"/>
              </w:rPr>
              <w:t>云母矿浆搅拌</w:t>
            </w:r>
          </w:p>
        </w:tc>
      </w:tr>
      <w:tr w14:paraId="5FEC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2AA98C78">
            <w:pPr>
              <w:pStyle w:val="69"/>
              <w:spacing w:before="65" w:after="65"/>
              <w:rPr>
                <w:rFonts w:cs="Times New Roman"/>
                <w:color w:val="auto"/>
                <w:highlight w:val="none"/>
              </w:rPr>
            </w:pPr>
          </w:p>
        </w:tc>
        <w:tc>
          <w:tcPr>
            <w:tcW w:w="1062" w:type="pct"/>
            <w:vAlign w:val="center"/>
          </w:tcPr>
          <w:p w14:paraId="457EA3A5">
            <w:pPr>
              <w:pStyle w:val="69"/>
              <w:spacing w:before="65" w:after="65"/>
              <w:rPr>
                <w:rFonts w:cs="Times New Roman"/>
                <w:color w:val="auto"/>
                <w:highlight w:val="none"/>
              </w:rPr>
            </w:pPr>
            <w:r>
              <w:rPr>
                <w:rFonts w:cs="Times New Roman"/>
                <w:color w:val="auto"/>
                <w:highlight w:val="none"/>
              </w:rPr>
              <w:t>云母消泡搅拌槽</w:t>
            </w:r>
          </w:p>
        </w:tc>
        <w:tc>
          <w:tcPr>
            <w:tcW w:w="803" w:type="pct"/>
            <w:vAlign w:val="center"/>
          </w:tcPr>
          <w:p w14:paraId="2658D8CB">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3981B425">
            <w:pPr>
              <w:pStyle w:val="69"/>
              <w:spacing w:before="65" w:after="65"/>
              <w:rPr>
                <w:rFonts w:cs="Times New Roman"/>
                <w:color w:val="auto"/>
                <w:highlight w:val="none"/>
              </w:rPr>
            </w:pPr>
            <w:r>
              <w:rPr>
                <w:rFonts w:hint="eastAsia" w:cs="Times New Roman"/>
                <w:color w:val="auto"/>
                <w:highlight w:val="none"/>
              </w:rPr>
              <w:t>BJ2000×2000</w:t>
            </w:r>
          </w:p>
        </w:tc>
        <w:tc>
          <w:tcPr>
            <w:tcW w:w="658" w:type="pct"/>
            <w:vAlign w:val="center"/>
          </w:tcPr>
          <w:p w14:paraId="3FE8C576">
            <w:pPr>
              <w:pStyle w:val="69"/>
              <w:spacing w:before="65" w:after="65"/>
              <w:rPr>
                <w:rFonts w:cs="Times New Roman"/>
                <w:color w:val="auto"/>
                <w:highlight w:val="none"/>
              </w:rPr>
            </w:pPr>
            <w:r>
              <w:rPr>
                <w:rFonts w:cs="Times New Roman"/>
                <w:color w:val="auto"/>
                <w:highlight w:val="none"/>
              </w:rPr>
              <w:t>云母消泡</w:t>
            </w:r>
          </w:p>
        </w:tc>
      </w:tr>
      <w:tr w14:paraId="2952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7CE5A5FA">
            <w:pPr>
              <w:pStyle w:val="69"/>
              <w:spacing w:before="65" w:after="65"/>
              <w:rPr>
                <w:rFonts w:cs="Times New Roman"/>
                <w:color w:val="auto"/>
                <w:highlight w:val="none"/>
              </w:rPr>
            </w:pPr>
          </w:p>
        </w:tc>
        <w:tc>
          <w:tcPr>
            <w:tcW w:w="1062" w:type="pct"/>
            <w:vAlign w:val="center"/>
          </w:tcPr>
          <w:p w14:paraId="111D6FAB">
            <w:pPr>
              <w:pStyle w:val="69"/>
              <w:spacing w:before="65" w:after="65"/>
              <w:rPr>
                <w:rFonts w:cs="Times New Roman"/>
                <w:color w:val="auto"/>
                <w:highlight w:val="none"/>
              </w:rPr>
            </w:pPr>
            <w:r>
              <w:rPr>
                <w:rFonts w:cs="Times New Roman"/>
                <w:color w:val="auto"/>
                <w:highlight w:val="none"/>
              </w:rPr>
              <w:t>锂辉石强力矿浆搅拌槽</w:t>
            </w:r>
          </w:p>
        </w:tc>
        <w:tc>
          <w:tcPr>
            <w:tcW w:w="803" w:type="pct"/>
            <w:vAlign w:val="center"/>
          </w:tcPr>
          <w:p w14:paraId="3151B2BD">
            <w:pPr>
              <w:pStyle w:val="69"/>
              <w:spacing w:before="65" w:after="65"/>
              <w:rPr>
                <w:rFonts w:cs="Times New Roman"/>
                <w:color w:val="auto"/>
                <w:highlight w:val="none"/>
              </w:rPr>
            </w:pPr>
            <w:r>
              <w:rPr>
                <w:rFonts w:cs="Times New Roman"/>
                <w:color w:val="auto"/>
                <w:highlight w:val="none"/>
              </w:rPr>
              <w:t>4</w:t>
            </w:r>
          </w:p>
        </w:tc>
        <w:tc>
          <w:tcPr>
            <w:tcW w:w="1866" w:type="pct"/>
            <w:vAlign w:val="center"/>
          </w:tcPr>
          <w:p w14:paraId="2642B84E">
            <w:pPr>
              <w:pStyle w:val="69"/>
              <w:spacing w:before="65" w:after="65"/>
              <w:rPr>
                <w:rFonts w:cs="Times New Roman"/>
                <w:color w:val="auto"/>
                <w:highlight w:val="none"/>
              </w:rPr>
            </w:pPr>
            <w:r>
              <w:rPr>
                <w:rFonts w:cs="Times New Roman"/>
                <w:color w:val="auto"/>
                <w:highlight w:val="none"/>
              </w:rPr>
              <w:t>BJ3000×3000</w:t>
            </w:r>
          </w:p>
        </w:tc>
        <w:tc>
          <w:tcPr>
            <w:tcW w:w="658" w:type="pct"/>
            <w:vAlign w:val="center"/>
          </w:tcPr>
          <w:p w14:paraId="68A5524A">
            <w:pPr>
              <w:pStyle w:val="69"/>
              <w:spacing w:before="65" w:after="65"/>
              <w:rPr>
                <w:rFonts w:cs="Times New Roman"/>
                <w:color w:val="auto"/>
                <w:highlight w:val="none"/>
              </w:rPr>
            </w:pPr>
            <w:r>
              <w:rPr>
                <w:rFonts w:cs="Times New Roman"/>
                <w:color w:val="auto"/>
                <w:highlight w:val="none"/>
              </w:rPr>
              <w:t>锂辉石矿浆搅拌</w:t>
            </w:r>
          </w:p>
        </w:tc>
      </w:tr>
      <w:tr w14:paraId="1B51E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676D2A62">
            <w:pPr>
              <w:pStyle w:val="69"/>
              <w:spacing w:before="65" w:after="65"/>
              <w:rPr>
                <w:rFonts w:cs="Times New Roman"/>
                <w:color w:val="auto"/>
                <w:highlight w:val="none"/>
              </w:rPr>
            </w:pPr>
          </w:p>
        </w:tc>
        <w:tc>
          <w:tcPr>
            <w:tcW w:w="1062" w:type="pct"/>
            <w:vAlign w:val="center"/>
          </w:tcPr>
          <w:p w14:paraId="61FFE37E">
            <w:pPr>
              <w:pStyle w:val="69"/>
              <w:spacing w:before="65" w:after="65"/>
              <w:rPr>
                <w:rFonts w:cs="Times New Roman"/>
                <w:color w:val="auto"/>
                <w:highlight w:val="none"/>
              </w:rPr>
            </w:pPr>
            <w:r>
              <w:rPr>
                <w:rFonts w:cs="Times New Roman"/>
                <w:color w:val="auto"/>
                <w:highlight w:val="none"/>
              </w:rPr>
              <w:t>锂辉石消泡搅拌槽</w:t>
            </w:r>
          </w:p>
        </w:tc>
        <w:tc>
          <w:tcPr>
            <w:tcW w:w="803" w:type="pct"/>
            <w:vAlign w:val="center"/>
          </w:tcPr>
          <w:p w14:paraId="30C73636">
            <w:pPr>
              <w:pStyle w:val="69"/>
              <w:spacing w:before="65" w:after="65"/>
              <w:rPr>
                <w:rFonts w:cs="Times New Roman"/>
                <w:color w:val="auto"/>
                <w:highlight w:val="none"/>
              </w:rPr>
            </w:pPr>
            <w:r>
              <w:rPr>
                <w:rFonts w:cs="Times New Roman"/>
                <w:color w:val="auto"/>
                <w:highlight w:val="none"/>
              </w:rPr>
              <w:t>2</w:t>
            </w:r>
          </w:p>
        </w:tc>
        <w:tc>
          <w:tcPr>
            <w:tcW w:w="1866" w:type="pct"/>
            <w:vAlign w:val="center"/>
          </w:tcPr>
          <w:p w14:paraId="65777C7F">
            <w:pPr>
              <w:pStyle w:val="69"/>
              <w:spacing w:before="65" w:after="65"/>
              <w:rPr>
                <w:rFonts w:cs="Times New Roman"/>
                <w:color w:val="auto"/>
                <w:highlight w:val="none"/>
              </w:rPr>
            </w:pPr>
            <w:r>
              <w:rPr>
                <w:rFonts w:hint="eastAsia" w:cs="Times New Roman"/>
                <w:color w:val="auto"/>
                <w:highlight w:val="none"/>
              </w:rPr>
              <w:t>BJ2000×2000</w:t>
            </w:r>
          </w:p>
        </w:tc>
        <w:tc>
          <w:tcPr>
            <w:tcW w:w="658" w:type="pct"/>
            <w:vAlign w:val="center"/>
          </w:tcPr>
          <w:p w14:paraId="33F00DE5">
            <w:pPr>
              <w:pStyle w:val="69"/>
              <w:spacing w:before="65" w:after="65"/>
              <w:rPr>
                <w:rFonts w:cs="Times New Roman"/>
                <w:color w:val="auto"/>
                <w:highlight w:val="none"/>
              </w:rPr>
            </w:pPr>
            <w:r>
              <w:rPr>
                <w:rFonts w:cs="Times New Roman"/>
                <w:color w:val="auto"/>
                <w:highlight w:val="none"/>
              </w:rPr>
              <w:t>锂辉石消泡</w:t>
            </w:r>
          </w:p>
        </w:tc>
      </w:tr>
      <w:tr w14:paraId="16249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309A2D96">
            <w:pPr>
              <w:pStyle w:val="69"/>
              <w:spacing w:before="65" w:after="65"/>
              <w:rPr>
                <w:rFonts w:cs="Times New Roman"/>
                <w:color w:val="auto"/>
                <w:highlight w:val="none"/>
              </w:rPr>
            </w:pPr>
          </w:p>
        </w:tc>
        <w:tc>
          <w:tcPr>
            <w:tcW w:w="1062" w:type="pct"/>
            <w:vAlign w:val="center"/>
          </w:tcPr>
          <w:p w14:paraId="25D3A7DD">
            <w:pPr>
              <w:pStyle w:val="69"/>
              <w:spacing w:before="65" w:after="65"/>
              <w:rPr>
                <w:rFonts w:cs="Times New Roman"/>
                <w:color w:val="auto"/>
                <w:highlight w:val="none"/>
              </w:rPr>
            </w:pPr>
            <w:r>
              <w:rPr>
                <w:rFonts w:cs="Times New Roman"/>
                <w:color w:val="auto"/>
                <w:highlight w:val="none"/>
              </w:rPr>
              <w:t>罗茨鼓风机</w:t>
            </w:r>
          </w:p>
        </w:tc>
        <w:tc>
          <w:tcPr>
            <w:tcW w:w="803" w:type="pct"/>
            <w:vAlign w:val="center"/>
          </w:tcPr>
          <w:p w14:paraId="43DB90FE">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59563398">
            <w:pPr>
              <w:pStyle w:val="69"/>
              <w:spacing w:before="65" w:after="65"/>
              <w:rPr>
                <w:rFonts w:cs="Times New Roman"/>
                <w:color w:val="auto"/>
                <w:highlight w:val="none"/>
              </w:rPr>
            </w:pPr>
            <w:r>
              <w:rPr>
                <w:rFonts w:hint="eastAsia" w:cs="Times New Roman"/>
                <w:color w:val="auto"/>
                <w:highlight w:val="none"/>
              </w:rPr>
              <w:t>HDSR300B</w:t>
            </w:r>
          </w:p>
        </w:tc>
        <w:tc>
          <w:tcPr>
            <w:tcW w:w="658" w:type="pct"/>
            <w:vAlign w:val="center"/>
          </w:tcPr>
          <w:p w14:paraId="5B062775">
            <w:pPr>
              <w:pStyle w:val="69"/>
              <w:spacing w:before="65" w:after="65"/>
              <w:rPr>
                <w:rFonts w:cs="Times New Roman"/>
                <w:color w:val="auto"/>
                <w:highlight w:val="none"/>
              </w:rPr>
            </w:pPr>
            <w:r>
              <w:rPr>
                <w:rFonts w:cs="Times New Roman"/>
                <w:color w:val="auto"/>
                <w:highlight w:val="none"/>
              </w:rPr>
              <w:t>浮选鼓风</w:t>
            </w:r>
          </w:p>
        </w:tc>
      </w:tr>
      <w:tr w14:paraId="4DD0B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153AC487">
            <w:pPr>
              <w:pStyle w:val="69"/>
              <w:spacing w:before="65" w:after="65"/>
              <w:rPr>
                <w:rFonts w:cs="Times New Roman"/>
                <w:color w:val="auto"/>
                <w:highlight w:val="none"/>
              </w:rPr>
            </w:pPr>
          </w:p>
        </w:tc>
        <w:tc>
          <w:tcPr>
            <w:tcW w:w="1062" w:type="pct"/>
            <w:vAlign w:val="center"/>
          </w:tcPr>
          <w:p w14:paraId="0A923A46">
            <w:pPr>
              <w:pStyle w:val="69"/>
              <w:spacing w:before="65" w:after="65"/>
              <w:rPr>
                <w:rFonts w:cs="Times New Roman"/>
                <w:color w:val="auto"/>
                <w:highlight w:val="none"/>
              </w:rPr>
            </w:pPr>
            <w:r>
              <w:rPr>
                <w:rFonts w:cs="Times New Roman"/>
                <w:color w:val="auto"/>
                <w:highlight w:val="none"/>
              </w:rPr>
              <w:t>磁选机</w:t>
            </w:r>
          </w:p>
        </w:tc>
        <w:tc>
          <w:tcPr>
            <w:tcW w:w="803" w:type="pct"/>
            <w:vAlign w:val="center"/>
          </w:tcPr>
          <w:p w14:paraId="26D250FE">
            <w:pPr>
              <w:pStyle w:val="69"/>
              <w:spacing w:before="65" w:after="65"/>
              <w:rPr>
                <w:rFonts w:cs="Times New Roman"/>
                <w:color w:val="auto"/>
                <w:highlight w:val="none"/>
              </w:rPr>
            </w:pPr>
            <w:r>
              <w:rPr>
                <w:rFonts w:hint="eastAsia" w:cs="Times New Roman"/>
                <w:color w:val="auto"/>
                <w:highlight w:val="none"/>
              </w:rPr>
              <w:t>2</w:t>
            </w:r>
          </w:p>
        </w:tc>
        <w:tc>
          <w:tcPr>
            <w:tcW w:w="1866" w:type="pct"/>
            <w:vAlign w:val="center"/>
          </w:tcPr>
          <w:p w14:paraId="6D79F7A3">
            <w:pPr>
              <w:pStyle w:val="69"/>
              <w:spacing w:before="65" w:after="65"/>
              <w:rPr>
                <w:rFonts w:cs="Times New Roman"/>
                <w:color w:val="auto"/>
                <w:highlight w:val="none"/>
              </w:rPr>
            </w:pPr>
            <w:r>
              <w:rPr>
                <w:rFonts w:cs="Times New Roman"/>
                <w:color w:val="auto"/>
                <w:highlight w:val="none"/>
              </w:rPr>
              <w:t>B=1200</w:t>
            </w:r>
          </w:p>
        </w:tc>
        <w:tc>
          <w:tcPr>
            <w:tcW w:w="658" w:type="pct"/>
            <w:vAlign w:val="center"/>
          </w:tcPr>
          <w:p w14:paraId="7B1E2079">
            <w:pPr>
              <w:pStyle w:val="69"/>
              <w:spacing w:before="65" w:after="65"/>
              <w:rPr>
                <w:rFonts w:cs="Times New Roman"/>
                <w:color w:val="auto"/>
                <w:highlight w:val="none"/>
              </w:rPr>
            </w:pPr>
            <w:r>
              <w:rPr>
                <w:rFonts w:cs="Times New Roman"/>
                <w:color w:val="auto"/>
                <w:highlight w:val="none"/>
              </w:rPr>
              <w:t>磁选</w:t>
            </w:r>
          </w:p>
        </w:tc>
      </w:tr>
      <w:tr w14:paraId="495F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restart"/>
            <w:vAlign w:val="center"/>
          </w:tcPr>
          <w:p w14:paraId="5A094F6B">
            <w:pPr>
              <w:pStyle w:val="69"/>
              <w:spacing w:before="65" w:after="65"/>
              <w:rPr>
                <w:rFonts w:cs="Times New Roman"/>
                <w:color w:val="auto"/>
                <w:highlight w:val="none"/>
              </w:rPr>
            </w:pPr>
            <w:r>
              <w:rPr>
                <w:rFonts w:cs="Times New Roman"/>
                <w:color w:val="auto"/>
                <w:highlight w:val="none"/>
              </w:rPr>
              <w:t>压滤车间</w:t>
            </w:r>
          </w:p>
        </w:tc>
        <w:tc>
          <w:tcPr>
            <w:tcW w:w="1062" w:type="pct"/>
            <w:vAlign w:val="center"/>
          </w:tcPr>
          <w:p w14:paraId="3238B1F6">
            <w:pPr>
              <w:pStyle w:val="69"/>
              <w:spacing w:before="65" w:after="65"/>
              <w:rPr>
                <w:rFonts w:cs="Times New Roman"/>
                <w:color w:val="auto"/>
                <w:highlight w:val="none"/>
              </w:rPr>
            </w:pPr>
            <w:r>
              <w:rPr>
                <w:rFonts w:cs="Times New Roman"/>
                <w:color w:val="auto"/>
                <w:highlight w:val="none"/>
              </w:rPr>
              <w:t>浓密机</w:t>
            </w:r>
          </w:p>
        </w:tc>
        <w:tc>
          <w:tcPr>
            <w:tcW w:w="803" w:type="pct"/>
            <w:vAlign w:val="center"/>
          </w:tcPr>
          <w:p w14:paraId="440FE809">
            <w:pPr>
              <w:pStyle w:val="69"/>
              <w:spacing w:before="65" w:after="65"/>
              <w:rPr>
                <w:rFonts w:cs="Times New Roman"/>
                <w:color w:val="auto"/>
                <w:highlight w:val="none"/>
              </w:rPr>
            </w:pPr>
            <w:r>
              <w:rPr>
                <w:rFonts w:hint="eastAsia" w:cs="Times New Roman"/>
                <w:color w:val="auto"/>
                <w:highlight w:val="none"/>
              </w:rPr>
              <w:t>1</w:t>
            </w:r>
          </w:p>
        </w:tc>
        <w:tc>
          <w:tcPr>
            <w:tcW w:w="1866" w:type="pct"/>
            <w:vAlign w:val="center"/>
          </w:tcPr>
          <w:p w14:paraId="3145678E">
            <w:pPr>
              <w:pStyle w:val="69"/>
              <w:spacing w:before="65" w:after="65"/>
              <w:rPr>
                <w:rFonts w:cs="Times New Roman"/>
                <w:color w:val="auto"/>
                <w:highlight w:val="none"/>
              </w:rPr>
            </w:pPr>
            <w:r>
              <w:rPr>
                <w:rFonts w:cs="Times New Roman"/>
                <w:color w:val="auto"/>
                <w:highlight w:val="none"/>
              </w:rPr>
              <w:t>NXZ-15</w:t>
            </w:r>
          </w:p>
        </w:tc>
        <w:tc>
          <w:tcPr>
            <w:tcW w:w="658" w:type="pct"/>
            <w:vAlign w:val="center"/>
          </w:tcPr>
          <w:p w14:paraId="4EA27499">
            <w:pPr>
              <w:pStyle w:val="69"/>
              <w:spacing w:before="65" w:after="65"/>
              <w:rPr>
                <w:rFonts w:cs="Times New Roman"/>
                <w:color w:val="auto"/>
                <w:highlight w:val="none"/>
              </w:rPr>
            </w:pPr>
            <w:r>
              <w:rPr>
                <w:rFonts w:cs="Times New Roman"/>
                <w:color w:val="auto"/>
                <w:highlight w:val="none"/>
              </w:rPr>
              <w:t>精矿脱水</w:t>
            </w:r>
          </w:p>
        </w:tc>
      </w:tr>
      <w:tr w14:paraId="6B40E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7FFCBE39">
            <w:pPr>
              <w:pStyle w:val="69"/>
              <w:spacing w:before="65" w:after="65"/>
              <w:rPr>
                <w:rFonts w:cs="Times New Roman"/>
                <w:color w:val="auto"/>
                <w:highlight w:val="none"/>
              </w:rPr>
            </w:pPr>
          </w:p>
        </w:tc>
        <w:tc>
          <w:tcPr>
            <w:tcW w:w="1062" w:type="pct"/>
            <w:vAlign w:val="center"/>
          </w:tcPr>
          <w:p w14:paraId="1E1A8140">
            <w:pPr>
              <w:pStyle w:val="69"/>
              <w:spacing w:before="65" w:after="65"/>
              <w:rPr>
                <w:rFonts w:cs="Times New Roman"/>
                <w:color w:val="auto"/>
                <w:highlight w:val="none"/>
              </w:rPr>
            </w:pPr>
            <w:r>
              <w:rPr>
                <w:rFonts w:cs="Times New Roman"/>
                <w:color w:val="auto"/>
                <w:highlight w:val="none"/>
              </w:rPr>
              <w:t>浓密机</w:t>
            </w:r>
          </w:p>
        </w:tc>
        <w:tc>
          <w:tcPr>
            <w:tcW w:w="803" w:type="pct"/>
            <w:vAlign w:val="center"/>
          </w:tcPr>
          <w:p w14:paraId="79DD477E">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390CA569">
            <w:pPr>
              <w:pStyle w:val="69"/>
              <w:spacing w:before="65" w:after="65"/>
              <w:rPr>
                <w:rFonts w:cs="Times New Roman"/>
                <w:color w:val="auto"/>
                <w:highlight w:val="none"/>
              </w:rPr>
            </w:pPr>
            <w:r>
              <w:rPr>
                <w:rFonts w:cs="Times New Roman"/>
                <w:color w:val="auto"/>
                <w:highlight w:val="none"/>
              </w:rPr>
              <w:t>NXZ-2</w:t>
            </w:r>
            <w:r>
              <w:rPr>
                <w:rFonts w:hint="eastAsia" w:cs="Times New Roman"/>
                <w:color w:val="auto"/>
                <w:highlight w:val="none"/>
              </w:rPr>
              <w:t>4</w:t>
            </w:r>
          </w:p>
        </w:tc>
        <w:tc>
          <w:tcPr>
            <w:tcW w:w="658" w:type="pct"/>
            <w:vAlign w:val="center"/>
          </w:tcPr>
          <w:p w14:paraId="353271B4">
            <w:pPr>
              <w:pStyle w:val="69"/>
              <w:spacing w:before="65" w:after="65"/>
              <w:rPr>
                <w:rFonts w:cs="Times New Roman"/>
                <w:color w:val="auto"/>
                <w:highlight w:val="none"/>
              </w:rPr>
            </w:pPr>
            <w:r>
              <w:rPr>
                <w:rFonts w:cs="Times New Roman"/>
                <w:color w:val="auto"/>
                <w:highlight w:val="none"/>
              </w:rPr>
              <w:t>尾矿脱水</w:t>
            </w:r>
          </w:p>
        </w:tc>
      </w:tr>
      <w:tr w14:paraId="69FA0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340F1BC9">
            <w:pPr>
              <w:pStyle w:val="69"/>
              <w:spacing w:before="65" w:after="65"/>
              <w:rPr>
                <w:rFonts w:cs="Times New Roman"/>
                <w:color w:val="auto"/>
                <w:highlight w:val="none"/>
              </w:rPr>
            </w:pPr>
          </w:p>
        </w:tc>
        <w:tc>
          <w:tcPr>
            <w:tcW w:w="1062" w:type="pct"/>
            <w:vAlign w:val="center"/>
          </w:tcPr>
          <w:p w14:paraId="42A9C503">
            <w:pPr>
              <w:pStyle w:val="69"/>
              <w:spacing w:before="65" w:after="65"/>
              <w:rPr>
                <w:rFonts w:cs="Times New Roman"/>
                <w:color w:val="auto"/>
                <w:highlight w:val="none"/>
              </w:rPr>
            </w:pPr>
            <w:r>
              <w:rPr>
                <w:rFonts w:cs="Times New Roman"/>
                <w:color w:val="auto"/>
                <w:highlight w:val="none"/>
              </w:rPr>
              <w:t>隔膜厢式自动压滤机</w:t>
            </w:r>
          </w:p>
        </w:tc>
        <w:tc>
          <w:tcPr>
            <w:tcW w:w="803" w:type="pct"/>
            <w:vAlign w:val="center"/>
          </w:tcPr>
          <w:p w14:paraId="05F7D983">
            <w:pPr>
              <w:pStyle w:val="69"/>
              <w:spacing w:before="65" w:after="65"/>
              <w:rPr>
                <w:rFonts w:cs="Times New Roman"/>
                <w:color w:val="auto"/>
                <w:highlight w:val="none"/>
              </w:rPr>
            </w:pPr>
            <w:r>
              <w:rPr>
                <w:rFonts w:hint="eastAsia" w:cs="Times New Roman"/>
                <w:color w:val="auto"/>
                <w:highlight w:val="none"/>
              </w:rPr>
              <w:t>4</w:t>
            </w:r>
          </w:p>
        </w:tc>
        <w:tc>
          <w:tcPr>
            <w:tcW w:w="1866" w:type="pct"/>
            <w:vAlign w:val="center"/>
          </w:tcPr>
          <w:p w14:paraId="10602CC4">
            <w:pPr>
              <w:pStyle w:val="69"/>
              <w:spacing w:before="65" w:after="65"/>
              <w:rPr>
                <w:rFonts w:cs="Times New Roman"/>
                <w:color w:val="auto"/>
                <w:highlight w:val="none"/>
              </w:rPr>
            </w:pPr>
            <w:r>
              <w:rPr>
                <w:rFonts w:hint="eastAsia" w:cs="Times New Roman"/>
                <w:color w:val="auto"/>
                <w:highlight w:val="none"/>
              </w:rPr>
              <w:t>XAZGF500-2000-41-UK</w:t>
            </w:r>
          </w:p>
        </w:tc>
        <w:tc>
          <w:tcPr>
            <w:tcW w:w="658" w:type="pct"/>
            <w:vAlign w:val="center"/>
          </w:tcPr>
          <w:p w14:paraId="54A21B31">
            <w:pPr>
              <w:pStyle w:val="69"/>
              <w:spacing w:before="65" w:after="65"/>
              <w:rPr>
                <w:rFonts w:cs="Times New Roman"/>
                <w:color w:val="auto"/>
                <w:highlight w:val="none"/>
              </w:rPr>
            </w:pPr>
            <w:r>
              <w:rPr>
                <w:rFonts w:cs="Times New Roman"/>
                <w:color w:val="auto"/>
                <w:highlight w:val="none"/>
              </w:rPr>
              <w:t>精矿、尾矿脱水</w:t>
            </w:r>
          </w:p>
        </w:tc>
      </w:tr>
      <w:tr w14:paraId="7BB4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37A99D3C">
            <w:pPr>
              <w:pStyle w:val="69"/>
              <w:spacing w:before="65" w:after="65"/>
              <w:rPr>
                <w:rFonts w:cs="Times New Roman"/>
                <w:color w:val="auto"/>
                <w:highlight w:val="none"/>
              </w:rPr>
            </w:pPr>
          </w:p>
        </w:tc>
        <w:tc>
          <w:tcPr>
            <w:tcW w:w="1062" w:type="pct"/>
            <w:vAlign w:val="center"/>
          </w:tcPr>
          <w:p w14:paraId="0101C6DD">
            <w:pPr>
              <w:pStyle w:val="69"/>
              <w:spacing w:before="65" w:after="65"/>
              <w:rPr>
                <w:rFonts w:cs="Times New Roman"/>
                <w:color w:val="auto"/>
                <w:highlight w:val="none"/>
              </w:rPr>
            </w:pPr>
            <w:r>
              <w:rPr>
                <w:rFonts w:cs="Times New Roman"/>
                <w:color w:val="auto"/>
                <w:highlight w:val="none"/>
              </w:rPr>
              <w:t>浓缩旋流器</w:t>
            </w:r>
          </w:p>
        </w:tc>
        <w:tc>
          <w:tcPr>
            <w:tcW w:w="803" w:type="pct"/>
            <w:vAlign w:val="center"/>
          </w:tcPr>
          <w:p w14:paraId="3C36CB60">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1D24F978">
            <w:pPr>
              <w:pStyle w:val="69"/>
              <w:spacing w:before="65" w:after="65"/>
              <w:rPr>
                <w:rFonts w:cs="Times New Roman"/>
                <w:color w:val="auto"/>
                <w:highlight w:val="none"/>
              </w:rPr>
            </w:pPr>
            <w:r>
              <w:rPr>
                <w:rFonts w:cs="Times New Roman"/>
                <w:color w:val="auto"/>
                <w:highlight w:val="none"/>
              </w:rPr>
              <w:t>Φ250×</w:t>
            </w:r>
            <w:r>
              <w:rPr>
                <w:rFonts w:hint="eastAsia" w:cs="Times New Roman"/>
                <w:color w:val="auto"/>
                <w:highlight w:val="none"/>
              </w:rPr>
              <w:t>4</w:t>
            </w:r>
          </w:p>
        </w:tc>
        <w:tc>
          <w:tcPr>
            <w:tcW w:w="658" w:type="pct"/>
            <w:vAlign w:val="center"/>
          </w:tcPr>
          <w:p w14:paraId="2E833C7F">
            <w:pPr>
              <w:pStyle w:val="69"/>
              <w:spacing w:before="65" w:after="65"/>
              <w:rPr>
                <w:rFonts w:cs="Times New Roman"/>
                <w:color w:val="auto"/>
                <w:highlight w:val="none"/>
              </w:rPr>
            </w:pPr>
            <w:r>
              <w:rPr>
                <w:rFonts w:cs="Times New Roman"/>
                <w:color w:val="auto"/>
                <w:highlight w:val="none"/>
              </w:rPr>
              <w:t>尾矿脱水</w:t>
            </w:r>
          </w:p>
        </w:tc>
      </w:tr>
      <w:tr w14:paraId="06F79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5D86015D">
            <w:pPr>
              <w:pStyle w:val="69"/>
              <w:spacing w:before="65" w:after="65"/>
              <w:rPr>
                <w:rFonts w:cs="Times New Roman"/>
                <w:color w:val="auto"/>
                <w:highlight w:val="none"/>
              </w:rPr>
            </w:pPr>
          </w:p>
        </w:tc>
        <w:tc>
          <w:tcPr>
            <w:tcW w:w="1062" w:type="pct"/>
            <w:vAlign w:val="center"/>
          </w:tcPr>
          <w:p w14:paraId="78EF2220">
            <w:pPr>
              <w:pStyle w:val="69"/>
              <w:spacing w:before="65" w:after="65"/>
              <w:rPr>
                <w:rFonts w:cs="Times New Roman"/>
                <w:color w:val="auto"/>
                <w:highlight w:val="none"/>
              </w:rPr>
            </w:pPr>
            <w:r>
              <w:rPr>
                <w:rFonts w:cs="Times New Roman"/>
                <w:color w:val="auto"/>
                <w:highlight w:val="none"/>
              </w:rPr>
              <w:t>带式真空过滤机</w:t>
            </w:r>
          </w:p>
        </w:tc>
        <w:tc>
          <w:tcPr>
            <w:tcW w:w="803" w:type="pct"/>
            <w:vAlign w:val="center"/>
          </w:tcPr>
          <w:p w14:paraId="08FD218F">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71FD2F35">
            <w:pPr>
              <w:pStyle w:val="69"/>
              <w:spacing w:before="65" w:after="65"/>
              <w:rPr>
                <w:rFonts w:cs="Times New Roman"/>
                <w:color w:val="auto"/>
                <w:highlight w:val="none"/>
              </w:rPr>
            </w:pPr>
            <w:r>
              <w:rPr>
                <w:rFonts w:hint="eastAsia" w:cs="Times New Roman"/>
                <w:color w:val="auto"/>
                <w:highlight w:val="none"/>
              </w:rPr>
              <w:t>DU55/3200</w:t>
            </w:r>
          </w:p>
        </w:tc>
        <w:tc>
          <w:tcPr>
            <w:tcW w:w="658" w:type="pct"/>
            <w:vAlign w:val="center"/>
          </w:tcPr>
          <w:p w14:paraId="1908F04E">
            <w:pPr>
              <w:pStyle w:val="69"/>
              <w:spacing w:before="65" w:after="65"/>
              <w:rPr>
                <w:rFonts w:cs="Times New Roman"/>
                <w:color w:val="auto"/>
                <w:highlight w:val="none"/>
              </w:rPr>
            </w:pPr>
            <w:r>
              <w:rPr>
                <w:rFonts w:cs="Times New Roman"/>
                <w:color w:val="auto"/>
                <w:highlight w:val="none"/>
              </w:rPr>
              <w:t>尾矿脱水</w:t>
            </w:r>
          </w:p>
        </w:tc>
      </w:tr>
      <w:tr w14:paraId="3E3E8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6286E8E3">
            <w:pPr>
              <w:pStyle w:val="69"/>
              <w:spacing w:before="65" w:after="65"/>
              <w:rPr>
                <w:rFonts w:cs="Times New Roman"/>
                <w:color w:val="auto"/>
                <w:highlight w:val="none"/>
              </w:rPr>
            </w:pPr>
          </w:p>
        </w:tc>
        <w:tc>
          <w:tcPr>
            <w:tcW w:w="1062" w:type="pct"/>
            <w:vAlign w:val="center"/>
          </w:tcPr>
          <w:p w14:paraId="6CA1471F">
            <w:pPr>
              <w:pStyle w:val="69"/>
              <w:spacing w:before="65" w:after="65"/>
              <w:rPr>
                <w:rFonts w:cs="Times New Roman"/>
                <w:color w:val="auto"/>
                <w:highlight w:val="none"/>
              </w:rPr>
            </w:pPr>
            <w:r>
              <w:rPr>
                <w:rFonts w:cs="Times New Roman"/>
                <w:color w:val="auto"/>
                <w:highlight w:val="none"/>
              </w:rPr>
              <w:t>永磁螺杆空压机</w:t>
            </w:r>
          </w:p>
        </w:tc>
        <w:tc>
          <w:tcPr>
            <w:tcW w:w="803" w:type="pct"/>
            <w:vAlign w:val="center"/>
          </w:tcPr>
          <w:p w14:paraId="0232575E">
            <w:pPr>
              <w:pStyle w:val="69"/>
              <w:spacing w:before="65" w:after="65"/>
              <w:rPr>
                <w:rFonts w:cs="Times New Roman"/>
                <w:color w:val="auto"/>
                <w:highlight w:val="none"/>
              </w:rPr>
            </w:pPr>
            <w:r>
              <w:rPr>
                <w:rFonts w:cs="Times New Roman"/>
                <w:color w:val="auto"/>
                <w:highlight w:val="none"/>
              </w:rPr>
              <w:t>2</w:t>
            </w:r>
          </w:p>
        </w:tc>
        <w:tc>
          <w:tcPr>
            <w:tcW w:w="1866" w:type="pct"/>
            <w:vAlign w:val="center"/>
          </w:tcPr>
          <w:p w14:paraId="604E623A">
            <w:pPr>
              <w:pStyle w:val="69"/>
              <w:spacing w:before="65" w:after="65"/>
              <w:rPr>
                <w:rFonts w:cs="Times New Roman"/>
                <w:color w:val="auto"/>
                <w:highlight w:val="none"/>
              </w:rPr>
            </w:pPr>
            <w:r>
              <w:rPr>
                <w:rFonts w:hint="eastAsia" w:cs="Times New Roman"/>
                <w:color w:val="auto"/>
                <w:highlight w:val="none"/>
              </w:rPr>
              <w:t>LY-150CV</w:t>
            </w:r>
          </w:p>
        </w:tc>
        <w:tc>
          <w:tcPr>
            <w:tcW w:w="658" w:type="pct"/>
            <w:vAlign w:val="center"/>
          </w:tcPr>
          <w:p w14:paraId="3A1B23F0">
            <w:pPr>
              <w:pStyle w:val="69"/>
              <w:spacing w:before="65" w:after="65"/>
              <w:rPr>
                <w:rFonts w:cs="Times New Roman"/>
                <w:color w:val="auto"/>
                <w:highlight w:val="none"/>
              </w:rPr>
            </w:pPr>
            <w:r>
              <w:rPr>
                <w:rFonts w:cs="Times New Roman"/>
                <w:color w:val="auto"/>
                <w:highlight w:val="none"/>
              </w:rPr>
              <w:t>给压滤机供气</w:t>
            </w:r>
          </w:p>
        </w:tc>
      </w:tr>
      <w:tr w14:paraId="27629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pct"/>
            <w:vMerge w:val="continue"/>
            <w:vAlign w:val="center"/>
          </w:tcPr>
          <w:p w14:paraId="001AA48A">
            <w:pPr>
              <w:pStyle w:val="69"/>
              <w:spacing w:before="65" w:after="65"/>
              <w:rPr>
                <w:rFonts w:cs="Times New Roman"/>
                <w:color w:val="auto"/>
                <w:highlight w:val="none"/>
              </w:rPr>
            </w:pPr>
          </w:p>
        </w:tc>
        <w:tc>
          <w:tcPr>
            <w:tcW w:w="1062" w:type="pct"/>
            <w:vAlign w:val="center"/>
          </w:tcPr>
          <w:p w14:paraId="1926E5F4">
            <w:pPr>
              <w:pStyle w:val="69"/>
              <w:spacing w:before="65" w:after="65"/>
              <w:rPr>
                <w:rFonts w:cs="Times New Roman"/>
                <w:color w:val="auto"/>
                <w:highlight w:val="none"/>
              </w:rPr>
            </w:pPr>
            <w:r>
              <w:rPr>
                <w:rFonts w:cs="Times New Roman"/>
                <w:color w:val="auto"/>
                <w:highlight w:val="none"/>
              </w:rPr>
              <w:t>永磁螺杆空压机</w:t>
            </w:r>
          </w:p>
        </w:tc>
        <w:tc>
          <w:tcPr>
            <w:tcW w:w="803" w:type="pct"/>
            <w:vAlign w:val="center"/>
          </w:tcPr>
          <w:p w14:paraId="04506E61">
            <w:pPr>
              <w:pStyle w:val="69"/>
              <w:spacing w:before="65" w:after="65"/>
              <w:rPr>
                <w:rFonts w:cs="Times New Roman"/>
                <w:color w:val="auto"/>
                <w:highlight w:val="none"/>
              </w:rPr>
            </w:pPr>
            <w:r>
              <w:rPr>
                <w:rFonts w:cs="Times New Roman"/>
                <w:color w:val="auto"/>
                <w:highlight w:val="none"/>
              </w:rPr>
              <w:t>1</w:t>
            </w:r>
          </w:p>
        </w:tc>
        <w:tc>
          <w:tcPr>
            <w:tcW w:w="1866" w:type="pct"/>
            <w:vAlign w:val="center"/>
          </w:tcPr>
          <w:p w14:paraId="1CA72B94">
            <w:pPr>
              <w:pStyle w:val="69"/>
              <w:spacing w:before="65" w:after="65"/>
              <w:rPr>
                <w:rFonts w:cs="Times New Roman"/>
                <w:color w:val="auto"/>
                <w:highlight w:val="none"/>
              </w:rPr>
            </w:pPr>
            <w:r>
              <w:rPr>
                <w:rFonts w:hint="eastAsia" w:cs="Times New Roman"/>
                <w:color w:val="auto"/>
                <w:highlight w:val="none"/>
              </w:rPr>
              <w:t>LY-20CV</w:t>
            </w:r>
          </w:p>
        </w:tc>
        <w:tc>
          <w:tcPr>
            <w:tcW w:w="658" w:type="pct"/>
            <w:vAlign w:val="center"/>
          </w:tcPr>
          <w:p w14:paraId="543F9C78">
            <w:pPr>
              <w:pStyle w:val="69"/>
              <w:spacing w:before="65" w:after="65"/>
              <w:rPr>
                <w:rFonts w:cs="Times New Roman"/>
                <w:color w:val="auto"/>
                <w:highlight w:val="none"/>
              </w:rPr>
            </w:pPr>
            <w:r>
              <w:rPr>
                <w:rFonts w:cs="Times New Roman"/>
                <w:color w:val="auto"/>
                <w:highlight w:val="none"/>
              </w:rPr>
              <w:t>给压滤机供气</w:t>
            </w:r>
          </w:p>
        </w:tc>
      </w:tr>
    </w:tbl>
    <w:p w14:paraId="0BC111D5">
      <w:pPr>
        <w:adjustRightInd w:val="0"/>
        <w:ind w:firstLine="480"/>
        <w:rPr>
          <w:rFonts w:cs="Times New Roman"/>
          <w:color w:val="auto"/>
          <w:highlight w:val="none"/>
        </w:rPr>
      </w:pPr>
      <w:r>
        <w:rPr>
          <w:rFonts w:cs="Times New Roman"/>
          <w:color w:val="auto"/>
          <w:highlight w:val="none"/>
        </w:rPr>
        <w:t>本项目所用设备均不属于《产业结构调整指导目录（2024年本）</w:t>
      </w:r>
      <w:r>
        <w:rPr>
          <w:rFonts w:hint="eastAsia" w:cs="Times New Roman"/>
          <w:color w:val="auto"/>
          <w:highlight w:val="none"/>
        </w:rPr>
        <w:t>》《</w:t>
      </w:r>
      <w:r>
        <w:rPr>
          <w:rFonts w:cs="Times New Roman"/>
          <w:color w:val="auto"/>
          <w:highlight w:val="none"/>
        </w:rPr>
        <w:t>高耗能落后机电设备（产品）淘汰目录（第一、二、三、四批）》（中华人民共和国工业和信息化部）中的淘汰类或限制类设备。</w:t>
      </w:r>
    </w:p>
    <w:p w14:paraId="08D5CFAE">
      <w:pPr>
        <w:adjustRightInd w:val="0"/>
        <w:ind w:firstLine="482"/>
        <w:rPr>
          <w:rFonts w:cs="Times New Roman"/>
          <w:b/>
          <w:bCs/>
          <w:color w:val="auto"/>
          <w:highlight w:val="none"/>
        </w:rPr>
      </w:pPr>
      <w:r>
        <w:rPr>
          <w:rFonts w:cs="Times New Roman"/>
          <w:b/>
          <w:bCs/>
          <w:color w:val="auto"/>
          <w:highlight w:val="none"/>
        </w:rPr>
        <w:t>（2）主要生产线产能匹配性分析：</w:t>
      </w:r>
    </w:p>
    <w:p w14:paraId="0D8CFBA3">
      <w:pPr>
        <w:adjustRightInd w:val="0"/>
        <w:ind w:firstLine="480"/>
        <w:rPr>
          <w:rFonts w:cs="Times New Roman"/>
          <w:color w:val="auto"/>
          <w:highlight w:val="none"/>
        </w:rPr>
      </w:pPr>
      <w:r>
        <w:rPr>
          <w:rFonts w:cs="Times New Roman"/>
          <w:color w:val="auto"/>
          <w:highlight w:val="none"/>
        </w:rPr>
        <w:t>根据建设单位提供的资料，本项目建成后日处理锂辉石原矿</w:t>
      </w:r>
      <w:r>
        <w:rPr>
          <w:rFonts w:hint="eastAsia" w:cs="Times New Roman"/>
          <w:color w:val="auto"/>
          <w:highlight w:val="none"/>
        </w:rPr>
        <w:t>1090.91</w:t>
      </w:r>
      <w:r>
        <w:rPr>
          <w:rFonts w:cs="Times New Roman"/>
          <w:color w:val="auto"/>
          <w:highlight w:val="none"/>
        </w:rPr>
        <w:t>t，项目主要生产设备与产能匹配性分析如下表。</w:t>
      </w:r>
    </w:p>
    <w:p w14:paraId="749E633E">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11</w:t>
      </w:r>
      <w:r>
        <w:rPr>
          <w:rFonts w:cs="Times New Roman"/>
          <w:color w:val="auto"/>
          <w:highlight w:val="none"/>
        </w:rPr>
        <w:fldChar w:fldCharType="end"/>
      </w:r>
      <w:r>
        <w:rPr>
          <w:rFonts w:cs="Times New Roman"/>
          <w:color w:val="auto"/>
          <w:highlight w:val="none"/>
        </w:rPr>
        <w:t>项目主要设备与产能匹配性分析表</w:t>
      </w:r>
    </w:p>
    <w:tbl>
      <w:tblPr>
        <w:tblStyle w:val="3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407"/>
        <w:gridCol w:w="743"/>
        <w:gridCol w:w="1115"/>
        <w:gridCol w:w="833"/>
        <w:gridCol w:w="1061"/>
        <w:gridCol w:w="953"/>
        <w:gridCol w:w="932"/>
      </w:tblGrid>
      <w:tr w14:paraId="0E53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61" w:type="pct"/>
            <w:vAlign w:val="center"/>
          </w:tcPr>
          <w:p w14:paraId="7B524937">
            <w:pPr>
              <w:pStyle w:val="69"/>
              <w:spacing w:before="65" w:after="65"/>
              <w:rPr>
                <w:rFonts w:cs="Times New Roman"/>
                <w:b/>
                <w:bCs w:val="0"/>
                <w:color w:val="auto"/>
                <w:highlight w:val="none"/>
              </w:rPr>
            </w:pPr>
            <w:r>
              <w:rPr>
                <w:rFonts w:cs="Times New Roman"/>
                <w:b/>
                <w:bCs w:val="0"/>
                <w:color w:val="auto"/>
                <w:highlight w:val="none"/>
              </w:rPr>
              <w:t>设备名称</w:t>
            </w:r>
          </w:p>
        </w:tc>
        <w:tc>
          <w:tcPr>
            <w:tcW w:w="826" w:type="pct"/>
            <w:vAlign w:val="center"/>
          </w:tcPr>
          <w:p w14:paraId="1ECFC163">
            <w:pPr>
              <w:pStyle w:val="69"/>
              <w:spacing w:before="65" w:after="65"/>
              <w:rPr>
                <w:rFonts w:cs="Times New Roman"/>
                <w:b/>
                <w:bCs w:val="0"/>
                <w:color w:val="auto"/>
                <w:highlight w:val="none"/>
              </w:rPr>
            </w:pPr>
            <w:r>
              <w:rPr>
                <w:rFonts w:cs="Times New Roman"/>
                <w:b/>
                <w:bCs w:val="0"/>
                <w:color w:val="auto"/>
                <w:highlight w:val="none"/>
              </w:rPr>
              <w:t>型号</w:t>
            </w:r>
          </w:p>
        </w:tc>
        <w:tc>
          <w:tcPr>
            <w:tcW w:w="436" w:type="pct"/>
            <w:vAlign w:val="center"/>
          </w:tcPr>
          <w:p w14:paraId="233AB6ED">
            <w:pPr>
              <w:pStyle w:val="69"/>
              <w:spacing w:before="65" w:after="65"/>
              <w:rPr>
                <w:rFonts w:cs="Times New Roman"/>
                <w:b/>
                <w:bCs w:val="0"/>
                <w:color w:val="auto"/>
                <w:highlight w:val="none"/>
              </w:rPr>
            </w:pPr>
            <w:r>
              <w:rPr>
                <w:rFonts w:cs="Times New Roman"/>
                <w:b/>
                <w:bCs w:val="0"/>
                <w:color w:val="auto"/>
                <w:highlight w:val="none"/>
              </w:rPr>
              <w:t>数量（台/套）</w:t>
            </w:r>
          </w:p>
        </w:tc>
        <w:tc>
          <w:tcPr>
            <w:tcW w:w="655" w:type="pct"/>
            <w:vAlign w:val="center"/>
          </w:tcPr>
          <w:p w14:paraId="1E887246">
            <w:pPr>
              <w:pStyle w:val="69"/>
              <w:spacing w:before="65" w:after="65"/>
              <w:rPr>
                <w:rFonts w:cs="Times New Roman"/>
                <w:b/>
                <w:bCs w:val="0"/>
                <w:color w:val="auto"/>
                <w:highlight w:val="none"/>
              </w:rPr>
            </w:pPr>
            <w:r>
              <w:rPr>
                <w:rFonts w:cs="Times New Roman"/>
                <w:b/>
                <w:bCs w:val="0"/>
                <w:color w:val="auto"/>
                <w:highlight w:val="none"/>
              </w:rPr>
              <w:t>单台设备生产效率（t/h）</w:t>
            </w:r>
          </w:p>
        </w:tc>
        <w:tc>
          <w:tcPr>
            <w:tcW w:w="489" w:type="pct"/>
            <w:vAlign w:val="center"/>
          </w:tcPr>
          <w:p w14:paraId="7394A88A">
            <w:pPr>
              <w:pStyle w:val="69"/>
              <w:spacing w:before="65" w:after="65"/>
              <w:rPr>
                <w:rFonts w:cs="Times New Roman"/>
                <w:b/>
                <w:bCs w:val="0"/>
                <w:color w:val="auto"/>
                <w:highlight w:val="none"/>
              </w:rPr>
            </w:pPr>
            <w:r>
              <w:rPr>
                <w:rFonts w:cs="Times New Roman"/>
                <w:b/>
                <w:bCs w:val="0"/>
                <w:color w:val="auto"/>
                <w:highlight w:val="none"/>
              </w:rPr>
              <w:t>年运行时间（h）</w:t>
            </w:r>
          </w:p>
        </w:tc>
        <w:tc>
          <w:tcPr>
            <w:tcW w:w="623" w:type="pct"/>
            <w:vAlign w:val="center"/>
          </w:tcPr>
          <w:p w14:paraId="2912B06B">
            <w:pPr>
              <w:pStyle w:val="69"/>
              <w:spacing w:before="65" w:after="65"/>
              <w:rPr>
                <w:rFonts w:cs="Times New Roman"/>
                <w:b/>
                <w:bCs w:val="0"/>
                <w:color w:val="auto"/>
                <w:highlight w:val="none"/>
              </w:rPr>
            </w:pPr>
            <w:r>
              <w:rPr>
                <w:rFonts w:cs="Times New Roman"/>
                <w:b/>
                <w:bCs w:val="0"/>
                <w:color w:val="auto"/>
                <w:highlight w:val="none"/>
              </w:rPr>
              <w:t>年生产能力（t/a）</w:t>
            </w:r>
          </w:p>
        </w:tc>
        <w:tc>
          <w:tcPr>
            <w:tcW w:w="560" w:type="pct"/>
            <w:vAlign w:val="center"/>
          </w:tcPr>
          <w:p w14:paraId="4D06BD21">
            <w:pPr>
              <w:pStyle w:val="69"/>
              <w:spacing w:before="65" w:after="65"/>
              <w:rPr>
                <w:rFonts w:cs="Times New Roman"/>
                <w:b/>
                <w:bCs w:val="0"/>
                <w:color w:val="auto"/>
                <w:highlight w:val="none"/>
              </w:rPr>
            </w:pPr>
            <w:r>
              <w:rPr>
                <w:rFonts w:cs="Times New Roman"/>
                <w:b/>
                <w:bCs w:val="0"/>
                <w:color w:val="auto"/>
                <w:highlight w:val="none"/>
              </w:rPr>
              <w:t>设计生产规模（t/a）</w:t>
            </w:r>
          </w:p>
        </w:tc>
        <w:tc>
          <w:tcPr>
            <w:tcW w:w="547" w:type="pct"/>
            <w:vAlign w:val="center"/>
          </w:tcPr>
          <w:p w14:paraId="1692870A">
            <w:pPr>
              <w:pStyle w:val="69"/>
              <w:spacing w:before="65" w:after="65"/>
              <w:rPr>
                <w:rFonts w:cs="Times New Roman"/>
                <w:b/>
                <w:bCs w:val="0"/>
                <w:color w:val="auto"/>
                <w:highlight w:val="none"/>
              </w:rPr>
            </w:pPr>
            <w:r>
              <w:rPr>
                <w:rFonts w:cs="Times New Roman"/>
                <w:b/>
                <w:bCs w:val="0"/>
                <w:color w:val="auto"/>
                <w:highlight w:val="none"/>
              </w:rPr>
              <w:t>生产负荷</w:t>
            </w:r>
          </w:p>
        </w:tc>
      </w:tr>
      <w:tr w14:paraId="4337E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2A154EC2">
            <w:pPr>
              <w:pStyle w:val="69"/>
              <w:spacing w:before="65" w:after="65"/>
              <w:rPr>
                <w:rFonts w:cs="Times New Roman"/>
                <w:color w:val="auto"/>
                <w:highlight w:val="none"/>
              </w:rPr>
            </w:pPr>
            <w:r>
              <w:rPr>
                <w:rFonts w:cs="Times New Roman"/>
                <w:color w:val="auto"/>
                <w:highlight w:val="none"/>
              </w:rPr>
              <w:t>给料机</w:t>
            </w:r>
          </w:p>
        </w:tc>
        <w:tc>
          <w:tcPr>
            <w:tcW w:w="826" w:type="pct"/>
            <w:vAlign w:val="center"/>
          </w:tcPr>
          <w:p w14:paraId="0E7B4504">
            <w:pPr>
              <w:pStyle w:val="69"/>
              <w:spacing w:before="65" w:after="65"/>
              <w:rPr>
                <w:rFonts w:cs="Times New Roman"/>
                <w:color w:val="auto"/>
                <w:highlight w:val="none"/>
              </w:rPr>
            </w:pPr>
            <w:r>
              <w:rPr>
                <w:rFonts w:cs="Times New Roman"/>
                <w:color w:val="auto"/>
                <w:highlight w:val="none"/>
              </w:rPr>
              <w:t>PG800×3000</w:t>
            </w:r>
          </w:p>
        </w:tc>
        <w:tc>
          <w:tcPr>
            <w:tcW w:w="436" w:type="pct"/>
            <w:vAlign w:val="center"/>
          </w:tcPr>
          <w:p w14:paraId="2A136A72">
            <w:pPr>
              <w:pStyle w:val="69"/>
              <w:spacing w:before="65" w:after="65"/>
              <w:rPr>
                <w:rFonts w:hint="eastAsia" w:eastAsia="宋体" w:cs="Times New Roman"/>
                <w:color w:val="auto"/>
                <w:highlight w:val="none"/>
                <w:lang w:eastAsia="zh-CN"/>
              </w:rPr>
            </w:pPr>
            <w:r>
              <w:rPr>
                <w:rFonts w:hint="eastAsia" w:cs="Times New Roman"/>
                <w:color w:val="auto"/>
                <w:highlight w:val="none"/>
                <w:lang w:val="en-US" w:eastAsia="zh-CN"/>
              </w:rPr>
              <w:t>3</w:t>
            </w:r>
          </w:p>
        </w:tc>
        <w:tc>
          <w:tcPr>
            <w:tcW w:w="655" w:type="pct"/>
            <w:vAlign w:val="center"/>
          </w:tcPr>
          <w:p w14:paraId="45E74F89">
            <w:pPr>
              <w:pStyle w:val="69"/>
              <w:spacing w:before="65" w:after="65"/>
              <w:rPr>
                <w:rFonts w:cs="Times New Roman"/>
                <w:color w:val="auto"/>
                <w:highlight w:val="none"/>
              </w:rPr>
            </w:pPr>
            <w:r>
              <w:rPr>
                <w:rFonts w:hint="eastAsia" w:cs="Times New Roman"/>
                <w:color w:val="auto"/>
                <w:highlight w:val="none"/>
              </w:rPr>
              <w:t>82</w:t>
            </w:r>
          </w:p>
        </w:tc>
        <w:tc>
          <w:tcPr>
            <w:tcW w:w="489" w:type="pct"/>
            <w:vAlign w:val="center"/>
          </w:tcPr>
          <w:p w14:paraId="55E3167B">
            <w:pPr>
              <w:pStyle w:val="69"/>
              <w:spacing w:before="65" w:after="65"/>
              <w:rPr>
                <w:rFonts w:cs="Times New Roman"/>
                <w:color w:val="auto"/>
                <w:highlight w:val="none"/>
              </w:rPr>
            </w:pPr>
            <w:r>
              <w:rPr>
                <w:rFonts w:hint="eastAsia" w:cs="Times New Roman"/>
                <w:color w:val="auto"/>
                <w:highlight w:val="none"/>
              </w:rPr>
              <w:t>5280</w:t>
            </w:r>
          </w:p>
        </w:tc>
        <w:tc>
          <w:tcPr>
            <w:tcW w:w="623" w:type="pct"/>
            <w:vAlign w:val="center"/>
          </w:tcPr>
          <w:p w14:paraId="03E2531D">
            <w:pPr>
              <w:pStyle w:val="69"/>
              <w:spacing w:before="65" w:after="65"/>
              <w:rPr>
                <w:rFonts w:cs="Times New Roman"/>
                <w:color w:val="auto"/>
                <w:highlight w:val="none"/>
              </w:rPr>
            </w:pPr>
            <w:r>
              <w:rPr>
                <w:rFonts w:hint="eastAsia" w:cs="Times New Roman"/>
                <w:color w:val="auto"/>
                <w:highlight w:val="none"/>
              </w:rPr>
              <w:t>865920</w:t>
            </w:r>
          </w:p>
        </w:tc>
        <w:tc>
          <w:tcPr>
            <w:tcW w:w="560" w:type="pct"/>
            <w:vAlign w:val="center"/>
          </w:tcPr>
          <w:p w14:paraId="1C9B3EA1">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0ABE57B8">
            <w:pPr>
              <w:pStyle w:val="69"/>
              <w:spacing w:before="65" w:after="65"/>
              <w:rPr>
                <w:rFonts w:cs="Times New Roman"/>
                <w:color w:val="auto"/>
                <w:highlight w:val="none"/>
              </w:rPr>
            </w:pPr>
            <w:r>
              <w:rPr>
                <w:rFonts w:hint="eastAsia" w:cs="Times New Roman"/>
                <w:color w:val="auto"/>
                <w:highlight w:val="none"/>
              </w:rPr>
              <w:t>57.7</w:t>
            </w:r>
            <w:r>
              <w:rPr>
                <w:rFonts w:cs="Times New Roman"/>
                <w:color w:val="auto"/>
                <w:highlight w:val="none"/>
              </w:rPr>
              <w:t>%</w:t>
            </w:r>
          </w:p>
        </w:tc>
      </w:tr>
      <w:tr w14:paraId="5B0B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53BD2216">
            <w:pPr>
              <w:pStyle w:val="69"/>
              <w:spacing w:before="65" w:after="65"/>
              <w:rPr>
                <w:rFonts w:cs="Times New Roman"/>
                <w:color w:val="auto"/>
                <w:highlight w:val="none"/>
              </w:rPr>
            </w:pPr>
            <w:r>
              <w:rPr>
                <w:rFonts w:cs="Times New Roman"/>
                <w:color w:val="auto"/>
                <w:highlight w:val="none"/>
              </w:rPr>
              <w:t>颚式破碎机</w:t>
            </w:r>
          </w:p>
        </w:tc>
        <w:tc>
          <w:tcPr>
            <w:tcW w:w="826" w:type="pct"/>
            <w:vAlign w:val="center"/>
          </w:tcPr>
          <w:p w14:paraId="19D18F58">
            <w:pPr>
              <w:pStyle w:val="69"/>
              <w:spacing w:before="65" w:after="65"/>
              <w:rPr>
                <w:rFonts w:cs="Times New Roman"/>
                <w:color w:val="auto"/>
                <w:highlight w:val="none"/>
              </w:rPr>
            </w:pPr>
            <w:r>
              <w:rPr>
                <w:rFonts w:cs="Times New Roman"/>
                <w:color w:val="auto"/>
                <w:highlight w:val="none"/>
              </w:rPr>
              <w:t>XY-751060</w:t>
            </w:r>
          </w:p>
        </w:tc>
        <w:tc>
          <w:tcPr>
            <w:tcW w:w="436" w:type="pct"/>
            <w:vAlign w:val="center"/>
          </w:tcPr>
          <w:p w14:paraId="1774E548">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7A8CCB7A">
            <w:pPr>
              <w:pStyle w:val="69"/>
              <w:spacing w:before="65" w:after="65"/>
              <w:rPr>
                <w:rFonts w:cs="Times New Roman"/>
                <w:color w:val="auto"/>
                <w:highlight w:val="none"/>
              </w:rPr>
            </w:pPr>
            <w:r>
              <w:rPr>
                <w:rFonts w:hint="eastAsia" w:cs="Times New Roman"/>
                <w:color w:val="auto"/>
                <w:highlight w:val="none"/>
              </w:rPr>
              <w:t>164</w:t>
            </w:r>
          </w:p>
        </w:tc>
        <w:tc>
          <w:tcPr>
            <w:tcW w:w="489" w:type="pct"/>
            <w:vAlign w:val="center"/>
          </w:tcPr>
          <w:p w14:paraId="0666FCBD">
            <w:pPr>
              <w:pStyle w:val="69"/>
              <w:spacing w:before="65" w:after="65"/>
              <w:rPr>
                <w:rFonts w:cs="Times New Roman"/>
                <w:color w:val="auto"/>
                <w:highlight w:val="none"/>
              </w:rPr>
            </w:pPr>
            <w:r>
              <w:rPr>
                <w:rFonts w:hint="eastAsia" w:cs="Times New Roman"/>
                <w:color w:val="auto"/>
                <w:highlight w:val="none"/>
              </w:rPr>
              <w:t>5280</w:t>
            </w:r>
          </w:p>
        </w:tc>
        <w:tc>
          <w:tcPr>
            <w:tcW w:w="623" w:type="pct"/>
            <w:vAlign w:val="center"/>
          </w:tcPr>
          <w:p w14:paraId="37FA840D">
            <w:pPr>
              <w:pStyle w:val="69"/>
              <w:spacing w:before="65" w:after="65"/>
              <w:rPr>
                <w:rFonts w:cs="Times New Roman"/>
                <w:color w:val="auto"/>
                <w:highlight w:val="none"/>
              </w:rPr>
            </w:pPr>
            <w:r>
              <w:rPr>
                <w:rFonts w:cs="Times New Roman"/>
                <w:color w:val="auto"/>
                <w:highlight w:val="none"/>
              </w:rPr>
              <w:t>865920</w:t>
            </w:r>
          </w:p>
        </w:tc>
        <w:tc>
          <w:tcPr>
            <w:tcW w:w="560" w:type="pct"/>
            <w:vAlign w:val="center"/>
          </w:tcPr>
          <w:p w14:paraId="20A8B2B4">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02DC5DEA">
            <w:pPr>
              <w:pStyle w:val="69"/>
              <w:spacing w:before="65" w:after="65"/>
              <w:rPr>
                <w:rFonts w:cs="Times New Roman"/>
                <w:color w:val="auto"/>
                <w:highlight w:val="none"/>
              </w:rPr>
            </w:pPr>
            <w:r>
              <w:rPr>
                <w:rFonts w:cs="Times New Roman"/>
                <w:color w:val="auto"/>
                <w:highlight w:val="none"/>
              </w:rPr>
              <w:t>57.7%</w:t>
            </w:r>
          </w:p>
        </w:tc>
      </w:tr>
      <w:tr w14:paraId="5DEE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1" w:type="pct"/>
            <w:vAlign w:val="center"/>
          </w:tcPr>
          <w:p w14:paraId="647388E7">
            <w:pPr>
              <w:pStyle w:val="69"/>
              <w:spacing w:before="65" w:after="65"/>
              <w:rPr>
                <w:rFonts w:cs="Times New Roman"/>
                <w:color w:val="auto"/>
                <w:highlight w:val="none"/>
              </w:rPr>
            </w:pPr>
            <w:r>
              <w:rPr>
                <w:rFonts w:cs="Times New Roman"/>
                <w:color w:val="auto"/>
                <w:highlight w:val="none"/>
              </w:rPr>
              <w:t>颚式破碎机</w:t>
            </w:r>
          </w:p>
        </w:tc>
        <w:tc>
          <w:tcPr>
            <w:tcW w:w="826" w:type="pct"/>
            <w:vAlign w:val="center"/>
          </w:tcPr>
          <w:p w14:paraId="3F57E800">
            <w:pPr>
              <w:pStyle w:val="69"/>
              <w:spacing w:before="65" w:after="65"/>
              <w:rPr>
                <w:rFonts w:cs="Times New Roman"/>
                <w:color w:val="auto"/>
                <w:highlight w:val="none"/>
              </w:rPr>
            </w:pPr>
            <w:r>
              <w:rPr>
                <w:rFonts w:cs="Times New Roman"/>
                <w:color w:val="auto"/>
                <w:highlight w:val="none"/>
              </w:rPr>
              <w:t>XY-6090</w:t>
            </w:r>
          </w:p>
        </w:tc>
        <w:tc>
          <w:tcPr>
            <w:tcW w:w="436" w:type="pct"/>
            <w:vAlign w:val="center"/>
          </w:tcPr>
          <w:p w14:paraId="2A6C18ED">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1004F62C">
            <w:pPr>
              <w:pStyle w:val="69"/>
              <w:spacing w:before="65" w:after="65"/>
              <w:rPr>
                <w:rFonts w:cs="Times New Roman"/>
                <w:color w:val="auto"/>
                <w:highlight w:val="none"/>
              </w:rPr>
            </w:pPr>
            <w:r>
              <w:rPr>
                <w:rFonts w:hint="eastAsia" w:cs="Times New Roman"/>
                <w:color w:val="auto"/>
                <w:highlight w:val="none"/>
              </w:rPr>
              <w:t>164</w:t>
            </w:r>
          </w:p>
        </w:tc>
        <w:tc>
          <w:tcPr>
            <w:tcW w:w="489" w:type="pct"/>
            <w:vAlign w:val="center"/>
          </w:tcPr>
          <w:p w14:paraId="2964A0B2">
            <w:pPr>
              <w:pStyle w:val="69"/>
              <w:spacing w:before="65" w:after="65"/>
              <w:rPr>
                <w:rFonts w:cs="Times New Roman"/>
                <w:color w:val="auto"/>
                <w:highlight w:val="none"/>
              </w:rPr>
            </w:pPr>
            <w:r>
              <w:rPr>
                <w:rFonts w:cs="Times New Roman"/>
                <w:color w:val="auto"/>
                <w:highlight w:val="none"/>
              </w:rPr>
              <w:t>5280</w:t>
            </w:r>
          </w:p>
        </w:tc>
        <w:tc>
          <w:tcPr>
            <w:tcW w:w="623" w:type="pct"/>
            <w:vAlign w:val="center"/>
          </w:tcPr>
          <w:p w14:paraId="147594AC">
            <w:pPr>
              <w:pStyle w:val="69"/>
              <w:spacing w:before="65" w:after="65"/>
              <w:rPr>
                <w:rFonts w:cs="Times New Roman"/>
                <w:color w:val="auto"/>
                <w:highlight w:val="none"/>
              </w:rPr>
            </w:pPr>
            <w:r>
              <w:rPr>
                <w:rFonts w:cs="Times New Roman"/>
                <w:color w:val="auto"/>
                <w:highlight w:val="none"/>
              </w:rPr>
              <w:t>865920</w:t>
            </w:r>
          </w:p>
        </w:tc>
        <w:tc>
          <w:tcPr>
            <w:tcW w:w="560" w:type="pct"/>
            <w:vAlign w:val="center"/>
          </w:tcPr>
          <w:p w14:paraId="7DD55350">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7BEA132E">
            <w:pPr>
              <w:pStyle w:val="69"/>
              <w:spacing w:before="65" w:after="65"/>
              <w:rPr>
                <w:rFonts w:cs="Times New Roman"/>
                <w:color w:val="auto"/>
                <w:highlight w:val="none"/>
              </w:rPr>
            </w:pPr>
            <w:r>
              <w:rPr>
                <w:rFonts w:cs="Times New Roman"/>
                <w:color w:val="auto"/>
                <w:highlight w:val="none"/>
              </w:rPr>
              <w:t>57.7%</w:t>
            </w:r>
          </w:p>
        </w:tc>
      </w:tr>
      <w:tr w14:paraId="4F0B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2979CB24">
            <w:pPr>
              <w:pStyle w:val="69"/>
              <w:spacing w:before="65" w:after="65"/>
              <w:rPr>
                <w:rFonts w:cs="Times New Roman"/>
                <w:color w:val="auto"/>
                <w:highlight w:val="none"/>
              </w:rPr>
            </w:pPr>
            <w:r>
              <w:rPr>
                <w:rFonts w:cs="Times New Roman"/>
                <w:color w:val="auto"/>
                <w:highlight w:val="none"/>
              </w:rPr>
              <w:t>圆锥破碎机</w:t>
            </w:r>
          </w:p>
        </w:tc>
        <w:tc>
          <w:tcPr>
            <w:tcW w:w="826" w:type="pct"/>
            <w:vAlign w:val="center"/>
          </w:tcPr>
          <w:p w14:paraId="4072EC76">
            <w:pPr>
              <w:pStyle w:val="69"/>
              <w:spacing w:before="65" w:after="65"/>
              <w:rPr>
                <w:rFonts w:cs="Times New Roman"/>
                <w:color w:val="auto"/>
                <w:highlight w:val="none"/>
              </w:rPr>
            </w:pPr>
            <w:r>
              <w:rPr>
                <w:rFonts w:cs="Times New Roman"/>
                <w:color w:val="auto"/>
                <w:highlight w:val="none"/>
              </w:rPr>
              <w:t>XY-1400</w:t>
            </w:r>
          </w:p>
        </w:tc>
        <w:tc>
          <w:tcPr>
            <w:tcW w:w="436" w:type="pct"/>
            <w:vAlign w:val="center"/>
          </w:tcPr>
          <w:p w14:paraId="13E6302E">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00D308DD">
            <w:pPr>
              <w:pStyle w:val="69"/>
              <w:spacing w:before="65" w:after="65"/>
              <w:rPr>
                <w:rFonts w:cs="Times New Roman"/>
                <w:color w:val="auto"/>
                <w:highlight w:val="none"/>
              </w:rPr>
            </w:pPr>
            <w:r>
              <w:rPr>
                <w:rFonts w:hint="eastAsia" w:cs="Times New Roman"/>
                <w:color w:val="auto"/>
                <w:highlight w:val="none"/>
              </w:rPr>
              <w:t>164</w:t>
            </w:r>
          </w:p>
        </w:tc>
        <w:tc>
          <w:tcPr>
            <w:tcW w:w="489" w:type="pct"/>
            <w:vAlign w:val="center"/>
          </w:tcPr>
          <w:p w14:paraId="3B07C9F2">
            <w:pPr>
              <w:pStyle w:val="69"/>
              <w:spacing w:before="65" w:after="65"/>
              <w:rPr>
                <w:rFonts w:cs="Times New Roman"/>
                <w:color w:val="auto"/>
                <w:highlight w:val="none"/>
              </w:rPr>
            </w:pPr>
            <w:r>
              <w:rPr>
                <w:rFonts w:cs="Times New Roman"/>
                <w:color w:val="auto"/>
                <w:highlight w:val="none"/>
              </w:rPr>
              <w:t>5280</w:t>
            </w:r>
          </w:p>
        </w:tc>
        <w:tc>
          <w:tcPr>
            <w:tcW w:w="623" w:type="pct"/>
            <w:vAlign w:val="center"/>
          </w:tcPr>
          <w:p w14:paraId="34DB2394">
            <w:pPr>
              <w:pStyle w:val="69"/>
              <w:spacing w:before="65" w:after="65"/>
              <w:rPr>
                <w:rFonts w:cs="Times New Roman"/>
                <w:color w:val="auto"/>
                <w:highlight w:val="none"/>
              </w:rPr>
            </w:pPr>
            <w:r>
              <w:rPr>
                <w:rFonts w:cs="Times New Roman"/>
                <w:color w:val="auto"/>
                <w:highlight w:val="none"/>
              </w:rPr>
              <w:t>865920</w:t>
            </w:r>
          </w:p>
        </w:tc>
        <w:tc>
          <w:tcPr>
            <w:tcW w:w="560" w:type="pct"/>
            <w:vAlign w:val="center"/>
          </w:tcPr>
          <w:p w14:paraId="55F0C1D3">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1048AC6C">
            <w:pPr>
              <w:pStyle w:val="69"/>
              <w:spacing w:before="65" w:after="65"/>
              <w:rPr>
                <w:rFonts w:cs="Times New Roman"/>
                <w:color w:val="auto"/>
                <w:highlight w:val="none"/>
              </w:rPr>
            </w:pPr>
            <w:r>
              <w:rPr>
                <w:rFonts w:cs="Times New Roman"/>
                <w:color w:val="auto"/>
                <w:highlight w:val="none"/>
              </w:rPr>
              <w:t>57.7%</w:t>
            </w:r>
          </w:p>
        </w:tc>
      </w:tr>
      <w:tr w14:paraId="572C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045C855A">
            <w:pPr>
              <w:pStyle w:val="69"/>
              <w:spacing w:before="65" w:after="65"/>
              <w:rPr>
                <w:rFonts w:cs="Times New Roman"/>
                <w:color w:val="auto"/>
                <w:highlight w:val="none"/>
              </w:rPr>
            </w:pPr>
            <w:r>
              <w:rPr>
                <w:rFonts w:cs="Times New Roman"/>
                <w:color w:val="auto"/>
                <w:highlight w:val="none"/>
              </w:rPr>
              <w:t>立轴式冲击破</w:t>
            </w:r>
          </w:p>
        </w:tc>
        <w:tc>
          <w:tcPr>
            <w:tcW w:w="826" w:type="pct"/>
            <w:vAlign w:val="center"/>
          </w:tcPr>
          <w:p w14:paraId="6C74751B">
            <w:pPr>
              <w:pStyle w:val="69"/>
              <w:spacing w:before="65" w:after="65"/>
              <w:rPr>
                <w:rFonts w:cs="Times New Roman"/>
                <w:color w:val="auto"/>
                <w:highlight w:val="none"/>
              </w:rPr>
            </w:pPr>
            <w:r>
              <w:rPr>
                <w:rFonts w:cs="Times New Roman"/>
                <w:color w:val="auto"/>
                <w:highlight w:val="none"/>
              </w:rPr>
              <w:t>XY-10000</w:t>
            </w:r>
          </w:p>
        </w:tc>
        <w:tc>
          <w:tcPr>
            <w:tcW w:w="436" w:type="pct"/>
            <w:vAlign w:val="center"/>
          </w:tcPr>
          <w:p w14:paraId="4ABD7B7A">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6236DC19">
            <w:pPr>
              <w:pStyle w:val="69"/>
              <w:spacing w:before="65" w:after="65"/>
              <w:rPr>
                <w:rFonts w:cs="Times New Roman"/>
                <w:color w:val="auto"/>
                <w:highlight w:val="none"/>
              </w:rPr>
            </w:pPr>
            <w:r>
              <w:rPr>
                <w:rFonts w:hint="eastAsia" w:cs="Times New Roman"/>
                <w:color w:val="auto"/>
                <w:highlight w:val="none"/>
              </w:rPr>
              <w:t>164</w:t>
            </w:r>
          </w:p>
        </w:tc>
        <w:tc>
          <w:tcPr>
            <w:tcW w:w="489" w:type="pct"/>
            <w:vAlign w:val="center"/>
          </w:tcPr>
          <w:p w14:paraId="6DA690AF">
            <w:pPr>
              <w:pStyle w:val="69"/>
              <w:spacing w:before="65" w:after="65"/>
              <w:rPr>
                <w:rFonts w:cs="Times New Roman"/>
                <w:color w:val="auto"/>
                <w:highlight w:val="none"/>
              </w:rPr>
            </w:pPr>
            <w:r>
              <w:rPr>
                <w:rFonts w:cs="Times New Roman"/>
                <w:color w:val="auto"/>
                <w:highlight w:val="none"/>
              </w:rPr>
              <w:t>5280</w:t>
            </w:r>
          </w:p>
        </w:tc>
        <w:tc>
          <w:tcPr>
            <w:tcW w:w="623" w:type="pct"/>
            <w:vAlign w:val="center"/>
          </w:tcPr>
          <w:p w14:paraId="2A096F1B">
            <w:pPr>
              <w:pStyle w:val="69"/>
              <w:spacing w:before="65" w:after="65"/>
              <w:rPr>
                <w:rFonts w:cs="Times New Roman"/>
                <w:color w:val="auto"/>
                <w:highlight w:val="none"/>
              </w:rPr>
            </w:pPr>
            <w:r>
              <w:rPr>
                <w:rFonts w:cs="Times New Roman"/>
                <w:color w:val="auto"/>
                <w:highlight w:val="none"/>
              </w:rPr>
              <w:t>865920</w:t>
            </w:r>
          </w:p>
        </w:tc>
        <w:tc>
          <w:tcPr>
            <w:tcW w:w="560" w:type="pct"/>
            <w:vAlign w:val="center"/>
          </w:tcPr>
          <w:p w14:paraId="46F81714">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369A43EA">
            <w:pPr>
              <w:pStyle w:val="69"/>
              <w:spacing w:before="65" w:after="65"/>
              <w:rPr>
                <w:rFonts w:cs="Times New Roman"/>
                <w:color w:val="auto"/>
                <w:highlight w:val="none"/>
              </w:rPr>
            </w:pPr>
            <w:r>
              <w:rPr>
                <w:rFonts w:cs="Times New Roman"/>
                <w:color w:val="auto"/>
                <w:highlight w:val="none"/>
              </w:rPr>
              <w:t>57.7%</w:t>
            </w:r>
          </w:p>
        </w:tc>
      </w:tr>
      <w:tr w14:paraId="2DB2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861" w:type="pct"/>
            <w:vAlign w:val="center"/>
          </w:tcPr>
          <w:p w14:paraId="588DAC00">
            <w:pPr>
              <w:pStyle w:val="69"/>
              <w:spacing w:before="65" w:after="65"/>
              <w:rPr>
                <w:rFonts w:cs="Times New Roman"/>
                <w:color w:val="auto"/>
                <w:highlight w:val="none"/>
              </w:rPr>
            </w:pPr>
            <w:r>
              <w:rPr>
                <w:rFonts w:cs="Times New Roman"/>
                <w:color w:val="auto"/>
                <w:highlight w:val="none"/>
              </w:rPr>
              <w:t>圆振动筛</w:t>
            </w:r>
          </w:p>
        </w:tc>
        <w:tc>
          <w:tcPr>
            <w:tcW w:w="826" w:type="pct"/>
            <w:vAlign w:val="center"/>
          </w:tcPr>
          <w:p w14:paraId="4E0C72E9">
            <w:pPr>
              <w:pStyle w:val="69"/>
              <w:spacing w:before="65" w:after="65"/>
              <w:rPr>
                <w:rFonts w:cs="Times New Roman"/>
                <w:color w:val="auto"/>
                <w:highlight w:val="none"/>
              </w:rPr>
            </w:pPr>
            <w:r>
              <w:rPr>
                <w:rFonts w:cs="Times New Roman"/>
                <w:color w:val="auto"/>
                <w:highlight w:val="none"/>
              </w:rPr>
              <w:t>2YKH2460</w:t>
            </w:r>
          </w:p>
        </w:tc>
        <w:tc>
          <w:tcPr>
            <w:tcW w:w="436" w:type="pct"/>
            <w:vAlign w:val="center"/>
          </w:tcPr>
          <w:p w14:paraId="4EA13899">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1A052B43">
            <w:pPr>
              <w:pStyle w:val="69"/>
              <w:spacing w:before="65" w:after="65"/>
              <w:rPr>
                <w:rFonts w:cs="Times New Roman"/>
                <w:color w:val="auto"/>
                <w:highlight w:val="none"/>
              </w:rPr>
            </w:pPr>
            <w:r>
              <w:rPr>
                <w:rFonts w:hint="eastAsia" w:cs="Times New Roman"/>
                <w:color w:val="auto"/>
                <w:highlight w:val="none"/>
              </w:rPr>
              <w:t>164</w:t>
            </w:r>
          </w:p>
        </w:tc>
        <w:tc>
          <w:tcPr>
            <w:tcW w:w="489" w:type="pct"/>
            <w:vAlign w:val="center"/>
          </w:tcPr>
          <w:p w14:paraId="53596F79">
            <w:pPr>
              <w:pStyle w:val="69"/>
              <w:spacing w:before="65" w:after="65"/>
              <w:rPr>
                <w:rFonts w:cs="Times New Roman"/>
                <w:color w:val="auto"/>
                <w:highlight w:val="none"/>
              </w:rPr>
            </w:pPr>
            <w:r>
              <w:rPr>
                <w:rFonts w:cs="Times New Roman"/>
                <w:color w:val="auto"/>
                <w:highlight w:val="none"/>
              </w:rPr>
              <w:t>5280</w:t>
            </w:r>
          </w:p>
        </w:tc>
        <w:tc>
          <w:tcPr>
            <w:tcW w:w="623" w:type="pct"/>
            <w:vAlign w:val="center"/>
          </w:tcPr>
          <w:p w14:paraId="29164F66">
            <w:pPr>
              <w:pStyle w:val="69"/>
              <w:spacing w:before="65" w:after="65"/>
              <w:rPr>
                <w:rFonts w:cs="Times New Roman"/>
                <w:color w:val="auto"/>
                <w:highlight w:val="none"/>
              </w:rPr>
            </w:pPr>
            <w:r>
              <w:rPr>
                <w:rFonts w:cs="Times New Roman"/>
                <w:color w:val="auto"/>
                <w:highlight w:val="none"/>
              </w:rPr>
              <w:t>865920</w:t>
            </w:r>
          </w:p>
        </w:tc>
        <w:tc>
          <w:tcPr>
            <w:tcW w:w="560" w:type="pct"/>
            <w:vAlign w:val="center"/>
          </w:tcPr>
          <w:p w14:paraId="57F0B8BF">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48EC562C">
            <w:pPr>
              <w:pStyle w:val="69"/>
              <w:spacing w:before="65" w:after="65"/>
              <w:rPr>
                <w:rFonts w:cs="Times New Roman"/>
                <w:color w:val="auto"/>
                <w:highlight w:val="none"/>
              </w:rPr>
            </w:pPr>
            <w:r>
              <w:rPr>
                <w:rFonts w:cs="Times New Roman"/>
                <w:color w:val="auto"/>
                <w:highlight w:val="none"/>
              </w:rPr>
              <w:t>57.7%</w:t>
            </w:r>
          </w:p>
        </w:tc>
      </w:tr>
      <w:tr w14:paraId="3EE4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39C57233">
            <w:pPr>
              <w:pStyle w:val="69"/>
              <w:spacing w:before="65" w:after="65"/>
              <w:rPr>
                <w:rFonts w:cs="Times New Roman"/>
                <w:color w:val="auto"/>
                <w:highlight w:val="none"/>
              </w:rPr>
            </w:pPr>
            <w:r>
              <w:rPr>
                <w:rFonts w:cs="Times New Roman"/>
                <w:color w:val="auto"/>
                <w:highlight w:val="none"/>
              </w:rPr>
              <w:t>溢流型球磨机</w:t>
            </w:r>
          </w:p>
        </w:tc>
        <w:tc>
          <w:tcPr>
            <w:tcW w:w="826" w:type="pct"/>
            <w:vAlign w:val="center"/>
          </w:tcPr>
          <w:p w14:paraId="66BACF1D">
            <w:pPr>
              <w:pStyle w:val="69"/>
              <w:spacing w:before="65" w:after="65"/>
              <w:rPr>
                <w:rFonts w:cs="Times New Roman"/>
                <w:color w:val="auto"/>
                <w:highlight w:val="none"/>
              </w:rPr>
            </w:pPr>
            <w:r>
              <w:rPr>
                <w:rFonts w:cs="Times New Roman"/>
                <w:color w:val="auto"/>
                <w:highlight w:val="none"/>
              </w:rPr>
              <w:t>MQY3650</w:t>
            </w:r>
          </w:p>
        </w:tc>
        <w:tc>
          <w:tcPr>
            <w:tcW w:w="436" w:type="pct"/>
            <w:vAlign w:val="center"/>
          </w:tcPr>
          <w:p w14:paraId="27A87B68">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0592FF87">
            <w:pPr>
              <w:pStyle w:val="69"/>
              <w:spacing w:before="65" w:after="65"/>
              <w:rPr>
                <w:rFonts w:cs="Times New Roman"/>
                <w:color w:val="auto"/>
                <w:highlight w:val="none"/>
              </w:rPr>
            </w:pPr>
            <w:r>
              <w:rPr>
                <w:rFonts w:hint="eastAsia" w:cs="Times New Roman"/>
                <w:color w:val="auto"/>
                <w:highlight w:val="none"/>
              </w:rPr>
              <w:t>65</w:t>
            </w:r>
          </w:p>
        </w:tc>
        <w:tc>
          <w:tcPr>
            <w:tcW w:w="489" w:type="pct"/>
            <w:vAlign w:val="center"/>
          </w:tcPr>
          <w:p w14:paraId="7361A11A">
            <w:pPr>
              <w:pStyle w:val="69"/>
              <w:spacing w:before="65" w:after="65"/>
              <w:rPr>
                <w:rFonts w:cs="Times New Roman"/>
                <w:color w:val="auto"/>
                <w:highlight w:val="none"/>
              </w:rPr>
            </w:pPr>
            <w:r>
              <w:rPr>
                <w:rFonts w:hint="eastAsia" w:cs="Times New Roman"/>
                <w:color w:val="auto"/>
                <w:highlight w:val="none"/>
              </w:rPr>
              <w:t>7920</w:t>
            </w:r>
          </w:p>
        </w:tc>
        <w:tc>
          <w:tcPr>
            <w:tcW w:w="623" w:type="pct"/>
            <w:vAlign w:val="center"/>
          </w:tcPr>
          <w:p w14:paraId="036E5218">
            <w:pPr>
              <w:pStyle w:val="69"/>
              <w:spacing w:before="65" w:after="65"/>
              <w:rPr>
                <w:rFonts w:cs="Times New Roman"/>
                <w:color w:val="auto"/>
                <w:highlight w:val="none"/>
              </w:rPr>
            </w:pPr>
            <w:r>
              <w:rPr>
                <w:rFonts w:cs="Times New Roman"/>
                <w:color w:val="auto"/>
                <w:highlight w:val="none"/>
              </w:rPr>
              <w:t>51</w:t>
            </w:r>
            <w:r>
              <w:rPr>
                <w:rFonts w:hint="eastAsia" w:cs="Times New Roman"/>
                <w:color w:val="auto"/>
                <w:highlight w:val="none"/>
              </w:rPr>
              <w:t>48</w:t>
            </w:r>
            <w:r>
              <w:rPr>
                <w:rFonts w:cs="Times New Roman"/>
                <w:color w:val="auto"/>
                <w:highlight w:val="none"/>
              </w:rPr>
              <w:t>00</w:t>
            </w:r>
          </w:p>
        </w:tc>
        <w:tc>
          <w:tcPr>
            <w:tcW w:w="560" w:type="pct"/>
            <w:vAlign w:val="center"/>
          </w:tcPr>
          <w:p w14:paraId="3A5008B5">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2B6AE51E">
            <w:pPr>
              <w:pStyle w:val="69"/>
              <w:spacing w:before="65" w:after="65"/>
              <w:rPr>
                <w:rFonts w:cs="Times New Roman"/>
                <w:color w:val="auto"/>
                <w:highlight w:val="none"/>
              </w:rPr>
            </w:pPr>
            <w:r>
              <w:rPr>
                <w:rFonts w:hint="eastAsia" w:cs="Times New Roman"/>
                <w:color w:val="auto"/>
                <w:highlight w:val="none"/>
              </w:rPr>
              <w:t>97.1</w:t>
            </w:r>
            <w:r>
              <w:rPr>
                <w:rFonts w:cs="Times New Roman"/>
                <w:color w:val="auto"/>
                <w:highlight w:val="none"/>
              </w:rPr>
              <w:t>%</w:t>
            </w:r>
          </w:p>
        </w:tc>
      </w:tr>
      <w:tr w14:paraId="6C4A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5CA25614">
            <w:pPr>
              <w:pStyle w:val="69"/>
              <w:spacing w:before="65" w:after="65"/>
              <w:rPr>
                <w:rFonts w:cs="Times New Roman"/>
                <w:color w:val="auto"/>
                <w:highlight w:val="none"/>
              </w:rPr>
            </w:pPr>
            <w:r>
              <w:rPr>
                <w:rFonts w:cs="Times New Roman"/>
                <w:color w:val="auto"/>
                <w:highlight w:val="none"/>
              </w:rPr>
              <w:t>浮选机</w:t>
            </w:r>
          </w:p>
        </w:tc>
        <w:tc>
          <w:tcPr>
            <w:tcW w:w="826" w:type="pct"/>
            <w:vAlign w:val="center"/>
          </w:tcPr>
          <w:p w14:paraId="5ACD1D19">
            <w:pPr>
              <w:pStyle w:val="69"/>
              <w:spacing w:before="65" w:after="65"/>
              <w:rPr>
                <w:rFonts w:cs="Times New Roman"/>
                <w:color w:val="auto"/>
                <w:highlight w:val="none"/>
              </w:rPr>
            </w:pPr>
            <w:r>
              <w:rPr>
                <w:rFonts w:cs="Times New Roman"/>
                <w:color w:val="auto"/>
                <w:highlight w:val="none"/>
              </w:rPr>
              <w:t>XCF-24</w:t>
            </w:r>
          </w:p>
        </w:tc>
        <w:tc>
          <w:tcPr>
            <w:tcW w:w="436" w:type="pct"/>
            <w:vAlign w:val="center"/>
          </w:tcPr>
          <w:p w14:paraId="09E22E23">
            <w:pPr>
              <w:pStyle w:val="69"/>
              <w:spacing w:before="65" w:after="65"/>
              <w:rPr>
                <w:rFonts w:cs="Times New Roman"/>
                <w:color w:val="auto"/>
                <w:highlight w:val="none"/>
              </w:rPr>
            </w:pPr>
            <w:r>
              <w:rPr>
                <w:rFonts w:cs="Times New Roman"/>
                <w:color w:val="auto"/>
                <w:highlight w:val="none"/>
              </w:rPr>
              <w:t>9</w:t>
            </w:r>
          </w:p>
        </w:tc>
        <w:tc>
          <w:tcPr>
            <w:tcW w:w="655" w:type="pct"/>
            <w:vAlign w:val="center"/>
          </w:tcPr>
          <w:p w14:paraId="4510B753">
            <w:pPr>
              <w:pStyle w:val="69"/>
              <w:spacing w:before="65" w:after="65"/>
              <w:rPr>
                <w:rFonts w:cs="Times New Roman"/>
                <w:color w:val="auto"/>
                <w:highlight w:val="none"/>
              </w:rPr>
            </w:pPr>
            <w:r>
              <w:rPr>
                <w:rFonts w:hint="eastAsia" w:cs="Times New Roman"/>
                <w:color w:val="auto"/>
                <w:highlight w:val="none"/>
              </w:rPr>
              <w:t>7.5</w:t>
            </w:r>
          </w:p>
        </w:tc>
        <w:tc>
          <w:tcPr>
            <w:tcW w:w="489" w:type="pct"/>
            <w:vAlign w:val="center"/>
          </w:tcPr>
          <w:p w14:paraId="2D55D75A">
            <w:pPr>
              <w:pStyle w:val="69"/>
              <w:spacing w:before="65" w:after="65"/>
              <w:rPr>
                <w:rFonts w:cs="Times New Roman"/>
                <w:color w:val="auto"/>
                <w:highlight w:val="none"/>
              </w:rPr>
            </w:pPr>
            <w:r>
              <w:rPr>
                <w:rFonts w:hint="eastAsia" w:cs="Times New Roman"/>
                <w:color w:val="auto"/>
                <w:highlight w:val="none"/>
              </w:rPr>
              <w:t>7920</w:t>
            </w:r>
          </w:p>
        </w:tc>
        <w:tc>
          <w:tcPr>
            <w:tcW w:w="623" w:type="pct"/>
            <w:vAlign w:val="center"/>
          </w:tcPr>
          <w:p w14:paraId="51335642">
            <w:pPr>
              <w:pStyle w:val="69"/>
              <w:spacing w:before="65" w:after="65"/>
              <w:rPr>
                <w:rFonts w:cs="Times New Roman"/>
                <w:color w:val="auto"/>
                <w:highlight w:val="none"/>
              </w:rPr>
            </w:pPr>
            <w:r>
              <w:rPr>
                <w:rFonts w:hint="eastAsia" w:cs="Times New Roman"/>
                <w:color w:val="auto"/>
                <w:highlight w:val="none"/>
              </w:rPr>
              <w:t>534600</w:t>
            </w:r>
          </w:p>
        </w:tc>
        <w:tc>
          <w:tcPr>
            <w:tcW w:w="560" w:type="pct"/>
            <w:vAlign w:val="center"/>
          </w:tcPr>
          <w:p w14:paraId="39811584">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2823463E">
            <w:pPr>
              <w:pStyle w:val="69"/>
              <w:spacing w:before="65" w:after="65"/>
              <w:rPr>
                <w:rFonts w:cs="Times New Roman"/>
                <w:color w:val="auto"/>
                <w:highlight w:val="none"/>
              </w:rPr>
            </w:pPr>
            <w:r>
              <w:rPr>
                <w:rFonts w:hint="eastAsia" w:cs="Times New Roman"/>
                <w:color w:val="auto"/>
                <w:highlight w:val="none"/>
              </w:rPr>
              <w:t>93.53</w:t>
            </w:r>
            <w:r>
              <w:rPr>
                <w:rFonts w:cs="Times New Roman"/>
                <w:color w:val="auto"/>
                <w:highlight w:val="none"/>
              </w:rPr>
              <w:t>%</w:t>
            </w:r>
          </w:p>
        </w:tc>
      </w:tr>
      <w:tr w14:paraId="6269A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7EEFE43A">
            <w:pPr>
              <w:pStyle w:val="69"/>
              <w:spacing w:before="65" w:after="65"/>
              <w:rPr>
                <w:rFonts w:cs="Times New Roman"/>
                <w:color w:val="auto"/>
                <w:highlight w:val="none"/>
              </w:rPr>
            </w:pPr>
            <w:r>
              <w:rPr>
                <w:rFonts w:cs="Times New Roman"/>
                <w:color w:val="auto"/>
                <w:highlight w:val="none"/>
              </w:rPr>
              <w:t>浮选机</w:t>
            </w:r>
          </w:p>
        </w:tc>
        <w:tc>
          <w:tcPr>
            <w:tcW w:w="826" w:type="pct"/>
            <w:vAlign w:val="center"/>
          </w:tcPr>
          <w:p w14:paraId="54138AF7">
            <w:pPr>
              <w:pStyle w:val="69"/>
              <w:spacing w:before="65" w:after="65"/>
              <w:rPr>
                <w:rFonts w:cs="Times New Roman"/>
                <w:color w:val="auto"/>
                <w:highlight w:val="none"/>
              </w:rPr>
            </w:pPr>
            <w:r>
              <w:rPr>
                <w:rFonts w:cs="Times New Roman"/>
                <w:color w:val="auto"/>
                <w:highlight w:val="none"/>
              </w:rPr>
              <w:t>KYF-24</w:t>
            </w:r>
          </w:p>
        </w:tc>
        <w:tc>
          <w:tcPr>
            <w:tcW w:w="436" w:type="pct"/>
            <w:vAlign w:val="center"/>
          </w:tcPr>
          <w:p w14:paraId="0CC7165A">
            <w:pPr>
              <w:pStyle w:val="69"/>
              <w:spacing w:before="65" w:after="65"/>
              <w:rPr>
                <w:rFonts w:cs="Times New Roman"/>
                <w:color w:val="auto"/>
                <w:highlight w:val="none"/>
              </w:rPr>
            </w:pPr>
            <w:r>
              <w:rPr>
                <w:rFonts w:cs="Times New Roman"/>
                <w:color w:val="auto"/>
                <w:highlight w:val="none"/>
              </w:rPr>
              <w:t>13</w:t>
            </w:r>
          </w:p>
        </w:tc>
        <w:tc>
          <w:tcPr>
            <w:tcW w:w="655" w:type="pct"/>
            <w:vAlign w:val="center"/>
          </w:tcPr>
          <w:p w14:paraId="4CB12E65">
            <w:pPr>
              <w:pStyle w:val="69"/>
              <w:spacing w:before="65" w:after="65"/>
              <w:rPr>
                <w:rFonts w:cs="Times New Roman"/>
                <w:color w:val="auto"/>
                <w:highlight w:val="none"/>
              </w:rPr>
            </w:pPr>
            <w:r>
              <w:rPr>
                <w:rFonts w:hint="eastAsia" w:cs="Times New Roman"/>
                <w:color w:val="auto"/>
                <w:highlight w:val="none"/>
              </w:rPr>
              <w:t>5</w:t>
            </w:r>
          </w:p>
        </w:tc>
        <w:tc>
          <w:tcPr>
            <w:tcW w:w="489" w:type="pct"/>
            <w:vAlign w:val="center"/>
          </w:tcPr>
          <w:p w14:paraId="444DBF45">
            <w:pPr>
              <w:pStyle w:val="69"/>
              <w:spacing w:before="65" w:after="65"/>
              <w:rPr>
                <w:rFonts w:cs="Times New Roman"/>
                <w:color w:val="auto"/>
                <w:highlight w:val="none"/>
              </w:rPr>
            </w:pPr>
            <w:r>
              <w:rPr>
                <w:rFonts w:cs="Times New Roman"/>
                <w:color w:val="auto"/>
                <w:highlight w:val="none"/>
              </w:rPr>
              <w:t>7920</w:t>
            </w:r>
          </w:p>
        </w:tc>
        <w:tc>
          <w:tcPr>
            <w:tcW w:w="623" w:type="pct"/>
            <w:vAlign w:val="center"/>
          </w:tcPr>
          <w:p w14:paraId="75AF8717">
            <w:pPr>
              <w:pStyle w:val="69"/>
              <w:spacing w:before="65" w:after="65"/>
              <w:rPr>
                <w:rFonts w:cs="Times New Roman"/>
                <w:color w:val="auto"/>
                <w:highlight w:val="none"/>
              </w:rPr>
            </w:pPr>
            <w:r>
              <w:rPr>
                <w:rFonts w:cs="Times New Roman"/>
                <w:color w:val="auto"/>
                <w:highlight w:val="none"/>
              </w:rPr>
              <w:t>514800</w:t>
            </w:r>
          </w:p>
        </w:tc>
        <w:tc>
          <w:tcPr>
            <w:tcW w:w="560" w:type="pct"/>
            <w:vAlign w:val="center"/>
          </w:tcPr>
          <w:p w14:paraId="69DE7311">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15F13ACE">
            <w:pPr>
              <w:pStyle w:val="69"/>
              <w:spacing w:before="65" w:after="65"/>
              <w:rPr>
                <w:rFonts w:cs="Times New Roman"/>
                <w:color w:val="auto"/>
                <w:highlight w:val="none"/>
              </w:rPr>
            </w:pPr>
            <w:r>
              <w:rPr>
                <w:rFonts w:cs="Times New Roman"/>
                <w:color w:val="auto"/>
                <w:highlight w:val="none"/>
              </w:rPr>
              <w:t>97.1%</w:t>
            </w:r>
          </w:p>
        </w:tc>
      </w:tr>
      <w:tr w14:paraId="10DDD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1" w:type="pct"/>
            <w:vAlign w:val="center"/>
          </w:tcPr>
          <w:p w14:paraId="0B04F4E6">
            <w:pPr>
              <w:pStyle w:val="69"/>
              <w:spacing w:before="65" w:after="65"/>
              <w:rPr>
                <w:rFonts w:cs="Times New Roman"/>
                <w:color w:val="auto"/>
                <w:highlight w:val="none"/>
              </w:rPr>
            </w:pPr>
            <w:r>
              <w:rPr>
                <w:rFonts w:cs="Times New Roman"/>
                <w:color w:val="auto"/>
                <w:highlight w:val="none"/>
              </w:rPr>
              <w:t>磁选机</w:t>
            </w:r>
          </w:p>
        </w:tc>
        <w:tc>
          <w:tcPr>
            <w:tcW w:w="826" w:type="pct"/>
            <w:vAlign w:val="center"/>
          </w:tcPr>
          <w:p w14:paraId="5833E1FC">
            <w:pPr>
              <w:pStyle w:val="69"/>
              <w:spacing w:before="65" w:after="65"/>
              <w:rPr>
                <w:rFonts w:cs="Times New Roman"/>
                <w:color w:val="auto"/>
                <w:highlight w:val="none"/>
              </w:rPr>
            </w:pPr>
            <w:r>
              <w:rPr>
                <w:rFonts w:cs="Times New Roman"/>
                <w:color w:val="auto"/>
                <w:highlight w:val="none"/>
              </w:rPr>
              <w:t>B=1200</w:t>
            </w:r>
          </w:p>
        </w:tc>
        <w:tc>
          <w:tcPr>
            <w:tcW w:w="436" w:type="pct"/>
            <w:vAlign w:val="center"/>
          </w:tcPr>
          <w:p w14:paraId="597176DB">
            <w:pPr>
              <w:pStyle w:val="69"/>
              <w:spacing w:before="65" w:after="65"/>
              <w:rPr>
                <w:rFonts w:cs="Times New Roman"/>
                <w:color w:val="auto"/>
                <w:highlight w:val="none"/>
              </w:rPr>
            </w:pPr>
            <w:r>
              <w:rPr>
                <w:rFonts w:cs="Times New Roman"/>
                <w:color w:val="auto"/>
                <w:highlight w:val="none"/>
              </w:rPr>
              <w:t>1</w:t>
            </w:r>
          </w:p>
        </w:tc>
        <w:tc>
          <w:tcPr>
            <w:tcW w:w="655" w:type="pct"/>
            <w:vAlign w:val="center"/>
          </w:tcPr>
          <w:p w14:paraId="70E9A87D">
            <w:pPr>
              <w:pStyle w:val="69"/>
              <w:spacing w:before="65" w:after="65"/>
              <w:rPr>
                <w:rFonts w:cs="Times New Roman"/>
                <w:color w:val="auto"/>
                <w:highlight w:val="none"/>
              </w:rPr>
            </w:pPr>
            <w:r>
              <w:rPr>
                <w:rFonts w:hint="eastAsia" w:cs="Times New Roman"/>
                <w:color w:val="auto"/>
                <w:highlight w:val="none"/>
              </w:rPr>
              <w:t>65</w:t>
            </w:r>
          </w:p>
        </w:tc>
        <w:tc>
          <w:tcPr>
            <w:tcW w:w="489" w:type="pct"/>
            <w:vAlign w:val="center"/>
          </w:tcPr>
          <w:p w14:paraId="4EF1CA0E">
            <w:pPr>
              <w:pStyle w:val="69"/>
              <w:spacing w:before="65" w:after="65"/>
              <w:rPr>
                <w:rFonts w:cs="Times New Roman"/>
                <w:color w:val="auto"/>
                <w:highlight w:val="none"/>
              </w:rPr>
            </w:pPr>
            <w:r>
              <w:rPr>
                <w:rFonts w:cs="Times New Roman"/>
                <w:color w:val="auto"/>
                <w:highlight w:val="none"/>
              </w:rPr>
              <w:t>7920</w:t>
            </w:r>
          </w:p>
        </w:tc>
        <w:tc>
          <w:tcPr>
            <w:tcW w:w="623" w:type="pct"/>
            <w:vAlign w:val="center"/>
          </w:tcPr>
          <w:p w14:paraId="2CE164A9">
            <w:pPr>
              <w:pStyle w:val="69"/>
              <w:spacing w:before="65" w:after="65"/>
              <w:rPr>
                <w:rFonts w:cs="Times New Roman"/>
                <w:color w:val="auto"/>
                <w:highlight w:val="none"/>
              </w:rPr>
            </w:pPr>
            <w:r>
              <w:rPr>
                <w:rFonts w:cs="Times New Roman"/>
                <w:color w:val="auto"/>
                <w:highlight w:val="none"/>
              </w:rPr>
              <w:t>51</w:t>
            </w:r>
            <w:r>
              <w:rPr>
                <w:rFonts w:hint="eastAsia" w:cs="Times New Roman"/>
                <w:color w:val="auto"/>
                <w:highlight w:val="none"/>
              </w:rPr>
              <w:t>48</w:t>
            </w:r>
            <w:r>
              <w:rPr>
                <w:rFonts w:cs="Times New Roman"/>
                <w:color w:val="auto"/>
                <w:highlight w:val="none"/>
              </w:rPr>
              <w:t>00</w:t>
            </w:r>
          </w:p>
        </w:tc>
        <w:tc>
          <w:tcPr>
            <w:tcW w:w="560" w:type="pct"/>
            <w:vAlign w:val="center"/>
          </w:tcPr>
          <w:p w14:paraId="5DDF7E9C">
            <w:pPr>
              <w:pStyle w:val="69"/>
              <w:spacing w:before="65" w:after="65"/>
              <w:rPr>
                <w:rFonts w:cs="Times New Roman"/>
                <w:color w:val="auto"/>
                <w:highlight w:val="none"/>
              </w:rPr>
            </w:pPr>
            <w:r>
              <w:rPr>
                <w:rFonts w:hint="eastAsia" w:cs="Times New Roman"/>
                <w:color w:val="auto"/>
                <w:highlight w:val="none"/>
                <w:lang w:val="en-US" w:eastAsia="zh-CN"/>
              </w:rPr>
              <w:t>36</w:t>
            </w:r>
            <w:r>
              <w:rPr>
                <w:rFonts w:cs="Times New Roman"/>
                <w:color w:val="auto"/>
                <w:highlight w:val="none"/>
              </w:rPr>
              <w:t>0000</w:t>
            </w:r>
          </w:p>
        </w:tc>
        <w:tc>
          <w:tcPr>
            <w:tcW w:w="547" w:type="pct"/>
            <w:vAlign w:val="center"/>
          </w:tcPr>
          <w:p w14:paraId="620910FE">
            <w:pPr>
              <w:pStyle w:val="69"/>
              <w:spacing w:before="65" w:after="65"/>
              <w:rPr>
                <w:rFonts w:cs="Times New Roman"/>
                <w:color w:val="auto"/>
                <w:highlight w:val="none"/>
              </w:rPr>
            </w:pPr>
            <w:r>
              <w:rPr>
                <w:rFonts w:hint="eastAsia" w:cs="Times New Roman"/>
                <w:color w:val="auto"/>
                <w:highlight w:val="none"/>
              </w:rPr>
              <w:t>97.1</w:t>
            </w:r>
            <w:r>
              <w:rPr>
                <w:rFonts w:cs="Times New Roman"/>
                <w:color w:val="auto"/>
                <w:highlight w:val="none"/>
              </w:rPr>
              <w:t>%</w:t>
            </w:r>
          </w:p>
        </w:tc>
      </w:tr>
    </w:tbl>
    <w:p w14:paraId="2986AAAD">
      <w:pPr>
        <w:pStyle w:val="3"/>
        <w:adjustRightInd w:val="0"/>
        <w:rPr>
          <w:rFonts w:cs="Times New Roman"/>
          <w:color w:val="auto"/>
          <w:highlight w:val="none"/>
        </w:rPr>
      </w:pPr>
      <w:bookmarkStart w:id="105" w:name="_Toc20409"/>
      <w:r>
        <w:rPr>
          <w:rFonts w:cs="Times New Roman"/>
          <w:color w:val="auto"/>
          <w:highlight w:val="none"/>
        </w:rPr>
        <w:t>公用工程</w:t>
      </w:r>
      <w:bookmarkEnd w:id="105"/>
    </w:p>
    <w:p w14:paraId="2E4E82C5">
      <w:pPr>
        <w:pStyle w:val="4"/>
        <w:adjustRightInd w:val="0"/>
        <w:rPr>
          <w:rFonts w:cs="Times New Roman"/>
          <w:color w:val="auto"/>
          <w:highlight w:val="none"/>
        </w:rPr>
      </w:pPr>
      <w:bookmarkStart w:id="106" w:name="_Toc30909"/>
      <w:r>
        <w:rPr>
          <w:rFonts w:cs="Times New Roman"/>
          <w:color w:val="auto"/>
          <w:highlight w:val="none"/>
        </w:rPr>
        <w:t>供水工程</w:t>
      </w:r>
      <w:bookmarkEnd w:id="106"/>
    </w:p>
    <w:p w14:paraId="14FB83D4">
      <w:pPr>
        <w:adjustRightInd w:val="0"/>
        <w:ind w:firstLine="480"/>
        <w:rPr>
          <w:rFonts w:cs="Times New Roman"/>
          <w:color w:val="auto"/>
          <w:highlight w:val="none"/>
        </w:rPr>
      </w:pPr>
      <w:r>
        <w:rPr>
          <w:rFonts w:cs="Times New Roman"/>
          <w:color w:val="auto"/>
          <w:highlight w:val="none"/>
        </w:rPr>
        <w:t>本项目给水由乐山市沙湾区华盈水务投资有限公司提供，乐山市沙湾区华盈水务投资有限公司无自来水厂，通过购买乐山市第四水厂的水进行销售。乐山市第四水厂供水能力为10万m</w:t>
      </w:r>
      <w:r>
        <w:rPr>
          <w:rFonts w:cs="Times New Roman"/>
          <w:color w:val="auto"/>
          <w:highlight w:val="none"/>
          <w:vertAlign w:val="superscript"/>
        </w:rPr>
        <w:t>3</w:t>
      </w:r>
      <w:r>
        <w:rPr>
          <w:rFonts w:cs="Times New Roman"/>
          <w:color w:val="auto"/>
          <w:highlight w:val="none"/>
        </w:rPr>
        <w:t>/d，根据调查，2024年平均供水量为8.7万m</w:t>
      </w:r>
      <w:r>
        <w:rPr>
          <w:rFonts w:cs="Times New Roman"/>
          <w:color w:val="auto"/>
          <w:highlight w:val="none"/>
          <w:vertAlign w:val="superscript"/>
        </w:rPr>
        <w:t>3</w:t>
      </w:r>
      <w:r>
        <w:rPr>
          <w:rFonts w:cs="Times New Roman"/>
          <w:color w:val="auto"/>
          <w:highlight w:val="none"/>
        </w:rPr>
        <w:t>/d，2025年未新增大型供水用户，本项目预计用水量约为0.05</w:t>
      </w:r>
      <w:r>
        <w:rPr>
          <w:rFonts w:hint="eastAsia" w:cs="Times New Roman"/>
          <w:color w:val="auto"/>
          <w:highlight w:val="none"/>
        </w:rPr>
        <w:t>万</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/d，乐山市第四水厂的供水能力满足本项目要求。厂区给水主要用于生活、运行及消防等。给水干管管径DN150，厂区内呈环网状</w:t>
      </w:r>
      <w:r>
        <w:rPr>
          <w:rFonts w:hint="eastAsia" w:cs="Times New Roman"/>
          <w:color w:val="auto"/>
          <w:highlight w:val="none"/>
        </w:rPr>
        <w:t>，有</w:t>
      </w:r>
      <w:r>
        <w:rPr>
          <w:rFonts w:cs="Times New Roman"/>
          <w:color w:val="auto"/>
          <w:highlight w:val="none"/>
        </w:rPr>
        <w:t>利于消防和安全供水。</w:t>
      </w:r>
    </w:p>
    <w:p w14:paraId="0FFD21B4">
      <w:pPr>
        <w:pStyle w:val="4"/>
        <w:adjustRightInd w:val="0"/>
        <w:rPr>
          <w:rFonts w:cs="Times New Roman"/>
          <w:color w:val="auto"/>
          <w:highlight w:val="none"/>
        </w:rPr>
      </w:pPr>
      <w:bookmarkStart w:id="107" w:name="_Toc28732"/>
      <w:r>
        <w:rPr>
          <w:rFonts w:cs="Times New Roman"/>
          <w:color w:val="auto"/>
          <w:highlight w:val="none"/>
        </w:rPr>
        <w:t>排水工程</w:t>
      </w:r>
      <w:bookmarkEnd w:id="107"/>
    </w:p>
    <w:p w14:paraId="7D02A704">
      <w:pPr>
        <w:adjustRightInd w:val="0"/>
        <w:ind w:firstLine="480"/>
        <w:rPr>
          <w:rFonts w:cs="Times New Roman"/>
          <w:color w:val="auto"/>
          <w:highlight w:val="none"/>
        </w:rPr>
      </w:pPr>
      <w:r>
        <w:rPr>
          <w:rFonts w:hint="eastAsia" w:cs="Times New Roman"/>
          <w:color w:val="auto"/>
          <w:highlight w:val="none"/>
        </w:rPr>
        <w:t>本项目</w:t>
      </w:r>
      <w:r>
        <w:rPr>
          <w:rFonts w:cs="Times New Roman"/>
          <w:color w:val="auto"/>
          <w:highlight w:val="none"/>
        </w:rPr>
        <w:t>实施雨污分流。雨水排放系统：雨水排入雨水管网</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r>
        <w:rPr>
          <w:rFonts w:hint="eastAsia" w:cs="Times New Roman"/>
          <w:color w:val="auto"/>
          <w:highlight w:val="none"/>
        </w:rPr>
        <w:t>。生产废水包括选矿废水和</w:t>
      </w:r>
      <w:r>
        <w:rPr>
          <w:rFonts w:cs="Times New Roman"/>
          <w:color w:val="auto"/>
          <w:highlight w:val="none"/>
        </w:rPr>
        <w:t>车辆冲洗废水</w:t>
      </w:r>
      <w:r>
        <w:rPr>
          <w:rFonts w:hint="eastAsia" w:cs="Times New Roman"/>
          <w:color w:val="auto"/>
          <w:highlight w:val="none"/>
        </w:rPr>
        <w:t>，</w:t>
      </w:r>
      <w:r>
        <w:rPr>
          <w:rFonts w:cs="Times New Roman"/>
          <w:color w:val="auto"/>
          <w:highlight w:val="none"/>
        </w:rPr>
        <w:t>选矿废水：经1套废水处理设施（一级沉淀池有效容积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、二级沉淀池有效容积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、三级沉淀池有效容积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，其中一级沉淀池设计水力停留时间为5h、二级沉淀池设计水力停留时间为5h，三级沉淀池设计水力停留时间为5h，处理能力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沉淀）处理后回用于湿式磨矿、浮选等工序，不外排</w:t>
      </w:r>
      <w:r>
        <w:rPr>
          <w:rFonts w:hint="eastAsia" w:cs="Times New Roman"/>
          <w:color w:val="auto"/>
          <w:highlight w:val="none"/>
        </w:rPr>
        <w:t>；</w:t>
      </w:r>
      <w:r>
        <w:rPr>
          <w:rFonts w:cs="Times New Roman"/>
          <w:color w:val="auto"/>
          <w:highlight w:val="none"/>
        </w:rPr>
        <w:t>车辆冲洗废水：经</w:t>
      </w:r>
      <w:r>
        <w:rPr>
          <w:rFonts w:hint="eastAsia" w:cs="Times New Roman"/>
          <w:color w:val="auto"/>
          <w:highlight w:val="none"/>
        </w:rPr>
        <w:t>依托的乐山市沙湾区豪沐科技有限公司</w:t>
      </w:r>
      <w:r>
        <w:rPr>
          <w:rFonts w:cs="Times New Roman"/>
          <w:color w:val="auto"/>
          <w:highlight w:val="none"/>
        </w:rPr>
        <w:t>洗车废水沉淀池（50m</w:t>
      </w:r>
      <w:r>
        <w:rPr>
          <w:rFonts w:cs="Times New Roman"/>
          <w:color w:val="auto"/>
          <w:highlight w:val="none"/>
          <w:vertAlign w:val="superscript"/>
        </w:rPr>
        <w:t>3</w:t>
      </w:r>
      <w:r>
        <w:rPr>
          <w:rFonts w:cs="Times New Roman"/>
          <w:color w:val="auto"/>
          <w:highlight w:val="none"/>
        </w:rPr>
        <w:t>）处理后回用于车辆冲洗，不外排</w:t>
      </w:r>
      <w:r>
        <w:rPr>
          <w:rFonts w:hint="eastAsia" w:cs="Times New Roman"/>
          <w:color w:val="auto"/>
          <w:highlight w:val="none"/>
        </w:rPr>
        <w:t>。</w:t>
      </w:r>
      <w:r>
        <w:rPr>
          <w:rFonts w:cs="Times New Roman"/>
          <w:color w:val="auto"/>
          <w:highlight w:val="none"/>
        </w:rPr>
        <w:t>初期雨水：经雨水管道收集后汇入</w:t>
      </w:r>
      <w:r>
        <w:rPr>
          <w:rFonts w:hint="eastAsia" w:cs="Times New Roman"/>
          <w:color w:val="auto"/>
          <w:highlight w:val="none"/>
        </w:rPr>
        <w:t>依托的乐山市沙湾区豪沐科技有限公司</w:t>
      </w:r>
      <w:r>
        <w:rPr>
          <w:rFonts w:cs="Times New Roman"/>
          <w:color w:val="auto"/>
          <w:highlight w:val="none"/>
        </w:rPr>
        <w:t>初期雨水池（600m</w:t>
      </w:r>
      <w:r>
        <w:rPr>
          <w:rFonts w:cs="Times New Roman"/>
          <w:color w:val="auto"/>
          <w:highlight w:val="none"/>
          <w:vertAlign w:val="superscript"/>
        </w:rPr>
        <w:t>3</w:t>
      </w:r>
      <w:r>
        <w:rPr>
          <w:rFonts w:cs="Times New Roman"/>
          <w:color w:val="auto"/>
          <w:highlight w:val="none"/>
        </w:rPr>
        <w:t>），初期雨水经初期雨水池沉淀处理后回用于喷雾降尘，不外排。</w:t>
      </w:r>
    </w:p>
    <w:p w14:paraId="69CE403C">
      <w:pPr>
        <w:pStyle w:val="4"/>
        <w:adjustRightInd w:val="0"/>
        <w:rPr>
          <w:rFonts w:cs="Times New Roman"/>
          <w:color w:val="auto"/>
          <w:highlight w:val="none"/>
        </w:rPr>
      </w:pPr>
      <w:bookmarkStart w:id="108" w:name="_Toc20426"/>
      <w:r>
        <w:rPr>
          <w:rFonts w:cs="Times New Roman"/>
          <w:color w:val="auto"/>
          <w:highlight w:val="none"/>
        </w:rPr>
        <w:t>供电工程</w:t>
      </w:r>
      <w:bookmarkEnd w:id="108"/>
    </w:p>
    <w:p w14:paraId="28831A56">
      <w:pPr>
        <w:adjustRightInd w:val="0"/>
        <w:ind w:firstLine="480"/>
        <w:rPr>
          <w:rFonts w:cs="Times New Roman"/>
          <w:color w:val="auto"/>
          <w:highlight w:val="none"/>
        </w:rPr>
      </w:pPr>
      <w:r>
        <w:rPr>
          <w:rFonts w:cs="Times New Roman"/>
          <w:color w:val="auto"/>
          <w:highlight w:val="none"/>
        </w:rPr>
        <w:t>本项目用电由嘉农变电站提供。本项目设10kV配电室为全厂供电，其10kV电源引自市政电网。配电室内安装1台1600kVA10/0.4kV变压器为低压设备配电。</w:t>
      </w:r>
    </w:p>
    <w:p w14:paraId="4896153B">
      <w:pPr>
        <w:pStyle w:val="4"/>
        <w:adjustRightInd w:val="0"/>
        <w:rPr>
          <w:rFonts w:cs="Times New Roman"/>
          <w:color w:val="auto"/>
          <w:highlight w:val="none"/>
        </w:rPr>
      </w:pPr>
      <w:bookmarkStart w:id="109" w:name="_Toc17898"/>
      <w:r>
        <w:rPr>
          <w:rFonts w:cs="Times New Roman"/>
          <w:color w:val="auto"/>
          <w:highlight w:val="none"/>
        </w:rPr>
        <w:t>消防工程</w:t>
      </w:r>
      <w:bookmarkEnd w:id="109"/>
    </w:p>
    <w:p w14:paraId="40B956EB">
      <w:pPr>
        <w:adjustRightInd w:val="0"/>
        <w:ind w:firstLine="480"/>
        <w:rPr>
          <w:rFonts w:cs="Times New Roman"/>
          <w:color w:val="auto"/>
          <w:highlight w:val="none"/>
        </w:rPr>
      </w:pPr>
      <w:r>
        <w:rPr>
          <w:rFonts w:cs="Times New Roman"/>
          <w:color w:val="auto"/>
          <w:highlight w:val="none"/>
        </w:rPr>
        <w:t>本项目在正常运行情况下，不易发生火灾，本项目不设消防车辆，但要设专职消防人员和必要的消防设施（如灭火器、专用的砂池）以满足消防的要求。根据</w:t>
      </w:r>
      <w:r>
        <w:rPr>
          <w:rFonts w:hint="eastAsia" w:cs="Times New Roman"/>
          <w:color w:val="auto"/>
          <w:highlight w:val="none"/>
        </w:rPr>
        <w:t>“</w:t>
      </w:r>
      <w:r>
        <w:rPr>
          <w:rFonts w:cs="Times New Roman"/>
          <w:color w:val="auto"/>
          <w:highlight w:val="none"/>
        </w:rPr>
        <w:t>预防为主，防消结合</w:t>
      </w:r>
      <w:r>
        <w:rPr>
          <w:rFonts w:hint="eastAsia" w:cs="Times New Roman"/>
          <w:color w:val="auto"/>
          <w:highlight w:val="none"/>
        </w:rPr>
        <w:t>”</w:t>
      </w:r>
      <w:r>
        <w:rPr>
          <w:rFonts w:cs="Times New Roman"/>
          <w:color w:val="auto"/>
          <w:highlight w:val="none"/>
        </w:rPr>
        <w:t>的方针，本项目拟采取相应的防范措施。</w:t>
      </w:r>
    </w:p>
    <w:p w14:paraId="21485116">
      <w:pPr>
        <w:adjustRightInd w:val="0"/>
        <w:ind w:firstLine="480"/>
        <w:rPr>
          <w:rFonts w:cs="Times New Roman"/>
          <w:color w:val="auto"/>
          <w:highlight w:val="none"/>
        </w:rPr>
      </w:pPr>
      <w:r>
        <w:rPr>
          <w:rFonts w:cs="Times New Roman"/>
          <w:color w:val="auto"/>
          <w:highlight w:val="none"/>
        </w:rPr>
        <w:t>厂内主要道路宽4.0~6.0米，道路净空高度不小于4.0m，与厂外道路相连，满足消防车对道路的要求。</w:t>
      </w:r>
    </w:p>
    <w:p w14:paraId="6E5B790E">
      <w:pPr>
        <w:adjustRightInd w:val="0"/>
        <w:ind w:firstLine="480"/>
        <w:rPr>
          <w:rFonts w:cs="Times New Roman"/>
          <w:color w:val="auto"/>
          <w:highlight w:val="none"/>
        </w:rPr>
      </w:pPr>
      <w:r>
        <w:rPr>
          <w:rFonts w:cs="Times New Roman"/>
          <w:color w:val="auto"/>
          <w:highlight w:val="none"/>
        </w:rPr>
        <w:t>厂区内需设置室外消火栓，其水量和水压需满足本项目建设后厂区的消防用水要求，同时在生产厂房等建（构）筑物内分别设置干粉灭火器。</w:t>
      </w:r>
    </w:p>
    <w:p w14:paraId="463FF38A">
      <w:pPr>
        <w:pStyle w:val="3"/>
        <w:adjustRightInd w:val="0"/>
        <w:rPr>
          <w:rFonts w:cs="Times New Roman"/>
          <w:color w:val="auto"/>
          <w:highlight w:val="none"/>
        </w:rPr>
      </w:pPr>
      <w:bookmarkStart w:id="110" w:name="_Toc12383"/>
      <w:r>
        <w:rPr>
          <w:rFonts w:cs="Times New Roman"/>
          <w:color w:val="auto"/>
          <w:highlight w:val="none"/>
        </w:rPr>
        <w:t>项目总平面布置合理性分析</w:t>
      </w:r>
      <w:bookmarkEnd w:id="110"/>
    </w:p>
    <w:p w14:paraId="1E6ECCE0">
      <w:pPr>
        <w:adjustRightInd w:val="0"/>
        <w:ind w:firstLine="480"/>
        <w:rPr>
          <w:rFonts w:cs="Times New Roman"/>
          <w:color w:val="auto"/>
          <w:highlight w:val="none"/>
        </w:rPr>
      </w:pPr>
      <w:r>
        <w:rPr>
          <w:rFonts w:cs="Times New Roman"/>
          <w:color w:val="auto"/>
          <w:highlight w:val="none"/>
        </w:rPr>
        <w:t>本项目选址位于乐山市沙湾区嘉农镇凤凰路1号（四川乐山沙湾经济开发区内），根据项目功能要求和厂房情况，本项目入口位于厂区西南侧，紧邻园区道路，交通便利。项目总体布局上分为生产区、生活区，总体布局上将生产、生活区独立设置，避免相互干扰。</w:t>
      </w:r>
    </w:p>
    <w:p w14:paraId="1BB67BC1">
      <w:pPr>
        <w:adjustRightInd w:val="0"/>
        <w:ind w:firstLine="480"/>
        <w:rPr>
          <w:rFonts w:cs="Times New Roman"/>
          <w:color w:val="auto"/>
          <w:highlight w:val="none"/>
        </w:rPr>
      </w:pPr>
      <w:r>
        <w:rPr>
          <w:rFonts w:cs="Times New Roman"/>
          <w:color w:val="auto"/>
          <w:highlight w:val="none"/>
        </w:rPr>
        <w:t>（1）总平面布置原则</w:t>
      </w:r>
    </w:p>
    <w:p w14:paraId="42B64E70">
      <w:pPr>
        <w:adjustRightInd w:val="0"/>
        <w:ind w:firstLine="480"/>
        <w:rPr>
          <w:rFonts w:cs="Times New Roman"/>
          <w:color w:val="auto"/>
          <w:highlight w:val="none"/>
        </w:rPr>
      </w:pPr>
      <w:r>
        <w:rPr>
          <w:rFonts w:cs="Times New Roman"/>
          <w:color w:val="auto"/>
          <w:highlight w:val="none"/>
        </w:rPr>
        <w:t>厂区总平面布置应符合国家的有关规定及要求，结合场地自然条件及现状，满足生产运输、安全卫生、环境保护等方面的需要；同时考虑企业在生产、交通运输、动力设施、设备维修等方面的协作关系，遵循节约用地的原则，做到生产工艺流程顺畅，通道宽度适中，总图布置合理紧凑，协调统一。</w:t>
      </w:r>
    </w:p>
    <w:p w14:paraId="66EC08C9">
      <w:pPr>
        <w:adjustRightInd w:val="0"/>
        <w:ind w:firstLine="480"/>
        <w:rPr>
          <w:rFonts w:cs="Times New Roman"/>
          <w:color w:val="auto"/>
          <w:highlight w:val="none"/>
        </w:rPr>
      </w:pPr>
      <w:r>
        <w:rPr>
          <w:rFonts w:cs="Times New Roman"/>
          <w:color w:val="auto"/>
          <w:highlight w:val="none"/>
        </w:rPr>
        <w:t>（2）总平面布置</w:t>
      </w:r>
    </w:p>
    <w:p w14:paraId="0819E8A8">
      <w:pPr>
        <w:adjustRightInd w:val="0"/>
        <w:ind w:firstLine="480"/>
        <w:rPr>
          <w:rFonts w:cs="Times New Roman"/>
          <w:color w:val="auto"/>
          <w:highlight w:val="none"/>
        </w:rPr>
      </w:pPr>
      <w:r>
        <w:rPr>
          <w:rFonts w:cs="Times New Roman"/>
          <w:color w:val="auto"/>
          <w:highlight w:val="none"/>
        </w:rPr>
        <w:t>本项目选址位于四川乐山沙湾经济开发区内，生产厂房呈长方形，根据建设单位对拟建场地的使用意图，结合场地外形及生产工艺流程，各项技术指标均符合要求，能够满足不同运输车辆行驶的性能要求。</w:t>
      </w:r>
    </w:p>
    <w:p w14:paraId="64FF1C24">
      <w:pPr>
        <w:adjustRightInd w:val="0"/>
        <w:ind w:firstLine="480"/>
        <w:rPr>
          <w:rFonts w:cs="Times New Roman"/>
          <w:color w:val="auto"/>
          <w:highlight w:val="none"/>
        </w:rPr>
      </w:pPr>
      <w:r>
        <w:rPr>
          <w:rFonts w:cs="Times New Roman"/>
          <w:color w:val="auto"/>
          <w:highlight w:val="none"/>
        </w:rPr>
        <w:t>本项目原矿仓库设置在碎矿车间内东侧，原矿通过封闭胶带输送机运至原料破碎及筛分工序；筛分后的物料经封闭胶带输送机送至磨矿车间，磨矿车间位于厂区中部，主要用于原料磨矿分级；随后通过管道输送至加工车间，加工车间位于厂区中部，主要进行浮选及磁选工序；最终进入压滤车间，压滤车间位于厂区北部，主要用于脱水工序，得到的产品转入精矿仓库。项目生产车间及设施布置充分结合厂房实际情况，项目破碎、筛分工序均在封闭车间内进行，物料通过密闭运输皮带转运，可缩短物料运输距离，减少粉尘产生。</w:t>
      </w:r>
    </w:p>
    <w:p w14:paraId="29E78A3D">
      <w:pPr>
        <w:adjustRightInd w:val="0"/>
        <w:ind w:firstLine="480"/>
        <w:rPr>
          <w:rFonts w:cs="Times New Roman"/>
          <w:color w:val="auto"/>
          <w:highlight w:val="none"/>
        </w:rPr>
      </w:pPr>
      <w:r>
        <w:rPr>
          <w:rFonts w:cs="Times New Roman"/>
          <w:color w:val="auto"/>
          <w:highlight w:val="none"/>
        </w:rPr>
        <w:t>本项目出入口位于厂区西南侧，厂区道路及消防通道采用环形设计，符合厂区整体规划要求。车间内设有通道，能够满足消防、物流及人流通行需求。各生产装置之间、生产装置与公用工程设施之间的管线布置短捷、顺畅，物流路线分区明确。办公区位于厂区主导风向侧风向，可避免由生产带来的污染影响。</w:t>
      </w:r>
    </w:p>
    <w:p w14:paraId="32AF14FC">
      <w:pPr>
        <w:adjustRightInd w:val="0"/>
        <w:ind w:firstLine="480"/>
        <w:rPr>
          <w:rFonts w:cs="Times New Roman"/>
          <w:color w:val="auto"/>
          <w:highlight w:val="none"/>
        </w:rPr>
      </w:pPr>
      <w:r>
        <w:rPr>
          <w:rFonts w:cs="Times New Roman"/>
          <w:color w:val="auto"/>
          <w:highlight w:val="none"/>
        </w:rPr>
        <w:t>本项目的平面布置考虑了与周围环境的相容性，本项目生产车间设置于厂区的东侧，远离敏感点，项目生产过程主要产噪设备、产尘设</w:t>
      </w:r>
      <w:r>
        <w:rPr>
          <w:rFonts w:hint="eastAsia" w:cs="Times New Roman"/>
          <w:color w:val="auto"/>
          <w:highlight w:val="none"/>
        </w:rPr>
        <w:t>备等</w:t>
      </w:r>
      <w:r>
        <w:rPr>
          <w:rFonts w:cs="Times New Roman"/>
          <w:color w:val="auto"/>
          <w:highlight w:val="none"/>
        </w:rPr>
        <w:t>环节均布置在标准厂房内，位于车间中部及东南部，与周围敏感点保持一定距离。本项目所在地主导风向为东南风，项目周围敏感点均位于项目所在地主导风向的侧风向、上风向，本项目生产厂房主导风向下风向处主要为不锈钢生产企业。</w:t>
      </w:r>
    </w:p>
    <w:p w14:paraId="01C4E4B0">
      <w:pPr>
        <w:adjustRightInd w:val="0"/>
        <w:ind w:firstLine="480"/>
        <w:rPr>
          <w:rFonts w:cs="Times New Roman"/>
          <w:color w:val="auto"/>
          <w:highlight w:val="none"/>
        </w:rPr>
      </w:pPr>
      <w:r>
        <w:rPr>
          <w:rFonts w:cs="Times New Roman"/>
          <w:color w:val="auto"/>
          <w:highlight w:val="none"/>
        </w:rPr>
        <w:t>综上所述，本项目总体生产设施平面布置基本合理。</w:t>
      </w:r>
    </w:p>
    <w:p w14:paraId="7985DEF1">
      <w:pPr>
        <w:adjustRightInd w:val="0"/>
        <w:ind w:firstLine="480"/>
        <w:rPr>
          <w:rFonts w:cs="Times New Roman"/>
          <w:color w:val="auto"/>
          <w:highlight w:val="none"/>
        </w:rPr>
      </w:pPr>
      <w:r>
        <w:rPr>
          <w:rFonts w:cs="Times New Roman"/>
          <w:color w:val="auto"/>
          <w:highlight w:val="none"/>
        </w:rPr>
        <w:t>（3）竖向布置</w:t>
      </w:r>
    </w:p>
    <w:p w14:paraId="1FC6CDCC">
      <w:pPr>
        <w:adjustRightInd w:val="0"/>
        <w:ind w:firstLine="480"/>
        <w:rPr>
          <w:rFonts w:cs="Times New Roman"/>
          <w:color w:val="auto"/>
          <w:highlight w:val="none"/>
        </w:rPr>
      </w:pPr>
      <w:r>
        <w:rPr>
          <w:rFonts w:cs="Times New Roman"/>
          <w:color w:val="auto"/>
          <w:highlight w:val="none"/>
        </w:rPr>
        <w:t>竖向设计以有利于场地的雨水排放和物料运输为原则，根据场地自然标高及周边环境确定场地平土标高。结合本项目生产工艺要求，竖向设计拟采用平坡式布置。初期雨水经雨水管道重力自流收集后汇入</w:t>
      </w:r>
      <w:r>
        <w:rPr>
          <w:rFonts w:hint="eastAsia" w:cs="Times New Roman"/>
          <w:color w:val="auto"/>
          <w:highlight w:val="none"/>
        </w:rPr>
        <w:t>依托的乐山市沙湾区豪沐科技有限公司</w:t>
      </w:r>
      <w:r>
        <w:rPr>
          <w:rFonts w:cs="Times New Roman"/>
          <w:color w:val="auto"/>
          <w:highlight w:val="none"/>
        </w:rPr>
        <w:t>初期雨水池（600m</w:t>
      </w:r>
      <w:r>
        <w:rPr>
          <w:rFonts w:cs="Times New Roman"/>
          <w:color w:val="auto"/>
          <w:highlight w:val="none"/>
          <w:vertAlign w:val="superscript"/>
        </w:rPr>
        <w:t>3</w:t>
      </w:r>
      <w:r>
        <w:rPr>
          <w:rFonts w:cs="Times New Roman"/>
          <w:color w:val="auto"/>
          <w:highlight w:val="none"/>
        </w:rPr>
        <w:t>），经沉淀后回用于喷雾降尘，后期雨水汇集后排入市政雨水管网。</w:t>
      </w:r>
    </w:p>
    <w:p w14:paraId="28D1DA76">
      <w:pPr>
        <w:adjustRightInd w:val="0"/>
        <w:ind w:firstLine="480"/>
        <w:rPr>
          <w:rFonts w:cs="Times New Roman"/>
          <w:color w:val="auto"/>
          <w:highlight w:val="none"/>
        </w:rPr>
      </w:pPr>
      <w:r>
        <w:rPr>
          <w:rFonts w:cs="Times New Roman"/>
          <w:color w:val="auto"/>
          <w:highlight w:val="none"/>
        </w:rPr>
        <w:t>（4）环保设施布置合理性</w:t>
      </w:r>
    </w:p>
    <w:p w14:paraId="15B6A20F">
      <w:pPr>
        <w:adjustRightInd w:val="0"/>
        <w:ind w:firstLine="480"/>
        <w:rPr>
          <w:rFonts w:cs="Times New Roman"/>
          <w:color w:val="auto"/>
          <w:highlight w:val="none"/>
        </w:rPr>
      </w:pPr>
      <w:r>
        <w:rPr>
          <w:rFonts w:cs="Times New Roman"/>
          <w:color w:val="auto"/>
          <w:highlight w:val="none"/>
        </w:rPr>
        <w:t>本项目厂区排水采用雨污分流制。本项目生活污水预处理池布置于厂区</w:t>
      </w:r>
      <w:r>
        <w:rPr>
          <w:rFonts w:hint="eastAsia" w:cs="Times New Roman"/>
          <w:color w:val="auto"/>
          <w:highlight w:val="none"/>
        </w:rPr>
        <w:t>西</w:t>
      </w:r>
      <w:r>
        <w:rPr>
          <w:rFonts w:cs="Times New Roman"/>
          <w:color w:val="auto"/>
          <w:highlight w:val="none"/>
        </w:rPr>
        <w:t>南侧，靠近办公区，便于生活污水收集。</w:t>
      </w:r>
      <w:r>
        <w:rPr>
          <w:rFonts w:hint="eastAsia" w:cs="Times New Roman"/>
          <w:color w:val="auto"/>
          <w:highlight w:val="none"/>
        </w:rPr>
        <w:t>生活污水（含食堂废水）：食堂废水经隔油池（1m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标准后外排大渡河；选矿废水经废水处理设施（处理能力280m</w:t>
      </w:r>
      <w:r>
        <w:rPr>
          <w:rFonts w:cs="Times New Roman"/>
          <w:color w:val="auto"/>
          <w:highlight w:val="none"/>
          <w:vertAlign w:val="superscript"/>
        </w:rPr>
        <w:t>3</w:t>
      </w:r>
      <w:r>
        <w:rPr>
          <w:rFonts w:cs="Times New Roman"/>
          <w:color w:val="auto"/>
          <w:highlight w:val="none"/>
        </w:rPr>
        <w:t>/h）絮凝沉淀处理后回用于湿式磨矿、浮选等工序；初期雨水经</w:t>
      </w:r>
      <w:r>
        <w:rPr>
          <w:rFonts w:hint="eastAsia" w:cs="Times New Roman"/>
          <w:color w:val="auto"/>
          <w:highlight w:val="none"/>
        </w:rPr>
        <w:t>依托的乐山市沙湾区豪沐科技有限公司</w:t>
      </w:r>
      <w:r>
        <w:rPr>
          <w:rFonts w:cs="Times New Roman"/>
          <w:color w:val="auto"/>
          <w:highlight w:val="none"/>
        </w:rPr>
        <w:t>初期雨水池沉淀处理后回用于喷雾降尘，不外排；车辆冲洗废水经</w:t>
      </w:r>
      <w:r>
        <w:rPr>
          <w:rFonts w:hint="eastAsia" w:cs="Times New Roman"/>
          <w:color w:val="auto"/>
          <w:highlight w:val="none"/>
        </w:rPr>
        <w:t>依托的乐山市沙湾区豪沐科技有限公司</w:t>
      </w:r>
      <w:r>
        <w:rPr>
          <w:rFonts w:cs="Times New Roman"/>
          <w:color w:val="auto"/>
          <w:highlight w:val="none"/>
        </w:rPr>
        <w:t>沉淀池处理后回用于车辆冲洗，不外排。</w:t>
      </w:r>
    </w:p>
    <w:p w14:paraId="1A73CDFA">
      <w:pPr>
        <w:adjustRightInd w:val="0"/>
        <w:ind w:firstLine="480"/>
        <w:rPr>
          <w:rFonts w:cs="Times New Roman"/>
          <w:color w:val="auto"/>
          <w:highlight w:val="none"/>
        </w:rPr>
      </w:pPr>
      <w:r>
        <w:rPr>
          <w:rFonts w:cs="Times New Roman"/>
          <w:color w:val="auto"/>
          <w:highlight w:val="none"/>
        </w:rPr>
        <w:t>本项目给料、破碎粉尘经收集后统一经1套袋式除尘装置（TA001）处理后经一根15m排气筒（DA001）处理后达标外排</w:t>
      </w:r>
      <w:r>
        <w:rPr>
          <w:rFonts w:hint="eastAsia" w:cs="Times New Roman"/>
          <w:color w:val="auto"/>
          <w:highlight w:val="none"/>
        </w:rPr>
        <w:t>，</w:t>
      </w:r>
      <w:r>
        <w:rPr>
          <w:rFonts w:cs="Times New Roman"/>
          <w:color w:val="auto"/>
          <w:highlight w:val="none"/>
        </w:rPr>
        <w:t>筛分废气经收集后统一经1套袋式除尘装置（TA002）处理后经一根15m排气筒（DA001，共用）处理后达标外排。本项目各生产车间均为封闭车间，并在原矿仓库门口及顶部设置喷雾降尘装置；车辆运输扬尘通过设置洗车池、清洗运输车辆车轮、降低车速、定期洒水降尘、加盖</w:t>
      </w:r>
      <w:r>
        <w:rPr>
          <w:rFonts w:hint="eastAsia" w:cs="Times New Roman"/>
          <w:color w:val="auto"/>
          <w:highlight w:val="none"/>
        </w:rPr>
        <w:t>篷布</w:t>
      </w:r>
      <w:r>
        <w:rPr>
          <w:rFonts w:cs="Times New Roman"/>
          <w:color w:val="auto"/>
          <w:highlight w:val="none"/>
        </w:rPr>
        <w:t>密闭运输等措施控制</w:t>
      </w:r>
      <w:r>
        <w:rPr>
          <w:rFonts w:hint="eastAsia" w:cs="Times New Roman"/>
          <w:color w:val="auto"/>
          <w:highlight w:val="none"/>
        </w:rPr>
        <w:t>；厂区围墙、主要运输道路两侧加装喷雾装置；食堂油烟通过设置一套效率不低于75%的油烟收集净化系统收集治理后通过专用烟道引至楼顶达标排放</w:t>
      </w:r>
      <w:r>
        <w:rPr>
          <w:rFonts w:cs="Times New Roman"/>
          <w:color w:val="auto"/>
          <w:highlight w:val="none"/>
        </w:rPr>
        <w:t>。</w:t>
      </w:r>
    </w:p>
    <w:p w14:paraId="67B1AFF5">
      <w:pPr>
        <w:adjustRightInd w:val="0"/>
        <w:ind w:firstLine="480"/>
        <w:rPr>
          <w:rFonts w:cs="Times New Roman"/>
          <w:color w:val="auto"/>
          <w:highlight w:val="none"/>
        </w:rPr>
      </w:pPr>
      <w:r>
        <w:rPr>
          <w:rFonts w:cs="Times New Roman"/>
          <w:color w:val="auto"/>
          <w:highlight w:val="none"/>
        </w:rPr>
        <w:t>厂区内设置一个面积为</w:t>
      </w:r>
      <w:r>
        <w:rPr>
          <w:rFonts w:hint="eastAsia" w:cs="Times New Roman"/>
          <w:color w:val="auto"/>
          <w:highlight w:val="none"/>
        </w:rPr>
        <w:t>1</w:t>
      </w:r>
      <w:r>
        <w:rPr>
          <w:rFonts w:cs="Times New Roman"/>
          <w:color w:val="auto"/>
          <w:highlight w:val="none"/>
        </w:rPr>
        <w:t>0m</w:t>
      </w:r>
      <w:r>
        <w:rPr>
          <w:rFonts w:cs="Times New Roman"/>
          <w:color w:val="auto"/>
          <w:highlight w:val="none"/>
          <w:vertAlign w:val="superscript"/>
        </w:rPr>
        <w:t>2</w:t>
      </w:r>
      <w:r>
        <w:rPr>
          <w:rFonts w:cs="Times New Roman"/>
          <w:color w:val="auto"/>
          <w:highlight w:val="none"/>
        </w:rPr>
        <w:t>的</w:t>
      </w:r>
      <w:r>
        <w:rPr>
          <w:rFonts w:hint="eastAsia" w:cs="Times New Roman"/>
          <w:color w:val="auto"/>
          <w:highlight w:val="none"/>
        </w:rPr>
        <w:t>危废暂存间</w:t>
      </w:r>
      <w:r>
        <w:rPr>
          <w:rFonts w:cs="Times New Roman"/>
          <w:color w:val="auto"/>
          <w:highlight w:val="none"/>
        </w:rPr>
        <w:t>，并配备生活垃圾桶等一般垃圾收集设施。</w:t>
      </w:r>
    </w:p>
    <w:p w14:paraId="26B8366D">
      <w:pPr>
        <w:adjustRightInd w:val="0"/>
        <w:ind w:firstLine="480"/>
        <w:rPr>
          <w:rFonts w:cs="Times New Roman"/>
          <w:color w:val="auto"/>
          <w:highlight w:val="none"/>
        </w:rPr>
      </w:pPr>
      <w:r>
        <w:rPr>
          <w:rFonts w:cs="Times New Roman"/>
          <w:color w:val="auto"/>
          <w:highlight w:val="none"/>
        </w:rPr>
        <w:t>（5）小结</w:t>
      </w:r>
    </w:p>
    <w:p w14:paraId="040CC712">
      <w:pPr>
        <w:adjustRightInd w:val="0"/>
        <w:ind w:firstLine="480"/>
        <w:rPr>
          <w:rFonts w:cs="Times New Roman"/>
          <w:color w:val="auto"/>
          <w:highlight w:val="none"/>
        </w:rPr>
      </w:pPr>
      <w:r>
        <w:rPr>
          <w:rFonts w:cs="Times New Roman"/>
          <w:color w:val="auto"/>
          <w:highlight w:val="none"/>
        </w:rPr>
        <w:t>本项目车间内生产设备按照工艺顺序布置，有利于原料供给和产品生产，缩短了物流路径，降低了能源消耗。车间内通道能够满足厂区内物流、人行的要求。本项目厂房按封闭式标准化厂房建设，具有一定隔声降噪效果，且有利于废气收集处理，减少无组织废气排放。本项目生产区域与办公生活区域分区合理，互不干扰。项目生产过程主要产污环节均布置在标准厂房内，与周围敏感点有一定距离，项目周围敏感点位于项目所在地主导风向侧风向。</w:t>
      </w:r>
    </w:p>
    <w:p w14:paraId="793DBE59">
      <w:pPr>
        <w:adjustRightInd w:val="0"/>
        <w:ind w:firstLine="480"/>
        <w:rPr>
          <w:rFonts w:cs="Times New Roman"/>
          <w:color w:val="auto"/>
          <w:highlight w:val="none"/>
        </w:rPr>
      </w:pPr>
      <w:r>
        <w:rPr>
          <w:rFonts w:cs="Times New Roman"/>
          <w:color w:val="auto"/>
          <w:highlight w:val="none"/>
        </w:rPr>
        <w:t>综上，本项目平面布置总体布局基本合理，功能分区明确，生产工艺流畅、物流顺畅，环保设施的设置能够满足项目生产环保要求，项目平面布局与周围敏感点有一定距离，可有效减缓对周围敏感点的影响。从环保角度而言，本项目总平面布置合理，总平面及环保设施布置图详见附图。</w:t>
      </w:r>
    </w:p>
    <w:p w14:paraId="50BC611B">
      <w:pPr>
        <w:pStyle w:val="3"/>
        <w:adjustRightInd w:val="0"/>
        <w:rPr>
          <w:rFonts w:cs="Times New Roman"/>
          <w:color w:val="auto"/>
          <w:highlight w:val="none"/>
        </w:rPr>
      </w:pPr>
      <w:bookmarkStart w:id="111" w:name="_Toc10482"/>
      <w:r>
        <w:rPr>
          <w:rFonts w:cs="Times New Roman"/>
          <w:color w:val="auto"/>
          <w:highlight w:val="none"/>
        </w:rPr>
        <w:t>劳动定员及工作制度</w:t>
      </w:r>
      <w:bookmarkEnd w:id="111"/>
    </w:p>
    <w:p w14:paraId="65E61D8D">
      <w:pPr>
        <w:adjustRightInd w:val="0"/>
        <w:ind w:firstLine="480"/>
        <w:rPr>
          <w:rFonts w:cs="Times New Roman"/>
          <w:color w:val="auto"/>
          <w:highlight w:val="none"/>
        </w:rPr>
      </w:pPr>
      <w:r>
        <w:rPr>
          <w:rFonts w:cs="Times New Roman"/>
          <w:color w:val="auto"/>
          <w:highlight w:val="none"/>
        </w:rPr>
        <w:t>（1）劳动定员</w:t>
      </w:r>
    </w:p>
    <w:p w14:paraId="480894C5">
      <w:pPr>
        <w:adjustRightInd w:val="0"/>
        <w:ind w:firstLine="480"/>
        <w:rPr>
          <w:rFonts w:cs="Times New Roman"/>
          <w:color w:val="auto"/>
          <w:highlight w:val="none"/>
        </w:rPr>
      </w:pPr>
      <w:r>
        <w:rPr>
          <w:rFonts w:cs="Times New Roman"/>
          <w:color w:val="auto"/>
          <w:highlight w:val="none"/>
        </w:rPr>
        <w:t>根据运行规模和工艺需要，本项目规划配备劳动定员70人。</w:t>
      </w:r>
    </w:p>
    <w:p w14:paraId="0C402EA6">
      <w:pPr>
        <w:adjustRightInd w:val="0"/>
        <w:ind w:firstLine="480"/>
        <w:rPr>
          <w:rFonts w:cs="Times New Roman"/>
          <w:color w:val="auto"/>
          <w:highlight w:val="none"/>
        </w:rPr>
      </w:pPr>
      <w:r>
        <w:rPr>
          <w:rFonts w:cs="Times New Roman"/>
          <w:color w:val="auto"/>
          <w:highlight w:val="none"/>
        </w:rPr>
        <w:t>（2）工作制度</w:t>
      </w:r>
    </w:p>
    <w:p w14:paraId="154A4B0F">
      <w:pPr>
        <w:adjustRightInd w:val="0"/>
        <w:ind w:firstLine="480"/>
        <w:rPr>
          <w:rFonts w:cs="Times New Roman"/>
          <w:color w:val="auto"/>
          <w:highlight w:val="none"/>
        </w:rPr>
      </w:pPr>
      <w:r>
        <w:rPr>
          <w:rFonts w:cs="Times New Roman"/>
          <w:color w:val="auto"/>
          <w:highlight w:val="none"/>
        </w:rPr>
        <w:t>本项目采取三班制连续运行，每班工作时间8h，其中</w:t>
      </w:r>
      <w:r>
        <w:rPr>
          <w:rFonts w:hint="eastAsia" w:cs="Times New Roman"/>
          <w:color w:val="auto"/>
          <w:highlight w:val="none"/>
        </w:rPr>
        <w:t>给料、</w:t>
      </w:r>
      <w:r>
        <w:rPr>
          <w:rFonts w:cs="Times New Roman"/>
          <w:color w:val="auto"/>
          <w:highlight w:val="none"/>
        </w:rPr>
        <w:t>破碎、筛分工序日工作班次为2班（夜间不生产），其他工序日工作班次为3班，每班工作8小时，年工作</w:t>
      </w:r>
      <w:r>
        <w:rPr>
          <w:rFonts w:hint="eastAsia" w:cs="Times New Roman"/>
          <w:color w:val="auto"/>
          <w:highlight w:val="none"/>
        </w:rPr>
        <w:t>330</w:t>
      </w:r>
      <w:r>
        <w:rPr>
          <w:rFonts w:cs="Times New Roman"/>
          <w:color w:val="auto"/>
          <w:highlight w:val="none"/>
        </w:rPr>
        <w:t>天。</w:t>
      </w:r>
    </w:p>
    <w:p w14:paraId="5E2E2D21">
      <w:pPr>
        <w:adjustRightInd w:val="0"/>
        <w:ind w:firstLine="480"/>
        <w:rPr>
          <w:rFonts w:cs="Times New Roman"/>
          <w:color w:val="auto"/>
          <w:highlight w:val="none"/>
        </w:rPr>
      </w:pPr>
    </w:p>
    <w:p w14:paraId="2C862B0C">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322E3FF4">
      <w:pPr>
        <w:pStyle w:val="2"/>
        <w:adjustRightInd w:val="0"/>
        <w:rPr>
          <w:rFonts w:cs="Times New Roman"/>
          <w:color w:val="auto"/>
          <w:highlight w:val="none"/>
        </w:rPr>
      </w:pPr>
      <w:bookmarkStart w:id="112" w:name="_Toc31763"/>
      <w:r>
        <w:rPr>
          <w:rFonts w:hint="eastAsia" w:cs="Times New Roman"/>
          <w:color w:val="auto"/>
          <w:highlight w:val="none"/>
        </w:rPr>
        <w:t>建设项目</w:t>
      </w:r>
      <w:r>
        <w:rPr>
          <w:rFonts w:cs="Times New Roman"/>
          <w:color w:val="auto"/>
          <w:highlight w:val="none"/>
        </w:rPr>
        <w:t>工程分析</w:t>
      </w:r>
      <w:bookmarkEnd w:id="112"/>
    </w:p>
    <w:p w14:paraId="33585041">
      <w:pPr>
        <w:pStyle w:val="3"/>
        <w:adjustRightInd w:val="0"/>
        <w:rPr>
          <w:rFonts w:cs="Times New Roman"/>
          <w:color w:val="auto"/>
          <w:highlight w:val="none"/>
        </w:rPr>
      </w:pPr>
      <w:bookmarkStart w:id="113" w:name="_Toc24078"/>
      <w:r>
        <w:rPr>
          <w:rFonts w:cs="Times New Roman"/>
          <w:color w:val="auto"/>
          <w:highlight w:val="none"/>
        </w:rPr>
        <w:t>施工期工程分析</w:t>
      </w:r>
      <w:bookmarkEnd w:id="113"/>
    </w:p>
    <w:p w14:paraId="5E0B9492">
      <w:pPr>
        <w:pStyle w:val="4"/>
        <w:adjustRightInd w:val="0"/>
        <w:rPr>
          <w:rFonts w:cs="Times New Roman"/>
          <w:color w:val="auto"/>
          <w:highlight w:val="none"/>
        </w:rPr>
      </w:pPr>
      <w:bookmarkStart w:id="114" w:name="_Toc12344"/>
      <w:r>
        <w:rPr>
          <w:rFonts w:cs="Times New Roman"/>
          <w:color w:val="auto"/>
          <w:highlight w:val="none"/>
        </w:rPr>
        <w:t>施工期生产工艺流程及产污节点分析</w:t>
      </w:r>
      <w:bookmarkEnd w:id="114"/>
    </w:p>
    <w:p w14:paraId="7D4F7F66">
      <w:pPr>
        <w:adjustRightInd w:val="0"/>
        <w:ind w:firstLine="480"/>
        <w:rPr>
          <w:rFonts w:cs="Times New Roman"/>
          <w:color w:val="auto"/>
          <w:highlight w:val="none"/>
        </w:rPr>
      </w:pPr>
      <w:r>
        <w:rPr>
          <w:rFonts w:cs="Times New Roman"/>
          <w:color w:val="auto"/>
          <w:highlight w:val="none"/>
        </w:rPr>
        <w:t>本项目工程施工期间将产生噪声、扬尘、固体废弃物、少量污水和废气等污染物，本项目施工期工艺流程图见下图。</w:t>
      </w:r>
    </w:p>
    <w:p w14:paraId="6DD76E81">
      <w:pPr>
        <w:pStyle w:val="58"/>
        <w:adjustRightInd w:val="0"/>
        <w:rPr>
          <w:rFonts w:ascii="Times New Roman" w:hAnsi="Times New Roman"/>
          <w:color w:val="auto"/>
          <w:highlight w:val="none"/>
        </w:rPr>
      </w:pPr>
      <w:r>
        <w:rPr>
          <w:rFonts w:ascii="Times New Roman" w:hAnsi="Times New Roman"/>
          <w:color w:val="auto"/>
          <w:highlight w:val="none"/>
        </w:rPr>
        <w:object>
          <v:shape id="_x0000_i1028" o:spt="75" type="#_x0000_t75" style="height:168.3pt;width:401.15pt;" o:ole="t" filled="f" o:preferrelative="t" stroked="f" coordsize="21600,21600">
            <v:path/>
            <v:fill on="f" focussize="0,0"/>
            <v:stroke on="f" joinstyle="miter"/>
            <v:imagedata r:id="rId27" o:title=""/>
            <o:lock v:ext="edit" aspectratio="t"/>
            <w10:wrap type="none"/>
            <w10:anchorlock/>
          </v:shape>
          <o:OLEObject Type="Embed" ProgID="Visio.Drawing.11" ShapeID="_x0000_i1028" DrawAspect="Content" ObjectID="_1468075728" r:id="rId26">
            <o:LockedField>false</o:LockedField>
          </o:OLEObject>
        </w:object>
      </w:r>
    </w:p>
    <w:p w14:paraId="7CB72DD7">
      <w:pPr>
        <w:pStyle w:val="12"/>
        <w:adjustRightInd w:val="0"/>
        <w:contextualSpacing/>
        <w:rPr>
          <w:rFonts w:cs="Times New Roman"/>
          <w:color w:val="auto"/>
          <w:szCs w:val="21"/>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szCs w:val="21"/>
          <w:highlight w:val="none"/>
        </w:rPr>
        <w:t>施工期工艺流程及产污物环节图</w:t>
      </w:r>
    </w:p>
    <w:p w14:paraId="1A668F5D">
      <w:pPr>
        <w:adjustRightInd w:val="0"/>
        <w:ind w:firstLine="480"/>
        <w:rPr>
          <w:rFonts w:cs="Times New Roman"/>
          <w:color w:val="auto"/>
          <w:highlight w:val="none"/>
        </w:rPr>
      </w:pPr>
      <w:r>
        <w:rPr>
          <w:rFonts w:cs="Times New Roman"/>
          <w:color w:val="auto"/>
          <w:highlight w:val="none"/>
        </w:rPr>
        <w:t>基础工程包含表土剥离、场地平整及建筑物基坑的挖掘等，主体工程包含道路硬化、厂房修建等，装饰工程包含厂房的装修等，设备进场包含生产设备的安装及调试等，工程验收包含环保验收、安全验收等。</w:t>
      </w:r>
    </w:p>
    <w:p w14:paraId="6B9698CE">
      <w:pPr>
        <w:pStyle w:val="4"/>
        <w:adjustRightInd w:val="0"/>
        <w:rPr>
          <w:rFonts w:cs="Times New Roman"/>
          <w:color w:val="auto"/>
          <w:highlight w:val="none"/>
        </w:rPr>
      </w:pPr>
      <w:bookmarkStart w:id="115" w:name="_Toc533509016"/>
      <w:bookmarkStart w:id="116" w:name="_Toc29406"/>
      <w:r>
        <w:rPr>
          <w:rFonts w:cs="Times New Roman"/>
          <w:color w:val="auto"/>
          <w:highlight w:val="none"/>
        </w:rPr>
        <w:t>施工期主要污染工序</w:t>
      </w:r>
      <w:bookmarkEnd w:id="115"/>
      <w:bookmarkEnd w:id="116"/>
    </w:p>
    <w:p w14:paraId="0B71159E">
      <w:pPr>
        <w:adjustRightInd w:val="0"/>
        <w:ind w:firstLine="480"/>
        <w:rPr>
          <w:rFonts w:cs="Times New Roman"/>
          <w:color w:val="auto"/>
          <w:highlight w:val="none"/>
        </w:rPr>
      </w:pPr>
      <w:r>
        <w:rPr>
          <w:rFonts w:cs="Times New Roman"/>
          <w:color w:val="auto"/>
          <w:highlight w:val="none"/>
        </w:rPr>
        <w:t>本项目的施工主要包括生产厂房以及其他配套设施的建设，以及主体工程建设完成后，建筑的内部装饰、水电等的安装。本项目施工期主要污染工序如下：</w:t>
      </w:r>
    </w:p>
    <w:p w14:paraId="0C570EC4">
      <w:pPr>
        <w:adjustRightInd w:val="0"/>
        <w:ind w:firstLine="482"/>
        <w:rPr>
          <w:rFonts w:cs="Times New Roman"/>
          <w:color w:val="auto"/>
          <w:highlight w:val="none"/>
        </w:rPr>
      </w:pPr>
      <w:r>
        <w:rPr>
          <w:rFonts w:cs="Times New Roman"/>
          <w:b/>
          <w:bCs/>
          <w:color w:val="auto"/>
          <w:highlight w:val="none"/>
        </w:rPr>
        <w:t>废气</w:t>
      </w:r>
      <w:r>
        <w:rPr>
          <w:rFonts w:cs="Times New Roman"/>
          <w:color w:val="auto"/>
          <w:highlight w:val="none"/>
        </w:rPr>
        <w:t>：本工程施工期废气主要</w:t>
      </w:r>
      <w:r>
        <w:rPr>
          <w:rFonts w:hint="eastAsia" w:cs="Times New Roman"/>
          <w:color w:val="auto"/>
          <w:highlight w:val="none"/>
        </w:rPr>
        <w:t>来自</w:t>
      </w:r>
      <w:r>
        <w:rPr>
          <w:rFonts w:cs="Times New Roman"/>
          <w:color w:val="auto"/>
          <w:highlight w:val="none"/>
        </w:rPr>
        <w:t>土石方开挖、回填施工产生的粉尘和材料堆放与运输过程中产生的扬尘；运输车辆、燃油机械的尾气排放产生的废气；以及对构筑物室内外进行装修时（如表面粉刷、油漆、喷涂等）产生的油漆、喷涂废气时产生的有机废气，其特点是排放量小，且属间断性无组织排放。</w:t>
      </w:r>
    </w:p>
    <w:p w14:paraId="02DE29CF">
      <w:pPr>
        <w:adjustRightInd w:val="0"/>
        <w:ind w:firstLine="482"/>
        <w:rPr>
          <w:rFonts w:cs="Times New Roman"/>
          <w:color w:val="auto"/>
          <w:highlight w:val="none"/>
        </w:rPr>
      </w:pPr>
      <w:r>
        <w:rPr>
          <w:rFonts w:cs="Times New Roman"/>
          <w:b/>
          <w:bCs/>
          <w:color w:val="auto"/>
          <w:highlight w:val="none"/>
        </w:rPr>
        <w:t>废水</w:t>
      </w:r>
      <w:r>
        <w:rPr>
          <w:rFonts w:cs="Times New Roman"/>
          <w:color w:val="auto"/>
          <w:highlight w:val="none"/>
        </w:rPr>
        <w:t>：施工期的废水排放主要</w:t>
      </w:r>
      <w:r>
        <w:rPr>
          <w:rFonts w:hint="eastAsia" w:cs="Times New Roman"/>
          <w:color w:val="auto"/>
          <w:highlight w:val="none"/>
        </w:rPr>
        <w:t>来自</w:t>
      </w:r>
      <w:r>
        <w:rPr>
          <w:rFonts w:cs="Times New Roman"/>
          <w:color w:val="auto"/>
          <w:highlight w:val="none"/>
        </w:rPr>
        <w:t>施工废水和建筑施工人员的办公生活污水。施工废水主要为车辆冲洗废水。</w:t>
      </w:r>
    </w:p>
    <w:p w14:paraId="1FF68AF2">
      <w:pPr>
        <w:adjustRightInd w:val="0"/>
        <w:ind w:firstLine="482"/>
        <w:rPr>
          <w:rFonts w:cs="Times New Roman"/>
          <w:color w:val="auto"/>
          <w:highlight w:val="none"/>
        </w:rPr>
      </w:pPr>
      <w:r>
        <w:rPr>
          <w:rFonts w:cs="Times New Roman"/>
          <w:b/>
          <w:bCs/>
          <w:color w:val="auto"/>
          <w:highlight w:val="none"/>
        </w:rPr>
        <w:t>噪声</w:t>
      </w:r>
      <w:r>
        <w:rPr>
          <w:rFonts w:cs="Times New Roman"/>
          <w:color w:val="auto"/>
          <w:highlight w:val="none"/>
        </w:rPr>
        <w:t>：施工期噪声主要</w:t>
      </w:r>
      <w:r>
        <w:rPr>
          <w:rFonts w:hint="eastAsia" w:cs="Times New Roman"/>
          <w:color w:val="auto"/>
          <w:highlight w:val="none"/>
        </w:rPr>
        <w:t>来自</w:t>
      </w:r>
      <w:r>
        <w:rPr>
          <w:rFonts w:cs="Times New Roman"/>
          <w:color w:val="auto"/>
          <w:highlight w:val="none"/>
        </w:rPr>
        <w:t>开挖土方、基础结构、构筑物砌筑、场地清理和修理、装修等使用施工机械的噪声以及施工运输车辆噪声等，噪声值在75~105dB(A)之间。</w:t>
      </w:r>
    </w:p>
    <w:p w14:paraId="503D27DA">
      <w:pPr>
        <w:adjustRightInd w:val="0"/>
        <w:ind w:firstLine="482"/>
        <w:rPr>
          <w:rFonts w:cs="Times New Roman"/>
          <w:color w:val="auto"/>
          <w:highlight w:val="none"/>
        </w:rPr>
      </w:pPr>
      <w:r>
        <w:rPr>
          <w:rFonts w:cs="Times New Roman"/>
          <w:b/>
          <w:bCs/>
          <w:color w:val="auto"/>
          <w:highlight w:val="none"/>
        </w:rPr>
        <w:t>固废</w:t>
      </w:r>
      <w:r>
        <w:rPr>
          <w:rFonts w:cs="Times New Roman"/>
          <w:color w:val="auto"/>
          <w:highlight w:val="none"/>
        </w:rPr>
        <w:t>：工程施工过程中产生的固体废物主要</w:t>
      </w:r>
      <w:r>
        <w:rPr>
          <w:rFonts w:hint="eastAsia" w:cs="Times New Roman"/>
          <w:color w:val="auto"/>
          <w:highlight w:val="none"/>
        </w:rPr>
        <w:t>来自</w:t>
      </w:r>
      <w:r>
        <w:rPr>
          <w:rFonts w:cs="Times New Roman"/>
          <w:color w:val="auto"/>
          <w:highlight w:val="none"/>
        </w:rPr>
        <w:t>基坑开挖产生的土石方、少量的建筑垃圾、施工人员生活垃圾。</w:t>
      </w:r>
    </w:p>
    <w:p w14:paraId="552EC10B">
      <w:pPr>
        <w:pStyle w:val="4"/>
        <w:adjustRightInd w:val="0"/>
        <w:rPr>
          <w:rFonts w:cs="Times New Roman"/>
          <w:color w:val="auto"/>
          <w:highlight w:val="none"/>
        </w:rPr>
      </w:pPr>
      <w:bookmarkStart w:id="117" w:name="_Toc533509017"/>
      <w:bookmarkStart w:id="118" w:name="_Toc23346"/>
      <w:r>
        <w:rPr>
          <w:rFonts w:cs="Times New Roman"/>
          <w:color w:val="auto"/>
          <w:highlight w:val="none"/>
        </w:rPr>
        <w:t>施工期源强及治理措施</w:t>
      </w:r>
      <w:bookmarkEnd w:id="117"/>
      <w:bookmarkEnd w:id="118"/>
    </w:p>
    <w:p w14:paraId="7DB09D95">
      <w:pPr>
        <w:adjustRightInd w:val="0"/>
        <w:ind w:firstLine="480"/>
        <w:rPr>
          <w:rFonts w:cs="Times New Roman"/>
          <w:color w:val="auto"/>
          <w:highlight w:val="none"/>
        </w:rPr>
      </w:pPr>
      <w:r>
        <w:rPr>
          <w:rFonts w:hint="eastAsia"/>
          <w:color w:val="auto"/>
          <w:highlight w:val="none"/>
        </w:rPr>
        <w:t>本项目施工期的污染治理措施通过现场调查获取，</w:t>
      </w:r>
      <w:r>
        <w:rPr>
          <w:rFonts w:cs="Times New Roman"/>
          <w:color w:val="auto"/>
          <w:highlight w:val="none"/>
        </w:rPr>
        <w:t>本项目施工期间，废水主要为生活污水及施工废水。</w:t>
      </w:r>
    </w:p>
    <w:p w14:paraId="7B9A4E1E">
      <w:pPr>
        <w:adjustRightInd w:val="0"/>
        <w:ind w:firstLine="482"/>
        <w:rPr>
          <w:rFonts w:cs="Times New Roman"/>
          <w:b/>
          <w:bCs/>
          <w:color w:val="auto"/>
          <w:highlight w:val="none"/>
        </w:rPr>
      </w:pPr>
      <w:r>
        <w:rPr>
          <w:rFonts w:cs="Times New Roman"/>
          <w:b/>
          <w:bCs/>
          <w:color w:val="auto"/>
          <w:highlight w:val="none"/>
        </w:rPr>
        <w:t>（1）施工废水源强及治理措施</w:t>
      </w:r>
    </w:p>
    <w:p w14:paraId="69B3D1CD">
      <w:pPr>
        <w:adjustRightInd w:val="0"/>
        <w:ind w:firstLine="482"/>
        <w:rPr>
          <w:rFonts w:cs="Times New Roman"/>
          <w:b/>
          <w:bCs/>
          <w:color w:val="auto"/>
          <w:highlight w:val="none"/>
        </w:rPr>
      </w:pPr>
      <w:r>
        <w:rPr>
          <w:rFonts w:cs="Times New Roman"/>
          <w:b/>
          <w:bCs/>
          <w:color w:val="auto"/>
          <w:highlight w:val="none"/>
        </w:rPr>
        <w:t>①生活污水</w:t>
      </w:r>
    </w:p>
    <w:p w14:paraId="32849DE2">
      <w:pPr>
        <w:adjustRightInd w:val="0"/>
        <w:ind w:firstLine="480"/>
        <w:rPr>
          <w:rFonts w:cs="Times New Roman"/>
          <w:color w:val="auto"/>
          <w:highlight w:val="none"/>
        </w:rPr>
      </w:pPr>
      <w:r>
        <w:rPr>
          <w:rFonts w:cs="Times New Roman"/>
          <w:color w:val="auto"/>
          <w:highlight w:val="none"/>
        </w:rPr>
        <w:t>本项目施工期间高峰期人数为50人，参考《四川省用水定额》（川府函〔2021〕8号），嘉农镇人口约2.4万人，属于小型城市，员工生活用水量取160L（人·d），则本项目员工生活用水为9m</w:t>
      </w:r>
      <w:r>
        <w:rPr>
          <w:rFonts w:cs="Times New Roman"/>
          <w:color w:val="auto"/>
          <w:highlight w:val="none"/>
          <w:vertAlign w:val="superscript"/>
        </w:rPr>
        <w:t>3</w:t>
      </w:r>
      <w:r>
        <w:rPr>
          <w:rFonts w:cs="Times New Roman"/>
          <w:color w:val="auto"/>
          <w:highlight w:val="none"/>
        </w:rPr>
        <w:t>/d，污水排放系数按0.85计算，则员工生活污水产生量为7.65m</w:t>
      </w:r>
      <w:r>
        <w:rPr>
          <w:rFonts w:cs="Times New Roman"/>
          <w:color w:val="auto"/>
          <w:highlight w:val="none"/>
          <w:vertAlign w:val="superscript"/>
        </w:rPr>
        <w:t>3</w:t>
      </w:r>
      <w:r>
        <w:rPr>
          <w:rFonts w:cs="Times New Roman"/>
          <w:color w:val="auto"/>
          <w:highlight w:val="none"/>
        </w:rPr>
        <w:t>/d。本项目施工期生活污水依托项目周围</w:t>
      </w:r>
      <w:r>
        <w:rPr>
          <w:rFonts w:hint="eastAsia" w:cs="Times New Roman"/>
          <w:color w:val="auto"/>
          <w:highlight w:val="none"/>
        </w:rPr>
        <w:t>居民房</w:t>
      </w:r>
      <w:r>
        <w:rPr>
          <w:rFonts w:cs="Times New Roman"/>
          <w:color w:val="auto"/>
          <w:highlight w:val="none"/>
        </w:rPr>
        <w:t>化粪池处理后排入园区污水管网。主要污染因子：COD、BOD</w:t>
      </w:r>
      <w:r>
        <w:rPr>
          <w:rFonts w:cs="Times New Roman"/>
          <w:color w:val="auto"/>
          <w:highlight w:val="none"/>
          <w:vertAlign w:val="subscript"/>
        </w:rPr>
        <w:t>5</w:t>
      </w:r>
      <w:r>
        <w:rPr>
          <w:rFonts w:cs="Times New Roman"/>
          <w:color w:val="auto"/>
          <w:highlight w:val="none"/>
        </w:rPr>
        <w:t>、TP、SS、氨氮。</w:t>
      </w:r>
    </w:p>
    <w:p w14:paraId="24A9BCF9">
      <w:pPr>
        <w:adjustRightInd w:val="0"/>
        <w:ind w:firstLine="482"/>
        <w:rPr>
          <w:rFonts w:cs="Times New Roman"/>
          <w:b/>
          <w:bCs/>
          <w:color w:val="auto"/>
          <w:highlight w:val="none"/>
        </w:rPr>
      </w:pPr>
      <w:r>
        <w:rPr>
          <w:rFonts w:cs="Times New Roman"/>
          <w:b/>
          <w:bCs/>
          <w:color w:val="auto"/>
          <w:highlight w:val="none"/>
        </w:rPr>
        <w:t>②施工废水</w:t>
      </w:r>
    </w:p>
    <w:p w14:paraId="1EC35614">
      <w:pPr>
        <w:overflowPunct w:val="0"/>
        <w:adjustRightInd w:val="0"/>
        <w:ind w:firstLine="480"/>
        <w:rPr>
          <w:rFonts w:cs="Times New Roman"/>
          <w:color w:val="auto"/>
          <w:kern w:val="21"/>
          <w:szCs w:val="22"/>
          <w:highlight w:val="none"/>
        </w:rPr>
      </w:pPr>
      <w:r>
        <w:rPr>
          <w:rFonts w:cs="Times New Roman"/>
          <w:color w:val="auto"/>
          <w:highlight w:val="none"/>
        </w:rPr>
        <w:t>施工废水包括车辆冲洗废水等排入简易沉淀池，经过沉淀后回用，不外排；也可考虑用于材料堆场的喷淋防止起尘，或用于出施工区车辆轮胎的清洗，基本上不会对周围环境造成影响。根据《四川省用水定额》（川府函〔2021〕8号）平均每辆运输车辆每次冲洗轮胎用水量为0.1m</w:t>
      </w:r>
      <w:r>
        <w:rPr>
          <w:rFonts w:cs="Times New Roman"/>
          <w:color w:val="auto"/>
          <w:highlight w:val="none"/>
          <w:vertAlign w:val="superscript"/>
        </w:rPr>
        <w:t>3</w:t>
      </w:r>
      <w:r>
        <w:rPr>
          <w:rFonts w:cs="Times New Roman"/>
          <w:color w:val="auto"/>
          <w:highlight w:val="none"/>
        </w:rPr>
        <w:t>。施工期每天运输建材约</w:t>
      </w:r>
      <w:r>
        <w:rPr>
          <w:rFonts w:hint="eastAsia" w:cs="Times New Roman"/>
          <w:color w:val="auto"/>
          <w:highlight w:val="none"/>
        </w:rPr>
        <w:t>2</w:t>
      </w:r>
      <w:r>
        <w:rPr>
          <w:rFonts w:cs="Times New Roman"/>
          <w:color w:val="auto"/>
          <w:highlight w:val="none"/>
        </w:rPr>
        <w:t>00t，本项目每天运输车辆约</w:t>
      </w:r>
      <w:r>
        <w:rPr>
          <w:rFonts w:hint="eastAsia" w:cs="Times New Roman"/>
          <w:color w:val="auto"/>
          <w:highlight w:val="none"/>
        </w:rPr>
        <w:t>1</w:t>
      </w:r>
      <w:r>
        <w:rPr>
          <w:rFonts w:cs="Times New Roman"/>
          <w:color w:val="auto"/>
          <w:highlight w:val="none"/>
        </w:rPr>
        <w:t>0辆，因此本项目施工期车辆冲洗用水量约为</w:t>
      </w:r>
      <w:r>
        <w:rPr>
          <w:rFonts w:hint="eastAsia" w:cs="Times New Roman"/>
          <w:color w:val="auto"/>
          <w:highlight w:val="none"/>
        </w:rPr>
        <w:t>1</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/d。本项目车辆冲洗废水产污系数按85%计，因此本项目车辆冲洗废水产生量为</w:t>
      </w:r>
      <w:r>
        <w:rPr>
          <w:rFonts w:hint="eastAsia" w:cs="Times New Roman"/>
          <w:color w:val="auto"/>
          <w:highlight w:val="none"/>
        </w:rPr>
        <w:t>850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w:t>
      </w:r>
      <w:r>
        <w:rPr>
          <w:rFonts w:hint="eastAsia" w:cs="Times New Roman"/>
          <w:color w:val="auto"/>
          <w:highlight w:val="none"/>
        </w:rPr>
        <w:t>2.83</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r>
        <w:rPr>
          <w:rFonts w:cs="Times New Roman"/>
          <w:color w:val="auto"/>
          <w:kern w:val="21"/>
          <w:szCs w:val="22"/>
          <w:highlight w:val="none"/>
        </w:rPr>
        <w:t>。主要污染因子为SS、石油类。</w:t>
      </w:r>
    </w:p>
    <w:p w14:paraId="46CA0AE4">
      <w:pPr>
        <w:adjustRightInd w:val="0"/>
        <w:ind w:firstLine="482"/>
        <w:rPr>
          <w:rFonts w:cs="Times New Roman"/>
          <w:b/>
          <w:bCs/>
          <w:color w:val="auto"/>
          <w:highlight w:val="none"/>
        </w:rPr>
      </w:pPr>
      <w:r>
        <w:rPr>
          <w:rFonts w:cs="Times New Roman"/>
          <w:b/>
          <w:bCs/>
          <w:color w:val="auto"/>
          <w:highlight w:val="none"/>
        </w:rPr>
        <w:t>（2）施工废气源强及治理措施</w:t>
      </w:r>
    </w:p>
    <w:p w14:paraId="5010AD8F">
      <w:pPr>
        <w:adjustRightInd w:val="0"/>
        <w:ind w:firstLine="480"/>
        <w:rPr>
          <w:rFonts w:cs="Times New Roman"/>
          <w:color w:val="auto"/>
          <w:highlight w:val="none"/>
        </w:rPr>
      </w:pPr>
      <w:r>
        <w:rPr>
          <w:rFonts w:cs="Times New Roman"/>
          <w:color w:val="auto"/>
          <w:highlight w:val="none"/>
        </w:rPr>
        <w:t>本项目在施工期间对周围大气环境有影响的主要因素是：施工过</w:t>
      </w:r>
      <w:r>
        <w:rPr>
          <w:rFonts w:hint="eastAsia" w:cs="Times New Roman"/>
          <w:color w:val="auto"/>
          <w:highlight w:val="none"/>
        </w:rPr>
        <w:t>程中</w:t>
      </w:r>
      <w:r>
        <w:rPr>
          <w:rFonts w:cs="Times New Roman"/>
          <w:color w:val="auto"/>
          <w:highlight w:val="none"/>
        </w:rPr>
        <w:t>产生的扬尘、运输车辆的汽车尾气及后期装修废气。</w:t>
      </w:r>
    </w:p>
    <w:p w14:paraId="2ADF33E6">
      <w:pPr>
        <w:adjustRightInd w:val="0"/>
        <w:ind w:firstLine="482"/>
        <w:rPr>
          <w:rFonts w:cs="Times New Roman"/>
          <w:b/>
          <w:bCs/>
          <w:color w:val="auto"/>
          <w:highlight w:val="none"/>
        </w:rPr>
      </w:pPr>
      <w:r>
        <w:rPr>
          <w:rFonts w:cs="Times New Roman"/>
          <w:b/>
          <w:bCs/>
          <w:color w:val="auto"/>
          <w:highlight w:val="none"/>
        </w:rPr>
        <w:t>①施工扬尘</w:t>
      </w:r>
    </w:p>
    <w:p w14:paraId="4FD6B613">
      <w:pPr>
        <w:adjustRightInd w:val="0"/>
        <w:ind w:firstLine="480"/>
        <w:rPr>
          <w:rFonts w:cs="Times New Roman"/>
          <w:color w:val="auto"/>
          <w:highlight w:val="none"/>
        </w:rPr>
      </w:pPr>
      <w:r>
        <w:rPr>
          <w:rFonts w:cs="Times New Roman"/>
          <w:color w:val="auto"/>
          <w:highlight w:val="none"/>
        </w:rPr>
        <w:t>施工中由于挖方、填方，水泥、</w:t>
      </w:r>
      <w:r>
        <w:rPr>
          <w:rFonts w:hint="eastAsia" w:cs="Times New Roman"/>
          <w:color w:val="auto"/>
          <w:highlight w:val="none"/>
        </w:rPr>
        <w:t>砂石</w:t>
      </w:r>
      <w:r>
        <w:rPr>
          <w:rFonts w:cs="Times New Roman"/>
          <w:color w:val="auto"/>
          <w:highlight w:val="none"/>
        </w:rPr>
        <w:t>等的装卸、运输过程中有大量尘埃散逸到周围环境空气中。物料堆放期间由于风吹等都会引起扬尘污染，尤其是在风速较大和汽车行驶速度较快的情况下，扬尘的污染尤其严重。</w:t>
      </w:r>
      <w:r>
        <w:rPr>
          <w:rFonts w:cs="Times New Roman"/>
          <w:b/>
          <w:bCs/>
          <w:color w:val="auto"/>
          <w:highlight w:val="none"/>
        </w:rPr>
        <w:t>环评要求施工方采取如下的防治措施</w:t>
      </w:r>
      <w:r>
        <w:rPr>
          <w:rFonts w:cs="Times New Roman"/>
          <w:color w:val="auto"/>
          <w:highlight w:val="none"/>
        </w:rPr>
        <w:t>：</w:t>
      </w:r>
    </w:p>
    <w:p w14:paraId="7B13E797">
      <w:pPr>
        <w:adjustRightInd w:val="0"/>
        <w:ind w:firstLine="480"/>
        <w:rPr>
          <w:rFonts w:cs="Times New Roman"/>
          <w:color w:val="auto"/>
          <w:szCs w:val="22"/>
          <w:highlight w:val="none"/>
        </w:rPr>
      </w:pPr>
      <w:r>
        <w:rPr>
          <w:rFonts w:cs="Times New Roman"/>
          <w:color w:val="auto"/>
          <w:szCs w:val="22"/>
          <w:highlight w:val="none"/>
        </w:rPr>
        <w:t>A建筑工地应按规定实行封闭施工，施工现场沿四周连续设置安全可靠的封闭围挡，规格统一、整洁美观。围挡应选用装配式硬质（彩钢）围挡或者砌体式围墙，不得使用彩色编织布、竹笆或者安全网等易变形材料。围挡宜采用可重复利用的材料。围挡底部应当密封，设置防溢措施，避免泥浆外漏。</w:t>
      </w:r>
    </w:p>
    <w:p w14:paraId="45A89340">
      <w:pPr>
        <w:adjustRightInd w:val="0"/>
        <w:ind w:firstLine="480"/>
        <w:rPr>
          <w:rFonts w:cs="Times New Roman"/>
          <w:color w:val="auto"/>
          <w:szCs w:val="22"/>
          <w:highlight w:val="none"/>
        </w:rPr>
      </w:pPr>
      <w:r>
        <w:rPr>
          <w:rFonts w:cs="Times New Roman"/>
          <w:color w:val="auto"/>
          <w:szCs w:val="22"/>
          <w:highlight w:val="none"/>
        </w:rPr>
        <w:t>B施工出入口大门，应采用防锈铁门或者电动门，大门两侧设立柱，大门应做到美观、整洁。车辆出入口内部应设置车辆冲洗设施，车辆冲洗干净方可出门，严禁带泥出场。</w:t>
      </w:r>
    </w:p>
    <w:p w14:paraId="6F25E0C7">
      <w:pPr>
        <w:adjustRightInd w:val="0"/>
        <w:ind w:firstLine="480"/>
        <w:rPr>
          <w:rFonts w:cs="Times New Roman"/>
          <w:color w:val="auto"/>
          <w:szCs w:val="22"/>
          <w:highlight w:val="none"/>
        </w:rPr>
      </w:pPr>
      <w:r>
        <w:rPr>
          <w:rFonts w:cs="Times New Roman"/>
          <w:color w:val="auto"/>
          <w:szCs w:val="22"/>
          <w:highlight w:val="none"/>
        </w:rPr>
        <w:t>C建筑工地出入口、主要道路、材料堆放和加工场地，以及生活区、办公区的道路与场地应进行硬化。主要施工道路宜采取永久道路和临时道路相结合，科学合理地布置。建筑工地内使用期不超过3个月的临时通道宜进行压实处理，根据实际情况定期进行洒水保湿，以保持现场积尘处于低负荷状态。</w:t>
      </w:r>
    </w:p>
    <w:p w14:paraId="1B2D2D07">
      <w:pPr>
        <w:adjustRightInd w:val="0"/>
        <w:ind w:firstLine="480"/>
        <w:rPr>
          <w:rFonts w:cs="Times New Roman"/>
          <w:color w:val="auto"/>
          <w:szCs w:val="22"/>
          <w:highlight w:val="none"/>
        </w:rPr>
      </w:pPr>
      <w:r>
        <w:rPr>
          <w:rFonts w:cs="Times New Roman"/>
          <w:color w:val="auto"/>
          <w:szCs w:val="22"/>
          <w:highlight w:val="none"/>
        </w:rPr>
        <w:t>D建筑工地裸土应进行覆盖。超过3个月不动的裸土、堆土应进行绿化复绿或者遮盖。作业现场临时堆放的建筑垃圾应进行覆盖或者装袋存放，露天堆放的建筑垃圾应进行覆盖并及时清运出场。易起尘物料应进行覆盖或者封闭存放，粉状材料应封闭存放。不起尘材料和因工艺需要或者保证质量安全等特殊要求下存在的裸土，可不进行覆盖。</w:t>
      </w:r>
    </w:p>
    <w:p w14:paraId="2F252D67">
      <w:pPr>
        <w:adjustRightInd w:val="0"/>
        <w:ind w:firstLine="480"/>
        <w:rPr>
          <w:rFonts w:cs="Times New Roman"/>
          <w:color w:val="auto"/>
          <w:szCs w:val="22"/>
          <w:highlight w:val="none"/>
        </w:rPr>
      </w:pPr>
      <w:r>
        <w:rPr>
          <w:rFonts w:cs="Times New Roman"/>
          <w:color w:val="auto"/>
          <w:szCs w:val="22"/>
          <w:highlight w:val="none"/>
        </w:rPr>
        <w:t>E建筑工地进行易产生扬尘的施工作业时，应采取喷淋、洒水等湿法降尘措施。主要施工道路、场地进行清洁时，应采取湿法清扫措施。施工单位应对施工道路、场地以及临时通道进行定期洒水保湿，保持路面不起尘。建筑物室内清理时，除有特殊工艺要求或者质量要求的建筑物外，应湿法清扫不起尘。风力达到四级及以上时，禁止进行易产生扬尘的作业。建筑工地进行施工作业时，应在作业全过程开启现场湿法降尘设施，进行湿法作业（雨、雪天气时除外）。</w:t>
      </w:r>
    </w:p>
    <w:p w14:paraId="404B8350">
      <w:pPr>
        <w:adjustRightInd w:val="0"/>
        <w:ind w:firstLine="480"/>
        <w:rPr>
          <w:rFonts w:cs="Times New Roman"/>
          <w:color w:val="auto"/>
          <w:szCs w:val="22"/>
          <w:highlight w:val="none"/>
        </w:rPr>
      </w:pPr>
      <w:r>
        <w:rPr>
          <w:rFonts w:cs="Times New Roman"/>
          <w:color w:val="auto"/>
          <w:szCs w:val="22"/>
          <w:highlight w:val="none"/>
        </w:rPr>
        <w:t>F建筑工地应设置封闭存储库房对危险化学品和含挥发性有机物（VOCs）材料进行封闭存储。易产生扬尘、排放烟气和排放VOCs气体的材料加工作业应进行封闭作业，宜设置封闭作业加工棚。</w:t>
      </w:r>
    </w:p>
    <w:p w14:paraId="2BF96510">
      <w:pPr>
        <w:adjustRightInd w:val="0"/>
        <w:ind w:firstLine="480"/>
        <w:rPr>
          <w:rFonts w:cs="Times New Roman"/>
          <w:color w:val="auto"/>
          <w:szCs w:val="22"/>
          <w:highlight w:val="none"/>
        </w:rPr>
      </w:pPr>
      <w:r>
        <w:rPr>
          <w:rFonts w:cs="Times New Roman"/>
          <w:color w:val="auto"/>
          <w:szCs w:val="22"/>
          <w:highlight w:val="none"/>
        </w:rPr>
        <w:t>G建筑工地内宜设置建筑垃圾临时堆放场地，采取覆盖或者密闭措施。建筑垃圾不得混入生活垃圾中堆放、处置。建筑垃圾宜进行分类收集，易产生扬尘的建筑垃圾应及时湿润或者采取装袋、覆盖等防尘措施。风力达到四级及以上天气时，应停止建筑垃圾清理和运输。严禁现场烧建筑垃圾。</w:t>
      </w:r>
    </w:p>
    <w:p w14:paraId="19A6D7DA">
      <w:pPr>
        <w:adjustRightInd w:val="0"/>
        <w:ind w:firstLine="480"/>
        <w:rPr>
          <w:rFonts w:cs="Times New Roman"/>
          <w:color w:val="auto"/>
          <w:highlight w:val="none"/>
        </w:rPr>
      </w:pPr>
      <w:r>
        <w:rPr>
          <w:rFonts w:cs="Times New Roman"/>
          <w:color w:val="auto"/>
          <w:highlight w:val="none"/>
        </w:rPr>
        <w:t>采取以上措施后，项目施工期对周边环境影响较小。</w:t>
      </w:r>
    </w:p>
    <w:p w14:paraId="30B39326">
      <w:pPr>
        <w:adjustRightInd w:val="0"/>
        <w:ind w:firstLine="482"/>
        <w:rPr>
          <w:rFonts w:cs="Times New Roman"/>
          <w:b/>
          <w:bCs/>
          <w:color w:val="auto"/>
          <w:highlight w:val="none"/>
        </w:rPr>
      </w:pPr>
      <w:r>
        <w:rPr>
          <w:rFonts w:cs="Times New Roman"/>
          <w:b/>
          <w:bCs/>
          <w:color w:val="auto"/>
          <w:highlight w:val="none"/>
        </w:rPr>
        <w:t>②施工机械废气</w:t>
      </w:r>
    </w:p>
    <w:p w14:paraId="7420E12F">
      <w:pPr>
        <w:adjustRightInd w:val="0"/>
        <w:ind w:firstLine="480"/>
        <w:rPr>
          <w:rFonts w:cs="Times New Roman"/>
          <w:color w:val="auto"/>
          <w:highlight w:val="none"/>
        </w:rPr>
      </w:pPr>
      <w:r>
        <w:rPr>
          <w:rFonts w:cs="Times New Roman"/>
          <w:color w:val="auto"/>
          <w:highlight w:val="none"/>
        </w:rPr>
        <w:t>项目在施工过程中所需工具、建筑材料、土方的运输汽车以及一些动力设备会排放少量NOx、CO和THC，对大气环境也有一定影响。但由于燃油废气产生量较小，属间断性、分散性排放，基本可不考虑其影响。针对燃油废气在不采取措施的情况下即可达标，</w:t>
      </w:r>
      <w:r>
        <w:rPr>
          <w:rFonts w:cs="Times New Roman"/>
          <w:b/>
          <w:bCs/>
          <w:color w:val="auto"/>
          <w:highlight w:val="none"/>
        </w:rPr>
        <w:t>本环评对此提出如下建议</w:t>
      </w:r>
      <w:r>
        <w:rPr>
          <w:rFonts w:cs="Times New Roman"/>
          <w:color w:val="auto"/>
          <w:highlight w:val="none"/>
        </w:rPr>
        <w:t>：施工单位尽量选用专业作业车辆，</w:t>
      </w:r>
      <w:r>
        <w:rPr>
          <w:rFonts w:hint="eastAsia" w:cs="Times New Roman"/>
          <w:color w:val="auto"/>
          <w:highlight w:val="none"/>
        </w:rPr>
        <w:t>选择</w:t>
      </w:r>
      <w:r>
        <w:rPr>
          <w:rFonts w:cs="Times New Roman"/>
          <w:color w:val="auto"/>
          <w:highlight w:val="none"/>
        </w:rPr>
        <w:t>优质设备和燃油，加强设备和运输车辆的检修和维护，进一步减少施工过程对周围空气环境的影响。</w:t>
      </w:r>
    </w:p>
    <w:p w14:paraId="2C6BB3BF">
      <w:pPr>
        <w:adjustRightInd w:val="0"/>
        <w:ind w:firstLine="482"/>
        <w:rPr>
          <w:rFonts w:cs="Times New Roman"/>
          <w:b/>
          <w:bCs/>
          <w:color w:val="auto"/>
          <w:highlight w:val="none"/>
        </w:rPr>
      </w:pPr>
      <w:r>
        <w:rPr>
          <w:rFonts w:cs="Times New Roman"/>
          <w:b/>
          <w:bCs/>
          <w:color w:val="auto"/>
          <w:highlight w:val="none"/>
        </w:rPr>
        <w:t>③后期装修废气</w:t>
      </w:r>
    </w:p>
    <w:p w14:paraId="3ADB80FA">
      <w:pPr>
        <w:adjustRightInd w:val="0"/>
        <w:ind w:firstLine="480"/>
        <w:rPr>
          <w:rFonts w:cs="Times New Roman"/>
          <w:color w:val="auto"/>
          <w:highlight w:val="none"/>
        </w:rPr>
      </w:pPr>
      <w:r>
        <w:rPr>
          <w:rFonts w:cs="Times New Roman"/>
          <w:color w:val="auto"/>
          <w:highlight w:val="none"/>
        </w:rPr>
        <w:t>施工期的其它废气主要来自墙体的粉刷及</w:t>
      </w:r>
      <w:r>
        <w:rPr>
          <w:rFonts w:hint="eastAsia" w:cs="Times New Roman"/>
          <w:color w:val="auto"/>
          <w:highlight w:val="none"/>
        </w:rPr>
        <w:t>室内</w:t>
      </w:r>
      <w:r>
        <w:rPr>
          <w:rFonts w:cs="Times New Roman"/>
          <w:color w:val="auto"/>
          <w:highlight w:val="none"/>
        </w:rPr>
        <w:t>装修所用的涂料和油漆中的有机废气，属无组织排放。由于各类用房的性质不同，所以油漆的消耗量也不相同，再加上装修的时间有先后，因此该废气的排放对周围环境的影响也较难确定源强。本报告只对该废气</w:t>
      </w:r>
      <w:r>
        <w:rPr>
          <w:rFonts w:hint="eastAsia" w:cs="Times New Roman"/>
          <w:color w:val="auto"/>
          <w:highlight w:val="none"/>
        </w:rPr>
        <w:t>做</w:t>
      </w:r>
      <w:r>
        <w:rPr>
          <w:rFonts w:cs="Times New Roman"/>
          <w:color w:val="auto"/>
          <w:highlight w:val="none"/>
        </w:rPr>
        <w:t>一般性估算。</w:t>
      </w:r>
    </w:p>
    <w:p w14:paraId="11EFC174">
      <w:pPr>
        <w:adjustRightInd w:val="0"/>
        <w:ind w:firstLine="480"/>
        <w:rPr>
          <w:rFonts w:cs="Times New Roman"/>
          <w:color w:val="auto"/>
          <w:highlight w:val="none"/>
        </w:rPr>
      </w:pPr>
      <w:r>
        <w:rPr>
          <w:rFonts w:cs="Times New Roman"/>
          <w:color w:val="auto"/>
          <w:highlight w:val="none"/>
        </w:rPr>
        <w:t>据多家装修公司的调查统计，一般情况下使用面积100m</w:t>
      </w:r>
      <w:r>
        <w:rPr>
          <w:rFonts w:cs="Times New Roman"/>
          <w:color w:val="auto"/>
          <w:highlight w:val="none"/>
          <w:vertAlign w:val="superscript"/>
        </w:rPr>
        <w:t>2</w:t>
      </w:r>
      <w:r>
        <w:rPr>
          <w:rFonts w:cs="Times New Roman"/>
          <w:color w:val="auto"/>
          <w:highlight w:val="none"/>
        </w:rPr>
        <w:t>的房屋装修时需消耗油漆10</w:t>
      </w:r>
      <w:r>
        <w:rPr>
          <w:rFonts w:hint="eastAsia" w:cs="Times New Roman"/>
          <w:color w:val="auto"/>
          <w:highlight w:val="none"/>
        </w:rPr>
        <w:t>组分</w:t>
      </w:r>
      <w:r>
        <w:rPr>
          <w:rFonts w:cs="Times New Roman"/>
          <w:color w:val="auto"/>
          <w:highlight w:val="none"/>
        </w:rPr>
        <w:t>左右（包括地板漆、墙面漆、家具漆等），每组份油漆约7kg。油漆</w:t>
      </w:r>
      <w:r>
        <w:rPr>
          <w:rFonts w:hint="eastAsia" w:cs="Times New Roman"/>
          <w:color w:val="auto"/>
          <w:highlight w:val="none"/>
        </w:rPr>
        <w:t>的成分</w:t>
      </w:r>
      <w:r>
        <w:rPr>
          <w:rFonts w:cs="Times New Roman"/>
          <w:color w:val="auto"/>
          <w:highlight w:val="none"/>
        </w:rPr>
        <w:t>比较复杂，随不同的种类和厂家而不同。油漆挥发成废气的含量约为油漆量的10%。</w:t>
      </w:r>
    </w:p>
    <w:p w14:paraId="35DD2F52">
      <w:pPr>
        <w:adjustRightInd w:val="0"/>
        <w:ind w:firstLine="480"/>
        <w:rPr>
          <w:rFonts w:cs="Times New Roman"/>
          <w:color w:val="auto"/>
          <w:highlight w:val="none"/>
        </w:rPr>
      </w:pPr>
      <w:r>
        <w:rPr>
          <w:rFonts w:cs="Times New Roman"/>
          <w:color w:val="auto"/>
          <w:highlight w:val="none"/>
        </w:rPr>
        <w:t>为防止装修废气对周围环境的影响，特提出如下措施：</w:t>
      </w:r>
    </w:p>
    <w:p w14:paraId="016D2EC4">
      <w:pPr>
        <w:adjustRightInd w:val="0"/>
        <w:ind w:firstLine="480"/>
        <w:rPr>
          <w:rFonts w:cs="Times New Roman"/>
          <w:color w:val="auto"/>
          <w:highlight w:val="none"/>
        </w:rPr>
      </w:pPr>
      <w:r>
        <w:rPr>
          <w:rFonts w:cs="Times New Roman"/>
          <w:color w:val="auto"/>
          <w:highlight w:val="none"/>
        </w:rPr>
        <w:t>A.环评建议使用水性漆，降低油漆废气对周围环境的影响。</w:t>
      </w:r>
    </w:p>
    <w:p w14:paraId="54A7BDBD">
      <w:pPr>
        <w:adjustRightInd w:val="0"/>
        <w:ind w:firstLine="480"/>
        <w:rPr>
          <w:rFonts w:cs="Times New Roman"/>
          <w:color w:val="auto"/>
          <w:highlight w:val="none"/>
        </w:rPr>
      </w:pPr>
      <w:r>
        <w:rPr>
          <w:rFonts w:cs="Times New Roman"/>
          <w:color w:val="auto"/>
          <w:highlight w:val="none"/>
        </w:rPr>
        <w:t>B.在装修工程施工中，施工人员应配备必要的防护装备和保证足够的通风量，避免具有刺激性气味的物质或可被人体吸入的粉尘、纤维等对施工人员身体健康造成危害。</w:t>
      </w:r>
    </w:p>
    <w:p w14:paraId="4226DFC4">
      <w:pPr>
        <w:adjustRightInd w:val="0"/>
        <w:ind w:firstLine="480"/>
        <w:rPr>
          <w:rFonts w:cs="Times New Roman"/>
          <w:color w:val="auto"/>
          <w:highlight w:val="none"/>
        </w:rPr>
      </w:pPr>
      <w:r>
        <w:rPr>
          <w:rFonts w:cs="Times New Roman"/>
          <w:color w:val="auto"/>
          <w:highlight w:val="none"/>
        </w:rPr>
        <w:t>C.在施工装修</w:t>
      </w:r>
      <w:r>
        <w:rPr>
          <w:rFonts w:hint="eastAsia" w:cs="Times New Roman"/>
          <w:color w:val="auto"/>
          <w:highlight w:val="none"/>
        </w:rPr>
        <w:t>期间</w:t>
      </w:r>
      <w:r>
        <w:rPr>
          <w:rFonts w:cs="Times New Roman"/>
          <w:color w:val="auto"/>
          <w:highlight w:val="none"/>
        </w:rPr>
        <w:t>，涂料及装修材料的选取应按照《室内装修材料10项有害物质限量》规定进行，油漆结束完成以后，也应每天进行通风换气，所以运营后也要注意室内空气的流畅。</w:t>
      </w:r>
    </w:p>
    <w:p w14:paraId="68633AEB">
      <w:pPr>
        <w:adjustRightInd w:val="0"/>
        <w:ind w:firstLine="482"/>
        <w:rPr>
          <w:rFonts w:cs="Times New Roman"/>
          <w:b/>
          <w:bCs/>
          <w:color w:val="auto"/>
          <w:highlight w:val="none"/>
        </w:rPr>
      </w:pPr>
      <w:r>
        <w:rPr>
          <w:rFonts w:cs="Times New Roman"/>
          <w:b/>
          <w:bCs/>
          <w:color w:val="auto"/>
          <w:highlight w:val="none"/>
        </w:rPr>
        <w:t>（3）施工期噪声源强核算及治理措施</w:t>
      </w:r>
    </w:p>
    <w:p w14:paraId="41D8259C">
      <w:pPr>
        <w:adjustRightInd w:val="0"/>
        <w:ind w:firstLine="480"/>
        <w:rPr>
          <w:rFonts w:cs="Times New Roman"/>
          <w:color w:val="auto"/>
          <w:highlight w:val="none"/>
        </w:rPr>
      </w:pPr>
      <w:r>
        <w:rPr>
          <w:rFonts w:cs="Times New Roman"/>
          <w:color w:val="auto"/>
          <w:highlight w:val="none"/>
        </w:rPr>
        <w:t>在施工期间，主要作业机械挖掘机</w:t>
      </w:r>
      <w:r>
        <w:rPr>
          <w:rFonts w:hint="eastAsia" w:cs="Times New Roman"/>
          <w:color w:val="auto"/>
          <w:highlight w:val="none"/>
        </w:rPr>
        <w:t>、</w:t>
      </w:r>
      <w:r>
        <w:rPr>
          <w:rFonts w:cs="Times New Roman"/>
          <w:color w:val="auto"/>
          <w:highlight w:val="none"/>
        </w:rPr>
        <w:t>打桩机</w:t>
      </w:r>
      <w:r>
        <w:rPr>
          <w:rFonts w:hint="eastAsia" w:cs="Times New Roman"/>
          <w:color w:val="auto"/>
          <w:highlight w:val="none"/>
        </w:rPr>
        <w:t>、</w:t>
      </w:r>
      <w:r>
        <w:rPr>
          <w:rFonts w:cs="Times New Roman"/>
          <w:color w:val="auto"/>
          <w:highlight w:val="none"/>
        </w:rPr>
        <w:t>摇臂式起重机</w:t>
      </w:r>
      <w:r>
        <w:rPr>
          <w:rFonts w:hint="eastAsia" w:cs="Times New Roman"/>
          <w:color w:val="auto"/>
          <w:highlight w:val="none"/>
        </w:rPr>
        <w:t>、</w:t>
      </w:r>
      <w:r>
        <w:rPr>
          <w:rFonts w:cs="Times New Roman"/>
          <w:color w:val="auto"/>
          <w:highlight w:val="none"/>
        </w:rPr>
        <w:t>推土机</w:t>
      </w:r>
      <w:r>
        <w:rPr>
          <w:rFonts w:hint="eastAsia" w:cs="Times New Roman"/>
          <w:color w:val="auto"/>
          <w:highlight w:val="none"/>
        </w:rPr>
        <w:t>、</w:t>
      </w:r>
      <w:r>
        <w:rPr>
          <w:rFonts w:cs="Times New Roman"/>
          <w:color w:val="auto"/>
          <w:highlight w:val="none"/>
        </w:rPr>
        <w:t>载重汽车</w:t>
      </w:r>
      <w:r>
        <w:rPr>
          <w:rFonts w:hint="eastAsia" w:cs="Times New Roman"/>
          <w:color w:val="auto"/>
          <w:highlight w:val="none"/>
        </w:rPr>
        <w:t>、</w:t>
      </w:r>
      <w:r>
        <w:rPr>
          <w:rFonts w:cs="Times New Roman"/>
          <w:color w:val="auto"/>
          <w:highlight w:val="none"/>
        </w:rPr>
        <w:t>空压机</w:t>
      </w:r>
      <w:r>
        <w:rPr>
          <w:rFonts w:hint="eastAsia" w:cs="Times New Roman"/>
          <w:color w:val="auto"/>
          <w:highlight w:val="none"/>
        </w:rPr>
        <w:t>、</w:t>
      </w:r>
      <w:r>
        <w:rPr>
          <w:rFonts w:cs="Times New Roman"/>
          <w:color w:val="auto"/>
          <w:highlight w:val="none"/>
        </w:rPr>
        <w:t>电锤、电锯等噪声源。这些突发性非稳态噪声源将对周围声环境产生一定影响。主要施工机械的噪声源强见下表</w:t>
      </w:r>
      <w:r>
        <w:rPr>
          <w:rFonts w:hint="eastAsia" w:cs="Times New Roman"/>
          <w:color w:val="auto"/>
          <w:highlight w:val="none"/>
        </w:rPr>
        <w:t>。</w:t>
      </w:r>
    </w:p>
    <w:p w14:paraId="1C279C27">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szCs w:val="21"/>
          <w:highlight w:val="none"/>
        </w:rPr>
        <w:t>主要施工机械的噪声声级</w:t>
      </w:r>
    </w:p>
    <w:tbl>
      <w:tblPr>
        <w:tblStyle w:val="80"/>
        <w:tblW w:w="4999"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838"/>
        <w:gridCol w:w="2841"/>
        <w:gridCol w:w="2841"/>
      </w:tblGrid>
      <w:tr w14:paraId="3DCC93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9E4CC6">
            <w:pPr>
              <w:pStyle w:val="37"/>
              <w:adjustRightInd w:val="0"/>
              <w:rPr>
                <w:b/>
                <w:color w:val="auto"/>
                <w:highlight w:val="none"/>
              </w:rPr>
            </w:pPr>
            <w:r>
              <w:rPr>
                <w:b/>
                <w:color w:val="auto"/>
                <w:highlight w:val="none"/>
              </w:rPr>
              <w:t>声源</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F42224">
            <w:pPr>
              <w:pStyle w:val="37"/>
              <w:adjustRightInd w:val="0"/>
              <w:rPr>
                <w:b/>
                <w:color w:val="auto"/>
                <w:highlight w:val="none"/>
              </w:rPr>
            </w:pPr>
            <w:r>
              <w:rPr>
                <w:b/>
                <w:color w:val="auto"/>
                <w:highlight w:val="none"/>
              </w:rPr>
              <w:t>测点距离（m）</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CEB398">
            <w:pPr>
              <w:pStyle w:val="37"/>
              <w:adjustRightInd w:val="0"/>
              <w:rPr>
                <w:b/>
                <w:color w:val="auto"/>
                <w:highlight w:val="none"/>
              </w:rPr>
            </w:pPr>
            <w:r>
              <w:rPr>
                <w:b/>
                <w:color w:val="auto"/>
                <w:highlight w:val="none"/>
              </w:rPr>
              <w:t>声源强度dB(A)</w:t>
            </w:r>
          </w:p>
        </w:tc>
      </w:tr>
      <w:tr w14:paraId="1D7EDC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333D54">
            <w:pPr>
              <w:pStyle w:val="37"/>
              <w:adjustRightInd w:val="0"/>
              <w:rPr>
                <w:color w:val="auto"/>
                <w:highlight w:val="none"/>
              </w:rPr>
            </w:pPr>
            <w:r>
              <w:rPr>
                <w:color w:val="auto"/>
                <w:highlight w:val="none"/>
              </w:rPr>
              <w:t>挖掘机</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C4C245">
            <w:pPr>
              <w:pStyle w:val="37"/>
              <w:adjustRightInd w:val="0"/>
              <w:rPr>
                <w:color w:val="auto"/>
                <w:highlight w:val="none"/>
              </w:rPr>
            </w:pPr>
            <w:r>
              <w:rPr>
                <w:color w:val="auto"/>
                <w:highlight w:val="none"/>
              </w:rPr>
              <w:t>15</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5D8332">
            <w:pPr>
              <w:pStyle w:val="37"/>
              <w:adjustRightInd w:val="0"/>
              <w:rPr>
                <w:color w:val="auto"/>
                <w:highlight w:val="none"/>
              </w:rPr>
            </w:pPr>
            <w:r>
              <w:rPr>
                <w:color w:val="auto"/>
                <w:highlight w:val="none"/>
              </w:rPr>
              <w:t>72～93</w:t>
            </w:r>
          </w:p>
        </w:tc>
      </w:tr>
      <w:tr w14:paraId="5A8F09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DCAFB">
            <w:pPr>
              <w:pStyle w:val="37"/>
              <w:adjustRightInd w:val="0"/>
              <w:rPr>
                <w:color w:val="auto"/>
                <w:highlight w:val="none"/>
              </w:rPr>
            </w:pPr>
            <w:r>
              <w:rPr>
                <w:color w:val="auto"/>
                <w:highlight w:val="none"/>
              </w:rPr>
              <w:t>打桩机</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0C6AB">
            <w:pPr>
              <w:pStyle w:val="37"/>
              <w:adjustRightInd w:val="0"/>
              <w:rPr>
                <w:color w:val="auto"/>
                <w:highlight w:val="none"/>
              </w:rPr>
            </w:pPr>
            <w:r>
              <w:rPr>
                <w:color w:val="auto"/>
                <w:highlight w:val="none"/>
              </w:rPr>
              <w:t>30</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24C89">
            <w:pPr>
              <w:pStyle w:val="37"/>
              <w:adjustRightInd w:val="0"/>
              <w:rPr>
                <w:color w:val="auto"/>
                <w:highlight w:val="none"/>
              </w:rPr>
            </w:pPr>
            <w:r>
              <w:rPr>
                <w:color w:val="auto"/>
                <w:highlight w:val="none"/>
              </w:rPr>
              <w:t>94</w:t>
            </w:r>
          </w:p>
        </w:tc>
      </w:tr>
      <w:tr w14:paraId="493F33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7670A">
            <w:pPr>
              <w:pStyle w:val="37"/>
              <w:adjustRightInd w:val="0"/>
              <w:rPr>
                <w:color w:val="auto"/>
                <w:highlight w:val="none"/>
              </w:rPr>
            </w:pPr>
            <w:r>
              <w:rPr>
                <w:color w:val="auto"/>
                <w:highlight w:val="none"/>
              </w:rPr>
              <w:t>摇臂式起重机</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8C931">
            <w:pPr>
              <w:pStyle w:val="37"/>
              <w:adjustRightInd w:val="0"/>
              <w:rPr>
                <w:color w:val="auto"/>
                <w:highlight w:val="none"/>
              </w:rPr>
            </w:pPr>
            <w:r>
              <w:rPr>
                <w:color w:val="auto"/>
                <w:highlight w:val="none"/>
              </w:rPr>
              <w:t>15</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B3F7C">
            <w:pPr>
              <w:pStyle w:val="37"/>
              <w:adjustRightInd w:val="0"/>
              <w:rPr>
                <w:color w:val="auto"/>
                <w:highlight w:val="none"/>
              </w:rPr>
            </w:pPr>
            <w:r>
              <w:rPr>
                <w:color w:val="auto"/>
                <w:highlight w:val="none"/>
              </w:rPr>
              <w:t>86～88</w:t>
            </w:r>
          </w:p>
        </w:tc>
      </w:tr>
      <w:tr w14:paraId="0828D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BA56BE">
            <w:pPr>
              <w:pStyle w:val="37"/>
              <w:adjustRightInd w:val="0"/>
              <w:rPr>
                <w:color w:val="auto"/>
                <w:highlight w:val="none"/>
              </w:rPr>
            </w:pPr>
            <w:r>
              <w:rPr>
                <w:color w:val="auto"/>
                <w:highlight w:val="none"/>
              </w:rPr>
              <w:t>推土机</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9E64BB">
            <w:pPr>
              <w:pStyle w:val="37"/>
              <w:adjustRightInd w:val="0"/>
              <w:rPr>
                <w:color w:val="auto"/>
                <w:highlight w:val="none"/>
              </w:rPr>
            </w:pPr>
            <w:r>
              <w:rPr>
                <w:color w:val="auto"/>
                <w:highlight w:val="none"/>
              </w:rPr>
              <w:t>30</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8B2C21">
            <w:pPr>
              <w:pStyle w:val="37"/>
              <w:adjustRightInd w:val="0"/>
              <w:rPr>
                <w:color w:val="auto"/>
                <w:highlight w:val="none"/>
              </w:rPr>
            </w:pPr>
            <w:r>
              <w:rPr>
                <w:color w:val="auto"/>
                <w:highlight w:val="none"/>
              </w:rPr>
              <w:t>82～98</w:t>
            </w:r>
          </w:p>
        </w:tc>
      </w:tr>
      <w:tr w14:paraId="6815A2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05307D">
            <w:pPr>
              <w:pStyle w:val="37"/>
              <w:adjustRightInd w:val="0"/>
              <w:rPr>
                <w:color w:val="auto"/>
                <w:highlight w:val="none"/>
              </w:rPr>
            </w:pPr>
            <w:r>
              <w:rPr>
                <w:color w:val="auto"/>
                <w:highlight w:val="none"/>
              </w:rPr>
              <w:t>空压机</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1F9C9">
            <w:pPr>
              <w:pStyle w:val="37"/>
              <w:adjustRightInd w:val="0"/>
              <w:rPr>
                <w:color w:val="auto"/>
                <w:highlight w:val="none"/>
              </w:rPr>
            </w:pPr>
            <w:r>
              <w:rPr>
                <w:color w:val="auto"/>
                <w:highlight w:val="none"/>
              </w:rPr>
              <w:t>10</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786DB6">
            <w:pPr>
              <w:pStyle w:val="37"/>
              <w:adjustRightInd w:val="0"/>
              <w:rPr>
                <w:color w:val="auto"/>
                <w:highlight w:val="none"/>
              </w:rPr>
            </w:pPr>
            <w:r>
              <w:rPr>
                <w:color w:val="auto"/>
                <w:highlight w:val="none"/>
              </w:rPr>
              <w:t>82～98</w:t>
            </w:r>
          </w:p>
        </w:tc>
      </w:tr>
      <w:tr w14:paraId="4542B3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1566D4">
            <w:pPr>
              <w:pStyle w:val="37"/>
              <w:adjustRightInd w:val="0"/>
              <w:rPr>
                <w:color w:val="auto"/>
                <w:highlight w:val="none"/>
              </w:rPr>
            </w:pPr>
            <w:r>
              <w:rPr>
                <w:color w:val="auto"/>
                <w:highlight w:val="none"/>
              </w:rPr>
              <w:t>电锤、电锯</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6A07E">
            <w:pPr>
              <w:pStyle w:val="37"/>
              <w:adjustRightInd w:val="0"/>
              <w:rPr>
                <w:color w:val="auto"/>
                <w:highlight w:val="none"/>
              </w:rPr>
            </w:pPr>
            <w:r>
              <w:rPr>
                <w:color w:val="auto"/>
                <w:highlight w:val="none"/>
              </w:rPr>
              <w:t>15</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17D491">
            <w:pPr>
              <w:pStyle w:val="37"/>
              <w:adjustRightInd w:val="0"/>
              <w:rPr>
                <w:color w:val="auto"/>
                <w:highlight w:val="none"/>
              </w:rPr>
            </w:pPr>
            <w:r>
              <w:rPr>
                <w:color w:val="auto"/>
                <w:highlight w:val="none"/>
              </w:rPr>
              <w:t>70～95</w:t>
            </w:r>
          </w:p>
        </w:tc>
      </w:tr>
      <w:tr w14:paraId="1CE300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6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B026C">
            <w:pPr>
              <w:pStyle w:val="37"/>
              <w:adjustRightInd w:val="0"/>
              <w:rPr>
                <w:color w:val="auto"/>
                <w:highlight w:val="none"/>
              </w:rPr>
            </w:pPr>
            <w:r>
              <w:rPr>
                <w:color w:val="auto"/>
                <w:highlight w:val="none"/>
              </w:rPr>
              <w:t>载重汽车</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98BA9A">
            <w:pPr>
              <w:pStyle w:val="37"/>
              <w:adjustRightInd w:val="0"/>
              <w:rPr>
                <w:color w:val="auto"/>
                <w:highlight w:val="none"/>
              </w:rPr>
            </w:pPr>
            <w:r>
              <w:rPr>
                <w:color w:val="auto"/>
                <w:highlight w:val="none"/>
              </w:rPr>
              <w:t>15</w:t>
            </w:r>
          </w:p>
        </w:tc>
        <w:tc>
          <w:tcPr>
            <w:tcW w:w="166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3BB030">
            <w:pPr>
              <w:pStyle w:val="37"/>
              <w:adjustRightInd w:val="0"/>
              <w:rPr>
                <w:color w:val="auto"/>
                <w:highlight w:val="none"/>
              </w:rPr>
            </w:pPr>
            <w:r>
              <w:rPr>
                <w:color w:val="auto"/>
                <w:highlight w:val="none"/>
              </w:rPr>
              <w:t>74～84</w:t>
            </w:r>
          </w:p>
        </w:tc>
      </w:tr>
    </w:tbl>
    <w:p w14:paraId="4B8C5BEE">
      <w:pPr>
        <w:adjustRightInd w:val="0"/>
        <w:ind w:firstLine="480"/>
        <w:rPr>
          <w:rFonts w:cs="Times New Roman"/>
          <w:color w:val="auto"/>
          <w:highlight w:val="none"/>
        </w:rPr>
      </w:pPr>
      <w:r>
        <w:rPr>
          <w:rFonts w:cs="Times New Roman"/>
          <w:color w:val="auto"/>
          <w:highlight w:val="none"/>
        </w:rPr>
        <w:t>施工期的噪声影响是短期的，项目建成后，施工期噪声的影响也就此结束。但是由于施工机械均为强噪声源，施工期间噪声影响范围较大，</w:t>
      </w:r>
      <w:r>
        <w:rPr>
          <w:rFonts w:cs="Times New Roman"/>
          <w:b/>
          <w:bCs/>
          <w:color w:val="auto"/>
          <w:highlight w:val="none"/>
        </w:rPr>
        <w:t>因此必须采取以下措施，严格管理</w:t>
      </w:r>
      <w:r>
        <w:rPr>
          <w:rFonts w:cs="Times New Roman"/>
          <w:color w:val="auto"/>
          <w:highlight w:val="none"/>
        </w:rPr>
        <w:t>：</w:t>
      </w:r>
    </w:p>
    <w:p w14:paraId="62AF8F67">
      <w:pPr>
        <w:adjustRightInd w:val="0"/>
        <w:ind w:firstLine="480"/>
        <w:rPr>
          <w:rFonts w:cs="Times New Roman"/>
          <w:color w:val="auto"/>
          <w:highlight w:val="none"/>
        </w:rPr>
      </w:pPr>
      <w:r>
        <w:rPr>
          <w:rFonts w:cs="Times New Roman"/>
          <w:color w:val="auto"/>
          <w:highlight w:val="none"/>
        </w:rPr>
        <w:t>①根据《中华人民共和国噪声污染防治法》第四十条规定：施工单位应当按照规定制定噪声污染防治实施方案，采取有效措施，减少振动、降低噪声。建设单位应当监督施工单位落实噪声污染防治实施方案。</w:t>
      </w:r>
    </w:p>
    <w:p w14:paraId="041D4960">
      <w:pPr>
        <w:adjustRightInd w:val="0"/>
        <w:ind w:firstLine="480"/>
        <w:rPr>
          <w:rFonts w:cs="Times New Roman"/>
          <w:color w:val="auto"/>
          <w:highlight w:val="none"/>
        </w:rPr>
      </w:pPr>
      <w:r>
        <w:rPr>
          <w:rFonts w:cs="Times New Roman"/>
          <w:color w:val="auto"/>
          <w:highlight w:val="none"/>
        </w:rPr>
        <w:t>②严格执行《建筑施工场界环境噪声排放标准》（GB12523-20</w:t>
      </w:r>
      <w:r>
        <w:rPr>
          <w:rFonts w:hint="eastAsia" w:cs="Times New Roman"/>
          <w:color w:val="auto"/>
          <w:highlight w:val="none"/>
          <w:lang w:val="en-US" w:eastAsia="zh-CN"/>
        </w:rPr>
        <w:t>25</w:t>
      </w:r>
      <w:r>
        <w:rPr>
          <w:rFonts w:cs="Times New Roman"/>
          <w:color w:val="auto"/>
          <w:highlight w:val="none"/>
        </w:rPr>
        <w:t>）对施工阶段的场界限值的规定。</w:t>
      </w:r>
    </w:p>
    <w:p w14:paraId="72948B03">
      <w:pPr>
        <w:adjustRightInd w:val="0"/>
        <w:ind w:firstLine="480"/>
        <w:rPr>
          <w:rFonts w:cs="Times New Roman"/>
          <w:color w:val="auto"/>
          <w:highlight w:val="none"/>
        </w:rPr>
      </w:pPr>
      <w:r>
        <w:rPr>
          <w:rFonts w:cs="Times New Roman"/>
          <w:color w:val="auto"/>
          <w:highlight w:val="none"/>
        </w:rPr>
        <w:t>③施工车辆特别是重型运载车辆的运行线路和时间，应尽量避开噪声敏感区域和噪声敏感时段。进出车辆要合理调度，明确线路，使行驶道路保持平坦，减弱车辆的颠簸噪声和产生振动。加强施工区域交通管理，避免因交通堵塞增加车辆鸣号。</w:t>
      </w:r>
    </w:p>
    <w:p w14:paraId="47A5F98F">
      <w:pPr>
        <w:adjustRightInd w:val="0"/>
        <w:ind w:firstLine="480"/>
        <w:rPr>
          <w:rFonts w:cs="Times New Roman"/>
          <w:color w:val="auto"/>
          <w:highlight w:val="none"/>
        </w:rPr>
      </w:pPr>
      <w:r>
        <w:rPr>
          <w:rFonts w:cs="Times New Roman"/>
          <w:color w:val="auto"/>
          <w:highlight w:val="none"/>
        </w:rPr>
        <w:t>④在保证施工进度的前提下，合理安排作业时间，限制夜间进行强噪声污染的施工作业。教育工人文明施工，</w:t>
      </w:r>
      <w:r>
        <w:rPr>
          <w:rFonts w:cs="Times New Roman"/>
          <w:b/>
          <w:bCs/>
          <w:color w:val="auto"/>
          <w:highlight w:val="none"/>
        </w:rPr>
        <w:t>夜间禁止施工</w:t>
      </w:r>
      <w:r>
        <w:rPr>
          <w:rFonts w:cs="Times New Roman"/>
          <w:color w:val="auto"/>
          <w:highlight w:val="none"/>
        </w:rPr>
        <w:t>。</w:t>
      </w:r>
    </w:p>
    <w:p w14:paraId="4563CC60">
      <w:pPr>
        <w:adjustRightInd w:val="0"/>
        <w:ind w:firstLine="480"/>
        <w:rPr>
          <w:rFonts w:cs="Times New Roman"/>
          <w:color w:val="auto"/>
          <w:highlight w:val="none"/>
        </w:rPr>
      </w:pPr>
      <w:r>
        <w:rPr>
          <w:rFonts w:cs="Times New Roman"/>
          <w:color w:val="auto"/>
          <w:highlight w:val="none"/>
        </w:rPr>
        <w:t>⑤如需在夜间使用机械、设备施工，必须提出申请，未经批准不得从事夜间施工作业。</w:t>
      </w:r>
    </w:p>
    <w:p w14:paraId="20A44828">
      <w:pPr>
        <w:adjustRightInd w:val="0"/>
        <w:ind w:firstLine="480"/>
        <w:rPr>
          <w:rFonts w:cs="Times New Roman"/>
          <w:color w:val="auto"/>
          <w:highlight w:val="none"/>
        </w:rPr>
      </w:pPr>
      <w:r>
        <w:rPr>
          <w:rFonts w:cs="Times New Roman"/>
          <w:color w:val="auto"/>
          <w:highlight w:val="none"/>
        </w:rPr>
        <w:t>⑥限制打桩机、空压机、切割机、电锯、电刨等高噪声建筑机械在夜间工作，在高噪声设备附近，加设可移动的简易隔声屏。</w:t>
      </w:r>
    </w:p>
    <w:p w14:paraId="5970F2BB">
      <w:pPr>
        <w:adjustRightInd w:val="0"/>
        <w:ind w:firstLine="480"/>
        <w:rPr>
          <w:rFonts w:cs="Times New Roman"/>
          <w:color w:val="auto"/>
          <w:highlight w:val="none"/>
        </w:rPr>
      </w:pPr>
      <w:r>
        <w:rPr>
          <w:rFonts w:cs="Times New Roman"/>
          <w:color w:val="auto"/>
          <w:highlight w:val="none"/>
        </w:rPr>
        <w:t>⑦按照《关于严格限制夜间施工作业防治环境污染的通告》实施施工操作，杜绝野蛮装卸和车辆鸣号。</w:t>
      </w:r>
    </w:p>
    <w:p w14:paraId="5D1CE5B8">
      <w:pPr>
        <w:adjustRightInd w:val="0"/>
        <w:ind w:firstLine="480"/>
        <w:rPr>
          <w:rFonts w:cs="Times New Roman"/>
          <w:color w:val="auto"/>
          <w:highlight w:val="none"/>
        </w:rPr>
      </w:pPr>
      <w:r>
        <w:rPr>
          <w:rFonts w:cs="Times New Roman"/>
          <w:color w:val="auto"/>
          <w:highlight w:val="none"/>
        </w:rPr>
        <w:t>总之，建设单位必须全面落实上述要求，并使施工各阶段的场界噪声符合《建筑施工场界环境噪声排放标准》（GB12523-20</w:t>
      </w:r>
      <w:r>
        <w:rPr>
          <w:rFonts w:hint="eastAsia" w:cs="Times New Roman"/>
          <w:color w:val="auto"/>
          <w:highlight w:val="none"/>
          <w:lang w:val="en-US" w:eastAsia="zh-CN"/>
        </w:rPr>
        <w:t>25</w:t>
      </w:r>
      <w:r>
        <w:rPr>
          <w:rFonts w:cs="Times New Roman"/>
          <w:color w:val="auto"/>
          <w:highlight w:val="none"/>
        </w:rPr>
        <w:t>）中的规定。</w:t>
      </w:r>
    </w:p>
    <w:p w14:paraId="38A5B25D">
      <w:pPr>
        <w:adjustRightInd w:val="0"/>
        <w:ind w:firstLine="482"/>
        <w:rPr>
          <w:rFonts w:cs="Times New Roman"/>
          <w:b/>
          <w:bCs/>
          <w:color w:val="auto"/>
          <w:highlight w:val="none"/>
        </w:rPr>
      </w:pPr>
      <w:r>
        <w:rPr>
          <w:rFonts w:cs="Times New Roman"/>
          <w:b/>
          <w:bCs/>
          <w:color w:val="auto"/>
          <w:highlight w:val="none"/>
        </w:rPr>
        <w:t>（4）固体废弃物源强核算及治理措施</w:t>
      </w:r>
    </w:p>
    <w:p w14:paraId="47B8708D">
      <w:pPr>
        <w:adjustRightInd w:val="0"/>
        <w:ind w:firstLine="480"/>
        <w:rPr>
          <w:rFonts w:cs="Times New Roman"/>
          <w:color w:val="auto"/>
          <w:highlight w:val="none"/>
        </w:rPr>
      </w:pPr>
      <w:r>
        <w:rPr>
          <w:rFonts w:cs="Times New Roman"/>
          <w:color w:val="auto"/>
          <w:highlight w:val="none"/>
        </w:rPr>
        <w:t>施工期间固体废弃物主要为表土、开挖弃方、土建施工产生的建筑垃圾、施工人员的生活垃圾等。建筑垃圾在堆放和运输工程中，若不妥善处置，则会阻碍交通，污染环境；建筑垃圾清运车辆不但会给运输线路增加车流量，造成交通堵塞，尘土的洒漏也会给城市环境卫生带来危害；建筑垃圾的无组织堆放、倒弃，遇暴雨冲刷，则会造成水土流失，堵塞排水沟，泥浆水直接排入市政管网或附近地表河流，增加废水的含沙量，造成管网沟堵塞或河床沉积，同时泥浆水还夹带施工场地上的水泥、油污等污染物进入水体，造成水体污染。为防止固体废弃物对环境的影响，特提出如下措施：</w:t>
      </w:r>
    </w:p>
    <w:p w14:paraId="09C2B81A">
      <w:pPr>
        <w:adjustRightInd w:val="0"/>
        <w:ind w:firstLine="482"/>
        <w:rPr>
          <w:rFonts w:cs="Times New Roman"/>
          <w:color w:val="auto"/>
          <w:highlight w:val="none"/>
        </w:rPr>
      </w:pPr>
      <w:r>
        <w:rPr>
          <w:rFonts w:cs="Times New Roman"/>
          <w:b/>
          <w:bCs/>
          <w:color w:val="auto"/>
          <w:highlight w:val="none"/>
        </w:rPr>
        <w:t>①表土</w:t>
      </w:r>
    </w:p>
    <w:p w14:paraId="0E1D7FFC">
      <w:pPr>
        <w:adjustRightInd w:val="0"/>
        <w:ind w:firstLine="480"/>
        <w:rPr>
          <w:rFonts w:cs="Times New Roman"/>
          <w:color w:val="auto"/>
          <w:highlight w:val="none"/>
        </w:rPr>
      </w:pPr>
      <w:r>
        <w:rPr>
          <w:rFonts w:cs="Times New Roman"/>
          <w:color w:val="auto"/>
          <w:highlight w:val="none"/>
        </w:rPr>
        <w:t>本项目厂区面积为</w:t>
      </w:r>
      <w:r>
        <w:rPr>
          <w:rFonts w:hint="eastAsia" w:cs="Times New Roman"/>
          <w:color w:val="auto"/>
          <w:highlight w:val="none"/>
        </w:rPr>
        <w:t>31.8</w:t>
      </w:r>
      <w:r>
        <w:rPr>
          <w:rFonts w:cs="Times New Roman"/>
          <w:color w:val="auto"/>
          <w:highlight w:val="none"/>
        </w:rPr>
        <w:t>亩，按照剥离20cm表土进行计算</w:t>
      </w:r>
      <w:r>
        <w:rPr>
          <w:rFonts w:hint="eastAsia" w:cs="Times New Roman"/>
          <w:color w:val="auto"/>
          <w:highlight w:val="none"/>
        </w:rPr>
        <w:t>，表土剥离面积约</w:t>
      </w:r>
      <w:r>
        <w:rPr>
          <w:rFonts w:hint="eastAsia"/>
          <w:color w:val="auto"/>
          <w:highlight w:val="none"/>
        </w:rPr>
        <w:t>21200m</w:t>
      </w:r>
      <w:r>
        <w:rPr>
          <w:rFonts w:hint="eastAsia"/>
          <w:color w:val="auto"/>
          <w:highlight w:val="none"/>
          <w:vertAlign w:val="superscript"/>
        </w:rPr>
        <w:t>2</w:t>
      </w:r>
      <w:r>
        <w:rPr>
          <w:rFonts w:cs="Times New Roman"/>
          <w:color w:val="auto"/>
          <w:highlight w:val="none"/>
        </w:rPr>
        <w:t>，施工期间表土产生量约为</w:t>
      </w:r>
      <w:r>
        <w:rPr>
          <w:rFonts w:hint="eastAsia" w:cs="Times New Roman"/>
          <w:color w:val="auto"/>
          <w:highlight w:val="none"/>
        </w:rPr>
        <w:t>4240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，表土用于园区绿化。</w:t>
      </w:r>
    </w:p>
    <w:p w14:paraId="1CC3A56A">
      <w:pPr>
        <w:adjustRightInd w:val="0"/>
        <w:ind w:firstLine="482"/>
        <w:rPr>
          <w:rFonts w:cs="Times New Roman"/>
          <w:b/>
          <w:bCs/>
          <w:color w:val="auto"/>
          <w:highlight w:val="none"/>
        </w:rPr>
      </w:pPr>
      <w:r>
        <w:rPr>
          <w:rFonts w:cs="Times New Roman"/>
          <w:b/>
          <w:bCs/>
          <w:color w:val="auto"/>
          <w:highlight w:val="none"/>
        </w:rPr>
        <w:t>②开挖弃方</w:t>
      </w:r>
    </w:p>
    <w:p w14:paraId="18AD9632">
      <w:pPr>
        <w:adjustRightInd w:val="0"/>
        <w:ind w:firstLine="480"/>
        <w:rPr>
          <w:rFonts w:cs="Times New Roman"/>
          <w:color w:val="auto"/>
          <w:highlight w:val="none"/>
        </w:rPr>
      </w:pPr>
      <w:r>
        <w:rPr>
          <w:rFonts w:hint="eastAsia"/>
          <w:color w:val="auto"/>
          <w:highlight w:val="none"/>
        </w:rPr>
        <w:t>本项目无地下室，</w:t>
      </w:r>
      <w:r>
        <w:rPr>
          <w:rFonts w:cs="Times New Roman"/>
          <w:color w:val="auto"/>
          <w:highlight w:val="none"/>
        </w:rPr>
        <w:t>本项目场平、道路工程及基础工程涉及土石方开挖，少量回填，大部分外运至当地政府指定的弃土场，施工期设置土石方临时堆场，并对堆场表面采取覆盖措施，</w:t>
      </w:r>
      <w:r>
        <w:rPr>
          <w:rFonts w:hint="eastAsia" w:cs="Times New Roman"/>
          <w:color w:val="auto"/>
          <w:highlight w:val="none"/>
        </w:rPr>
        <w:t>减少</w:t>
      </w:r>
      <w:r>
        <w:rPr>
          <w:rFonts w:cs="Times New Roman"/>
          <w:color w:val="auto"/>
          <w:highlight w:val="none"/>
        </w:rPr>
        <w:t>起尘量。及时进行土方回填，对裸露土地进行表面植被培养，种植植物进行绿化，防范水土流失。本项目施工期间开挖方量约</w:t>
      </w:r>
      <w:r>
        <w:rPr>
          <w:rFonts w:hint="eastAsia" w:cs="Times New Roman"/>
          <w:color w:val="auto"/>
          <w:highlight w:val="none"/>
        </w:rPr>
        <w:t>536.2</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，回填方</w:t>
      </w:r>
      <w:r>
        <w:rPr>
          <w:rFonts w:hint="eastAsia" w:cs="Times New Roman"/>
          <w:color w:val="auto"/>
          <w:highlight w:val="none"/>
        </w:rPr>
        <w:t>146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，弃方</w:t>
      </w:r>
      <w:r>
        <w:rPr>
          <w:rFonts w:hint="eastAsia" w:cs="Times New Roman"/>
          <w:color w:val="auto"/>
          <w:highlight w:val="none"/>
        </w:rPr>
        <w:t>390.2</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。弃方外运至当地政府指定的弃土场。</w:t>
      </w:r>
    </w:p>
    <w:p w14:paraId="5667C8F7">
      <w:pPr>
        <w:adjustRightInd w:val="0"/>
        <w:ind w:firstLine="482"/>
        <w:rPr>
          <w:rFonts w:cs="Times New Roman"/>
          <w:b/>
          <w:bCs/>
          <w:color w:val="auto"/>
          <w:highlight w:val="none"/>
        </w:rPr>
      </w:pPr>
      <w:r>
        <w:rPr>
          <w:rFonts w:cs="Times New Roman"/>
          <w:b/>
          <w:bCs/>
          <w:color w:val="auto"/>
          <w:highlight w:val="none"/>
        </w:rPr>
        <w:t>③土建施工产生的建筑垃圾</w:t>
      </w:r>
    </w:p>
    <w:p w14:paraId="66958C89">
      <w:pPr>
        <w:adjustRightInd w:val="0"/>
        <w:ind w:firstLine="480"/>
        <w:rPr>
          <w:rFonts w:cs="Times New Roman"/>
          <w:color w:val="auto"/>
          <w:highlight w:val="none"/>
        </w:rPr>
      </w:pPr>
      <w:r>
        <w:rPr>
          <w:rFonts w:cs="Times New Roman"/>
          <w:color w:val="auto"/>
          <w:highlight w:val="none"/>
        </w:rPr>
        <w:t>建筑垃圾主要包括砂石、石块、碎砖瓦、废木料、废金属、废钢筋等杂物，施工期将产生建筑垃圾约</w:t>
      </w:r>
      <w:r>
        <w:rPr>
          <w:rFonts w:hint="eastAsia" w:cs="Times New Roman"/>
          <w:color w:val="auto"/>
          <w:highlight w:val="none"/>
        </w:rPr>
        <w:t>7</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，针对建筑垃圾措施：</w:t>
      </w:r>
    </w:p>
    <w:p w14:paraId="123D57B0">
      <w:pPr>
        <w:adjustRightInd w:val="0"/>
        <w:ind w:firstLine="480"/>
        <w:rPr>
          <w:rFonts w:cs="Times New Roman"/>
          <w:color w:val="auto"/>
          <w:highlight w:val="none"/>
        </w:rPr>
      </w:pPr>
      <w:r>
        <w:rPr>
          <w:rFonts w:cs="Times New Roman"/>
          <w:color w:val="auto"/>
          <w:highlight w:val="none"/>
        </w:rPr>
        <w:t>A.根据《中华人民共和国固体废物污染环境防治法》相关规定，充分合理利用固体废弃物。建筑垃圾中的废钢筋、废金属、废木料等可以再次利用的固体废弃物进行分类收集，分类存放，分类回收并及时出售给废品回收公司处理。建筑垃圾中不能回收部分及时清运到指定的建筑垃圾场处理。</w:t>
      </w:r>
    </w:p>
    <w:p w14:paraId="5659AE56">
      <w:pPr>
        <w:adjustRightInd w:val="0"/>
        <w:ind w:firstLine="480"/>
        <w:rPr>
          <w:rFonts w:cs="Times New Roman"/>
          <w:color w:val="auto"/>
          <w:highlight w:val="none"/>
        </w:rPr>
      </w:pPr>
      <w:r>
        <w:rPr>
          <w:rFonts w:cs="Times New Roman"/>
          <w:color w:val="auto"/>
          <w:highlight w:val="none"/>
        </w:rPr>
        <w:t>B.在施工现场应设置临时建筑废物堆放场并进行遮盖处理，做好地面的防渗漏处理。</w:t>
      </w:r>
    </w:p>
    <w:p w14:paraId="49820A4F">
      <w:pPr>
        <w:adjustRightInd w:val="0"/>
        <w:ind w:firstLine="482"/>
        <w:rPr>
          <w:rFonts w:cs="Times New Roman"/>
          <w:b/>
          <w:bCs/>
          <w:color w:val="auto"/>
          <w:highlight w:val="none"/>
        </w:rPr>
      </w:pPr>
      <w:r>
        <w:rPr>
          <w:rFonts w:cs="Times New Roman"/>
          <w:b/>
          <w:bCs/>
          <w:color w:val="auto"/>
          <w:highlight w:val="none"/>
        </w:rPr>
        <w:t>④施工人员的生活垃圾</w:t>
      </w:r>
    </w:p>
    <w:p w14:paraId="1CD25636">
      <w:pPr>
        <w:adjustRightInd w:val="0"/>
        <w:ind w:firstLine="480"/>
        <w:rPr>
          <w:rFonts w:cs="Times New Roman"/>
          <w:color w:val="auto"/>
          <w:highlight w:val="none"/>
        </w:rPr>
      </w:pPr>
      <w:r>
        <w:rPr>
          <w:rFonts w:cs="Times New Roman"/>
          <w:color w:val="auto"/>
          <w:highlight w:val="none"/>
        </w:rPr>
        <w:t>本项目施工期劳动定员50人，施工期120天。参照《第一次全国污染源普查城镇生活源产排污系数手册》，乐山市沙湾区属于4区3类，生活垃圾量0.48kg/人·d计算，生活垃圾产生量2.88t。生活垃圾经过袋装收集后，运往生活垃圾填埋场，严禁就地填埋。</w:t>
      </w:r>
    </w:p>
    <w:p w14:paraId="4C422378">
      <w:pPr>
        <w:adjustRightInd w:val="0"/>
        <w:ind w:firstLine="482"/>
        <w:rPr>
          <w:rFonts w:cs="Times New Roman"/>
          <w:b/>
          <w:bCs/>
          <w:color w:val="auto"/>
          <w:highlight w:val="none"/>
        </w:rPr>
      </w:pPr>
      <w:r>
        <w:rPr>
          <w:rFonts w:cs="Times New Roman"/>
          <w:b/>
          <w:bCs/>
          <w:color w:val="auto"/>
          <w:highlight w:val="none"/>
        </w:rPr>
        <w:t>（5）生态环境保护措施</w:t>
      </w:r>
    </w:p>
    <w:p w14:paraId="205781DF">
      <w:pPr>
        <w:adjustRightInd w:val="0"/>
        <w:ind w:firstLine="480"/>
        <w:rPr>
          <w:rFonts w:cs="Times New Roman"/>
          <w:color w:val="auto"/>
          <w:highlight w:val="none"/>
        </w:rPr>
      </w:pPr>
      <w:r>
        <w:rPr>
          <w:rFonts w:hint="eastAsia"/>
          <w:color w:val="auto"/>
          <w:highlight w:val="none"/>
        </w:rPr>
        <w:t>本项目现状无珍稀动植物，</w:t>
      </w:r>
      <w:r>
        <w:rPr>
          <w:rFonts w:cs="Times New Roman"/>
          <w:color w:val="auto"/>
          <w:highlight w:val="none"/>
        </w:rPr>
        <w:t>本项目对生态环境的影响主要为土石方开挖造成地貌变化，以及基础工程和主体工程施工产生的水土流失。施工结束后，本项目在场地内进行绿化，场地经过人工植树种草等绿化美化措施的实施，建设区的植树种类将会增多，生态环境会得到有效改善。本项目主要生态影响是施工过程中的水土流失，主要集中在施工期间，加强施工期间的监控工作是控制水土流失的重要环节。</w:t>
      </w:r>
    </w:p>
    <w:p w14:paraId="581E023B">
      <w:pPr>
        <w:adjustRightInd w:val="0"/>
        <w:ind w:firstLine="480"/>
        <w:rPr>
          <w:rFonts w:cs="Times New Roman"/>
          <w:color w:val="auto"/>
          <w:highlight w:val="none"/>
        </w:rPr>
      </w:pPr>
      <w:r>
        <w:rPr>
          <w:rFonts w:cs="Times New Roman"/>
          <w:color w:val="auto"/>
          <w:highlight w:val="none"/>
        </w:rPr>
        <w:t>由于项目所在地属于四川盆地湿润气候区，雨量充沛，夏季降雨强度大，秋季多阴雨。在施工过程中，尤其是工程大面积开挖时应尽量避开雨季，以免开挖松散土得不到及时保护而产生新的水土流失。在项目的建设施工过程中应规范工程施工，加强水土保持监督管理。为防止项目建设对当地生态环境的影响，特提出如下措施：</w:t>
      </w:r>
    </w:p>
    <w:p w14:paraId="12487072">
      <w:pPr>
        <w:adjustRightInd w:val="0"/>
        <w:ind w:firstLine="480"/>
        <w:rPr>
          <w:rFonts w:cs="Times New Roman"/>
          <w:color w:val="auto"/>
          <w:highlight w:val="none"/>
        </w:rPr>
      </w:pPr>
      <w:r>
        <w:rPr>
          <w:rFonts w:cs="Times New Roman"/>
          <w:color w:val="auto"/>
          <w:highlight w:val="none"/>
        </w:rPr>
        <w:t>①合理安排施工时间，尽量避开雨季和汛期；不能避免时，应做好雨季施工防护及排水工作，保证施工期间排水通畅，不出现积水浸泡工作面的现象；</w:t>
      </w:r>
    </w:p>
    <w:p w14:paraId="000E852F">
      <w:pPr>
        <w:adjustRightInd w:val="0"/>
        <w:ind w:firstLine="480"/>
        <w:rPr>
          <w:rFonts w:cs="Times New Roman"/>
          <w:color w:val="auto"/>
          <w:highlight w:val="none"/>
        </w:rPr>
      </w:pPr>
      <w:r>
        <w:rPr>
          <w:rFonts w:cs="Times New Roman"/>
          <w:color w:val="auto"/>
          <w:highlight w:val="none"/>
        </w:rPr>
        <w:t>②土石方工程应及时防护，随挖随运，随填随夯，不留松土，减少疏松地面的裸露时间；</w:t>
      </w:r>
    </w:p>
    <w:p w14:paraId="4817FF4A">
      <w:pPr>
        <w:adjustRightInd w:val="0"/>
        <w:ind w:firstLine="480"/>
        <w:rPr>
          <w:rFonts w:cs="Times New Roman"/>
          <w:color w:val="auto"/>
          <w:highlight w:val="none"/>
        </w:rPr>
      </w:pPr>
      <w:r>
        <w:rPr>
          <w:rFonts w:cs="Times New Roman"/>
          <w:color w:val="auto"/>
          <w:highlight w:val="none"/>
        </w:rPr>
        <w:t>③施工时，施工机械和施工人员要按照规划的施工平面位置进行操作，不得乱占土地，施工机械、土石及其它建筑材料不能乱停乱放，防止加剧水土流失；</w:t>
      </w:r>
    </w:p>
    <w:p w14:paraId="5BA9A1F5">
      <w:pPr>
        <w:adjustRightInd w:val="0"/>
        <w:ind w:firstLine="480"/>
        <w:rPr>
          <w:rFonts w:cs="Times New Roman"/>
          <w:color w:val="auto"/>
          <w:highlight w:val="none"/>
        </w:rPr>
      </w:pPr>
      <w:r>
        <w:rPr>
          <w:rFonts w:cs="Times New Roman"/>
          <w:color w:val="auto"/>
          <w:highlight w:val="none"/>
        </w:rPr>
        <w:t>④施工期加强对水土保持监督、监理、监测工作管理和实施；</w:t>
      </w:r>
    </w:p>
    <w:p w14:paraId="15B726F2">
      <w:pPr>
        <w:adjustRightInd w:val="0"/>
        <w:ind w:firstLine="480"/>
        <w:rPr>
          <w:rFonts w:cs="Times New Roman"/>
          <w:color w:val="auto"/>
          <w:highlight w:val="none"/>
        </w:rPr>
      </w:pPr>
      <w:r>
        <w:rPr>
          <w:rFonts w:cs="Times New Roman"/>
          <w:color w:val="auto"/>
          <w:highlight w:val="none"/>
        </w:rPr>
        <w:t>⑤加强土石方临时堆放点水保措施，在临时堆放点周围设置简易的排水沟，疏导雨水排放。</w:t>
      </w:r>
    </w:p>
    <w:p w14:paraId="2E5DDDD1">
      <w:pPr>
        <w:adjustRightInd w:val="0"/>
        <w:ind w:firstLine="482"/>
        <w:rPr>
          <w:rFonts w:cs="Times New Roman"/>
          <w:b/>
          <w:bCs/>
          <w:color w:val="auto"/>
          <w:highlight w:val="none"/>
        </w:rPr>
      </w:pPr>
      <w:r>
        <w:rPr>
          <w:rFonts w:cs="Times New Roman"/>
          <w:b/>
          <w:bCs/>
          <w:color w:val="auto"/>
          <w:highlight w:val="none"/>
        </w:rPr>
        <w:t>综上所述，施工期间局部生态环境破坏、水土流失均属少量、局部的、暂时的生态影响，只要在施工中采用以上生态保护措施，则项目建设对生态环境的影响很小。</w:t>
      </w:r>
    </w:p>
    <w:p w14:paraId="621374D7">
      <w:pPr>
        <w:pStyle w:val="3"/>
        <w:adjustRightInd w:val="0"/>
        <w:rPr>
          <w:rFonts w:cs="Times New Roman"/>
          <w:color w:val="auto"/>
          <w:highlight w:val="none"/>
        </w:rPr>
      </w:pPr>
      <w:bookmarkStart w:id="119" w:name="_Toc127483562"/>
      <w:bookmarkStart w:id="120" w:name="_Toc15953"/>
      <w:r>
        <w:rPr>
          <w:rFonts w:cs="Times New Roman"/>
          <w:color w:val="auto"/>
          <w:highlight w:val="none"/>
        </w:rPr>
        <w:t>营运期工程分析</w:t>
      </w:r>
      <w:bookmarkEnd w:id="119"/>
      <w:bookmarkEnd w:id="120"/>
    </w:p>
    <w:p w14:paraId="1F7634BF">
      <w:pPr>
        <w:pStyle w:val="4"/>
        <w:adjustRightInd w:val="0"/>
        <w:rPr>
          <w:rFonts w:cs="Times New Roman"/>
          <w:color w:val="auto"/>
          <w:highlight w:val="none"/>
        </w:rPr>
      </w:pPr>
      <w:bookmarkStart w:id="121" w:name="_Toc31182"/>
      <w:r>
        <w:rPr>
          <w:rFonts w:cs="Times New Roman"/>
          <w:color w:val="auto"/>
          <w:highlight w:val="none"/>
        </w:rPr>
        <w:t>运营期工艺流程及产污环节分析</w:t>
      </w:r>
      <w:bookmarkEnd w:id="121"/>
    </w:p>
    <w:p w14:paraId="14D258A8">
      <w:pPr>
        <w:adjustRightInd w:val="0"/>
        <w:ind w:firstLine="480"/>
        <w:rPr>
          <w:rFonts w:cs="Times New Roman"/>
          <w:color w:val="auto"/>
          <w:highlight w:val="none"/>
        </w:rPr>
      </w:pPr>
      <w:r>
        <w:rPr>
          <w:rFonts w:cs="Times New Roman"/>
          <w:color w:val="auto"/>
          <w:highlight w:val="none"/>
        </w:rPr>
        <w:t>本项目工艺流程及产污环节如下：</w:t>
      </w:r>
    </w:p>
    <w:p w14:paraId="649FF3A1">
      <w:pPr>
        <w:pStyle w:val="58"/>
        <w:adjustRightInd w:val="0"/>
        <w:rPr>
          <w:rFonts w:ascii="Times New Roman" w:hAnsi="Times New Roman"/>
          <w:color w:val="auto"/>
          <w:highlight w:val="none"/>
        </w:rPr>
      </w:pPr>
      <w:r>
        <w:rPr>
          <w:rFonts w:ascii="Times New Roman" w:hAnsi="Times New Roman"/>
          <w:color w:val="auto"/>
          <w:highlight w:val="none"/>
        </w:rPr>
        <w:object>
          <v:shape id="_x0000_i1029" o:spt="75" type="#_x0000_t75" style="height:389.9pt;width:414.25pt;" o:ole="t" filled="f" o:preferrelative="t" stroked="f" coordsize="21600,21600">
            <v:path/>
            <v:fill on="f" focussize="0,0"/>
            <v:stroke on="f" joinstyle="miter"/>
            <v:imagedata r:id="rId29" o:title=""/>
            <o:lock v:ext="edit" aspectratio="f"/>
            <w10:wrap type="none"/>
            <w10:anchorlock/>
          </v:shape>
          <o:OLEObject Type="Embed" ProgID="Visio.Drawing.15" ShapeID="_x0000_i1029" DrawAspect="Content" ObjectID="_1468075729" r:id="rId28">
            <o:LockedField>false</o:LockedField>
          </o:OLEObject>
        </w:object>
      </w:r>
    </w:p>
    <w:p w14:paraId="67525615">
      <w:pPr>
        <w:pStyle w:val="12"/>
        <w:adjustRightInd w:val="0"/>
        <w:ind w:left="420" w:hanging="420"/>
        <w:rPr>
          <w:rFonts w:cs="Times New Roman"/>
          <w:color w:val="auto"/>
          <w:szCs w:val="22"/>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szCs w:val="22"/>
          <w:highlight w:val="none"/>
        </w:rPr>
        <w:t>项目工艺流程及产污环节</w:t>
      </w:r>
    </w:p>
    <w:p w14:paraId="5CBD415D">
      <w:pPr>
        <w:ind w:firstLine="480"/>
        <w:rPr>
          <w:rFonts w:cs="Times New Roman"/>
          <w:color w:val="auto"/>
          <w:highlight w:val="none"/>
        </w:rPr>
      </w:pPr>
      <w:r>
        <w:rPr>
          <w:rFonts w:hint="eastAsia"/>
          <w:color w:val="auto"/>
          <w:highlight w:val="none"/>
        </w:rPr>
        <w:t>本项目</w:t>
      </w:r>
      <w:r>
        <w:rPr>
          <w:color w:val="auto"/>
          <w:highlight w:val="none"/>
        </w:rPr>
        <w:t>布设锂辉石洗选生产线1条，采用</w:t>
      </w:r>
      <w:r>
        <w:rPr>
          <w:rFonts w:hint="eastAsia"/>
          <w:color w:val="auto"/>
          <w:highlight w:val="none"/>
        </w:rPr>
        <w:t>“</w:t>
      </w:r>
      <w:r>
        <w:rPr>
          <w:color w:val="auto"/>
          <w:highlight w:val="none"/>
        </w:rPr>
        <w:t>三段一闭路破碎+一段磨矿+磁选除铁</w:t>
      </w:r>
      <w:r>
        <w:rPr>
          <w:rFonts w:hint="eastAsia"/>
          <w:color w:val="auto"/>
          <w:highlight w:val="none"/>
        </w:rPr>
        <w:t>+一</w:t>
      </w:r>
      <w:r>
        <w:rPr>
          <w:color w:val="auto"/>
          <w:highlight w:val="none"/>
        </w:rPr>
        <w:t>段预浮+锂辉石浮选（一粗</w:t>
      </w:r>
      <w:r>
        <w:rPr>
          <w:rFonts w:hint="eastAsia"/>
          <w:color w:val="auto"/>
          <w:highlight w:val="none"/>
        </w:rPr>
        <w:t>三</w:t>
      </w:r>
      <w:r>
        <w:rPr>
          <w:color w:val="auto"/>
          <w:highlight w:val="none"/>
        </w:rPr>
        <w:t>精三扫）+磁选除铁+脱水</w:t>
      </w:r>
      <w:r>
        <w:rPr>
          <w:rFonts w:hint="eastAsia"/>
          <w:color w:val="auto"/>
          <w:highlight w:val="none"/>
        </w:rPr>
        <w:t>”</w:t>
      </w:r>
      <w:r>
        <w:rPr>
          <w:color w:val="auto"/>
          <w:highlight w:val="none"/>
        </w:rPr>
        <w:t>工艺</w:t>
      </w:r>
      <w:r>
        <w:rPr>
          <w:rFonts w:hint="eastAsia"/>
          <w:color w:val="auto"/>
          <w:highlight w:val="none"/>
        </w:rPr>
        <w:t>，具体</w:t>
      </w:r>
      <w:r>
        <w:rPr>
          <w:rFonts w:cs="Times New Roman"/>
          <w:color w:val="auto"/>
          <w:highlight w:val="none"/>
        </w:rPr>
        <w:t>工艺简述</w:t>
      </w:r>
      <w:r>
        <w:rPr>
          <w:rFonts w:hint="eastAsia" w:cs="Times New Roman"/>
          <w:color w:val="auto"/>
          <w:highlight w:val="none"/>
        </w:rPr>
        <w:t>如下</w:t>
      </w:r>
      <w:r>
        <w:rPr>
          <w:rFonts w:cs="Times New Roman"/>
          <w:color w:val="auto"/>
          <w:highlight w:val="none"/>
        </w:rPr>
        <w:t>：</w:t>
      </w:r>
    </w:p>
    <w:p w14:paraId="63816F8A">
      <w:pPr>
        <w:adjustRightInd w:val="0"/>
        <w:ind w:firstLine="482"/>
        <w:rPr>
          <w:rFonts w:cs="Times New Roman"/>
          <w:b/>
          <w:bCs/>
          <w:color w:val="auto"/>
          <w:highlight w:val="none"/>
        </w:rPr>
      </w:pPr>
      <w:r>
        <w:rPr>
          <w:rFonts w:cs="Times New Roman"/>
          <w:b/>
          <w:bCs/>
          <w:color w:val="auto"/>
          <w:highlight w:val="none"/>
        </w:rPr>
        <w:t>（1）卸料</w:t>
      </w:r>
    </w:p>
    <w:p w14:paraId="77A0EA67">
      <w:pPr>
        <w:adjustRightInd w:val="0"/>
        <w:ind w:firstLine="480"/>
        <w:rPr>
          <w:rFonts w:cs="Times New Roman"/>
          <w:color w:val="auto"/>
          <w:highlight w:val="none"/>
        </w:rPr>
      </w:pPr>
      <w:r>
        <w:rPr>
          <w:rFonts w:cs="Times New Roman"/>
          <w:color w:val="auto"/>
          <w:highlight w:val="none"/>
        </w:rPr>
        <w:t>原矿经汽车运至厂区后，首先经电子扫描车牌和电子磅自动计量记录矿车毛重后卸入原矿仓库，然后空车返回时再次经电子扫描车牌和电子磅自动计量记录车重，最后计量矿石重量并记录。本项目外购的锂辉石不含泥，不需在厂区清洗。</w:t>
      </w:r>
    </w:p>
    <w:p w14:paraId="734D797C">
      <w:pPr>
        <w:adjustRightInd w:val="0"/>
        <w:ind w:firstLine="480"/>
        <w:rPr>
          <w:rFonts w:cs="Times New Roman"/>
          <w:color w:val="auto"/>
          <w:highlight w:val="none"/>
        </w:rPr>
      </w:pPr>
      <w:r>
        <w:rPr>
          <w:rFonts w:cs="Times New Roman"/>
          <w:color w:val="auto"/>
          <w:highlight w:val="none"/>
        </w:rPr>
        <w:t>该工序主要污染物为：粉尘、噪声。</w:t>
      </w:r>
    </w:p>
    <w:p w14:paraId="7E3A84DA">
      <w:pPr>
        <w:adjustRightInd w:val="0"/>
        <w:ind w:firstLine="482"/>
        <w:rPr>
          <w:rFonts w:cs="Times New Roman"/>
          <w:b/>
          <w:bCs/>
          <w:color w:val="auto"/>
          <w:highlight w:val="none"/>
        </w:rPr>
      </w:pPr>
      <w:r>
        <w:rPr>
          <w:rFonts w:cs="Times New Roman"/>
          <w:b/>
          <w:bCs/>
          <w:color w:val="auto"/>
          <w:highlight w:val="none"/>
        </w:rPr>
        <w:t>（2）破碎（鄂破、圆锥破、立轴破）、筛分</w:t>
      </w:r>
    </w:p>
    <w:p w14:paraId="2607944F">
      <w:pPr>
        <w:adjustRightInd w:val="0"/>
        <w:ind w:firstLine="480"/>
        <w:rPr>
          <w:rFonts w:cs="Times New Roman"/>
          <w:color w:val="auto"/>
          <w:highlight w:val="none"/>
        </w:rPr>
      </w:pPr>
      <w:r>
        <w:rPr>
          <w:rFonts w:cs="Times New Roman"/>
          <w:color w:val="auto"/>
          <w:highlight w:val="none"/>
        </w:rPr>
        <w:t>原矿仓库下部用2台给料机将锂原矿（＜30cm）给入颚式破碎机（XY-751060）进行一次破碎，再通过密闭传送带送至颚式破碎机（XY-6090）进行二次破碎，然后通过密闭传送带送至筛分机（三层筛）进行筛分作业。振动筛筛下粒径小于8mm的物料进入下</w:t>
      </w:r>
      <w:r>
        <w:rPr>
          <w:rFonts w:hint="eastAsia" w:cs="Times New Roman"/>
          <w:color w:val="auto"/>
          <w:highlight w:val="none"/>
        </w:rPr>
        <w:t>一道</w:t>
      </w:r>
      <w:r>
        <w:rPr>
          <w:rFonts w:cs="Times New Roman"/>
          <w:color w:val="auto"/>
          <w:highlight w:val="none"/>
        </w:rPr>
        <w:t>工序（磨矿），筛上粒径大于12cm的物料经密闭传送带送至圆锥破碎机重新进行破碎，筛中粒径8mm-12cm的物料经密闭传送带送至立轴式冲击破重新进行破碎，再次破碎后通过密闭传送带送至筛分机（三层筛），形成闭路。</w:t>
      </w:r>
      <w:r>
        <w:rPr>
          <w:rFonts w:hint="eastAsia" w:cs="Times New Roman"/>
          <w:color w:val="auto"/>
          <w:highlight w:val="none"/>
        </w:rPr>
        <w:t>破碎筛分后的物料暂存于粉矿仓库。</w:t>
      </w:r>
    </w:p>
    <w:p w14:paraId="0BD170F2">
      <w:pPr>
        <w:adjustRightInd w:val="0"/>
        <w:ind w:firstLine="480"/>
        <w:rPr>
          <w:rFonts w:cs="Times New Roman"/>
          <w:color w:val="auto"/>
          <w:highlight w:val="none"/>
        </w:rPr>
      </w:pPr>
      <w:r>
        <w:rPr>
          <w:rFonts w:cs="Times New Roman"/>
          <w:color w:val="auto"/>
          <w:highlight w:val="none"/>
        </w:rPr>
        <w:t>该工序主要污染物为：粉尘、噪声。</w:t>
      </w:r>
    </w:p>
    <w:p w14:paraId="7CE6AA02">
      <w:pPr>
        <w:adjustRightInd w:val="0"/>
        <w:ind w:firstLine="482"/>
        <w:rPr>
          <w:rFonts w:cs="Times New Roman"/>
          <w:b/>
          <w:color w:val="auto"/>
          <w:szCs w:val="22"/>
          <w:highlight w:val="none"/>
        </w:rPr>
      </w:pPr>
      <w:r>
        <w:rPr>
          <w:rFonts w:cs="Times New Roman"/>
          <w:b/>
          <w:color w:val="auto"/>
          <w:szCs w:val="22"/>
          <w:highlight w:val="none"/>
        </w:rPr>
        <w:t>（3）湿法磨矿、旋流分级</w:t>
      </w:r>
    </w:p>
    <w:p w14:paraId="38151479">
      <w:pPr>
        <w:adjustRightInd w:val="0"/>
        <w:ind w:firstLine="480"/>
        <w:rPr>
          <w:rFonts w:cs="Times New Roman"/>
          <w:color w:val="auto"/>
          <w:szCs w:val="22"/>
          <w:highlight w:val="none"/>
        </w:rPr>
      </w:pPr>
      <w:r>
        <w:rPr>
          <w:rFonts w:cs="Times New Roman"/>
          <w:color w:val="auto"/>
          <w:szCs w:val="22"/>
          <w:highlight w:val="none"/>
        </w:rPr>
        <w:t>经</w:t>
      </w:r>
      <w:r>
        <w:rPr>
          <w:rFonts w:hint="eastAsia" w:cs="Times New Roman"/>
          <w:color w:val="auto"/>
          <w:szCs w:val="22"/>
          <w:highlight w:val="none"/>
        </w:rPr>
        <w:t>破碎</w:t>
      </w:r>
      <w:r>
        <w:rPr>
          <w:rFonts w:cs="Times New Roman"/>
          <w:color w:val="auto"/>
          <w:szCs w:val="22"/>
          <w:highlight w:val="none"/>
        </w:rPr>
        <w:t>后的物料（＜8m）进入球磨机，加水进行湿法磨矿，出料由渣浆泵给入水力分级旋流器组，分级旋流器组沉砂（粒径大于0.074mm）返回球磨机再磨，形成一次闭路磨矿。旋流器出料（粒径小于0.074mm）溢流进入磁选机。</w:t>
      </w:r>
    </w:p>
    <w:p w14:paraId="1BBF48A4">
      <w:pPr>
        <w:adjustRightInd w:val="0"/>
        <w:ind w:firstLine="480"/>
        <w:rPr>
          <w:rFonts w:cs="Times New Roman"/>
          <w:color w:val="auto"/>
          <w:szCs w:val="22"/>
          <w:highlight w:val="none"/>
        </w:rPr>
      </w:pPr>
      <w:r>
        <w:rPr>
          <w:rFonts w:cs="Times New Roman"/>
          <w:color w:val="auto"/>
          <w:szCs w:val="22"/>
          <w:highlight w:val="none"/>
        </w:rPr>
        <w:t>项目对原料进行了初步小型选矿试验研究、扩大连续试验等试验研究，研究结果表明：随着磨矿细度的增加，粗精矿的产率的回收率逐渐增加。当磨矿细度-0.074mm含量占85.4%时，粗精矿Li</w:t>
      </w:r>
      <w:r>
        <w:rPr>
          <w:rFonts w:cs="Times New Roman"/>
          <w:color w:val="auto"/>
          <w:szCs w:val="22"/>
          <w:highlight w:val="none"/>
          <w:vertAlign w:val="subscript"/>
        </w:rPr>
        <w:t>2</w:t>
      </w:r>
      <w:r>
        <w:rPr>
          <w:rFonts w:cs="Times New Roman"/>
          <w:color w:val="auto"/>
          <w:szCs w:val="22"/>
          <w:highlight w:val="none"/>
        </w:rPr>
        <w:t>O的回收率为</w:t>
      </w:r>
      <w:r>
        <w:rPr>
          <w:rFonts w:hint="eastAsia" w:cs="Times New Roman"/>
          <w:color w:val="auto"/>
          <w:szCs w:val="22"/>
          <w:highlight w:val="none"/>
          <w:lang w:val="en-US" w:eastAsia="zh-CN"/>
        </w:rPr>
        <w:t>83.37</w:t>
      </w:r>
      <w:r>
        <w:rPr>
          <w:rFonts w:cs="Times New Roman"/>
          <w:color w:val="auto"/>
          <w:szCs w:val="22"/>
          <w:highlight w:val="none"/>
        </w:rPr>
        <w:t>%，继续增加磨矿细度，粗精矿Li</w:t>
      </w:r>
      <w:r>
        <w:rPr>
          <w:rFonts w:cs="Times New Roman"/>
          <w:color w:val="auto"/>
          <w:szCs w:val="22"/>
          <w:highlight w:val="none"/>
          <w:vertAlign w:val="subscript"/>
        </w:rPr>
        <w:t>2</w:t>
      </w:r>
      <w:r>
        <w:rPr>
          <w:rFonts w:cs="Times New Roman"/>
          <w:color w:val="auto"/>
          <w:szCs w:val="22"/>
          <w:highlight w:val="none"/>
        </w:rPr>
        <w:t>O的回收率基本没有变化，磨矿过细，矿浆泥化严重，浮选恶化。实验结果最终确定磨矿细度为-0.074mm。</w:t>
      </w:r>
    </w:p>
    <w:p w14:paraId="14527786">
      <w:pPr>
        <w:adjustRightInd w:val="0"/>
        <w:ind w:firstLine="480"/>
        <w:rPr>
          <w:rFonts w:cs="Times New Roman"/>
          <w:color w:val="auto"/>
          <w:szCs w:val="22"/>
          <w:highlight w:val="none"/>
        </w:rPr>
      </w:pPr>
      <w:r>
        <w:rPr>
          <w:rFonts w:cs="Times New Roman"/>
          <w:color w:val="auto"/>
          <w:szCs w:val="22"/>
          <w:highlight w:val="none"/>
        </w:rPr>
        <w:t>该工序主要污染物为：噪声。</w:t>
      </w:r>
    </w:p>
    <w:p w14:paraId="3AC00F25">
      <w:pPr>
        <w:adjustRightInd w:val="0"/>
        <w:ind w:firstLine="482"/>
        <w:rPr>
          <w:rFonts w:cs="Times New Roman"/>
          <w:color w:val="auto"/>
          <w:highlight w:val="none"/>
        </w:rPr>
      </w:pPr>
      <w:r>
        <w:rPr>
          <w:rFonts w:cs="Times New Roman"/>
          <w:b/>
          <w:bCs/>
          <w:color w:val="auto"/>
          <w:highlight w:val="none"/>
        </w:rPr>
        <w:t>球磨机原理</w:t>
      </w:r>
      <w:r>
        <w:rPr>
          <w:rFonts w:cs="Times New Roman"/>
          <w:color w:val="auto"/>
          <w:highlight w:val="none"/>
        </w:rPr>
        <w:t>：球磨机主要由圆柱形筒体、端盖、轴承和传动大齿圈等部件组成。磨矿作业是在球磨机筒体内进行的，筒体的磨介随着筒体的旋转而被带到一定的高度后，介质由于自重而下落，装在筒体内的矿石就受到介质猛烈的冲击力；另一方面由于磨介在筒体内沿筒体轴心的公转与自转，在磨介之间及其与筒体接触区又产生对矿石的挤压和磨剥力，从而将矿石磨碎。球磨机钢球（磨矿介质）当筒体旋转时即被带起并升到一定高度，由于钢球本身的重力作用，最后沿一定的轨道下落。在区域内的钢球受到两种力的作用：一为旋转时自切线方向施于钢球的作用力；一为与钢球直径相对称一面而与上述作用力相反的力，这个作用力的产生是由于钢球本身自重而向下滑动所引起的。上述两种作用力，对于钢球会构成一对力偶，由于钢球是被挤压在筒体与相邻钢球的中间，所以力偶会使钢球之间存在大小不等的摩擦力，钢球随筒体轴心</w:t>
      </w:r>
      <w:r>
        <w:rPr>
          <w:rFonts w:hint="eastAsia" w:cs="Times New Roman"/>
          <w:color w:val="auto"/>
          <w:highlight w:val="none"/>
        </w:rPr>
        <w:t>做</w:t>
      </w:r>
      <w:r>
        <w:rPr>
          <w:rFonts w:cs="Times New Roman"/>
          <w:color w:val="auto"/>
          <w:highlight w:val="none"/>
        </w:rPr>
        <w:t>公转运动时在区域内</w:t>
      </w:r>
      <w:r>
        <w:rPr>
          <w:rFonts w:hint="eastAsia" w:cs="Times New Roman"/>
          <w:color w:val="auto"/>
          <w:highlight w:val="none"/>
        </w:rPr>
        <w:t>自上而下</w:t>
      </w:r>
      <w:r>
        <w:rPr>
          <w:rFonts w:cs="Times New Roman"/>
          <w:color w:val="auto"/>
          <w:highlight w:val="none"/>
        </w:rPr>
        <w:t>抛落，就在区域里对筒体内的矿石产生强大的冲击作用，将矿石破碎。可以说，在磨机筒体内矿石主要是受磨剥力、冲击力及挤压力的作用而被磨碎的。</w:t>
      </w:r>
    </w:p>
    <w:p w14:paraId="7511D282">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0" distR="0">
            <wp:extent cx="3413760" cy="1958340"/>
            <wp:effectExtent l="0" t="0" r="1524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0"/>
                    <a:stretch>
                      <a:fillRect/>
                    </a:stretch>
                  </pic:blipFill>
                  <pic:spPr>
                    <a:xfrm>
                      <a:off x="0" y="0"/>
                      <a:ext cx="3414056" cy="1958510"/>
                    </a:xfrm>
                    <a:prstGeom prst="rect">
                      <a:avLst/>
                    </a:prstGeom>
                  </pic:spPr>
                </pic:pic>
              </a:graphicData>
            </a:graphic>
          </wp:inline>
        </w:drawing>
      </w:r>
    </w:p>
    <w:p w14:paraId="47C5BDC9">
      <w:pPr>
        <w:pStyle w:val="12"/>
        <w:adjustRightInd w:val="0"/>
        <w:ind w:left="420" w:hanging="420"/>
        <w:rPr>
          <w:rFonts w:cs="Times New Roman"/>
          <w:color w:val="auto"/>
          <w:szCs w:val="22"/>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szCs w:val="22"/>
          <w:highlight w:val="none"/>
        </w:rPr>
        <w:t>球磨原理图</w:t>
      </w:r>
    </w:p>
    <w:p w14:paraId="080EABE7">
      <w:pPr>
        <w:adjustRightInd w:val="0"/>
        <w:spacing w:before="163" w:beforeLines="50"/>
        <w:ind w:firstLine="482"/>
        <w:rPr>
          <w:rFonts w:cs="Times New Roman"/>
          <w:color w:val="auto"/>
          <w:szCs w:val="22"/>
          <w:highlight w:val="none"/>
        </w:rPr>
      </w:pPr>
      <w:r>
        <w:rPr>
          <w:rFonts w:cs="Times New Roman"/>
          <w:b/>
          <w:color w:val="auto"/>
          <w:szCs w:val="22"/>
          <w:highlight w:val="none"/>
        </w:rPr>
        <w:t>水力旋流分级原理：</w:t>
      </w:r>
      <w:r>
        <w:rPr>
          <w:rFonts w:cs="Times New Roman"/>
          <w:color w:val="auto"/>
          <w:szCs w:val="22"/>
          <w:highlight w:val="none"/>
        </w:rPr>
        <w:t>水力旋流器，是利用离心力来加速矿粒沉降的分级设备。水力旋流器由上部一个中空的圆柱体，下部一个与圆柱体相通的倒椎体，二者组成水力旋流器的工作筒体。除此，水力旋流器还有给矿管，溢流管，溢流导管和沉砂口。水力旋流器用砂泵（或高差）以一定压力（一般是0.5～2.5公斤/厘米）和流速（约5～12米/秒）将矿浆沿切线方向旋入圆筒，然后矿浆便以很快的速度沿筒壁旋转而产生离心力。通过离心力和重力的作用下，将较粗、较重的矿粒抛出。水力旋流器在选矿工业中主要用于分级、分选、浓缩和脱泥。当水力旋流器用作分级设备时，主要用来与磨机组成磨矿分级系统。水力旋流器无运动部件，构造简单；单位容积的生产能力较大，占面积小；分级效率高，分级粒度细；造价低，材料消耗少。</w:t>
      </w:r>
    </w:p>
    <w:p w14:paraId="35E57544">
      <w:pPr>
        <w:adjustRightInd w:val="0"/>
        <w:ind w:firstLine="480"/>
        <w:rPr>
          <w:rFonts w:cs="Times New Roman"/>
          <w:color w:val="auto"/>
          <w:highlight w:val="none"/>
        </w:rPr>
      </w:pPr>
      <w:r>
        <w:rPr>
          <w:rFonts w:cs="Times New Roman"/>
          <w:color w:val="auto"/>
          <w:highlight w:val="none"/>
        </w:rPr>
        <w:t>矿浆以较高的速度由进料管沿切线方向进入水力旋流器，由于受到外筒壁的限制，迫使液体做自上而下的旋转运动，通常将这种运动称为外旋流或下降旋流运动。外旋流中的固体颗粒受到离心力作用，如果密度大于四周液体的密度（这是大多数情况），它所受的离心力就越大，一旦这个力大于因运动所产生的液体阻力，固体颗粒就会克服这一阻力而向器壁方向移动，与悬浮液分离，到达器壁附近的颗粒受到连续的液体推动，沿器壁向下运动，到达底流口附近聚集</w:t>
      </w:r>
      <w:r>
        <w:rPr>
          <w:rFonts w:hint="eastAsia" w:cs="Times New Roman"/>
          <w:color w:val="auto"/>
          <w:highlight w:val="none"/>
        </w:rPr>
        <w:t>成</w:t>
      </w:r>
      <w:r>
        <w:rPr>
          <w:rFonts w:cs="Times New Roman"/>
          <w:color w:val="auto"/>
          <w:highlight w:val="none"/>
        </w:rPr>
        <w:t>大大稠化的悬浮液，从底流口排出。分离后的液体(当然其中还有一些细小的颗粒)旋转向下继续运动，进入圆锥段后，因旋液分离器的内径逐渐缩小，液体旋转速度加快。由于液体产生涡流运动时沿径向方向的压力分布不均，越接近轴线处越小而至轴线时趋近于零，成为低压区甚至为真空区，导致液体趋向于轴线方向移动。同时，由于旋液分离器底流口大大缩小，液体无法迅速从底流口排出，而旋流腔顶盖中央的溢流口，由于处于低压区而使一部分液体向其移动，因而形成向上的旋转运动，并从溢流口排出。</w:t>
      </w:r>
    </w:p>
    <w:p w14:paraId="3ED07BF5">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0" distR="0">
            <wp:extent cx="3977640" cy="3672840"/>
            <wp:effectExtent l="0" t="0" r="381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1"/>
                    <a:stretch>
                      <a:fillRect/>
                    </a:stretch>
                  </pic:blipFill>
                  <pic:spPr>
                    <a:xfrm>
                      <a:off x="0" y="0"/>
                      <a:ext cx="3977985" cy="3673158"/>
                    </a:xfrm>
                    <a:prstGeom prst="rect">
                      <a:avLst/>
                    </a:prstGeom>
                  </pic:spPr>
                </pic:pic>
              </a:graphicData>
            </a:graphic>
          </wp:inline>
        </w:drawing>
      </w:r>
    </w:p>
    <w:p w14:paraId="5F304011">
      <w:pPr>
        <w:pStyle w:val="12"/>
        <w:adjustRightInd w:val="0"/>
        <w:ind w:left="420" w:hanging="420"/>
        <w:rPr>
          <w:rFonts w:cs="Times New Roman"/>
          <w:color w:val="auto"/>
          <w:szCs w:val="22"/>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szCs w:val="22"/>
          <w:highlight w:val="none"/>
        </w:rPr>
        <w:t>水力旋流分级原理图</w:t>
      </w:r>
    </w:p>
    <w:p w14:paraId="5916B2C0">
      <w:pPr>
        <w:adjustRightInd w:val="0"/>
        <w:spacing w:before="163" w:beforeLines="50"/>
        <w:ind w:firstLine="482"/>
        <w:rPr>
          <w:rFonts w:cs="Times New Roman"/>
          <w:b/>
          <w:color w:val="auto"/>
          <w:szCs w:val="22"/>
          <w:highlight w:val="none"/>
        </w:rPr>
      </w:pPr>
      <w:r>
        <w:rPr>
          <w:rFonts w:cs="Times New Roman"/>
          <w:b/>
          <w:color w:val="auto"/>
          <w:szCs w:val="22"/>
          <w:highlight w:val="none"/>
        </w:rPr>
        <w:t>（4）一次磁选</w:t>
      </w:r>
    </w:p>
    <w:p w14:paraId="56D46323">
      <w:pPr>
        <w:adjustRightInd w:val="0"/>
        <w:ind w:firstLine="480"/>
        <w:rPr>
          <w:rFonts w:cs="Times New Roman"/>
          <w:color w:val="auto"/>
          <w:highlight w:val="none"/>
        </w:rPr>
      </w:pPr>
      <w:r>
        <w:rPr>
          <w:rFonts w:cs="Times New Roman"/>
          <w:color w:val="auto"/>
          <w:highlight w:val="none"/>
        </w:rPr>
        <w:t>磨矿出料从旋流器溢流管道自流至磁选机，去除其中的铁等含磁性物杂质。一次除铁的主要目的是：①减少铁氧化物（如赤铁矿、磁铁矿）对浮选药剂的干扰，这类铁矿物会吸附捕收剂，降低锂矿物与脉石的分离选择性，导致粗精矿品位偏低；②提前脱除部分易泥化的铁氢氧化物（如褐铁矿），避免其在浮选过程中形成细泥覆盖矿物表面，阻碍气泡与锂矿物的附着。</w:t>
      </w:r>
    </w:p>
    <w:p w14:paraId="2CEC2B6E">
      <w:pPr>
        <w:adjustRightInd w:val="0"/>
        <w:ind w:firstLine="480"/>
        <w:rPr>
          <w:rFonts w:cs="Times New Roman"/>
          <w:color w:val="auto"/>
          <w:highlight w:val="none"/>
        </w:rPr>
      </w:pPr>
      <w:r>
        <w:rPr>
          <w:rFonts w:cs="Times New Roman"/>
          <w:color w:val="auto"/>
          <w:highlight w:val="none"/>
        </w:rPr>
        <w:t>该工序主要污染物为：噪声、固废（黑砂）</w:t>
      </w:r>
      <w:r>
        <w:rPr>
          <w:rFonts w:hint="eastAsia" w:cs="Times New Roman"/>
          <w:color w:val="auto"/>
          <w:highlight w:val="none"/>
        </w:rPr>
        <w:t>。</w:t>
      </w:r>
    </w:p>
    <w:p w14:paraId="7B4ADC25">
      <w:pPr>
        <w:adjustRightInd w:val="0"/>
        <w:ind w:firstLine="482"/>
        <w:rPr>
          <w:rFonts w:cs="Times New Roman"/>
          <w:b/>
          <w:bCs/>
          <w:color w:val="auto"/>
          <w:highlight w:val="none"/>
        </w:rPr>
      </w:pPr>
      <w:r>
        <w:rPr>
          <w:rFonts w:cs="Times New Roman"/>
          <w:b/>
          <w:bCs/>
          <w:color w:val="auto"/>
          <w:highlight w:val="none"/>
        </w:rPr>
        <w:t>（5）脱泥</w:t>
      </w:r>
    </w:p>
    <w:p w14:paraId="01EC78B2">
      <w:pPr>
        <w:adjustRightInd w:val="0"/>
        <w:ind w:firstLine="480"/>
        <w:rPr>
          <w:rFonts w:cs="Times New Roman"/>
          <w:color w:val="auto"/>
          <w:highlight w:val="none"/>
        </w:rPr>
      </w:pPr>
      <w:r>
        <w:rPr>
          <w:rFonts w:cs="Times New Roman"/>
          <w:color w:val="auto"/>
          <w:highlight w:val="none"/>
        </w:rPr>
        <w:t>磁选机出料由渣浆泵给入脱泥旋流器组，脱泥旋流器组沉砂（粒径大于0.015mm）溢流进入浮选机。旋流器出料（粒径小于0.015mm）用管道输送至脱水系统。</w:t>
      </w:r>
    </w:p>
    <w:p w14:paraId="67DF04E0">
      <w:pPr>
        <w:adjustRightInd w:val="0"/>
        <w:ind w:firstLine="482"/>
        <w:rPr>
          <w:rFonts w:cs="Times New Roman"/>
          <w:b/>
          <w:bCs/>
          <w:color w:val="auto"/>
          <w:highlight w:val="none"/>
        </w:rPr>
      </w:pPr>
      <w:r>
        <w:rPr>
          <w:rFonts w:cs="Times New Roman"/>
          <w:b/>
          <w:bCs/>
          <w:color w:val="auto"/>
          <w:highlight w:val="none"/>
        </w:rPr>
        <w:t>（6）预浮（选锂前预处理系统）</w:t>
      </w:r>
    </w:p>
    <w:p w14:paraId="71CAF8C4">
      <w:pPr>
        <w:adjustRightInd w:val="0"/>
        <w:ind w:firstLine="480"/>
        <w:rPr>
          <w:rFonts w:cs="Times New Roman"/>
          <w:b/>
          <w:bCs/>
          <w:color w:val="auto"/>
          <w:highlight w:val="none"/>
        </w:rPr>
      </w:pPr>
      <w:r>
        <w:rPr>
          <w:rFonts w:cs="Times New Roman"/>
          <w:color w:val="auto"/>
          <w:highlight w:val="none"/>
        </w:rPr>
        <w:t>磨矿出料脱泥从旋流器组溢流管道自流至搅拌槽，经自动加药装置加药搅拌，然后由管道输入预浮浮选机，选出易浮物（主要为云母，云母会吸附药剂、覆盖矿物表面，降低浮选选择）用管道输送至脱水系统。预浮所用的浮选剂为浮选剂①，</w:t>
      </w:r>
      <w:r>
        <w:rPr>
          <w:rFonts w:hint="eastAsia" w:cs="Times New Roman"/>
          <w:color w:val="auto"/>
          <w:highlight w:val="none"/>
        </w:rPr>
        <w:t>根据乐山市全沫矿产品有限公司运行阶段生产经验数据</w:t>
      </w:r>
      <w:r>
        <w:rPr>
          <w:rFonts w:cs="Times New Roman"/>
          <w:color w:val="auto"/>
          <w:highlight w:val="none"/>
        </w:rPr>
        <w:t>，浮选剂①的最佳配比为氢氧化钠：碳酸钠：氯化镁：捕收剂=7：421：175：397，预浮时浮选剂约占总用量的</w:t>
      </w:r>
      <w:r>
        <w:rPr>
          <w:rFonts w:hint="eastAsia" w:cs="Times New Roman"/>
          <w:color w:val="auto"/>
          <w:highlight w:val="none"/>
        </w:rPr>
        <w:t>10.63</w:t>
      </w:r>
      <w:r>
        <w:rPr>
          <w:rFonts w:cs="Times New Roman"/>
          <w:color w:val="auto"/>
          <w:highlight w:val="none"/>
        </w:rPr>
        <w:t>%。</w:t>
      </w:r>
      <w:r>
        <w:rPr>
          <w:rFonts w:cs="Times New Roman"/>
          <w:b/>
          <w:bCs/>
          <w:color w:val="auto"/>
          <w:highlight w:val="none"/>
        </w:rPr>
        <w:t>预浮时根据锂原矿的不同，所使用的浮选剂配比也不同，实际生产时会灵活调整浮选剂配比。</w:t>
      </w:r>
    </w:p>
    <w:p w14:paraId="12B65D8F">
      <w:pPr>
        <w:adjustRightInd w:val="0"/>
        <w:ind w:firstLine="480"/>
        <w:rPr>
          <w:rFonts w:cs="Times New Roman"/>
          <w:color w:val="auto"/>
          <w:highlight w:val="none"/>
        </w:rPr>
      </w:pPr>
      <w:r>
        <w:rPr>
          <w:rFonts w:cs="Times New Roman"/>
          <w:color w:val="auto"/>
          <w:highlight w:val="none"/>
        </w:rPr>
        <w:t>该工序主要污染物为：噪声、废氢氧化钠包装袋、废碳酸钠包装袋、废氯化镁包装袋、废捕收剂桶。</w:t>
      </w:r>
    </w:p>
    <w:p w14:paraId="792FEF38">
      <w:pPr>
        <w:adjustRightInd w:val="0"/>
        <w:ind w:firstLine="482"/>
        <w:rPr>
          <w:rFonts w:cs="Times New Roman"/>
          <w:b/>
          <w:color w:val="auto"/>
          <w:szCs w:val="22"/>
          <w:highlight w:val="none"/>
        </w:rPr>
      </w:pPr>
      <w:r>
        <w:rPr>
          <w:rFonts w:cs="Times New Roman"/>
          <w:b/>
          <w:color w:val="auto"/>
          <w:szCs w:val="22"/>
          <w:highlight w:val="none"/>
        </w:rPr>
        <w:t>（7）浮选</w:t>
      </w:r>
    </w:p>
    <w:p w14:paraId="3EF920FE">
      <w:pPr>
        <w:adjustRightInd w:val="0"/>
        <w:ind w:firstLine="480"/>
        <w:rPr>
          <w:rFonts w:cs="Times New Roman"/>
          <w:color w:val="auto"/>
          <w:highlight w:val="none"/>
        </w:rPr>
      </w:pPr>
      <w:r>
        <w:rPr>
          <w:rFonts w:cs="Times New Roman"/>
          <w:color w:val="auto"/>
          <w:highlight w:val="none"/>
        </w:rPr>
        <w:t>本项目磨矿出料从旋流器溢流管道自流至搅拌槽，经自动加药装置加药搅拌，搅拌调好矿浆送入浮选机后经搅拌充气，矿浆中的矿粒与气泡接触、碰撞，可浮性好的矿粒选择性地</w:t>
      </w:r>
      <w:r>
        <w:rPr>
          <w:rFonts w:hint="eastAsia" w:cs="Times New Roman"/>
          <w:color w:val="auto"/>
          <w:highlight w:val="none"/>
        </w:rPr>
        <w:t>黏附</w:t>
      </w:r>
      <w:r>
        <w:rPr>
          <w:rFonts w:cs="Times New Roman"/>
          <w:color w:val="auto"/>
          <w:highlight w:val="none"/>
        </w:rPr>
        <w:t>于气泡并被携带上升成为气-液-固三相组成的矿化泡沫层挂出回收，不能浮起的脉石等矿物颗粒随矿浆从底部排出。浮选所用的浮选剂为浮选剂①，</w:t>
      </w:r>
      <w:r>
        <w:rPr>
          <w:rFonts w:hint="eastAsia" w:cs="Times New Roman"/>
          <w:color w:val="auto"/>
          <w:highlight w:val="none"/>
        </w:rPr>
        <w:t>根据乐山市全沫矿产品有限公司运行阶段生产经验数据</w:t>
      </w:r>
      <w:r>
        <w:rPr>
          <w:rFonts w:cs="Times New Roman"/>
          <w:color w:val="auto"/>
          <w:highlight w:val="none"/>
        </w:rPr>
        <w:t>，浮选剂①的最佳配比为氢氧化钠：碳酸钠：氯化镁：捕收剂=6：504：132：476，预浮时浮选剂约占总用量的</w:t>
      </w:r>
      <w:r>
        <w:rPr>
          <w:rFonts w:hint="eastAsia" w:cs="Times New Roman"/>
          <w:color w:val="auto"/>
          <w:highlight w:val="none"/>
        </w:rPr>
        <w:t>89.37</w:t>
      </w:r>
      <w:r>
        <w:rPr>
          <w:rFonts w:cs="Times New Roman"/>
          <w:color w:val="auto"/>
          <w:highlight w:val="none"/>
        </w:rPr>
        <w:t>%。</w:t>
      </w:r>
      <w:r>
        <w:rPr>
          <w:rFonts w:cs="Times New Roman"/>
          <w:b/>
          <w:bCs/>
          <w:color w:val="auto"/>
          <w:highlight w:val="none"/>
        </w:rPr>
        <w:t>浮选时根据锂原矿的不同，所使用的浮选剂配比也不同，实际生产时会灵活调整浮选剂配比。</w:t>
      </w:r>
    </w:p>
    <w:p w14:paraId="76738E9B">
      <w:pPr>
        <w:adjustRightInd w:val="0"/>
        <w:ind w:firstLine="480"/>
        <w:rPr>
          <w:rFonts w:cs="Times New Roman"/>
          <w:color w:val="auto"/>
          <w:highlight w:val="none"/>
        </w:rPr>
      </w:pPr>
      <w:r>
        <w:rPr>
          <w:rFonts w:cs="Times New Roman"/>
          <w:color w:val="auto"/>
          <w:highlight w:val="none"/>
        </w:rPr>
        <w:t>该工序主要污染物为：噪声、废氢氧化钠包装袋、废碳酸钠包装袋、废氯化镁包装袋、废捕收剂桶。</w:t>
      </w:r>
    </w:p>
    <w:p w14:paraId="4A32C472">
      <w:pPr>
        <w:adjustRightInd w:val="0"/>
        <w:ind w:firstLine="482"/>
        <w:rPr>
          <w:rFonts w:cs="Times New Roman"/>
          <w:color w:val="auto"/>
          <w:szCs w:val="22"/>
          <w:highlight w:val="none"/>
        </w:rPr>
      </w:pPr>
      <w:r>
        <w:rPr>
          <w:rFonts w:cs="Times New Roman"/>
          <w:b/>
          <w:color w:val="auto"/>
          <w:szCs w:val="22"/>
          <w:highlight w:val="none"/>
        </w:rPr>
        <w:t>浮选原理：</w:t>
      </w:r>
      <w:r>
        <w:rPr>
          <w:rFonts w:cs="Times New Roman"/>
          <w:color w:val="auto"/>
          <w:szCs w:val="22"/>
          <w:highlight w:val="none"/>
        </w:rPr>
        <w:t>浮选原理主要是根据液体表面张力的作用原理，使污水中固体污染物黏附在小气泡上。当空气通入废水时，废水中的细小颗粒物共同组成三相体系。细小颗粒黏附到气泡上时，使气泡界面发生变化。颗粒能否黏附于气泡上与颗粒和液体的表面性质有关。亲水性颗粒易被水润湿，水对它有较大的附着力，气泡不易把水推开取而代之，这种颗粒不易黏附于气泡上而除去。而疏水性颗粒则容易附着于气泡而被除去。各种物质对水的亲疏性，可用它们与水的接触角θ（以对着水的两切线夹角为准）来衡量。接触角θ&lt;90°的为亲水型物质，θ&gt;90°的为疏水物质。若要用浮选法分离亲水性颗粒，就必须投加合适的药剂—浮选剂，以改变颗粒表面性质，使其改为疏水性，易于黏附于气泡上。同时浮选剂还有促进起泡的作用，可使废水中的空气形成稳定的小气泡，以利于气浮。</w:t>
      </w:r>
    </w:p>
    <w:p w14:paraId="18A7383C">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0" distR="0">
            <wp:extent cx="4648200" cy="2636520"/>
            <wp:effectExtent l="0" t="0" r="0"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32"/>
                    <a:stretch>
                      <a:fillRect/>
                    </a:stretch>
                  </pic:blipFill>
                  <pic:spPr>
                    <a:xfrm>
                      <a:off x="0" y="0"/>
                      <a:ext cx="4648603" cy="2636748"/>
                    </a:xfrm>
                    <a:prstGeom prst="rect">
                      <a:avLst/>
                    </a:prstGeom>
                  </pic:spPr>
                </pic:pic>
              </a:graphicData>
            </a:graphic>
          </wp:inline>
        </w:drawing>
      </w:r>
    </w:p>
    <w:p w14:paraId="62252212">
      <w:pPr>
        <w:pStyle w:val="12"/>
        <w:adjustRightInd w:val="0"/>
        <w:ind w:left="420" w:hanging="420"/>
        <w:rPr>
          <w:rFonts w:cs="Times New Roman"/>
          <w:color w:val="auto"/>
          <w:szCs w:val="22"/>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szCs w:val="22"/>
          <w:highlight w:val="none"/>
        </w:rPr>
        <w:t>浮选原理图</w:t>
      </w:r>
    </w:p>
    <w:p w14:paraId="4599094B">
      <w:pPr>
        <w:adjustRightInd w:val="0"/>
        <w:ind w:firstLine="482"/>
        <w:rPr>
          <w:rFonts w:cs="Times New Roman"/>
          <w:b/>
          <w:color w:val="auto"/>
          <w:szCs w:val="22"/>
          <w:highlight w:val="none"/>
        </w:rPr>
      </w:pPr>
      <w:r>
        <w:rPr>
          <w:rFonts w:cs="Times New Roman"/>
          <w:b/>
          <w:color w:val="auto"/>
          <w:szCs w:val="22"/>
          <w:highlight w:val="none"/>
        </w:rPr>
        <w:t>（8）二次磁选</w:t>
      </w:r>
    </w:p>
    <w:p w14:paraId="1B066CA6">
      <w:pPr>
        <w:adjustRightInd w:val="0"/>
        <w:ind w:firstLine="480"/>
        <w:rPr>
          <w:rFonts w:cs="Times New Roman"/>
          <w:color w:val="auto"/>
          <w:highlight w:val="none"/>
        </w:rPr>
      </w:pPr>
      <w:r>
        <w:rPr>
          <w:rFonts w:cs="Times New Roman"/>
          <w:color w:val="auto"/>
          <w:highlight w:val="none"/>
        </w:rPr>
        <w:t>经浮选的精矿经磁选机去除其中的铁等含磁性物杂质。目的是降低锂精矿的铁含量，铁是锂盐冶炼的有害杂质，会导致冶炼过程中渣量增加、锂回收率下降，还会影响锂产品的纯度。</w:t>
      </w:r>
    </w:p>
    <w:p w14:paraId="6082CD15">
      <w:pPr>
        <w:adjustRightInd w:val="0"/>
        <w:ind w:firstLine="480"/>
        <w:rPr>
          <w:rFonts w:cs="Times New Roman"/>
          <w:color w:val="auto"/>
          <w:highlight w:val="none"/>
        </w:rPr>
      </w:pPr>
      <w:r>
        <w:rPr>
          <w:rFonts w:cs="Times New Roman"/>
          <w:color w:val="auto"/>
          <w:highlight w:val="none"/>
        </w:rPr>
        <w:t>该工序主要污染物为：噪声、固废（黑砂）。</w:t>
      </w:r>
    </w:p>
    <w:p w14:paraId="150281FD">
      <w:pPr>
        <w:adjustRightInd w:val="0"/>
        <w:ind w:firstLine="482"/>
        <w:rPr>
          <w:rFonts w:cs="Times New Roman"/>
          <w:b/>
          <w:color w:val="auto"/>
          <w:szCs w:val="22"/>
          <w:highlight w:val="none"/>
        </w:rPr>
      </w:pPr>
      <w:r>
        <w:rPr>
          <w:rFonts w:cs="Times New Roman"/>
          <w:b/>
          <w:color w:val="auto"/>
          <w:szCs w:val="22"/>
          <w:highlight w:val="none"/>
        </w:rPr>
        <w:t>（9）脱水</w:t>
      </w:r>
    </w:p>
    <w:p w14:paraId="1C4174D8">
      <w:pPr>
        <w:adjustRightInd w:val="0"/>
        <w:ind w:firstLine="482"/>
        <w:rPr>
          <w:rFonts w:cs="Times New Roman"/>
          <w:color w:val="auto"/>
          <w:szCs w:val="22"/>
          <w:highlight w:val="none"/>
        </w:rPr>
      </w:pPr>
      <w:r>
        <w:rPr>
          <w:rFonts w:cs="Times New Roman"/>
          <w:b/>
          <w:color w:val="auto"/>
          <w:szCs w:val="22"/>
          <w:highlight w:val="none"/>
        </w:rPr>
        <w:t>锂辉石精矿脱水：</w:t>
      </w:r>
      <w:r>
        <w:rPr>
          <w:rFonts w:cs="Times New Roman"/>
          <w:color w:val="auto"/>
          <w:szCs w:val="22"/>
          <w:highlight w:val="none"/>
        </w:rPr>
        <w:t>除铁后的精矿泵送至浓密机浓缩脱水，溢流水经沉淀后回用，底流再给入压滤机，经压滤后产出含水13%的锂辉石精矿由皮带输送机输送至锂辉石精矿仓库，而后装车外运销售。</w:t>
      </w:r>
    </w:p>
    <w:p w14:paraId="162C4336">
      <w:pPr>
        <w:adjustRightInd w:val="0"/>
        <w:ind w:firstLine="482"/>
        <w:rPr>
          <w:rFonts w:cs="Times New Roman"/>
          <w:color w:val="auto"/>
          <w:szCs w:val="22"/>
          <w:highlight w:val="none"/>
        </w:rPr>
      </w:pPr>
      <w:r>
        <w:rPr>
          <w:rFonts w:cs="Times New Roman"/>
          <w:b/>
          <w:color w:val="auto"/>
          <w:szCs w:val="22"/>
          <w:highlight w:val="none"/>
        </w:rPr>
        <w:t>尾矿脱水：</w:t>
      </w:r>
      <w:r>
        <w:rPr>
          <w:rFonts w:cs="Times New Roman"/>
          <w:color w:val="auto"/>
          <w:szCs w:val="22"/>
          <w:highlight w:val="none"/>
        </w:rPr>
        <w:t>浮选尾矿由渣浆泵输送至浓缩机浓缩，溢流水经沉淀处理后回用，浓缩机底流给入过滤机或压滤机（粗粒尾矿由带式真空过滤机进行脱水、细粒尾矿由隔膜厢式自动压滤机进行脱水），脱水后含水13%的尾矿由过滤机或压滤机下部皮带输送机至</w:t>
      </w:r>
      <w:r>
        <w:rPr>
          <w:rFonts w:hint="eastAsia" w:cs="Times New Roman"/>
          <w:color w:val="auto"/>
          <w:szCs w:val="22"/>
          <w:highlight w:val="none"/>
        </w:rPr>
        <w:t>尾矿仓库</w:t>
      </w:r>
      <w:r>
        <w:rPr>
          <w:rFonts w:cs="Times New Roman"/>
          <w:color w:val="auto"/>
          <w:szCs w:val="22"/>
          <w:highlight w:val="none"/>
        </w:rPr>
        <w:t>，该部分物料作为陶瓷原料外运销售。</w:t>
      </w:r>
    </w:p>
    <w:p w14:paraId="3B1B1FB2">
      <w:pPr>
        <w:adjustRightInd w:val="0"/>
        <w:ind w:firstLine="480"/>
        <w:rPr>
          <w:rFonts w:cs="Times New Roman"/>
          <w:b/>
          <w:color w:val="auto"/>
          <w:szCs w:val="22"/>
          <w:highlight w:val="none"/>
        </w:rPr>
      </w:pPr>
      <w:r>
        <w:rPr>
          <w:rFonts w:cs="Times New Roman"/>
          <w:color w:val="auto"/>
          <w:highlight w:val="none"/>
        </w:rPr>
        <w:t>该工序主要污染物为：噪声、废水</w:t>
      </w:r>
      <w:r>
        <w:rPr>
          <w:rFonts w:hint="eastAsia" w:cs="Times New Roman"/>
          <w:color w:val="auto"/>
          <w:highlight w:val="none"/>
        </w:rPr>
        <w:t>、固废（尾矿）、</w:t>
      </w:r>
      <w:r>
        <w:rPr>
          <w:rFonts w:cs="Times New Roman"/>
          <w:color w:val="auto"/>
          <w:highlight w:val="none"/>
        </w:rPr>
        <w:t>废包装材料</w:t>
      </w:r>
      <w:r>
        <w:rPr>
          <w:rFonts w:cs="Times New Roman"/>
          <w:color w:val="auto"/>
          <w:szCs w:val="22"/>
          <w:highlight w:val="none"/>
        </w:rPr>
        <w:t>。</w:t>
      </w:r>
    </w:p>
    <w:p w14:paraId="1A9BC888">
      <w:pPr>
        <w:pStyle w:val="4"/>
        <w:adjustRightInd w:val="0"/>
        <w:rPr>
          <w:rFonts w:cs="Times New Roman"/>
          <w:color w:val="auto"/>
          <w:highlight w:val="none"/>
        </w:rPr>
      </w:pPr>
      <w:bookmarkStart w:id="122" w:name="_Toc11578"/>
      <w:r>
        <w:rPr>
          <w:rFonts w:cs="Times New Roman"/>
          <w:color w:val="auto"/>
          <w:highlight w:val="none"/>
        </w:rPr>
        <w:t>产污环节汇总</w:t>
      </w:r>
      <w:bookmarkEnd w:id="122"/>
    </w:p>
    <w:p w14:paraId="6568CD37">
      <w:pPr>
        <w:adjustRightInd w:val="0"/>
        <w:ind w:firstLine="480"/>
        <w:rPr>
          <w:rFonts w:cs="Times New Roman"/>
          <w:color w:val="auto"/>
          <w:highlight w:val="none"/>
        </w:rPr>
      </w:pPr>
      <w:r>
        <w:rPr>
          <w:rFonts w:cs="Times New Roman"/>
          <w:color w:val="auto"/>
          <w:highlight w:val="none"/>
        </w:rPr>
        <w:t>根据对项目生产工艺流程、生产设备和原辅材料的分析，确定本项目在生产过程中产生的污染环节如下：</w:t>
      </w:r>
    </w:p>
    <w:p w14:paraId="00959F96">
      <w:pPr>
        <w:pStyle w:val="12"/>
        <w:adjustRightInd w:val="0"/>
        <w:ind w:firstLine="48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项目产污环节一览表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2"/>
        <w:gridCol w:w="1950"/>
        <w:gridCol w:w="2209"/>
        <w:gridCol w:w="3011"/>
      </w:tblGrid>
      <w:tr w14:paraId="54D4A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blHeader/>
          <w:jc w:val="center"/>
        </w:trPr>
        <w:tc>
          <w:tcPr>
            <w:tcW w:w="793" w:type="pct"/>
            <w:vAlign w:val="center"/>
          </w:tcPr>
          <w:p w14:paraId="0717E07D">
            <w:pPr>
              <w:pStyle w:val="69"/>
              <w:spacing w:before="65" w:after="65"/>
              <w:rPr>
                <w:rFonts w:cs="Times New Roman"/>
                <w:b/>
                <w:bCs w:val="0"/>
                <w:color w:val="auto"/>
                <w:highlight w:val="none"/>
              </w:rPr>
            </w:pPr>
            <w:r>
              <w:rPr>
                <w:rFonts w:cs="Times New Roman"/>
                <w:b/>
                <w:bCs w:val="0"/>
                <w:color w:val="auto"/>
                <w:highlight w:val="none"/>
              </w:rPr>
              <w:t>类别</w:t>
            </w:r>
          </w:p>
        </w:tc>
        <w:tc>
          <w:tcPr>
            <w:tcW w:w="1144" w:type="pct"/>
            <w:vAlign w:val="center"/>
          </w:tcPr>
          <w:p w14:paraId="3A0BC838">
            <w:pPr>
              <w:pStyle w:val="69"/>
              <w:spacing w:before="65" w:after="65"/>
              <w:rPr>
                <w:rFonts w:cs="Times New Roman"/>
                <w:b/>
                <w:bCs w:val="0"/>
                <w:color w:val="auto"/>
                <w:highlight w:val="none"/>
              </w:rPr>
            </w:pPr>
            <w:r>
              <w:rPr>
                <w:rFonts w:cs="Times New Roman"/>
                <w:b/>
                <w:bCs w:val="0"/>
                <w:color w:val="auto"/>
                <w:highlight w:val="none"/>
              </w:rPr>
              <w:t>产污环节</w:t>
            </w:r>
          </w:p>
        </w:tc>
        <w:tc>
          <w:tcPr>
            <w:tcW w:w="1296" w:type="pct"/>
            <w:vAlign w:val="center"/>
          </w:tcPr>
          <w:p w14:paraId="710CE325">
            <w:pPr>
              <w:pStyle w:val="69"/>
              <w:spacing w:before="65" w:after="65"/>
              <w:rPr>
                <w:rFonts w:cs="Times New Roman"/>
                <w:b/>
                <w:bCs w:val="0"/>
                <w:color w:val="auto"/>
                <w:highlight w:val="none"/>
              </w:rPr>
            </w:pPr>
            <w:r>
              <w:rPr>
                <w:rFonts w:cs="Times New Roman"/>
                <w:b/>
                <w:bCs w:val="0"/>
                <w:color w:val="auto"/>
                <w:highlight w:val="none"/>
              </w:rPr>
              <w:t>产污类别</w:t>
            </w:r>
          </w:p>
        </w:tc>
        <w:tc>
          <w:tcPr>
            <w:tcW w:w="1766" w:type="pct"/>
            <w:vAlign w:val="center"/>
          </w:tcPr>
          <w:p w14:paraId="16730006">
            <w:pPr>
              <w:pStyle w:val="69"/>
              <w:spacing w:before="65" w:after="65"/>
              <w:rPr>
                <w:rFonts w:cs="Times New Roman"/>
                <w:b/>
                <w:bCs w:val="0"/>
                <w:color w:val="auto"/>
                <w:highlight w:val="none"/>
              </w:rPr>
            </w:pPr>
            <w:r>
              <w:rPr>
                <w:rFonts w:cs="Times New Roman"/>
                <w:b/>
                <w:bCs w:val="0"/>
                <w:color w:val="auto"/>
                <w:highlight w:val="none"/>
              </w:rPr>
              <w:t>主要污染因子</w:t>
            </w:r>
          </w:p>
        </w:tc>
      </w:tr>
      <w:tr w14:paraId="455D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restart"/>
            <w:vAlign w:val="center"/>
          </w:tcPr>
          <w:p w14:paraId="7D8FF73F">
            <w:pPr>
              <w:pStyle w:val="69"/>
              <w:spacing w:before="65" w:after="65"/>
              <w:rPr>
                <w:rFonts w:cs="Times New Roman"/>
                <w:color w:val="auto"/>
                <w:highlight w:val="none"/>
              </w:rPr>
            </w:pPr>
            <w:r>
              <w:rPr>
                <w:rFonts w:cs="Times New Roman"/>
                <w:color w:val="auto"/>
                <w:highlight w:val="none"/>
              </w:rPr>
              <w:t>废气</w:t>
            </w:r>
          </w:p>
        </w:tc>
        <w:tc>
          <w:tcPr>
            <w:tcW w:w="1144" w:type="pct"/>
            <w:vAlign w:val="center"/>
          </w:tcPr>
          <w:p w14:paraId="170D39BB">
            <w:pPr>
              <w:pStyle w:val="69"/>
              <w:spacing w:before="65" w:after="65"/>
              <w:rPr>
                <w:rFonts w:cs="Times New Roman"/>
                <w:color w:val="auto"/>
                <w:highlight w:val="none"/>
              </w:rPr>
            </w:pPr>
            <w:r>
              <w:rPr>
                <w:rFonts w:cs="Times New Roman"/>
                <w:color w:val="auto"/>
                <w:highlight w:val="none"/>
              </w:rPr>
              <w:t>原矿仓库</w:t>
            </w:r>
          </w:p>
        </w:tc>
        <w:tc>
          <w:tcPr>
            <w:tcW w:w="1296" w:type="pct"/>
            <w:vAlign w:val="center"/>
          </w:tcPr>
          <w:p w14:paraId="716C6890">
            <w:pPr>
              <w:pStyle w:val="69"/>
              <w:spacing w:before="65" w:after="65"/>
              <w:rPr>
                <w:rFonts w:cs="Times New Roman"/>
                <w:color w:val="auto"/>
                <w:highlight w:val="none"/>
              </w:rPr>
            </w:pPr>
            <w:r>
              <w:rPr>
                <w:rFonts w:cs="Times New Roman"/>
                <w:color w:val="auto"/>
                <w:highlight w:val="none"/>
              </w:rPr>
              <w:t>装卸及堆场粉尘</w:t>
            </w:r>
          </w:p>
        </w:tc>
        <w:tc>
          <w:tcPr>
            <w:tcW w:w="1766" w:type="pct"/>
            <w:vAlign w:val="center"/>
          </w:tcPr>
          <w:p w14:paraId="66F44DE7">
            <w:pPr>
              <w:pStyle w:val="69"/>
              <w:spacing w:before="65" w:after="65"/>
              <w:rPr>
                <w:rFonts w:cs="Times New Roman"/>
                <w:color w:val="auto"/>
                <w:highlight w:val="none"/>
              </w:rPr>
            </w:pPr>
            <w:r>
              <w:rPr>
                <w:rFonts w:cs="Times New Roman"/>
                <w:color w:val="auto"/>
                <w:highlight w:val="none"/>
              </w:rPr>
              <w:t>颗粒物</w:t>
            </w:r>
          </w:p>
        </w:tc>
      </w:tr>
      <w:tr w14:paraId="44A0F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93" w:type="pct"/>
            <w:vMerge w:val="continue"/>
            <w:vAlign w:val="center"/>
          </w:tcPr>
          <w:p w14:paraId="2ED7FBD6">
            <w:pPr>
              <w:pStyle w:val="69"/>
              <w:spacing w:before="65" w:after="65"/>
              <w:rPr>
                <w:rFonts w:cs="Times New Roman"/>
                <w:color w:val="auto"/>
                <w:highlight w:val="none"/>
              </w:rPr>
            </w:pPr>
          </w:p>
        </w:tc>
        <w:tc>
          <w:tcPr>
            <w:tcW w:w="1144" w:type="pct"/>
            <w:vAlign w:val="center"/>
          </w:tcPr>
          <w:p w14:paraId="2EE512A4">
            <w:pPr>
              <w:pStyle w:val="69"/>
              <w:spacing w:before="65" w:after="65"/>
              <w:rPr>
                <w:rFonts w:cs="Times New Roman"/>
                <w:color w:val="auto"/>
                <w:highlight w:val="none"/>
              </w:rPr>
            </w:pPr>
            <w:r>
              <w:rPr>
                <w:rFonts w:cs="Times New Roman"/>
                <w:color w:val="auto"/>
                <w:highlight w:val="none"/>
              </w:rPr>
              <w:t>车辆运输</w:t>
            </w:r>
          </w:p>
        </w:tc>
        <w:tc>
          <w:tcPr>
            <w:tcW w:w="1296" w:type="pct"/>
            <w:vAlign w:val="center"/>
          </w:tcPr>
          <w:p w14:paraId="2508E583">
            <w:pPr>
              <w:pStyle w:val="69"/>
              <w:spacing w:before="65" w:after="65"/>
              <w:rPr>
                <w:rFonts w:cs="Times New Roman"/>
                <w:color w:val="auto"/>
                <w:highlight w:val="none"/>
              </w:rPr>
            </w:pPr>
            <w:r>
              <w:rPr>
                <w:rFonts w:cs="Times New Roman"/>
                <w:color w:val="auto"/>
                <w:highlight w:val="none"/>
              </w:rPr>
              <w:t>车辆运输扬尘</w:t>
            </w:r>
          </w:p>
        </w:tc>
        <w:tc>
          <w:tcPr>
            <w:tcW w:w="1766" w:type="pct"/>
            <w:vAlign w:val="center"/>
          </w:tcPr>
          <w:p w14:paraId="61599473">
            <w:pPr>
              <w:pStyle w:val="69"/>
              <w:spacing w:before="65" w:after="65"/>
              <w:rPr>
                <w:rFonts w:cs="Times New Roman"/>
                <w:color w:val="auto"/>
                <w:highlight w:val="none"/>
              </w:rPr>
            </w:pPr>
            <w:r>
              <w:rPr>
                <w:rFonts w:cs="Times New Roman"/>
                <w:color w:val="auto"/>
                <w:highlight w:val="none"/>
              </w:rPr>
              <w:t>颗粒物</w:t>
            </w:r>
          </w:p>
        </w:tc>
      </w:tr>
      <w:tr w14:paraId="6CE6E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6D97C83A">
            <w:pPr>
              <w:pStyle w:val="69"/>
              <w:spacing w:before="65" w:after="65"/>
              <w:rPr>
                <w:rFonts w:cs="Times New Roman"/>
                <w:color w:val="auto"/>
                <w:highlight w:val="none"/>
              </w:rPr>
            </w:pPr>
          </w:p>
        </w:tc>
        <w:tc>
          <w:tcPr>
            <w:tcW w:w="1144" w:type="pct"/>
            <w:vAlign w:val="center"/>
          </w:tcPr>
          <w:p w14:paraId="72E948DC">
            <w:pPr>
              <w:pStyle w:val="69"/>
              <w:spacing w:before="65" w:after="65"/>
              <w:rPr>
                <w:rFonts w:cs="Times New Roman"/>
                <w:color w:val="auto"/>
                <w:highlight w:val="none"/>
              </w:rPr>
            </w:pPr>
            <w:r>
              <w:rPr>
                <w:rFonts w:cs="Times New Roman"/>
                <w:color w:val="auto"/>
                <w:highlight w:val="none"/>
              </w:rPr>
              <w:t>给料</w:t>
            </w:r>
          </w:p>
        </w:tc>
        <w:tc>
          <w:tcPr>
            <w:tcW w:w="1296" w:type="pct"/>
            <w:vAlign w:val="center"/>
          </w:tcPr>
          <w:p w14:paraId="7A9D206C">
            <w:pPr>
              <w:pStyle w:val="69"/>
              <w:spacing w:before="65" w:after="65"/>
              <w:rPr>
                <w:rFonts w:cs="Times New Roman"/>
                <w:color w:val="auto"/>
                <w:highlight w:val="none"/>
              </w:rPr>
            </w:pPr>
            <w:r>
              <w:rPr>
                <w:rFonts w:cs="Times New Roman"/>
                <w:color w:val="auto"/>
                <w:highlight w:val="none"/>
              </w:rPr>
              <w:t>给料粉尘</w:t>
            </w:r>
          </w:p>
        </w:tc>
        <w:tc>
          <w:tcPr>
            <w:tcW w:w="1766" w:type="pct"/>
            <w:vAlign w:val="center"/>
          </w:tcPr>
          <w:p w14:paraId="78F1BCDA">
            <w:pPr>
              <w:pStyle w:val="69"/>
              <w:spacing w:before="65" w:after="65"/>
              <w:rPr>
                <w:rFonts w:cs="Times New Roman"/>
                <w:color w:val="auto"/>
                <w:highlight w:val="none"/>
              </w:rPr>
            </w:pPr>
            <w:r>
              <w:rPr>
                <w:rFonts w:cs="Times New Roman"/>
                <w:color w:val="auto"/>
                <w:highlight w:val="none"/>
              </w:rPr>
              <w:t>颗粒物</w:t>
            </w:r>
          </w:p>
        </w:tc>
      </w:tr>
      <w:tr w14:paraId="7DAAF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723266DF">
            <w:pPr>
              <w:pStyle w:val="69"/>
              <w:spacing w:before="65" w:after="65"/>
              <w:rPr>
                <w:rFonts w:cs="Times New Roman"/>
                <w:color w:val="auto"/>
                <w:highlight w:val="none"/>
              </w:rPr>
            </w:pPr>
          </w:p>
        </w:tc>
        <w:tc>
          <w:tcPr>
            <w:tcW w:w="1144" w:type="pct"/>
            <w:vAlign w:val="center"/>
          </w:tcPr>
          <w:p w14:paraId="12A16057">
            <w:pPr>
              <w:pStyle w:val="69"/>
              <w:spacing w:before="65" w:after="65"/>
              <w:rPr>
                <w:rFonts w:cs="Times New Roman"/>
                <w:color w:val="auto"/>
                <w:highlight w:val="none"/>
              </w:rPr>
            </w:pPr>
            <w:r>
              <w:rPr>
                <w:rFonts w:cs="Times New Roman"/>
                <w:color w:val="auto"/>
                <w:highlight w:val="none"/>
              </w:rPr>
              <w:t>破碎、筛分</w:t>
            </w:r>
          </w:p>
        </w:tc>
        <w:tc>
          <w:tcPr>
            <w:tcW w:w="1296" w:type="pct"/>
            <w:vAlign w:val="center"/>
          </w:tcPr>
          <w:p w14:paraId="53F9AFAA">
            <w:pPr>
              <w:pStyle w:val="69"/>
              <w:spacing w:before="65" w:after="65"/>
              <w:rPr>
                <w:rFonts w:cs="Times New Roman"/>
                <w:color w:val="auto"/>
                <w:highlight w:val="none"/>
              </w:rPr>
            </w:pPr>
            <w:r>
              <w:rPr>
                <w:rFonts w:cs="Times New Roman"/>
                <w:color w:val="auto"/>
                <w:highlight w:val="none"/>
              </w:rPr>
              <w:t>破碎筛分粉尘</w:t>
            </w:r>
          </w:p>
        </w:tc>
        <w:tc>
          <w:tcPr>
            <w:tcW w:w="1766" w:type="pct"/>
            <w:vAlign w:val="center"/>
          </w:tcPr>
          <w:p w14:paraId="2CD4E03B">
            <w:pPr>
              <w:pStyle w:val="69"/>
              <w:spacing w:before="65" w:after="65"/>
              <w:rPr>
                <w:rFonts w:cs="Times New Roman"/>
                <w:color w:val="auto"/>
                <w:highlight w:val="none"/>
              </w:rPr>
            </w:pPr>
            <w:r>
              <w:rPr>
                <w:rFonts w:cs="Times New Roman"/>
                <w:color w:val="auto"/>
                <w:highlight w:val="none"/>
              </w:rPr>
              <w:t>颗粒物</w:t>
            </w:r>
          </w:p>
        </w:tc>
      </w:tr>
      <w:tr w14:paraId="6393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2302674C">
            <w:pPr>
              <w:pStyle w:val="69"/>
              <w:spacing w:before="65" w:after="65"/>
              <w:rPr>
                <w:rFonts w:cs="Times New Roman"/>
                <w:color w:val="auto"/>
                <w:highlight w:val="none"/>
              </w:rPr>
            </w:pPr>
          </w:p>
        </w:tc>
        <w:tc>
          <w:tcPr>
            <w:tcW w:w="1144" w:type="pct"/>
            <w:vAlign w:val="center"/>
          </w:tcPr>
          <w:p w14:paraId="2E41A35B">
            <w:pPr>
              <w:pStyle w:val="69"/>
              <w:spacing w:before="65" w:after="65"/>
              <w:rPr>
                <w:rFonts w:cs="Times New Roman"/>
                <w:color w:val="auto"/>
                <w:highlight w:val="none"/>
              </w:rPr>
            </w:pPr>
            <w:r>
              <w:rPr>
                <w:rFonts w:hint="eastAsia" w:cs="Times New Roman"/>
                <w:color w:val="auto"/>
                <w:highlight w:val="none"/>
              </w:rPr>
              <w:t>烹饪</w:t>
            </w:r>
          </w:p>
        </w:tc>
        <w:tc>
          <w:tcPr>
            <w:tcW w:w="1296" w:type="pct"/>
            <w:vAlign w:val="center"/>
          </w:tcPr>
          <w:p w14:paraId="27249E3F">
            <w:pPr>
              <w:pStyle w:val="69"/>
              <w:spacing w:before="65" w:after="65"/>
              <w:rPr>
                <w:rFonts w:cs="Times New Roman"/>
                <w:color w:val="auto"/>
                <w:highlight w:val="none"/>
              </w:rPr>
            </w:pPr>
            <w:r>
              <w:rPr>
                <w:rFonts w:hint="eastAsia" w:cs="Times New Roman"/>
                <w:color w:val="auto"/>
                <w:highlight w:val="none"/>
              </w:rPr>
              <w:t>食堂油烟</w:t>
            </w:r>
          </w:p>
        </w:tc>
        <w:tc>
          <w:tcPr>
            <w:tcW w:w="1766" w:type="pct"/>
            <w:vAlign w:val="center"/>
          </w:tcPr>
          <w:p w14:paraId="42D7959A">
            <w:pPr>
              <w:pStyle w:val="69"/>
              <w:spacing w:before="65" w:after="65"/>
              <w:rPr>
                <w:rFonts w:cs="Times New Roman"/>
                <w:color w:val="auto"/>
                <w:highlight w:val="none"/>
              </w:rPr>
            </w:pPr>
            <w:r>
              <w:rPr>
                <w:rFonts w:hint="eastAsia" w:cs="Times New Roman"/>
                <w:color w:val="auto"/>
                <w:highlight w:val="none"/>
              </w:rPr>
              <w:t>油烟</w:t>
            </w:r>
          </w:p>
        </w:tc>
      </w:tr>
      <w:tr w14:paraId="6FC4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3" w:type="pct"/>
            <w:vMerge w:val="restart"/>
            <w:vAlign w:val="center"/>
          </w:tcPr>
          <w:p w14:paraId="1BDBE47F">
            <w:pPr>
              <w:pStyle w:val="69"/>
              <w:spacing w:before="65" w:after="65"/>
              <w:rPr>
                <w:rFonts w:cs="Times New Roman"/>
                <w:color w:val="auto"/>
                <w:highlight w:val="none"/>
              </w:rPr>
            </w:pPr>
            <w:r>
              <w:rPr>
                <w:rFonts w:cs="Times New Roman"/>
                <w:color w:val="auto"/>
                <w:highlight w:val="none"/>
              </w:rPr>
              <w:t>废水</w:t>
            </w:r>
          </w:p>
        </w:tc>
        <w:tc>
          <w:tcPr>
            <w:tcW w:w="1144" w:type="pct"/>
            <w:vAlign w:val="center"/>
          </w:tcPr>
          <w:p w14:paraId="5DD995D4">
            <w:pPr>
              <w:pStyle w:val="69"/>
              <w:spacing w:before="65" w:after="65"/>
              <w:rPr>
                <w:rFonts w:cs="Times New Roman"/>
                <w:color w:val="auto"/>
                <w:highlight w:val="none"/>
              </w:rPr>
            </w:pPr>
            <w:r>
              <w:rPr>
                <w:rFonts w:cs="Times New Roman"/>
                <w:color w:val="auto"/>
                <w:highlight w:val="none"/>
              </w:rPr>
              <w:t>磨矿、浮选、精矿和尾矿脱水</w:t>
            </w:r>
          </w:p>
        </w:tc>
        <w:tc>
          <w:tcPr>
            <w:tcW w:w="1296" w:type="pct"/>
            <w:vAlign w:val="center"/>
          </w:tcPr>
          <w:p w14:paraId="7F55E0F8">
            <w:pPr>
              <w:pStyle w:val="69"/>
              <w:spacing w:before="65" w:after="65"/>
              <w:rPr>
                <w:rFonts w:cs="Times New Roman"/>
                <w:color w:val="auto"/>
                <w:highlight w:val="none"/>
              </w:rPr>
            </w:pPr>
            <w:r>
              <w:rPr>
                <w:rFonts w:cs="Times New Roman"/>
                <w:color w:val="auto"/>
                <w:highlight w:val="none"/>
              </w:rPr>
              <w:t>选矿废水</w:t>
            </w:r>
          </w:p>
        </w:tc>
        <w:tc>
          <w:tcPr>
            <w:tcW w:w="1766" w:type="pct"/>
            <w:vAlign w:val="center"/>
          </w:tcPr>
          <w:p w14:paraId="1CA48D12">
            <w:pPr>
              <w:pStyle w:val="69"/>
              <w:spacing w:before="65" w:after="65"/>
              <w:rPr>
                <w:rFonts w:cs="Times New Roman"/>
                <w:color w:val="auto"/>
                <w:highlight w:val="none"/>
              </w:rPr>
            </w:pPr>
            <w:r>
              <w:rPr>
                <w:rFonts w:cs="Times New Roman"/>
                <w:color w:val="auto"/>
                <w:highlight w:val="none"/>
              </w:rPr>
              <w:t>pH、COD、BOD</w:t>
            </w:r>
            <w:r>
              <w:rPr>
                <w:rFonts w:cs="Times New Roman"/>
                <w:color w:val="auto"/>
                <w:highlight w:val="none"/>
                <w:vertAlign w:val="subscript"/>
              </w:rPr>
              <w:t>5</w:t>
            </w:r>
            <w:r>
              <w:rPr>
                <w:rFonts w:cs="Times New Roman"/>
                <w:color w:val="auto"/>
                <w:highlight w:val="none"/>
              </w:rPr>
              <w:t>、氨氮、SS、石油类</w:t>
            </w:r>
            <w:r>
              <w:rPr>
                <w:rFonts w:hint="eastAsia"/>
                <w:color w:val="auto"/>
                <w:highlight w:val="none"/>
              </w:rPr>
              <w:t>、锂</w:t>
            </w:r>
          </w:p>
        </w:tc>
      </w:tr>
      <w:tr w14:paraId="625C6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68008C80">
            <w:pPr>
              <w:pStyle w:val="69"/>
              <w:spacing w:before="65" w:after="65"/>
              <w:rPr>
                <w:rFonts w:cs="Times New Roman"/>
                <w:color w:val="auto"/>
                <w:highlight w:val="none"/>
              </w:rPr>
            </w:pPr>
          </w:p>
        </w:tc>
        <w:tc>
          <w:tcPr>
            <w:tcW w:w="1144" w:type="pct"/>
            <w:vAlign w:val="center"/>
          </w:tcPr>
          <w:p w14:paraId="781AE6BC">
            <w:pPr>
              <w:pStyle w:val="69"/>
              <w:spacing w:before="65" w:after="65"/>
              <w:rPr>
                <w:rFonts w:cs="Times New Roman"/>
                <w:color w:val="auto"/>
                <w:highlight w:val="none"/>
              </w:rPr>
            </w:pPr>
            <w:r>
              <w:rPr>
                <w:rFonts w:cs="Times New Roman"/>
                <w:color w:val="auto"/>
                <w:highlight w:val="none"/>
              </w:rPr>
              <w:t>车辆清洗</w:t>
            </w:r>
          </w:p>
        </w:tc>
        <w:tc>
          <w:tcPr>
            <w:tcW w:w="1296" w:type="pct"/>
            <w:vAlign w:val="center"/>
          </w:tcPr>
          <w:p w14:paraId="3B12AB24">
            <w:pPr>
              <w:pStyle w:val="69"/>
              <w:spacing w:before="65" w:after="65"/>
              <w:rPr>
                <w:rFonts w:cs="Times New Roman"/>
                <w:color w:val="auto"/>
                <w:highlight w:val="none"/>
              </w:rPr>
            </w:pPr>
            <w:r>
              <w:rPr>
                <w:rFonts w:cs="Times New Roman"/>
                <w:color w:val="auto"/>
                <w:highlight w:val="none"/>
              </w:rPr>
              <w:t>车辆清洗废水</w:t>
            </w:r>
          </w:p>
        </w:tc>
        <w:tc>
          <w:tcPr>
            <w:tcW w:w="1766" w:type="pct"/>
            <w:vAlign w:val="center"/>
          </w:tcPr>
          <w:p w14:paraId="563C4CD5">
            <w:pPr>
              <w:pStyle w:val="69"/>
              <w:spacing w:before="65" w:after="65"/>
              <w:rPr>
                <w:rFonts w:cs="Times New Roman"/>
                <w:color w:val="auto"/>
                <w:highlight w:val="none"/>
              </w:rPr>
            </w:pPr>
            <w:r>
              <w:rPr>
                <w:rFonts w:cs="Times New Roman"/>
                <w:color w:val="auto"/>
                <w:highlight w:val="none"/>
              </w:rPr>
              <w:t>pH、COD、SS、锂</w:t>
            </w:r>
          </w:p>
        </w:tc>
      </w:tr>
      <w:tr w14:paraId="14A3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0F2F7A51">
            <w:pPr>
              <w:pStyle w:val="69"/>
              <w:spacing w:before="65" w:after="65"/>
              <w:rPr>
                <w:rFonts w:cs="Times New Roman"/>
                <w:color w:val="auto"/>
                <w:highlight w:val="none"/>
              </w:rPr>
            </w:pPr>
          </w:p>
        </w:tc>
        <w:tc>
          <w:tcPr>
            <w:tcW w:w="1144" w:type="pct"/>
            <w:vAlign w:val="center"/>
          </w:tcPr>
          <w:p w14:paraId="2B743AF6">
            <w:pPr>
              <w:pStyle w:val="69"/>
              <w:spacing w:before="65" w:after="65"/>
              <w:rPr>
                <w:rFonts w:cs="Times New Roman"/>
                <w:color w:val="auto"/>
                <w:highlight w:val="none"/>
              </w:rPr>
            </w:pPr>
            <w:r>
              <w:rPr>
                <w:rFonts w:cs="Times New Roman"/>
                <w:color w:val="auto"/>
                <w:highlight w:val="none"/>
              </w:rPr>
              <w:t>初期雨水</w:t>
            </w:r>
          </w:p>
        </w:tc>
        <w:tc>
          <w:tcPr>
            <w:tcW w:w="1296" w:type="pct"/>
            <w:vAlign w:val="center"/>
          </w:tcPr>
          <w:p w14:paraId="2506B86D">
            <w:pPr>
              <w:pStyle w:val="69"/>
              <w:spacing w:before="65" w:after="65"/>
              <w:rPr>
                <w:rFonts w:cs="Times New Roman"/>
                <w:color w:val="auto"/>
                <w:highlight w:val="none"/>
              </w:rPr>
            </w:pPr>
            <w:r>
              <w:rPr>
                <w:rFonts w:cs="Times New Roman"/>
                <w:color w:val="auto"/>
                <w:highlight w:val="none"/>
              </w:rPr>
              <w:t>初期雨水</w:t>
            </w:r>
          </w:p>
        </w:tc>
        <w:tc>
          <w:tcPr>
            <w:tcW w:w="1766" w:type="pct"/>
            <w:vAlign w:val="center"/>
          </w:tcPr>
          <w:p w14:paraId="0DDDE4E6">
            <w:pPr>
              <w:pStyle w:val="69"/>
              <w:spacing w:before="65" w:after="65"/>
              <w:rPr>
                <w:rFonts w:cs="Times New Roman"/>
                <w:color w:val="auto"/>
                <w:highlight w:val="none"/>
              </w:rPr>
            </w:pPr>
            <w:r>
              <w:rPr>
                <w:rFonts w:cs="Times New Roman"/>
                <w:color w:val="auto"/>
                <w:highlight w:val="none"/>
              </w:rPr>
              <w:t>pH、COD、SS、锂</w:t>
            </w:r>
          </w:p>
        </w:tc>
      </w:tr>
      <w:tr w14:paraId="655E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4C696437">
            <w:pPr>
              <w:pStyle w:val="69"/>
              <w:spacing w:before="65" w:after="65"/>
              <w:rPr>
                <w:rFonts w:cs="Times New Roman"/>
                <w:color w:val="auto"/>
                <w:highlight w:val="none"/>
              </w:rPr>
            </w:pPr>
          </w:p>
        </w:tc>
        <w:tc>
          <w:tcPr>
            <w:tcW w:w="1144" w:type="pct"/>
            <w:vAlign w:val="center"/>
          </w:tcPr>
          <w:p w14:paraId="02367351">
            <w:pPr>
              <w:pStyle w:val="69"/>
              <w:spacing w:before="65" w:after="65"/>
              <w:rPr>
                <w:rFonts w:cs="Times New Roman"/>
                <w:color w:val="auto"/>
                <w:highlight w:val="none"/>
              </w:rPr>
            </w:pPr>
            <w:r>
              <w:rPr>
                <w:rFonts w:cs="Times New Roman"/>
                <w:color w:val="auto"/>
                <w:highlight w:val="none"/>
              </w:rPr>
              <w:t>办公生活</w:t>
            </w:r>
          </w:p>
        </w:tc>
        <w:tc>
          <w:tcPr>
            <w:tcW w:w="1296" w:type="pct"/>
            <w:vAlign w:val="center"/>
          </w:tcPr>
          <w:p w14:paraId="7DF29C06">
            <w:pPr>
              <w:pStyle w:val="69"/>
              <w:spacing w:before="65" w:after="65"/>
              <w:rPr>
                <w:rFonts w:cs="Times New Roman"/>
                <w:color w:val="auto"/>
                <w:highlight w:val="none"/>
              </w:rPr>
            </w:pPr>
            <w:r>
              <w:rPr>
                <w:rFonts w:cs="Times New Roman"/>
                <w:color w:val="auto"/>
                <w:highlight w:val="none"/>
              </w:rPr>
              <w:t>生活污水</w:t>
            </w:r>
            <w:r>
              <w:rPr>
                <w:rFonts w:hint="eastAsia" w:cs="Times New Roman"/>
                <w:color w:val="auto"/>
                <w:highlight w:val="none"/>
              </w:rPr>
              <w:t>（含食堂废水）</w:t>
            </w:r>
          </w:p>
        </w:tc>
        <w:tc>
          <w:tcPr>
            <w:tcW w:w="1766" w:type="pct"/>
            <w:vAlign w:val="center"/>
          </w:tcPr>
          <w:p w14:paraId="5F589BD3">
            <w:pPr>
              <w:pStyle w:val="69"/>
              <w:spacing w:before="65" w:after="65"/>
              <w:rPr>
                <w:rFonts w:cs="Times New Roman"/>
                <w:color w:val="auto"/>
                <w:highlight w:val="none"/>
              </w:rPr>
            </w:pPr>
            <w:r>
              <w:rPr>
                <w:rFonts w:cs="Times New Roman"/>
                <w:color w:val="auto"/>
                <w:highlight w:val="none"/>
              </w:rPr>
              <w:t>pH、COD、BOD</w:t>
            </w:r>
            <w:r>
              <w:rPr>
                <w:rFonts w:cs="Times New Roman"/>
                <w:color w:val="auto"/>
                <w:highlight w:val="none"/>
                <w:vertAlign w:val="subscript"/>
              </w:rPr>
              <w:t>5</w:t>
            </w:r>
            <w:r>
              <w:rPr>
                <w:rFonts w:cs="Times New Roman"/>
                <w:color w:val="auto"/>
                <w:highlight w:val="none"/>
              </w:rPr>
              <w:t>、氨氮、SS等</w:t>
            </w:r>
          </w:p>
        </w:tc>
      </w:tr>
      <w:tr w14:paraId="019E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Align w:val="center"/>
          </w:tcPr>
          <w:p w14:paraId="01AA6C58">
            <w:pPr>
              <w:pStyle w:val="69"/>
              <w:spacing w:before="65" w:after="65"/>
              <w:rPr>
                <w:rFonts w:cs="Times New Roman"/>
                <w:color w:val="auto"/>
                <w:highlight w:val="none"/>
              </w:rPr>
            </w:pPr>
            <w:r>
              <w:rPr>
                <w:rFonts w:cs="Times New Roman"/>
                <w:color w:val="auto"/>
                <w:highlight w:val="none"/>
              </w:rPr>
              <w:t>噪声</w:t>
            </w:r>
          </w:p>
        </w:tc>
        <w:tc>
          <w:tcPr>
            <w:tcW w:w="1144" w:type="pct"/>
            <w:vAlign w:val="center"/>
          </w:tcPr>
          <w:p w14:paraId="020B1D80">
            <w:pPr>
              <w:pStyle w:val="69"/>
              <w:spacing w:before="65" w:after="65"/>
              <w:rPr>
                <w:rFonts w:cs="Times New Roman"/>
                <w:color w:val="auto"/>
                <w:highlight w:val="none"/>
              </w:rPr>
            </w:pPr>
            <w:r>
              <w:rPr>
                <w:rFonts w:cs="Times New Roman"/>
                <w:color w:val="auto"/>
                <w:highlight w:val="none"/>
              </w:rPr>
              <w:t>设备运行</w:t>
            </w:r>
          </w:p>
        </w:tc>
        <w:tc>
          <w:tcPr>
            <w:tcW w:w="1296" w:type="pct"/>
            <w:vAlign w:val="center"/>
          </w:tcPr>
          <w:p w14:paraId="7F776D72">
            <w:pPr>
              <w:pStyle w:val="69"/>
              <w:spacing w:before="65" w:after="65"/>
              <w:rPr>
                <w:rFonts w:cs="Times New Roman"/>
                <w:color w:val="auto"/>
                <w:highlight w:val="none"/>
              </w:rPr>
            </w:pPr>
            <w:r>
              <w:rPr>
                <w:rFonts w:cs="Times New Roman"/>
                <w:color w:val="auto"/>
                <w:highlight w:val="none"/>
              </w:rPr>
              <w:t>设备噪声</w:t>
            </w:r>
          </w:p>
        </w:tc>
        <w:tc>
          <w:tcPr>
            <w:tcW w:w="1766" w:type="pct"/>
            <w:vAlign w:val="center"/>
          </w:tcPr>
          <w:p w14:paraId="23AEBD3A">
            <w:pPr>
              <w:pStyle w:val="69"/>
              <w:spacing w:before="65" w:after="65"/>
              <w:rPr>
                <w:rFonts w:cs="Times New Roman"/>
                <w:color w:val="auto"/>
                <w:highlight w:val="none"/>
              </w:rPr>
            </w:pPr>
            <w:r>
              <w:rPr>
                <w:rFonts w:cs="Times New Roman"/>
                <w:color w:val="auto"/>
                <w:highlight w:val="none"/>
              </w:rPr>
              <w:t>设备噪声</w:t>
            </w:r>
          </w:p>
        </w:tc>
      </w:tr>
      <w:tr w14:paraId="0165E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restart"/>
            <w:vAlign w:val="center"/>
          </w:tcPr>
          <w:p w14:paraId="278BC4C2">
            <w:pPr>
              <w:pStyle w:val="69"/>
              <w:spacing w:before="65" w:after="65"/>
              <w:rPr>
                <w:rFonts w:cs="Times New Roman"/>
                <w:color w:val="auto"/>
                <w:highlight w:val="none"/>
              </w:rPr>
            </w:pPr>
            <w:r>
              <w:rPr>
                <w:rFonts w:cs="Times New Roman"/>
                <w:color w:val="auto"/>
                <w:highlight w:val="none"/>
              </w:rPr>
              <w:t>固体废物</w:t>
            </w:r>
          </w:p>
        </w:tc>
        <w:tc>
          <w:tcPr>
            <w:tcW w:w="1144" w:type="pct"/>
            <w:vAlign w:val="center"/>
          </w:tcPr>
          <w:p w14:paraId="38080724">
            <w:pPr>
              <w:pStyle w:val="69"/>
              <w:spacing w:before="65" w:after="65"/>
              <w:rPr>
                <w:rFonts w:cs="Times New Roman"/>
                <w:color w:val="auto"/>
                <w:highlight w:val="none"/>
              </w:rPr>
            </w:pPr>
            <w:r>
              <w:rPr>
                <w:rFonts w:cs="Times New Roman"/>
                <w:color w:val="auto"/>
                <w:highlight w:val="none"/>
              </w:rPr>
              <w:t>废水处理</w:t>
            </w:r>
          </w:p>
        </w:tc>
        <w:tc>
          <w:tcPr>
            <w:tcW w:w="1296" w:type="pct"/>
            <w:vAlign w:val="center"/>
          </w:tcPr>
          <w:p w14:paraId="2706CC0E">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4ACEFA52">
            <w:pPr>
              <w:pStyle w:val="69"/>
              <w:spacing w:before="65" w:after="65"/>
              <w:rPr>
                <w:rFonts w:cs="Times New Roman"/>
                <w:color w:val="auto"/>
                <w:highlight w:val="none"/>
              </w:rPr>
            </w:pPr>
            <w:r>
              <w:rPr>
                <w:rFonts w:cs="Times New Roman"/>
                <w:color w:val="auto"/>
                <w:highlight w:val="none"/>
              </w:rPr>
              <w:t>沉淀池沉渣</w:t>
            </w:r>
          </w:p>
        </w:tc>
      </w:tr>
      <w:tr w14:paraId="041AC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3E9B7E06">
            <w:pPr>
              <w:pStyle w:val="69"/>
              <w:spacing w:before="65" w:after="65"/>
              <w:rPr>
                <w:rFonts w:cs="Times New Roman"/>
                <w:color w:val="auto"/>
                <w:highlight w:val="none"/>
              </w:rPr>
            </w:pPr>
          </w:p>
        </w:tc>
        <w:tc>
          <w:tcPr>
            <w:tcW w:w="1144" w:type="pct"/>
            <w:vAlign w:val="center"/>
          </w:tcPr>
          <w:p w14:paraId="6E3E8678">
            <w:pPr>
              <w:pStyle w:val="69"/>
              <w:spacing w:before="65" w:after="65"/>
              <w:rPr>
                <w:rFonts w:cs="Times New Roman"/>
                <w:color w:val="auto"/>
                <w:highlight w:val="none"/>
              </w:rPr>
            </w:pPr>
            <w:r>
              <w:rPr>
                <w:rFonts w:hint="eastAsia" w:cs="Times New Roman"/>
                <w:color w:val="auto"/>
                <w:highlight w:val="none"/>
              </w:rPr>
              <w:t>脱泥、浮选</w:t>
            </w:r>
          </w:p>
        </w:tc>
        <w:tc>
          <w:tcPr>
            <w:tcW w:w="1296" w:type="pct"/>
            <w:vAlign w:val="center"/>
          </w:tcPr>
          <w:p w14:paraId="6FB98A2C">
            <w:pPr>
              <w:pStyle w:val="69"/>
              <w:spacing w:before="65" w:after="65"/>
              <w:rPr>
                <w:rFonts w:cs="Times New Roman"/>
                <w:color w:val="auto"/>
                <w:highlight w:val="none"/>
              </w:rPr>
            </w:pPr>
            <w:r>
              <w:rPr>
                <w:rFonts w:hint="eastAsia" w:cs="Times New Roman"/>
                <w:color w:val="auto"/>
                <w:highlight w:val="none"/>
              </w:rPr>
              <w:t>一般固废</w:t>
            </w:r>
          </w:p>
        </w:tc>
        <w:tc>
          <w:tcPr>
            <w:tcW w:w="1766" w:type="pct"/>
            <w:vAlign w:val="center"/>
          </w:tcPr>
          <w:p w14:paraId="3BF6BF6F">
            <w:pPr>
              <w:pStyle w:val="69"/>
              <w:spacing w:before="65" w:after="65"/>
              <w:rPr>
                <w:rFonts w:cs="Times New Roman"/>
                <w:color w:val="auto"/>
                <w:highlight w:val="none"/>
              </w:rPr>
            </w:pPr>
            <w:r>
              <w:rPr>
                <w:rFonts w:hint="eastAsia" w:cs="Times New Roman"/>
                <w:color w:val="auto"/>
                <w:highlight w:val="none"/>
              </w:rPr>
              <w:t>尾矿</w:t>
            </w:r>
          </w:p>
        </w:tc>
      </w:tr>
      <w:tr w14:paraId="69350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131600C8">
            <w:pPr>
              <w:pStyle w:val="69"/>
              <w:spacing w:before="65" w:after="65"/>
              <w:rPr>
                <w:rFonts w:cs="Times New Roman"/>
                <w:color w:val="auto"/>
                <w:highlight w:val="none"/>
              </w:rPr>
            </w:pPr>
          </w:p>
        </w:tc>
        <w:tc>
          <w:tcPr>
            <w:tcW w:w="1144" w:type="pct"/>
            <w:vAlign w:val="center"/>
          </w:tcPr>
          <w:p w14:paraId="4E28B69F">
            <w:pPr>
              <w:pStyle w:val="69"/>
              <w:spacing w:before="65" w:after="65"/>
              <w:rPr>
                <w:rFonts w:cs="Times New Roman"/>
                <w:color w:val="auto"/>
                <w:highlight w:val="none"/>
              </w:rPr>
            </w:pPr>
            <w:r>
              <w:rPr>
                <w:rFonts w:hint="eastAsia" w:cs="Times New Roman"/>
                <w:color w:val="auto"/>
                <w:highlight w:val="none"/>
              </w:rPr>
              <w:t>磁选</w:t>
            </w:r>
          </w:p>
        </w:tc>
        <w:tc>
          <w:tcPr>
            <w:tcW w:w="1296" w:type="pct"/>
            <w:vAlign w:val="center"/>
          </w:tcPr>
          <w:p w14:paraId="0AF2D3EC">
            <w:pPr>
              <w:pStyle w:val="69"/>
              <w:spacing w:before="65" w:after="65"/>
              <w:rPr>
                <w:rFonts w:cs="Times New Roman"/>
                <w:color w:val="auto"/>
                <w:highlight w:val="none"/>
              </w:rPr>
            </w:pPr>
            <w:r>
              <w:rPr>
                <w:rFonts w:hint="eastAsia" w:cs="Times New Roman"/>
                <w:color w:val="auto"/>
                <w:highlight w:val="none"/>
              </w:rPr>
              <w:t>一般固废</w:t>
            </w:r>
          </w:p>
        </w:tc>
        <w:tc>
          <w:tcPr>
            <w:tcW w:w="1766" w:type="pct"/>
            <w:vAlign w:val="center"/>
          </w:tcPr>
          <w:p w14:paraId="20B8B644">
            <w:pPr>
              <w:pStyle w:val="69"/>
              <w:spacing w:before="65" w:after="65"/>
              <w:rPr>
                <w:rFonts w:cs="Times New Roman"/>
                <w:color w:val="auto"/>
                <w:highlight w:val="none"/>
              </w:rPr>
            </w:pPr>
            <w:r>
              <w:rPr>
                <w:rFonts w:hint="eastAsia" w:cs="Times New Roman"/>
                <w:color w:val="auto"/>
                <w:highlight w:val="none"/>
              </w:rPr>
              <w:t>黑砂</w:t>
            </w:r>
          </w:p>
        </w:tc>
      </w:tr>
      <w:tr w14:paraId="2F7B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32004C1E">
            <w:pPr>
              <w:pStyle w:val="69"/>
              <w:spacing w:before="65" w:after="65"/>
              <w:rPr>
                <w:rFonts w:cs="Times New Roman"/>
                <w:color w:val="auto"/>
                <w:highlight w:val="none"/>
              </w:rPr>
            </w:pPr>
          </w:p>
        </w:tc>
        <w:tc>
          <w:tcPr>
            <w:tcW w:w="1144" w:type="pct"/>
            <w:vAlign w:val="center"/>
          </w:tcPr>
          <w:p w14:paraId="5074DF62">
            <w:pPr>
              <w:pStyle w:val="69"/>
              <w:spacing w:before="65" w:after="65"/>
              <w:rPr>
                <w:rFonts w:cs="Times New Roman"/>
                <w:color w:val="auto"/>
                <w:highlight w:val="none"/>
              </w:rPr>
            </w:pPr>
            <w:r>
              <w:rPr>
                <w:rFonts w:cs="Times New Roman"/>
                <w:color w:val="auto"/>
                <w:highlight w:val="none"/>
              </w:rPr>
              <w:t>废水处理</w:t>
            </w:r>
          </w:p>
        </w:tc>
        <w:tc>
          <w:tcPr>
            <w:tcW w:w="1296" w:type="pct"/>
            <w:vAlign w:val="center"/>
          </w:tcPr>
          <w:p w14:paraId="2EAA8D31">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5FF75B6E">
            <w:pPr>
              <w:pStyle w:val="69"/>
              <w:spacing w:before="65" w:after="65"/>
              <w:rPr>
                <w:rFonts w:cs="Times New Roman"/>
                <w:color w:val="auto"/>
                <w:highlight w:val="none"/>
              </w:rPr>
            </w:pPr>
            <w:r>
              <w:rPr>
                <w:rFonts w:cs="Times New Roman"/>
                <w:color w:val="auto"/>
                <w:highlight w:val="none"/>
              </w:rPr>
              <w:t>废滤袋</w:t>
            </w:r>
          </w:p>
        </w:tc>
      </w:tr>
      <w:tr w14:paraId="0F615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2B5863D6">
            <w:pPr>
              <w:pStyle w:val="69"/>
              <w:spacing w:before="65" w:after="65"/>
              <w:rPr>
                <w:rFonts w:cs="Times New Roman"/>
                <w:color w:val="auto"/>
                <w:highlight w:val="none"/>
              </w:rPr>
            </w:pPr>
          </w:p>
        </w:tc>
        <w:tc>
          <w:tcPr>
            <w:tcW w:w="1144" w:type="pct"/>
            <w:vAlign w:val="center"/>
          </w:tcPr>
          <w:p w14:paraId="78FAD7A3">
            <w:pPr>
              <w:pStyle w:val="69"/>
              <w:spacing w:before="65" w:after="65"/>
              <w:rPr>
                <w:rFonts w:cs="Times New Roman"/>
                <w:color w:val="auto"/>
                <w:highlight w:val="none"/>
              </w:rPr>
            </w:pPr>
            <w:r>
              <w:rPr>
                <w:rFonts w:cs="Times New Roman"/>
                <w:color w:val="auto"/>
                <w:highlight w:val="none"/>
              </w:rPr>
              <w:t>废气处理</w:t>
            </w:r>
          </w:p>
        </w:tc>
        <w:tc>
          <w:tcPr>
            <w:tcW w:w="1296" w:type="pct"/>
            <w:vAlign w:val="center"/>
          </w:tcPr>
          <w:p w14:paraId="4A2F92AF">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1E1B10D4">
            <w:pPr>
              <w:pStyle w:val="69"/>
              <w:spacing w:before="65" w:after="65"/>
              <w:rPr>
                <w:rFonts w:cs="Times New Roman"/>
                <w:color w:val="auto"/>
                <w:highlight w:val="none"/>
              </w:rPr>
            </w:pPr>
            <w:r>
              <w:rPr>
                <w:rFonts w:hint="eastAsia" w:cs="Times New Roman"/>
                <w:color w:val="auto"/>
                <w:highlight w:val="none"/>
              </w:rPr>
              <w:t>布袋收尘灰</w:t>
            </w:r>
          </w:p>
        </w:tc>
      </w:tr>
      <w:tr w14:paraId="1ED2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23B66979">
            <w:pPr>
              <w:pStyle w:val="69"/>
              <w:spacing w:before="65" w:after="65"/>
              <w:rPr>
                <w:rFonts w:cs="Times New Roman"/>
                <w:color w:val="auto"/>
                <w:highlight w:val="none"/>
              </w:rPr>
            </w:pPr>
          </w:p>
        </w:tc>
        <w:tc>
          <w:tcPr>
            <w:tcW w:w="1144" w:type="pct"/>
            <w:vAlign w:val="center"/>
          </w:tcPr>
          <w:p w14:paraId="27F8FC9C">
            <w:pPr>
              <w:pStyle w:val="69"/>
              <w:spacing w:before="65" w:after="65"/>
              <w:rPr>
                <w:rFonts w:cs="Times New Roman"/>
                <w:color w:val="auto"/>
                <w:highlight w:val="none"/>
              </w:rPr>
            </w:pPr>
            <w:r>
              <w:rPr>
                <w:rFonts w:cs="Times New Roman"/>
                <w:color w:val="auto"/>
                <w:highlight w:val="none"/>
              </w:rPr>
              <w:t>废气处理</w:t>
            </w:r>
          </w:p>
        </w:tc>
        <w:tc>
          <w:tcPr>
            <w:tcW w:w="1296" w:type="pct"/>
            <w:vAlign w:val="center"/>
          </w:tcPr>
          <w:p w14:paraId="15FFA240">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0B001FDC">
            <w:pPr>
              <w:pStyle w:val="69"/>
              <w:spacing w:before="65" w:after="65"/>
              <w:rPr>
                <w:rFonts w:cs="Times New Roman"/>
                <w:color w:val="auto"/>
                <w:highlight w:val="none"/>
              </w:rPr>
            </w:pPr>
            <w:r>
              <w:rPr>
                <w:rFonts w:cs="Times New Roman"/>
                <w:color w:val="auto"/>
                <w:highlight w:val="none"/>
              </w:rPr>
              <w:t>废布袋</w:t>
            </w:r>
          </w:p>
        </w:tc>
      </w:tr>
      <w:tr w14:paraId="690AF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1CF3D206">
            <w:pPr>
              <w:pStyle w:val="69"/>
              <w:spacing w:before="65" w:after="65"/>
              <w:rPr>
                <w:rFonts w:cs="Times New Roman"/>
                <w:color w:val="auto"/>
                <w:highlight w:val="none"/>
              </w:rPr>
            </w:pPr>
          </w:p>
        </w:tc>
        <w:tc>
          <w:tcPr>
            <w:tcW w:w="1144" w:type="pct"/>
            <w:vAlign w:val="center"/>
          </w:tcPr>
          <w:p w14:paraId="50CCE60D">
            <w:pPr>
              <w:pStyle w:val="69"/>
              <w:spacing w:before="65" w:after="65"/>
              <w:rPr>
                <w:rFonts w:cs="Times New Roman"/>
                <w:color w:val="auto"/>
                <w:highlight w:val="none"/>
              </w:rPr>
            </w:pPr>
            <w:r>
              <w:rPr>
                <w:rFonts w:hint="eastAsia" w:cs="Times New Roman"/>
                <w:color w:val="auto"/>
                <w:highlight w:val="none"/>
              </w:rPr>
              <w:t>废水处理</w:t>
            </w:r>
          </w:p>
        </w:tc>
        <w:tc>
          <w:tcPr>
            <w:tcW w:w="1296" w:type="pct"/>
            <w:vAlign w:val="center"/>
          </w:tcPr>
          <w:p w14:paraId="5FA27190">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75EB9047">
            <w:pPr>
              <w:pStyle w:val="69"/>
              <w:spacing w:before="65" w:after="65"/>
              <w:rPr>
                <w:rFonts w:cs="Times New Roman"/>
                <w:color w:val="auto"/>
                <w:highlight w:val="none"/>
              </w:rPr>
            </w:pPr>
            <w:r>
              <w:rPr>
                <w:rFonts w:hint="eastAsia" w:cs="Times New Roman"/>
                <w:color w:val="auto"/>
                <w:highlight w:val="none"/>
              </w:rPr>
              <w:t>废聚丙烯酰胺包装袋、废聚合氯化铝包装袋</w:t>
            </w:r>
          </w:p>
        </w:tc>
      </w:tr>
      <w:tr w14:paraId="28006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644DAEA9">
            <w:pPr>
              <w:pStyle w:val="69"/>
              <w:spacing w:before="65" w:after="65"/>
              <w:rPr>
                <w:rFonts w:cs="Times New Roman"/>
                <w:color w:val="auto"/>
                <w:highlight w:val="none"/>
              </w:rPr>
            </w:pPr>
          </w:p>
        </w:tc>
        <w:tc>
          <w:tcPr>
            <w:tcW w:w="1144" w:type="pct"/>
            <w:vAlign w:val="center"/>
          </w:tcPr>
          <w:p w14:paraId="1332748C">
            <w:pPr>
              <w:pStyle w:val="69"/>
              <w:spacing w:before="65" w:after="65"/>
              <w:rPr>
                <w:rFonts w:cs="Times New Roman"/>
                <w:color w:val="auto"/>
                <w:highlight w:val="none"/>
              </w:rPr>
            </w:pPr>
            <w:r>
              <w:rPr>
                <w:rFonts w:cs="Times New Roman"/>
                <w:color w:val="auto"/>
                <w:highlight w:val="none"/>
              </w:rPr>
              <w:t>办公生活</w:t>
            </w:r>
          </w:p>
        </w:tc>
        <w:tc>
          <w:tcPr>
            <w:tcW w:w="1296" w:type="pct"/>
            <w:vAlign w:val="center"/>
          </w:tcPr>
          <w:p w14:paraId="11ADC899">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52F54FBA">
            <w:pPr>
              <w:pStyle w:val="69"/>
              <w:spacing w:before="65" w:after="65"/>
              <w:rPr>
                <w:rFonts w:cs="Times New Roman"/>
                <w:color w:val="auto"/>
                <w:highlight w:val="none"/>
              </w:rPr>
            </w:pPr>
            <w:r>
              <w:rPr>
                <w:rFonts w:cs="Times New Roman"/>
                <w:color w:val="auto"/>
                <w:highlight w:val="none"/>
              </w:rPr>
              <w:t>生活垃圾</w:t>
            </w:r>
            <w:r>
              <w:rPr>
                <w:rFonts w:hint="eastAsia" w:cs="Times New Roman"/>
                <w:color w:val="auto"/>
                <w:highlight w:val="none"/>
              </w:rPr>
              <w:t>、餐厨垃圾、隔油池废油</w:t>
            </w:r>
          </w:p>
        </w:tc>
      </w:tr>
      <w:tr w14:paraId="44252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3" w:type="pct"/>
            <w:vMerge w:val="continue"/>
            <w:vAlign w:val="center"/>
          </w:tcPr>
          <w:p w14:paraId="3306CCEC">
            <w:pPr>
              <w:pStyle w:val="69"/>
              <w:spacing w:before="65" w:after="65"/>
              <w:rPr>
                <w:rFonts w:cs="Times New Roman"/>
                <w:color w:val="auto"/>
                <w:highlight w:val="none"/>
              </w:rPr>
            </w:pPr>
          </w:p>
        </w:tc>
        <w:tc>
          <w:tcPr>
            <w:tcW w:w="1144" w:type="pct"/>
            <w:vMerge w:val="restart"/>
            <w:vAlign w:val="center"/>
          </w:tcPr>
          <w:p w14:paraId="26F042F1">
            <w:pPr>
              <w:pStyle w:val="69"/>
              <w:spacing w:before="65" w:after="65"/>
              <w:rPr>
                <w:rFonts w:cs="Times New Roman"/>
                <w:color w:val="auto"/>
                <w:highlight w:val="none"/>
              </w:rPr>
            </w:pPr>
            <w:r>
              <w:rPr>
                <w:rFonts w:cs="Times New Roman"/>
                <w:color w:val="auto"/>
                <w:highlight w:val="none"/>
              </w:rPr>
              <w:t>设备维修</w:t>
            </w:r>
          </w:p>
        </w:tc>
        <w:tc>
          <w:tcPr>
            <w:tcW w:w="1296" w:type="pct"/>
            <w:vAlign w:val="center"/>
          </w:tcPr>
          <w:p w14:paraId="6A44DCC8">
            <w:pPr>
              <w:pStyle w:val="69"/>
              <w:spacing w:before="65" w:after="65"/>
              <w:rPr>
                <w:rFonts w:cs="Times New Roman"/>
                <w:color w:val="auto"/>
                <w:highlight w:val="none"/>
              </w:rPr>
            </w:pPr>
            <w:r>
              <w:rPr>
                <w:rFonts w:cs="Times New Roman"/>
                <w:color w:val="auto"/>
                <w:highlight w:val="none"/>
              </w:rPr>
              <w:t>危险废物</w:t>
            </w:r>
          </w:p>
        </w:tc>
        <w:tc>
          <w:tcPr>
            <w:tcW w:w="1766" w:type="pct"/>
            <w:vAlign w:val="center"/>
          </w:tcPr>
          <w:p w14:paraId="6ED6DE90">
            <w:pPr>
              <w:pStyle w:val="69"/>
              <w:spacing w:before="65" w:after="65"/>
              <w:rPr>
                <w:rFonts w:cs="Times New Roman"/>
                <w:color w:val="auto"/>
                <w:highlight w:val="none"/>
              </w:rPr>
            </w:pPr>
            <w:r>
              <w:rPr>
                <w:rFonts w:cs="Times New Roman"/>
                <w:color w:val="auto"/>
                <w:highlight w:val="none"/>
              </w:rPr>
              <w:t>废机油</w:t>
            </w:r>
          </w:p>
        </w:tc>
      </w:tr>
      <w:tr w14:paraId="7980C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608DEAF1">
            <w:pPr>
              <w:pStyle w:val="69"/>
              <w:spacing w:before="65" w:after="65"/>
              <w:rPr>
                <w:rFonts w:cs="Times New Roman"/>
                <w:color w:val="auto"/>
                <w:highlight w:val="none"/>
              </w:rPr>
            </w:pPr>
          </w:p>
        </w:tc>
        <w:tc>
          <w:tcPr>
            <w:tcW w:w="1144" w:type="pct"/>
            <w:vMerge w:val="continue"/>
            <w:vAlign w:val="center"/>
          </w:tcPr>
          <w:p w14:paraId="3F7B029B">
            <w:pPr>
              <w:pStyle w:val="69"/>
              <w:spacing w:before="65" w:after="65"/>
              <w:rPr>
                <w:rFonts w:cs="Times New Roman"/>
                <w:color w:val="auto"/>
                <w:highlight w:val="none"/>
              </w:rPr>
            </w:pPr>
          </w:p>
        </w:tc>
        <w:tc>
          <w:tcPr>
            <w:tcW w:w="1296" w:type="pct"/>
            <w:vAlign w:val="center"/>
          </w:tcPr>
          <w:p w14:paraId="6D1FD317">
            <w:pPr>
              <w:pStyle w:val="69"/>
              <w:spacing w:before="65" w:after="65"/>
              <w:rPr>
                <w:rFonts w:cs="Times New Roman"/>
                <w:color w:val="auto"/>
                <w:highlight w:val="none"/>
              </w:rPr>
            </w:pPr>
            <w:r>
              <w:rPr>
                <w:rFonts w:cs="Times New Roman"/>
                <w:color w:val="auto"/>
                <w:highlight w:val="none"/>
              </w:rPr>
              <w:t>危险废物</w:t>
            </w:r>
          </w:p>
        </w:tc>
        <w:tc>
          <w:tcPr>
            <w:tcW w:w="1766" w:type="pct"/>
            <w:vAlign w:val="center"/>
          </w:tcPr>
          <w:p w14:paraId="78F210F0">
            <w:pPr>
              <w:pStyle w:val="69"/>
              <w:spacing w:before="65" w:after="65"/>
              <w:rPr>
                <w:rFonts w:cs="Times New Roman"/>
                <w:color w:val="auto"/>
                <w:highlight w:val="none"/>
              </w:rPr>
            </w:pPr>
            <w:r>
              <w:rPr>
                <w:rFonts w:cs="Times New Roman"/>
                <w:color w:val="auto"/>
                <w:highlight w:val="none"/>
              </w:rPr>
              <w:t>废机油桶</w:t>
            </w:r>
          </w:p>
        </w:tc>
      </w:tr>
      <w:tr w14:paraId="2B21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5BD89FCC">
            <w:pPr>
              <w:pStyle w:val="69"/>
              <w:spacing w:before="65" w:after="65"/>
              <w:rPr>
                <w:rFonts w:cs="Times New Roman"/>
                <w:color w:val="auto"/>
                <w:highlight w:val="none"/>
              </w:rPr>
            </w:pPr>
          </w:p>
        </w:tc>
        <w:tc>
          <w:tcPr>
            <w:tcW w:w="1144" w:type="pct"/>
            <w:vMerge w:val="continue"/>
            <w:vAlign w:val="center"/>
          </w:tcPr>
          <w:p w14:paraId="20774C06">
            <w:pPr>
              <w:pStyle w:val="69"/>
              <w:spacing w:before="65" w:after="65"/>
              <w:rPr>
                <w:rFonts w:cs="Times New Roman"/>
                <w:color w:val="auto"/>
                <w:highlight w:val="none"/>
              </w:rPr>
            </w:pPr>
          </w:p>
        </w:tc>
        <w:tc>
          <w:tcPr>
            <w:tcW w:w="1296" w:type="pct"/>
            <w:vAlign w:val="center"/>
          </w:tcPr>
          <w:p w14:paraId="1BAC3FC6">
            <w:pPr>
              <w:pStyle w:val="69"/>
              <w:spacing w:before="65" w:after="65"/>
              <w:rPr>
                <w:rFonts w:cs="Times New Roman"/>
                <w:color w:val="auto"/>
                <w:highlight w:val="none"/>
              </w:rPr>
            </w:pPr>
            <w:r>
              <w:rPr>
                <w:rFonts w:cs="Times New Roman"/>
                <w:color w:val="auto"/>
                <w:highlight w:val="none"/>
              </w:rPr>
              <w:t>危险废物</w:t>
            </w:r>
          </w:p>
        </w:tc>
        <w:tc>
          <w:tcPr>
            <w:tcW w:w="1766" w:type="pct"/>
            <w:vAlign w:val="center"/>
          </w:tcPr>
          <w:p w14:paraId="3A174E3F">
            <w:pPr>
              <w:pStyle w:val="69"/>
              <w:spacing w:before="65" w:after="65"/>
              <w:rPr>
                <w:rFonts w:cs="Times New Roman"/>
                <w:color w:val="auto"/>
                <w:highlight w:val="none"/>
              </w:rPr>
            </w:pPr>
            <w:r>
              <w:rPr>
                <w:rFonts w:cs="Times New Roman"/>
                <w:color w:val="auto"/>
                <w:highlight w:val="none"/>
              </w:rPr>
              <w:t>含油抹布及手套</w:t>
            </w:r>
          </w:p>
        </w:tc>
      </w:tr>
      <w:tr w14:paraId="14E3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412BD341">
            <w:pPr>
              <w:pStyle w:val="69"/>
              <w:spacing w:before="65" w:after="65"/>
              <w:rPr>
                <w:rFonts w:cs="Times New Roman"/>
                <w:color w:val="auto"/>
                <w:highlight w:val="none"/>
              </w:rPr>
            </w:pPr>
          </w:p>
        </w:tc>
        <w:tc>
          <w:tcPr>
            <w:tcW w:w="1144" w:type="pct"/>
            <w:vMerge w:val="restart"/>
            <w:vAlign w:val="center"/>
          </w:tcPr>
          <w:p w14:paraId="495447AB">
            <w:pPr>
              <w:pStyle w:val="69"/>
              <w:spacing w:before="65" w:after="65"/>
              <w:rPr>
                <w:rFonts w:cs="Times New Roman"/>
                <w:color w:val="auto"/>
                <w:highlight w:val="none"/>
              </w:rPr>
            </w:pPr>
            <w:r>
              <w:rPr>
                <w:rFonts w:cs="Times New Roman"/>
                <w:color w:val="auto"/>
                <w:highlight w:val="none"/>
              </w:rPr>
              <w:t>浮选</w:t>
            </w:r>
          </w:p>
        </w:tc>
        <w:tc>
          <w:tcPr>
            <w:tcW w:w="1296" w:type="pct"/>
            <w:vAlign w:val="center"/>
          </w:tcPr>
          <w:p w14:paraId="414E49E8">
            <w:pPr>
              <w:pStyle w:val="69"/>
              <w:spacing w:before="65" w:after="65"/>
              <w:rPr>
                <w:rFonts w:cs="Times New Roman"/>
                <w:color w:val="auto"/>
                <w:highlight w:val="none"/>
              </w:rPr>
            </w:pPr>
            <w:r>
              <w:rPr>
                <w:rFonts w:cs="Times New Roman"/>
                <w:color w:val="auto"/>
                <w:highlight w:val="none"/>
              </w:rPr>
              <w:t>危险废物</w:t>
            </w:r>
          </w:p>
        </w:tc>
        <w:tc>
          <w:tcPr>
            <w:tcW w:w="1766" w:type="pct"/>
            <w:vAlign w:val="center"/>
          </w:tcPr>
          <w:p w14:paraId="73761A80">
            <w:pPr>
              <w:pStyle w:val="69"/>
              <w:spacing w:before="65" w:after="65"/>
              <w:rPr>
                <w:rFonts w:cs="Times New Roman"/>
                <w:color w:val="auto"/>
                <w:highlight w:val="none"/>
              </w:rPr>
            </w:pPr>
            <w:r>
              <w:rPr>
                <w:rFonts w:cs="Times New Roman"/>
                <w:color w:val="auto"/>
                <w:highlight w:val="none"/>
              </w:rPr>
              <w:t>废氢氧化钠包装袋</w:t>
            </w:r>
          </w:p>
        </w:tc>
      </w:tr>
      <w:tr w14:paraId="7ADB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7B0371DC">
            <w:pPr>
              <w:pStyle w:val="69"/>
              <w:spacing w:before="65" w:after="65"/>
              <w:rPr>
                <w:rFonts w:cs="Times New Roman"/>
                <w:color w:val="auto"/>
                <w:highlight w:val="none"/>
              </w:rPr>
            </w:pPr>
          </w:p>
        </w:tc>
        <w:tc>
          <w:tcPr>
            <w:tcW w:w="1144" w:type="pct"/>
            <w:vMerge w:val="continue"/>
            <w:vAlign w:val="center"/>
          </w:tcPr>
          <w:p w14:paraId="4E33FBC2">
            <w:pPr>
              <w:pStyle w:val="69"/>
              <w:spacing w:before="65" w:after="65"/>
              <w:rPr>
                <w:rFonts w:cs="Times New Roman"/>
                <w:color w:val="auto"/>
                <w:highlight w:val="none"/>
              </w:rPr>
            </w:pPr>
          </w:p>
        </w:tc>
        <w:tc>
          <w:tcPr>
            <w:tcW w:w="1296" w:type="pct"/>
            <w:vAlign w:val="center"/>
          </w:tcPr>
          <w:p w14:paraId="3B4E1E9D">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3EF93E68">
            <w:pPr>
              <w:pStyle w:val="69"/>
              <w:spacing w:before="65" w:after="65"/>
              <w:rPr>
                <w:rFonts w:cs="Times New Roman"/>
                <w:color w:val="auto"/>
                <w:highlight w:val="none"/>
              </w:rPr>
            </w:pPr>
            <w:r>
              <w:rPr>
                <w:rFonts w:cs="Times New Roman"/>
                <w:color w:val="auto"/>
                <w:highlight w:val="none"/>
              </w:rPr>
              <w:t>废碳酸钠包装袋</w:t>
            </w:r>
          </w:p>
        </w:tc>
      </w:tr>
      <w:tr w14:paraId="59F82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64EBD51A">
            <w:pPr>
              <w:pStyle w:val="69"/>
              <w:spacing w:before="65" w:after="65"/>
              <w:rPr>
                <w:rFonts w:cs="Times New Roman"/>
                <w:color w:val="auto"/>
                <w:highlight w:val="none"/>
              </w:rPr>
            </w:pPr>
          </w:p>
        </w:tc>
        <w:tc>
          <w:tcPr>
            <w:tcW w:w="1144" w:type="pct"/>
            <w:vMerge w:val="continue"/>
            <w:vAlign w:val="center"/>
          </w:tcPr>
          <w:p w14:paraId="465B3710">
            <w:pPr>
              <w:pStyle w:val="69"/>
              <w:spacing w:before="65" w:after="65"/>
              <w:rPr>
                <w:rFonts w:cs="Times New Roman"/>
                <w:color w:val="auto"/>
                <w:highlight w:val="none"/>
              </w:rPr>
            </w:pPr>
          </w:p>
        </w:tc>
        <w:tc>
          <w:tcPr>
            <w:tcW w:w="1296" w:type="pct"/>
            <w:vAlign w:val="center"/>
          </w:tcPr>
          <w:p w14:paraId="345C3AE1">
            <w:pPr>
              <w:pStyle w:val="69"/>
              <w:spacing w:before="65" w:after="65"/>
              <w:rPr>
                <w:rFonts w:cs="Times New Roman"/>
                <w:color w:val="auto"/>
                <w:highlight w:val="none"/>
              </w:rPr>
            </w:pPr>
            <w:r>
              <w:rPr>
                <w:rFonts w:cs="Times New Roman"/>
                <w:color w:val="auto"/>
                <w:highlight w:val="none"/>
              </w:rPr>
              <w:t>一般固废</w:t>
            </w:r>
          </w:p>
        </w:tc>
        <w:tc>
          <w:tcPr>
            <w:tcW w:w="1766" w:type="pct"/>
            <w:vAlign w:val="center"/>
          </w:tcPr>
          <w:p w14:paraId="514B89F3">
            <w:pPr>
              <w:pStyle w:val="69"/>
              <w:spacing w:before="65" w:after="65"/>
              <w:rPr>
                <w:rFonts w:cs="Times New Roman"/>
                <w:color w:val="auto"/>
                <w:highlight w:val="none"/>
              </w:rPr>
            </w:pPr>
            <w:r>
              <w:rPr>
                <w:rFonts w:cs="Times New Roman"/>
                <w:color w:val="auto"/>
                <w:highlight w:val="none"/>
              </w:rPr>
              <w:t>废氯化镁包装袋</w:t>
            </w:r>
          </w:p>
        </w:tc>
      </w:tr>
      <w:tr w14:paraId="0F49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3" w:type="pct"/>
            <w:vMerge w:val="continue"/>
            <w:vAlign w:val="center"/>
          </w:tcPr>
          <w:p w14:paraId="1F56C979">
            <w:pPr>
              <w:pStyle w:val="69"/>
              <w:spacing w:before="65" w:after="65"/>
              <w:rPr>
                <w:rFonts w:cs="Times New Roman"/>
                <w:color w:val="auto"/>
                <w:highlight w:val="none"/>
              </w:rPr>
            </w:pPr>
          </w:p>
        </w:tc>
        <w:tc>
          <w:tcPr>
            <w:tcW w:w="1144" w:type="pct"/>
            <w:vMerge w:val="continue"/>
            <w:vAlign w:val="center"/>
          </w:tcPr>
          <w:p w14:paraId="5F7BE825">
            <w:pPr>
              <w:pStyle w:val="69"/>
              <w:spacing w:before="65" w:after="65"/>
              <w:rPr>
                <w:rFonts w:cs="Times New Roman"/>
                <w:color w:val="auto"/>
                <w:highlight w:val="none"/>
              </w:rPr>
            </w:pPr>
          </w:p>
        </w:tc>
        <w:tc>
          <w:tcPr>
            <w:tcW w:w="1296" w:type="pct"/>
            <w:vAlign w:val="center"/>
          </w:tcPr>
          <w:p w14:paraId="2F85AE55">
            <w:pPr>
              <w:pStyle w:val="69"/>
              <w:spacing w:before="65" w:after="65"/>
              <w:rPr>
                <w:rFonts w:cs="Times New Roman"/>
                <w:color w:val="auto"/>
                <w:highlight w:val="none"/>
              </w:rPr>
            </w:pPr>
            <w:r>
              <w:rPr>
                <w:rFonts w:hint="eastAsia" w:cs="Times New Roman"/>
                <w:color w:val="auto"/>
                <w:highlight w:val="none"/>
              </w:rPr>
              <w:t>一般固废</w:t>
            </w:r>
          </w:p>
        </w:tc>
        <w:tc>
          <w:tcPr>
            <w:tcW w:w="1766" w:type="pct"/>
            <w:vAlign w:val="center"/>
          </w:tcPr>
          <w:p w14:paraId="367DB305">
            <w:pPr>
              <w:pStyle w:val="69"/>
              <w:spacing w:before="65" w:after="65"/>
              <w:rPr>
                <w:rFonts w:cs="Times New Roman"/>
                <w:color w:val="auto"/>
                <w:highlight w:val="none"/>
              </w:rPr>
            </w:pPr>
            <w:r>
              <w:rPr>
                <w:rFonts w:cs="Times New Roman"/>
                <w:color w:val="auto"/>
                <w:highlight w:val="none"/>
              </w:rPr>
              <w:t>废捕收剂桶</w:t>
            </w:r>
          </w:p>
        </w:tc>
      </w:tr>
    </w:tbl>
    <w:p w14:paraId="13AE40D9">
      <w:pPr>
        <w:pStyle w:val="4"/>
        <w:adjustRightInd w:val="0"/>
        <w:rPr>
          <w:rFonts w:cs="Times New Roman"/>
          <w:color w:val="auto"/>
          <w:highlight w:val="none"/>
        </w:rPr>
      </w:pPr>
      <w:bookmarkStart w:id="123" w:name="_Toc25603"/>
      <w:r>
        <w:rPr>
          <w:rFonts w:cs="Times New Roman"/>
          <w:color w:val="auto"/>
          <w:highlight w:val="none"/>
        </w:rPr>
        <w:t>物料平衡及水平衡分析</w:t>
      </w:r>
      <w:bookmarkEnd w:id="123"/>
    </w:p>
    <w:p w14:paraId="1EFA85A6">
      <w:pPr>
        <w:pStyle w:val="5"/>
        <w:adjustRightInd w:val="0"/>
        <w:rPr>
          <w:rFonts w:cs="Times New Roman"/>
          <w:color w:val="auto"/>
          <w:highlight w:val="none"/>
        </w:rPr>
      </w:pPr>
      <w:r>
        <w:rPr>
          <w:rFonts w:cs="Times New Roman"/>
          <w:color w:val="auto"/>
          <w:highlight w:val="none"/>
        </w:rPr>
        <w:t>物料平衡</w:t>
      </w:r>
    </w:p>
    <w:p w14:paraId="0BE5E95B">
      <w:pPr>
        <w:adjustRightInd w:val="0"/>
        <w:ind w:firstLine="480"/>
        <w:rPr>
          <w:rFonts w:cs="Times New Roman"/>
          <w:color w:val="auto"/>
          <w:highlight w:val="none"/>
        </w:rPr>
      </w:pPr>
      <w:r>
        <w:rPr>
          <w:rFonts w:cs="Times New Roman"/>
          <w:color w:val="auto"/>
          <w:highlight w:val="none"/>
        </w:rPr>
        <w:t>物料平衡确定依据：总物料平衡通过原料的量、核算中间产物的量、源强分析中各污染物的量以及各元素分析中主要物料之间相应的联系计算。</w:t>
      </w:r>
    </w:p>
    <w:p w14:paraId="0E35F671">
      <w:pPr>
        <w:adjustRightInd w:val="0"/>
        <w:ind w:firstLine="480"/>
        <w:rPr>
          <w:rFonts w:cs="Times New Roman"/>
          <w:color w:val="auto"/>
          <w:highlight w:val="none"/>
        </w:rPr>
      </w:pPr>
      <w:r>
        <w:rPr>
          <w:rFonts w:cs="Times New Roman"/>
          <w:color w:val="auto"/>
          <w:highlight w:val="none"/>
        </w:rPr>
        <w:t>本项目物料平衡见下图。</w:t>
      </w:r>
    </w:p>
    <w:p w14:paraId="473C113C">
      <w:pPr>
        <w:pStyle w:val="42"/>
        <w:adjustRightInd w:val="0"/>
        <w:ind w:firstLine="480"/>
        <w:rPr>
          <w:color w:val="auto"/>
          <w:highlight w:val="none"/>
        </w:rPr>
        <w:sectPr>
          <w:pgSz w:w="11906" w:h="16838"/>
          <w:pgMar w:top="1440" w:right="1800" w:bottom="1440" w:left="1800" w:header="851" w:footer="992" w:gutter="0"/>
          <w:cols w:space="425" w:num="1"/>
          <w:docGrid w:type="lines" w:linePitch="326" w:charSpace="0"/>
        </w:sectPr>
      </w:pPr>
    </w:p>
    <w:p w14:paraId="666E0FE0">
      <w:pPr>
        <w:pStyle w:val="58"/>
        <w:adjustRightInd w:val="0"/>
        <w:rPr>
          <w:rFonts w:ascii="Times New Roman" w:hAnsi="Times New Roman"/>
          <w:color w:val="auto"/>
          <w:highlight w:val="none"/>
        </w:rPr>
      </w:pPr>
      <w:r>
        <w:rPr>
          <w:color w:val="auto"/>
          <w:highlight w:val="none"/>
        </w:rPr>
        <w:drawing>
          <wp:inline distT="0" distB="0" distL="114300" distR="114300">
            <wp:extent cx="7945120" cy="5842000"/>
            <wp:effectExtent l="0" t="0" r="17780" b="635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pic:cNvPicPr>
                  </pic:nvPicPr>
                  <pic:blipFill>
                    <a:blip r:embed="rId33"/>
                    <a:stretch>
                      <a:fillRect/>
                    </a:stretch>
                  </pic:blipFill>
                  <pic:spPr>
                    <a:xfrm>
                      <a:off x="0" y="0"/>
                      <a:ext cx="7945120" cy="5842000"/>
                    </a:xfrm>
                    <a:prstGeom prst="rect">
                      <a:avLst/>
                    </a:prstGeom>
                    <a:noFill/>
                    <a:ln>
                      <a:noFill/>
                    </a:ln>
                  </pic:spPr>
                </pic:pic>
              </a:graphicData>
            </a:graphic>
          </wp:inline>
        </w:drawing>
      </w:r>
    </w:p>
    <w:p w14:paraId="2763DF7D">
      <w:pPr>
        <w:pStyle w:val="12"/>
        <w:adjustRightInd w:val="0"/>
        <w:ind w:firstLine="480"/>
        <w:rPr>
          <w:rFonts w:cs="Times New Roman"/>
          <w:color w:val="auto"/>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项目总物料平衡图（单位：t/a）</w:t>
      </w:r>
    </w:p>
    <w:p w14:paraId="3D819374">
      <w:pPr>
        <w:adjustRightInd w:val="0"/>
        <w:ind w:firstLine="480"/>
        <w:rPr>
          <w:rFonts w:cs="Times New Roman"/>
          <w:color w:val="auto"/>
          <w:highlight w:val="none"/>
        </w:rPr>
        <w:sectPr>
          <w:pgSz w:w="16838" w:h="11906" w:orient="landscape"/>
          <w:pgMar w:top="1134" w:right="1440" w:bottom="1134" w:left="1440" w:header="851" w:footer="992" w:gutter="0"/>
          <w:cols w:space="425" w:num="1"/>
          <w:docGrid w:type="lines" w:linePitch="326" w:charSpace="0"/>
        </w:sectPr>
      </w:pPr>
    </w:p>
    <w:p w14:paraId="2F02A933">
      <w:pPr>
        <w:pStyle w:val="5"/>
        <w:adjustRightInd w:val="0"/>
        <w:rPr>
          <w:rFonts w:cs="Times New Roman"/>
          <w:color w:val="auto"/>
          <w:highlight w:val="none"/>
        </w:rPr>
      </w:pPr>
      <w:r>
        <w:rPr>
          <w:rFonts w:cs="Times New Roman"/>
          <w:color w:val="auto"/>
          <w:highlight w:val="none"/>
        </w:rPr>
        <w:t>锂平衡</w:t>
      </w:r>
    </w:p>
    <w:p w14:paraId="1421DE20">
      <w:pPr>
        <w:adjustRightInd w:val="0"/>
        <w:ind w:firstLine="480"/>
        <w:rPr>
          <w:rFonts w:cs="Times New Roman"/>
          <w:color w:val="auto"/>
          <w:highlight w:val="none"/>
        </w:rPr>
      </w:pPr>
      <w:r>
        <w:rPr>
          <w:rFonts w:cs="Times New Roman"/>
          <w:color w:val="auto"/>
          <w:highlight w:val="none"/>
        </w:rPr>
        <w:t>本项目L</w:t>
      </w:r>
      <w:r>
        <w:rPr>
          <w:rFonts w:hint="eastAsia" w:cs="Times New Roman"/>
          <w:color w:val="auto"/>
          <w:highlight w:val="none"/>
        </w:rPr>
        <w:t>i</w:t>
      </w:r>
      <w:r>
        <w:rPr>
          <w:rFonts w:hint="eastAsia" w:cs="Times New Roman"/>
          <w:color w:val="auto"/>
          <w:highlight w:val="none"/>
          <w:vertAlign w:val="subscript"/>
        </w:rPr>
        <w:t>2</w:t>
      </w:r>
      <w:r>
        <w:rPr>
          <w:rFonts w:cs="Times New Roman"/>
          <w:color w:val="auto"/>
          <w:highlight w:val="none"/>
        </w:rPr>
        <w:t>O平衡如下：</w:t>
      </w:r>
    </w:p>
    <w:p w14:paraId="725327DF">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项目Li</w:t>
      </w:r>
      <w:r>
        <w:rPr>
          <w:rFonts w:cs="Times New Roman"/>
          <w:color w:val="auto"/>
          <w:highlight w:val="none"/>
          <w:vertAlign w:val="subscript"/>
        </w:rPr>
        <w:t>2</w:t>
      </w:r>
      <w:r>
        <w:rPr>
          <w:rFonts w:cs="Times New Roman"/>
          <w:color w:val="auto"/>
          <w:highlight w:val="none"/>
        </w:rPr>
        <w:t>O平衡一览表 单位：t/a</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06"/>
        <w:gridCol w:w="1069"/>
        <w:gridCol w:w="1082"/>
        <w:gridCol w:w="1407"/>
        <w:gridCol w:w="994"/>
        <w:gridCol w:w="862"/>
        <w:gridCol w:w="984"/>
      </w:tblGrid>
      <w:tr w14:paraId="4D41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505" w:type="pct"/>
            <w:gridSpan w:val="4"/>
            <w:vAlign w:val="center"/>
          </w:tcPr>
          <w:p w14:paraId="7B2D8354">
            <w:pPr>
              <w:pStyle w:val="37"/>
              <w:adjustRightInd w:val="0"/>
              <w:rPr>
                <w:b/>
                <w:bCs/>
                <w:color w:val="auto"/>
                <w:highlight w:val="none"/>
              </w:rPr>
            </w:pPr>
            <w:r>
              <w:rPr>
                <w:b/>
                <w:bCs/>
                <w:color w:val="auto"/>
                <w:highlight w:val="none"/>
              </w:rPr>
              <w:t>投入</w:t>
            </w:r>
          </w:p>
        </w:tc>
        <w:tc>
          <w:tcPr>
            <w:tcW w:w="2494" w:type="pct"/>
            <w:gridSpan w:val="4"/>
            <w:vAlign w:val="center"/>
          </w:tcPr>
          <w:p w14:paraId="1C142E52">
            <w:pPr>
              <w:pStyle w:val="37"/>
              <w:adjustRightInd w:val="0"/>
              <w:rPr>
                <w:b/>
                <w:bCs/>
                <w:color w:val="auto"/>
                <w:highlight w:val="none"/>
              </w:rPr>
            </w:pPr>
            <w:r>
              <w:rPr>
                <w:b/>
                <w:bCs/>
                <w:color w:val="auto"/>
                <w:highlight w:val="none"/>
              </w:rPr>
              <w:t>产出</w:t>
            </w:r>
          </w:p>
        </w:tc>
      </w:tr>
      <w:tr w14:paraId="56870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11" w:type="pct"/>
            <w:vAlign w:val="center"/>
          </w:tcPr>
          <w:p w14:paraId="6DEB7956">
            <w:pPr>
              <w:pStyle w:val="37"/>
              <w:adjustRightInd w:val="0"/>
              <w:rPr>
                <w:b/>
                <w:bCs/>
                <w:color w:val="auto"/>
                <w:highlight w:val="none"/>
              </w:rPr>
            </w:pPr>
            <w:r>
              <w:rPr>
                <w:b/>
                <w:bCs/>
                <w:color w:val="auto"/>
                <w:highlight w:val="none"/>
              </w:rPr>
              <w:t>名称</w:t>
            </w:r>
          </w:p>
        </w:tc>
        <w:tc>
          <w:tcPr>
            <w:tcW w:w="531" w:type="pct"/>
            <w:vAlign w:val="center"/>
          </w:tcPr>
          <w:p w14:paraId="7D9ACBB4">
            <w:pPr>
              <w:pStyle w:val="37"/>
              <w:adjustRightInd w:val="0"/>
              <w:rPr>
                <w:b/>
                <w:bCs/>
                <w:color w:val="auto"/>
                <w:highlight w:val="none"/>
              </w:rPr>
            </w:pPr>
            <w:r>
              <w:rPr>
                <w:b/>
                <w:bCs/>
                <w:color w:val="auto"/>
                <w:highlight w:val="none"/>
              </w:rPr>
              <w:t>数量</w:t>
            </w:r>
          </w:p>
        </w:tc>
        <w:tc>
          <w:tcPr>
            <w:tcW w:w="627" w:type="pct"/>
            <w:vAlign w:val="center"/>
          </w:tcPr>
          <w:p w14:paraId="3685B526">
            <w:pPr>
              <w:pStyle w:val="37"/>
              <w:adjustRightInd w:val="0"/>
              <w:rPr>
                <w:b/>
                <w:bCs/>
                <w:color w:val="auto"/>
                <w:highlight w:val="none"/>
              </w:rPr>
            </w:pPr>
            <w:r>
              <w:rPr>
                <w:b/>
                <w:bCs/>
                <w:color w:val="auto"/>
                <w:highlight w:val="none"/>
              </w:rPr>
              <w:t>比例</w:t>
            </w:r>
          </w:p>
        </w:tc>
        <w:tc>
          <w:tcPr>
            <w:tcW w:w="635" w:type="pct"/>
            <w:vAlign w:val="center"/>
          </w:tcPr>
          <w:p w14:paraId="428336EA">
            <w:pPr>
              <w:pStyle w:val="37"/>
              <w:adjustRightInd w:val="0"/>
              <w:rPr>
                <w:b/>
                <w:bCs/>
                <w:color w:val="auto"/>
                <w:highlight w:val="none"/>
              </w:rPr>
            </w:pPr>
            <w:r>
              <w:rPr>
                <w:b/>
                <w:bCs/>
                <w:color w:val="auto"/>
                <w:highlight w:val="none"/>
              </w:rPr>
              <w:t>含量</w:t>
            </w:r>
          </w:p>
        </w:tc>
        <w:tc>
          <w:tcPr>
            <w:tcW w:w="826" w:type="pct"/>
            <w:vAlign w:val="center"/>
          </w:tcPr>
          <w:p w14:paraId="3EDE8D1E">
            <w:pPr>
              <w:pStyle w:val="37"/>
              <w:adjustRightInd w:val="0"/>
              <w:rPr>
                <w:b/>
                <w:bCs/>
                <w:color w:val="auto"/>
                <w:highlight w:val="none"/>
              </w:rPr>
            </w:pPr>
            <w:r>
              <w:rPr>
                <w:b/>
                <w:bCs/>
                <w:color w:val="auto"/>
                <w:highlight w:val="none"/>
              </w:rPr>
              <w:t>去向</w:t>
            </w:r>
          </w:p>
        </w:tc>
        <w:tc>
          <w:tcPr>
            <w:tcW w:w="584" w:type="pct"/>
            <w:vAlign w:val="center"/>
          </w:tcPr>
          <w:p w14:paraId="7AD89721">
            <w:pPr>
              <w:pStyle w:val="37"/>
              <w:adjustRightInd w:val="0"/>
              <w:rPr>
                <w:b/>
                <w:bCs/>
                <w:color w:val="auto"/>
                <w:highlight w:val="none"/>
              </w:rPr>
            </w:pPr>
            <w:r>
              <w:rPr>
                <w:b/>
                <w:bCs/>
                <w:color w:val="auto"/>
                <w:highlight w:val="none"/>
              </w:rPr>
              <w:t>数量</w:t>
            </w:r>
          </w:p>
        </w:tc>
        <w:tc>
          <w:tcPr>
            <w:tcW w:w="505" w:type="pct"/>
            <w:vAlign w:val="center"/>
          </w:tcPr>
          <w:p w14:paraId="622AC805">
            <w:pPr>
              <w:pStyle w:val="37"/>
              <w:adjustRightInd w:val="0"/>
              <w:rPr>
                <w:b/>
                <w:bCs/>
                <w:color w:val="auto"/>
                <w:highlight w:val="none"/>
              </w:rPr>
            </w:pPr>
            <w:r>
              <w:rPr>
                <w:b/>
                <w:bCs/>
                <w:color w:val="auto"/>
                <w:highlight w:val="none"/>
              </w:rPr>
              <w:t>比例</w:t>
            </w:r>
          </w:p>
        </w:tc>
        <w:tc>
          <w:tcPr>
            <w:tcW w:w="578" w:type="pct"/>
            <w:vAlign w:val="center"/>
          </w:tcPr>
          <w:p w14:paraId="1E484B8C">
            <w:pPr>
              <w:pStyle w:val="37"/>
              <w:adjustRightInd w:val="0"/>
              <w:rPr>
                <w:b/>
                <w:bCs/>
                <w:color w:val="auto"/>
                <w:highlight w:val="none"/>
              </w:rPr>
            </w:pPr>
            <w:r>
              <w:rPr>
                <w:b/>
                <w:bCs/>
                <w:color w:val="auto"/>
                <w:highlight w:val="none"/>
              </w:rPr>
              <w:t>含量</w:t>
            </w:r>
          </w:p>
        </w:tc>
      </w:tr>
      <w:tr w14:paraId="28D2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 w:hRule="atLeast"/>
          <w:jc w:val="center"/>
        </w:trPr>
        <w:tc>
          <w:tcPr>
            <w:tcW w:w="711" w:type="pct"/>
            <w:vAlign w:val="center"/>
          </w:tcPr>
          <w:p w14:paraId="15AFBB5A">
            <w:pPr>
              <w:pStyle w:val="37"/>
              <w:adjustRightInd w:val="0"/>
              <w:rPr>
                <w:color w:val="auto"/>
                <w:highlight w:val="none"/>
              </w:rPr>
            </w:pPr>
            <w:r>
              <w:rPr>
                <w:color w:val="auto"/>
                <w:highlight w:val="none"/>
              </w:rPr>
              <w:t>锂辉石原矿（干重）</w:t>
            </w:r>
          </w:p>
        </w:tc>
        <w:tc>
          <w:tcPr>
            <w:tcW w:w="531" w:type="pct"/>
            <w:vAlign w:val="center"/>
          </w:tcPr>
          <w:p w14:paraId="11B31EA6">
            <w:pPr>
              <w:pStyle w:val="37"/>
              <w:adjustRightInd w:val="0"/>
              <w:rPr>
                <w:color w:val="auto"/>
                <w:highlight w:val="none"/>
              </w:rPr>
            </w:pPr>
            <w:r>
              <w:rPr>
                <w:rFonts w:hint="eastAsia"/>
                <w:color w:val="auto"/>
                <w:highlight w:val="none"/>
              </w:rPr>
              <w:t>331200</w:t>
            </w:r>
          </w:p>
        </w:tc>
        <w:tc>
          <w:tcPr>
            <w:tcW w:w="627" w:type="pct"/>
            <w:vAlign w:val="center"/>
          </w:tcPr>
          <w:p w14:paraId="1FAB8D90">
            <w:pPr>
              <w:pStyle w:val="37"/>
              <w:adjustRightInd w:val="0"/>
              <w:rPr>
                <w:color w:val="auto"/>
                <w:highlight w:val="none"/>
              </w:rPr>
            </w:pPr>
            <w:r>
              <w:rPr>
                <w:color w:val="auto"/>
                <w:highlight w:val="none"/>
              </w:rPr>
              <w:t>1.</w:t>
            </w:r>
            <w:r>
              <w:rPr>
                <w:rFonts w:hint="eastAsia"/>
                <w:color w:val="auto"/>
                <w:highlight w:val="none"/>
                <w:lang w:val="en-US" w:eastAsia="zh-CN"/>
              </w:rPr>
              <w:t>8</w:t>
            </w:r>
            <w:r>
              <w:rPr>
                <w:color w:val="auto"/>
                <w:highlight w:val="none"/>
              </w:rPr>
              <w:t>%</w:t>
            </w:r>
          </w:p>
        </w:tc>
        <w:tc>
          <w:tcPr>
            <w:tcW w:w="635" w:type="pct"/>
            <w:vAlign w:val="center"/>
          </w:tcPr>
          <w:p w14:paraId="13629D30">
            <w:pPr>
              <w:pStyle w:val="37"/>
              <w:adjustRightInd w:val="0"/>
              <w:rPr>
                <w:rFonts w:hint="default" w:eastAsia="宋体"/>
                <w:color w:val="auto"/>
                <w:highlight w:val="none"/>
                <w:lang w:val="en-US" w:eastAsia="zh-CN"/>
              </w:rPr>
            </w:pPr>
            <w:r>
              <w:rPr>
                <w:rFonts w:hint="eastAsia"/>
                <w:color w:val="auto"/>
                <w:highlight w:val="none"/>
                <w:lang w:val="en-US" w:eastAsia="zh-CN"/>
              </w:rPr>
              <w:t>5958.98</w:t>
            </w:r>
          </w:p>
        </w:tc>
        <w:tc>
          <w:tcPr>
            <w:tcW w:w="826" w:type="pct"/>
            <w:vAlign w:val="center"/>
          </w:tcPr>
          <w:p w14:paraId="4935060A">
            <w:pPr>
              <w:pStyle w:val="37"/>
              <w:adjustRightInd w:val="0"/>
              <w:rPr>
                <w:color w:val="auto"/>
                <w:highlight w:val="none"/>
              </w:rPr>
            </w:pPr>
            <w:r>
              <w:rPr>
                <w:color w:val="auto"/>
                <w:highlight w:val="none"/>
              </w:rPr>
              <w:t>锂辉石精矿（干重）</w:t>
            </w:r>
          </w:p>
        </w:tc>
        <w:tc>
          <w:tcPr>
            <w:tcW w:w="584" w:type="pct"/>
            <w:vAlign w:val="center"/>
          </w:tcPr>
          <w:p w14:paraId="1235920A">
            <w:pPr>
              <w:pStyle w:val="37"/>
              <w:adjustRightInd w:val="0"/>
              <w:rPr>
                <w:color w:val="auto"/>
                <w:highlight w:val="none"/>
              </w:rPr>
            </w:pPr>
            <w:r>
              <w:rPr>
                <w:rFonts w:hint="eastAsia"/>
                <w:color w:val="auto"/>
                <w:highlight w:val="none"/>
              </w:rPr>
              <w:t>99360</w:t>
            </w:r>
          </w:p>
        </w:tc>
        <w:tc>
          <w:tcPr>
            <w:tcW w:w="505" w:type="pct"/>
            <w:vAlign w:val="center"/>
          </w:tcPr>
          <w:p w14:paraId="2C304C65">
            <w:pPr>
              <w:pStyle w:val="37"/>
              <w:adjustRightInd w:val="0"/>
              <w:rPr>
                <w:color w:val="auto"/>
                <w:highlight w:val="none"/>
              </w:rPr>
            </w:pPr>
            <w:r>
              <w:rPr>
                <w:color w:val="auto"/>
                <w:highlight w:val="none"/>
              </w:rPr>
              <w:t>5%</w:t>
            </w:r>
          </w:p>
        </w:tc>
        <w:tc>
          <w:tcPr>
            <w:tcW w:w="578" w:type="pct"/>
            <w:vAlign w:val="center"/>
          </w:tcPr>
          <w:p w14:paraId="53EF9276">
            <w:pPr>
              <w:pStyle w:val="37"/>
              <w:adjustRightInd w:val="0"/>
              <w:rPr>
                <w:color w:val="auto"/>
                <w:highlight w:val="none"/>
              </w:rPr>
            </w:pPr>
            <w:r>
              <w:rPr>
                <w:rFonts w:hint="eastAsia"/>
                <w:color w:val="auto"/>
                <w:highlight w:val="none"/>
              </w:rPr>
              <w:t>4968</w:t>
            </w:r>
          </w:p>
        </w:tc>
      </w:tr>
      <w:tr w14:paraId="1938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1" w:type="pct"/>
            <w:vAlign w:val="center"/>
          </w:tcPr>
          <w:p w14:paraId="31C03683">
            <w:pPr>
              <w:pStyle w:val="37"/>
              <w:adjustRightInd w:val="0"/>
              <w:rPr>
                <w:color w:val="auto"/>
                <w:highlight w:val="none"/>
              </w:rPr>
            </w:pPr>
          </w:p>
        </w:tc>
        <w:tc>
          <w:tcPr>
            <w:tcW w:w="531" w:type="pct"/>
            <w:vAlign w:val="center"/>
          </w:tcPr>
          <w:p w14:paraId="35F815D5">
            <w:pPr>
              <w:pStyle w:val="37"/>
              <w:adjustRightInd w:val="0"/>
              <w:rPr>
                <w:color w:val="auto"/>
                <w:highlight w:val="none"/>
              </w:rPr>
            </w:pPr>
          </w:p>
        </w:tc>
        <w:tc>
          <w:tcPr>
            <w:tcW w:w="627" w:type="pct"/>
            <w:vAlign w:val="center"/>
          </w:tcPr>
          <w:p w14:paraId="096A68D8">
            <w:pPr>
              <w:pStyle w:val="37"/>
              <w:adjustRightInd w:val="0"/>
              <w:rPr>
                <w:color w:val="auto"/>
                <w:highlight w:val="none"/>
              </w:rPr>
            </w:pPr>
          </w:p>
        </w:tc>
        <w:tc>
          <w:tcPr>
            <w:tcW w:w="635" w:type="pct"/>
            <w:vAlign w:val="center"/>
          </w:tcPr>
          <w:p w14:paraId="5244DF7D">
            <w:pPr>
              <w:pStyle w:val="37"/>
              <w:adjustRightInd w:val="0"/>
              <w:rPr>
                <w:color w:val="auto"/>
                <w:highlight w:val="none"/>
              </w:rPr>
            </w:pPr>
          </w:p>
        </w:tc>
        <w:tc>
          <w:tcPr>
            <w:tcW w:w="826" w:type="pct"/>
            <w:vAlign w:val="center"/>
          </w:tcPr>
          <w:p w14:paraId="373EA104">
            <w:pPr>
              <w:pStyle w:val="37"/>
              <w:adjustRightInd w:val="0"/>
              <w:rPr>
                <w:color w:val="auto"/>
                <w:highlight w:val="none"/>
              </w:rPr>
            </w:pPr>
            <w:r>
              <w:rPr>
                <w:color w:val="auto"/>
                <w:highlight w:val="none"/>
              </w:rPr>
              <w:t>尾矿、黑砂（干重）</w:t>
            </w:r>
          </w:p>
        </w:tc>
        <w:tc>
          <w:tcPr>
            <w:tcW w:w="584" w:type="pct"/>
            <w:vAlign w:val="center"/>
          </w:tcPr>
          <w:p w14:paraId="78B3F1CA">
            <w:pPr>
              <w:pStyle w:val="37"/>
              <w:adjustRightInd w:val="0"/>
              <w:rPr>
                <w:color w:val="auto"/>
                <w:highlight w:val="none"/>
              </w:rPr>
            </w:pPr>
            <w:r>
              <w:rPr>
                <w:rFonts w:hint="eastAsia"/>
                <w:color w:val="auto"/>
                <w:highlight w:val="none"/>
              </w:rPr>
              <w:t>231840</w:t>
            </w:r>
          </w:p>
        </w:tc>
        <w:tc>
          <w:tcPr>
            <w:tcW w:w="505" w:type="pct"/>
            <w:vAlign w:val="center"/>
          </w:tcPr>
          <w:p w14:paraId="2A4FBC55">
            <w:pPr>
              <w:pStyle w:val="37"/>
              <w:adjustRightInd w:val="0"/>
              <w:rPr>
                <w:color w:val="auto"/>
                <w:highlight w:val="none"/>
              </w:rPr>
            </w:pPr>
            <w:r>
              <w:rPr>
                <w:color w:val="auto"/>
                <w:highlight w:val="none"/>
              </w:rPr>
              <w:t>0.286%</w:t>
            </w:r>
          </w:p>
        </w:tc>
        <w:tc>
          <w:tcPr>
            <w:tcW w:w="578" w:type="pct"/>
            <w:vAlign w:val="center"/>
          </w:tcPr>
          <w:p w14:paraId="4FF8DCB9">
            <w:pPr>
              <w:pStyle w:val="37"/>
              <w:adjustRightInd w:val="0"/>
              <w:rPr>
                <w:color w:val="auto"/>
                <w:highlight w:val="none"/>
              </w:rPr>
            </w:pPr>
            <w:r>
              <w:rPr>
                <w:rFonts w:hint="eastAsia"/>
                <w:color w:val="auto"/>
                <w:highlight w:val="none"/>
              </w:rPr>
              <w:t>662.4</w:t>
            </w:r>
          </w:p>
        </w:tc>
      </w:tr>
      <w:tr w14:paraId="2672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1870" w:type="pct"/>
            <w:gridSpan w:val="3"/>
            <w:vAlign w:val="center"/>
          </w:tcPr>
          <w:p w14:paraId="28E75017">
            <w:pPr>
              <w:pStyle w:val="37"/>
              <w:adjustRightInd w:val="0"/>
              <w:rPr>
                <w:color w:val="auto"/>
                <w:highlight w:val="none"/>
              </w:rPr>
            </w:pPr>
            <w:r>
              <w:rPr>
                <w:color w:val="auto"/>
                <w:highlight w:val="none"/>
              </w:rPr>
              <w:t>合计</w:t>
            </w:r>
          </w:p>
        </w:tc>
        <w:tc>
          <w:tcPr>
            <w:tcW w:w="635" w:type="pct"/>
            <w:vAlign w:val="center"/>
          </w:tcPr>
          <w:p w14:paraId="4CF858F9">
            <w:pPr>
              <w:pStyle w:val="37"/>
              <w:adjustRightInd w:val="0"/>
              <w:rPr>
                <w:color w:val="auto"/>
                <w:highlight w:val="none"/>
              </w:rPr>
            </w:pPr>
            <w:r>
              <w:rPr>
                <w:rFonts w:hint="eastAsia"/>
                <w:color w:val="auto"/>
                <w:highlight w:val="none"/>
              </w:rPr>
              <w:t>5630.4</w:t>
            </w:r>
          </w:p>
        </w:tc>
        <w:tc>
          <w:tcPr>
            <w:tcW w:w="1916" w:type="pct"/>
            <w:gridSpan w:val="3"/>
            <w:vAlign w:val="center"/>
          </w:tcPr>
          <w:p w14:paraId="6E7A2165">
            <w:pPr>
              <w:pStyle w:val="37"/>
              <w:adjustRightInd w:val="0"/>
              <w:rPr>
                <w:color w:val="auto"/>
                <w:highlight w:val="none"/>
              </w:rPr>
            </w:pPr>
            <w:r>
              <w:rPr>
                <w:color w:val="auto"/>
                <w:highlight w:val="none"/>
              </w:rPr>
              <w:t>合计</w:t>
            </w:r>
          </w:p>
        </w:tc>
        <w:tc>
          <w:tcPr>
            <w:tcW w:w="578" w:type="pct"/>
            <w:vAlign w:val="center"/>
          </w:tcPr>
          <w:p w14:paraId="5E6010D5">
            <w:pPr>
              <w:pStyle w:val="37"/>
              <w:adjustRightInd w:val="0"/>
              <w:rPr>
                <w:color w:val="auto"/>
                <w:highlight w:val="none"/>
              </w:rPr>
            </w:pPr>
            <w:r>
              <w:rPr>
                <w:rFonts w:hint="eastAsia"/>
                <w:color w:val="auto"/>
                <w:highlight w:val="none"/>
              </w:rPr>
              <w:t>5630.4</w:t>
            </w:r>
          </w:p>
        </w:tc>
      </w:tr>
    </w:tbl>
    <w:p w14:paraId="16714465">
      <w:pPr>
        <w:pStyle w:val="5"/>
        <w:adjustRightInd w:val="0"/>
        <w:rPr>
          <w:rFonts w:cs="Times New Roman"/>
          <w:color w:val="auto"/>
          <w:highlight w:val="none"/>
        </w:rPr>
      </w:pPr>
      <w:r>
        <w:rPr>
          <w:rFonts w:cs="Times New Roman"/>
          <w:color w:val="auto"/>
          <w:highlight w:val="none"/>
        </w:rPr>
        <w:t>水平衡</w:t>
      </w:r>
    </w:p>
    <w:p w14:paraId="12599E1A">
      <w:pPr>
        <w:adjustRightInd w:val="0"/>
        <w:ind w:firstLine="482"/>
        <w:rPr>
          <w:rFonts w:cs="Times New Roman"/>
          <w:b/>
          <w:bCs/>
          <w:color w:val="auto"/>
          <w:highlight w:val="none"/>
        </w:rPr>
      </w:pPr>
      <w:r>
        <w:rPr>
          <w:rFonts w:cs="Times New Roman"/>
          <w:b/>
          <w:bCs/>
          <w:color w:val="auto"/>
          <w:highlight w:val="none"/>
        </w:rPr>
        <w:t>（1）选矿用水</w:t>
      </w:r>
    </w:p>
    <w:p w14:paraId="131302E5">
      <w:pPr>
        <w:adjustRightInd w:val="0"/>
        <w:ind w:firstLine="480"/>
        <w:rPr>
          <w:rFonts w:cs="Times New Roman"/>
          <w:color w:val="auto"/>
          <w:highlight w:val="none"/>
        </w:rPr>
      </w:pPr>
      <w:r>
        <w:rPr>
          <w:rFonts w:cs="Times New Roman"/>
          <w:color w:val="auto"/>
          <w:highlight w:val="none"/>
        </w:rPr>
        <w:t>根据乐山市全沫矿产品有限公司运行阶段生产经验数据，单位产品污水产生量为3.67t/t-产品，本项目日加工锂辉石</w:t>
      </w:r>
      <w:r>
        <w:rPr>
          <w:rFonts w:hint="eastAsia" w:cs="Times New Roman"/>
          <w:color w:val="auto"/>
          <w:highlight w:val="none"/>
        </w:rPr>
        <w:t>1090.91</w:t>
      </w:r>
      <w:r>
        <w:rPr>
          <w:rFonts w:cs="Times New Roman"/>
          <w:color w:val="auto"/>
          <w:highlight w:val="none"/>
        </w:rPr>
        <w:t>t，日产精矿、尾矿等约</w:t>
      </w:r>
      <w:r>
        <w:rPr>
          <w:rFonts w:hint="eastAsia" w:cs="Times New Roman"/>
          <w:color w:val="auto"/>
          <w:highlight w:val="none"/>
        </w:rPr>
        <w:t>1153.61</w:t>
      </w:r>
      <w:r>
        <w:rPr>
          <w:rFonts w:cs="Times New Roman"/>
          <w:color w:val="auto"/>
          <w:highlight w:val="none"/>
        </w:rPr>
        <w:t>t。因此，本项目选矿废水产生量为</w:t>
      </w:r>
      <w:r>
        <w:rPr>
          <w:rFonts w:hint="eastAsia" w:cs="Times New Roman"/>
          <w:color w:val="auto"/>
          <w:highlight w:val="none"/>
        </w:rPr>
        <w:t>4233.75</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p>
    <w:p w14:paraId="5B62CE8D">
      <w:pPr>
        <w:pStyle w:val="42"/>
        <w:adjustRightInd w:val="0"/>
        <w:ind w:firstLine="480"/>
        <w:rPr>
          <w:color w:val="auto"/>
          <w:highlight w:val="none"/>
        </w:rPr>
      </w:pPr>
      <w:r>
        <w:rPr>
          <w:color w:val="auto"/>
          <w:highlight w:val="none"/>
        </w:rPr>
        <w:t>根据乐山市全沫矿产品有限公司运行阶段生产经验数据，浓密机废水、脱水过程产生的废水分别占选矿废水百分比为69.942%、</w:t>
      </w:r>
      <w:r>
        <w:rPr>
          <w:rFonts w:hint="eastAsia"/>
          <w:color w:val="auto"/>
          <w:highlight w:val="none"/>
        </w:rPr>
        <w:t>30.058</w:t>
      </w:r>
      <w:r>
        <w:rPr>
          <w:color w:val="auto"/>
          <w:highlight w:val="none"/>
        </w:rPr>
        <w:t>%。因此，本项目浓密机废水</w:t>
      </w:r>
      <w:r>
        <w:rPr>
          <w:rFonts w:hint="eastAsia"/>
          <w:color w:val="auto"/>
          <w:highlight w:val="none"/>
        </w:rPr>
        <w:t>2961.17</w:t>
      </w:r>
      <w:r>
        <w:rPr>
          <w:color w:val="auto"/>
          <w:highlight w:val="none"/>
        </w:rPr>
        <w:t>m</w:t>
      </w:r>
      <w:r>
        <w:rPr>
          <w:color w:val="auto"/>
          <w:highlight w:val="none"/>
          <w:vertAlign w:val="superscript"/>
        </w:rPr>
        <w:t>3</w:t>
      </w:r>
      <w:r>
        <w:rPr>
          <w:color w:val="auto"/>
          <w:highlight w:val="none"/>
        </w:rPr>
        <w:t>/d、脱水过程产生的废水</w:t>
      </w:r>
      <w:r>
        <w:rPr>
          <w:rFonts w:hint="eastAsia"/>
          <w:color w:val="auto"/>
          <w:highlight w:val="none"/>
        </w:rPr>
        <w:t>1272.58</w:t>
      </w:r>
      <w:r>
        <w:rPr>
          <w:color w:val="auto"/>
          <w:highlight w:val="none"/>
        </w:rPr>
        <w:t>m</w:t>
      </w:r>
      <w:r>
        <w:rPr>
          <w:color w:val="auto"/>
          <w:highlight w:val="none"/>
          <w:vertAlign w:val="superscript"/>
        </w:rPr>
        <w:t>3</w:t>
      </w:r>
      <w:r>
        <w:rPr>
          <w:color w:val="auto"/>
          <w:highlight w:val="none"/>
        </w:rPr>
        <w:t>/d。</w:t>
      </w:r>
    </w:p>
    <w:p w14:paraId="789ADC5F">
      <w:pPr>
        <w:adjustRightInd w:val="0"/>
        <w:ind w:firstLine="480"/>
        <w:rPr>
          <w:rFonts w:cs="Times New Roman"/>
          <w:color w:val="auto"/>
          <w:highlight w:val="none"/>
        </w:rPr>
      </w:pPr>
      <w:r>
        <w:rPr>
          <w:rFonts w:cs="Times New Roman"/>
          <w:color w:val="auto"/>
          <w:highlight w:val="none"/>
        </w:rPr>
        <w:t>本项目选矿过程中选矿用水可能由于设备泄漏（管道接头、阀门、泵体密封件老化或损坏，导致废水渗漏）、溢流失水（搅拌槽、浮选机、沉淀池等设备液位控制不当，造成废水溢出）、输送损耗（输送管道、溜槽沿途的滴漏）、蒸发损耗（本项目浓密机、三级沉淀池为露天状态，受温度、风速影响，水分自然蒸发流失会造成一定的损耗），本项目水损耗以5%计，同时锂辉石精矿（含水率13%）带走水量</w:t>
      </w:r>
      <w:r>
        <w:rPr>
          <w:rFonts w:hint="eastAsia" w:cs="Times New Roman"/>
          <w:color w:val="auto"/>
          <w:highlight w:val="none"/>
        </w:rPr>
        <w:t>44.99</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/d、尾矿（含水率13%）带走水量</w:t>
      </w:r>
      <w:r>
        <w:rPr>
          <w:rFonts w:hint="eastAsia" w:cs="Times New Roman"/>
          <w:color w:val="auto"/>
          <w:highlight w:val="none"/>
        </w:rPr>
        <w:t>97.48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/d、黑砂（含水率13%）将带走水量</w:t>
      </w:r>
      <w:r>
        <w:rPr>
          <w:rFonts w:hint="eastAsia" w:cs="Times New Roman"/>
          <w:color w:val="auto"/>
          <w:highlight w:val="none"/>
        </w:rPr>
        <w:t>7.5</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p>
    <w:p w14:paraId="680530F4">
      <w:pPr>
        <w:adjustRightInd w:val="0"/>
        <w:ind w:firstLine="480"/>
        <w:rPr>
          <w:rFonts w:cs="Times New Roman"/>
          <w:color w:val="auto"/>
          <w:highlight w:val="none"/>
        </w:rPr>
      </w:pPr>
      <w:r>
        <w:rPr>
          <w:rFonts w:cs="Times New Roman"/>
          <w:color w:val="auto"/>
          <w:highlight w:val="none"/>
        </w:rPr>
        <w:t>全厂共设置1套生产废水处理设施，为三级沉淀池（一级沉淀池有效容积1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、二级沉淀池有效容积1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、三级沉淀池有效容积1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，其中一级沉淀池设计水力停留时间为</w:t>
      </w:r>
      <w:r>
        <w:rPr>
          <w:rFonts w:hint="eastAsia" w:cs="Times New Roman"/>
          <w:color w:val="auto"/>
          <w:highlight w:val="none"/>
        </w:rPr>
        <w:t>5</w:t>
      </w:r>
      <w:r>
        <w:rPr>
          <w:rFonts w:cs="Times New Roman"/>
          <w:color w:val="auto"/>
          <w:highlight w:val="none"/>
        </w:rPr>
        <w:t>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沉淀），其中浓密机废水（</w:t>
      </w:r>
      <w:r>
        <w:rPr>
          <w:rFonts w:hint="eastAsia" w:cs="Times New Roman"/>
          <w:color w:val="auto"/>
          <w:highlight w:val="none"/>
        </w:rPr>
        <w:t>2961.17</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r>
        <w:rPr>
          <w:rFonts w:hint="eastAsia" w:cs="Times New Roman"/>
          <w:color w:val="auto"/>
          <w:highlight w:val="none"/>
        </w:rPr>
        <w:t>、</w:t>
      </w:r>
      <w:r>
        <w:rPr>
          <w:rFonts w:cs="Times New Roman"/>
          <w:color w:val="auto"/>
          <w:highlight w:val="none"/>
        </w:rPr>
        <w:t>脱水工序产生的废水（</w:t>
      </w:r>
      <w:r>
        <w:rPr>
          <w:rFonts w:hint="eastAsia" w:cs="Times New Roman"/>
          <w:color w:val="auto"/>
          <w:highlight w:val="none"/>
        </w:rPr>
        <w:t>1272.58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d）经废水处理设施处理后回用于湿式磨矿、浮选工序。全厂设置</w:t>
      </w:r>
      <w:r>
        <w:rPr>
          <w:rFonts w:hint="eastAsia" w:cs="Times New Roman"/>
          <w:color w:val="auto"/>
          <w:highlight w:val="none"/>
        </w:rPr>
        <w:t>4</w:t>
      </w:r>
      <w:r>
        <w:rPr>
          <w:rFonts w:cs="Times New Roman"/>
          <w:color w:val="auto"/>
          <w:highlight w:val="none"/>
        </w:rPr>
        <w:t>套板框压滤机+1套带式真空过滤机。</w:t>
      </w:r>
    </w:p>
    <w:p w14:paraId="2A33F801">
      <w:pPr>
        <w:adjustRightInd w:val="0"/>
        <w:ind w:firstLine="480"/>
        <w:rPr>
          <w:rFonts w:cs="Times New Roman"/>
          <w:color w:val="auto"/>
          <w:highlight w:val="none"/>
        </w:rPr>
      </w:pPr>
      <w:r>
        <w:rPr>
          <w:rFonts w:cs="Times New Roman"/>
          <w:color w:val="auto"/>
          <w:highlight w:val="none"/>
        </w:rPr>
        <w:t>经计算，本项目选矿用水量为</w:t>
      </w:r>
      <w:r>
        <w:rPr>
          <w:rFonts w:hint="eastAsia" w:cs="Times New Roman"/>
          <w:color w:val="auto"/>
          <w:highlight w:val="none"/>
        </w:rPr>
        <w:t>4522.58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/d，损耗按照5%计算，每天损耗的水量为</w:t>
      </w:r>
      <w:r>
        <w:rPr>
          <w:rFonts w:hint="eastAsia" w:cs="Times New Roman"/>
          <w:color w:val="auto"/>
          <w:highlight w:val="none"/>
        </w:rPr>
        <w:t>226.13</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/d，锂辉石原矿每天带入的水量为</w:t>
      </w:r>
      <w:r>
        <w:rPr>
          <w:rFonts w:hint="eastAsia" w:cs="Times New Roman"/>
          <w:color w:val="auto"/>
          <w:highlight w:val="none"/>
        </w:rPr>
        <w:t>87.27</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/d，需每天加入新鲜水</w:t>
      </w:r>
      <w:r>
        <w:rPr>
          <w:rFonts w:hint="eastAsia" w:cs="Times New Roman"/>
          <w:color w:val="auto"/>
          <w:highlight w:val="none"/>
        </w:rPr>
        <w:t>226.13+44.99+97.48+7.5-87.27=288.83</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/d，保证选矿工艺用水量。</w:t>
      </w:r>
    </w:p>
    <w:p w14:paraId="26BDFF67">
      <w:pPr>
        <w:adjustRightInd w:val="0"/>
        <w:ind w:firstLine="482"/>
        <w:rPr>
          <w:rFonts w:cs="Times New Roman"/>
          <w:b/>
          <w:bCs/>
          <w:color w:val="auto"/>
          <w:highlight w:val="none"/>
        </w:rPr>
      </w:pPr>
      <w:r>
        <w:rPr>
          <w:rFonts w:cs="Times New Roman"/>
          <w:b/>
          <w:bCs/>
          <w:color w:val="auto"/>
          <w:highlight w:val="none"/>
        </w:rPr>
        <w:t>（2）车辆冲洗用水</w:t>
      </w:r>
    </w:p>
    <w:p w14:paraId="61FBDF5E">
      <w:pPr>
        <w:adjustRightInd w:val="0"/>
        <w:ind w:firstLine="480"/>
        <w:rPr>
          <w:rFonts w:cs="Times New Roman"/>
          <w:color w:val="auto"/>
          <w:highlight w:val="none"/>
        </w:rPr>
      </w:pPr>
      <w:r>
        <w:rPr>
          <w:rFonts w:cs="Times New Roman"/>
          <w:color w:val="auto"/>
          <w:highlight w:val="none"/>
        </w:rPr>
        <w:t>本项目设置洗车平台1座，对运输车辆进行冲洗，以降低运输扬尘的产生，根据《四川省用水定额》（2021年）平均每辆运输车辆每次冲洗轮胎用水量为0.1m</w:t>
      </w:r>
      <w:r>
        <w:rPr>
          <w:rFonts w:cs="Times New Roman"/>
          <w:color w:val="auto"/>
          <w:highlight w:val="none"/>
          <w:vertAlign w:val="superscript"/>
        </w:rPr>
        <w:t>3</w:t>
      </w:r>
      <w:r>
        <w:rPr>
          <w:rFonts w:cs="Times New Roman"/>
          <w:color w:val="auto"/>
          <w:highlight w:val="none"/>
        </w:rPr>
        <w:t>。本项目年加工</w:t>
      </w:r>
      <w:r>
        <w:rPr>
          <w:rFonts w:hint="eastAsia" w:cs="Times New Roman"/>
          <w:color w:val="auto"/>
          <w:highlight w:val="none"/>
        </w:rPr>
        <w:t>36</w:t>
      </w:r>
      <w:r>
        <w:rPr>
          <w:rFonts w:cs="Times New Roman"/>
          <w:color w:val="auto"/>
          <w:highlight w:val="none"/>
        </w:rPr>
        <w:t>万吨锂辉石矿，运输车次合计约</w:t>
      </w:r>
      <w:r>
        <w:rPr>
          <w:rFonts w:hint="eastAsia" w:cs="Times New Roman"/>
          <w:color w:val="auto"/>
          <w:highlight w:val="none"/>
        </w:rPr>
        <w:t>14400</w:t>
      </w:r>
      <w:r>
        <w:rPr>
          <w:rFonts w:cs="Times New Roman"/>
          <w:color w:val="auto"/>
          <w:highlight w:val="none"/>
        </w:rPr>
        <w:t>次/年，因此本项目车辆冲洗用水量约为</w:t>
      </w:r>
      <w:r>
        <w:rPr>
          <w:rFonts w:hint="eastAsia" w:cs="Times New Roman"/>
          <w:color w:val="auto"/>
          <w:highlight w:val="none"/>
        </w:rPr>
        <w:t>1440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/a。本项目车辆冲洗废水产污系数按85%计，因此本项目车辆冲洗废水产生量为</w:t>
      </w:r>
      <w:r>
        <w:rPr>
          <w:rFonts w:hint="eastAsia" w:cs="Times New Roman"/>
          <w:color w:val="auto"/>
          <w:highlight w:val="none"/>
        </w:rPr>
        <w:t>1224</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w:t>
      </w:r>
      <w:r>
        <w:rPr>
          <w:rFonts w:hint="eastAsia" w:cs="Times New Roman"/>
          <w:color w:val="auto"/>
          <w:highlight w:val="none"/>
        </w:rPr>
        <w:t>4.08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p>
    <w:p w14:paraId="16B507E5">
      <w:pPr>
        <w:adjustRightInd w:val="0"/>
        <w:ind w:firstLine="480"/>
        <w:rPr>
          <w:rFonts w:cs="Times New Roman"/>
          <w:color w:val="auto"/>
          <w:highlight w:val="none"/>
        </w:rPr>
      </w:pPr>
      <w:r>
        <w:rPr>
          <w:rFonts w:cs="Times New Roman"/>
          <w:color w:val="auto"/>
          <w:highlight w:val="none"/>
        </w:rPr>
        <w:t>本项目车辆冲洗废水经</w:t>
      </w:r>
      <w:r>
        <w:rPr>
          <w:rFonts w:hint="eastAsia" w:cs="Times New Roman"/>
          <w:color w:val="auto"/>
          <w:highlight w:val="none"/>
        </w:rPr>
        <w:t>依托的乐山市沙湾区豪沐科技有限公司</w:t>
      </w:r>
      <w:r>
        <w:rPr>
          <w:rFonts w:cs="Times New Roman"/>
          <w:color w:val="auto"/>
          <w:highlight w:val="none"/>
        </w:rPr>
        <w:t>车辆冲洗废水沉淀池处理后回用于车辆冲洗，不外排。</w:t>
      </w:r>
    </w:p>
    <w:p w14:paraId="39FCA180">
      <w:pPr>
        <w:adjustRightInd w:val="0"/>
        <w:ind w:firstLine="482"/>
        <w:rPr>
          <w:rFonts w:cs="Times New Roman"/>
          <w:b/>
          <w:bCs/>
          <w:color w:val="auto"/>
          <w:highlight w:val="none"/>
        </w:rPr>
      </w:pPr>
      <w:r>
        <w:rPr>
          <w:rFonts w:cs="Times New Roman"/>
          <w:b/>
          <w:bCs/>
          <w:color w:val="auto"/>
          <w:highlight w:val="none"/>
        </w:rPr>
        <w:t>（3）喷雾降尘用水</w:t>
      </w:r>
    </w:p>
    <w:p w14:paraId="2BCC8604">
      <w:pPr>
        <w:adjustRightInd w:val="0"/>
        <w:ind w:firstLine="480"/>
        <w:rPr>
          <w:rFonts w:cs="Times New Roman"/>
          <w:color w:val="auto"/>
          <w:highlight w:val="none"/>
        </w:rPr>
      </w:pPr>
      <w:r>
        <w:rPr>
          <w:rFonts w:cs="Times New Roman"/>
          <w:color w:val="auto"/>
          <w:highlight w:val="none"/>
        </w:rPr>
        <w:t>本项目碎矿车间（含原料堆场）设置1套喷雾降尘装置（共30个喷头），根据项目设计参数，该喷雾降尘装置平均每天用水量为8m</w:t>
      </w:r>
      <w:r>
        <w:rPr>
          <w:rFonts w:cs="Times New Roman"/>
          <w:color w:val="auto"/>
          <w:highlight w:val="none"/>
          <w:vertAlign w:val="superscript"/>
        </w:rPr>
        <w:t>3</w:t>
      </w:r>
      <w:r>
        <w:rPr>
          <w:rFonts w:cs="Times New Roman"/>
          <w:color w:val="auto"/>
          <w:highlight w:val="none"/>
        </w:rPr>
        <w:t>，则用水量为2400m</w:t>
      </w:r>
      <w:r>
        <w:rPr>
          <w:rFonts w:cs="Times New Roman"/>
          <w:color w:val="auto"/>
          <w:highlight w:val="none"/>
          <w:vertAlign w:val="superscript"/>
        </w:rPr>
        <w:t>3</w:t>
      </w:r>
      <w:r>
        <w:rPr>
          <w:rFonts w:cs="Times New Roman"/>
          <w:color w:val="auto"/>
          <w:highlight w:val="none"/>
        </w:rPr>
        <w:t>/a（8m</w:t>
      </w:r>
      <w:r>
        <w:rPr>
          <w:rFonts w:cs="Times New Roman"/>
          <w:color w:val="auto"/>
          <w:highlight w:val="none"/>
          <w:vertAlign w:val="superscript"/>
        </w:rPr>
        <w:t>3</w:t>
      </w:r>
      <w:r>
        <w:rPr>
          <w:rFonts w:cs="Times New Roman"/>
          <w:color w:val="auto"/>
          <w:highlight w:val="none"/>
        </w:rPr>
        <w:t>/d）。</w:t>
      </w:r>
    </w:p>
    <w:p w14:paraId="603E0B1D">
      <w:pPr>
        <w:adjustRightInd w:val="0"/>
        <w:ind w:firstLine="480"/>
        <w:rPr>
          <w:rFonts w:cs="Times New Roman"/>
          <w:color w:val="auto"/>
          <w:highlight w:val="none"/>
        </w:rPr>
      </w:pPr>
      <w:r>
        <w:rPr>
          <w:rFonts w:cs="Times New Roman"/>
          <w:color w:val="auto"/>
          <w:highlight w:val="none"/>
        </w:rPr>
        <w:t>本项目喷雾降尘用水全部蒸发损耗。</w:t>
      </w:r>
    </w:p>
    <w:p w14:paraId="473D3233">
      <w:pPr>
        <w:adjustRightInd w:val="0"/>
        <w:ind w:firstLine="482"/>
        <w:rPr>
          <w:rFonts w:cs="Times New Roman"/>
          <w:b/>
          <w:bCs/>
          <w:color w:val="auto"/>
          <w:highlight w:val="none"/>
        </w:rPr>
      </w:pPr>
      <w:r>
        <w:rPr>
          <w:rFonts w:cs="Times New Roman"/>
          <w:b/>
          <w:bCs/>
          <w:color w:val="auto"/>
          <w:highlight w:val="none"/>
        </w:rPr>
        <w:t>（4）生活用水</w:t>
      </w:r>
    </w:p>
    <w:p w14:paraId="11BBA021">
      <w:pPr>
        <w:adjustRightInd w:val="0"/>
        <w:ind w:firstLine="480"/>
        <w:rPr>
          <w:rFonts w:cs="Times New Roman"/>
          <w:color w:val="auto"/>
          <w:highlight w:val="none"/>
        </w:rPr>
      </w:pPr>
      <w:r>
        <w:rPr>
          <w:rFonts w:cs="Times New Roman"/>
          <w:color w:val="auto"/>
          <w:highlight w:val="none"/>
        </w:rPr>
        <w:t>本项目劳动定员70人（公司设置食宿），根据《四川省用水定额》（川府函〔2021〕8号），嘉农镇人口约2.4万人，属于小型城市，本项目每人生活用水定额按0.16m</w:t>
      </w:r>
      <w:r>
        <w:rPr>
          <w:rFonts w:cs="Times New Roman"/>
          <w:color w:val="auto"/>
          <w:highlight w:val="none"/>
          <w:vertAlign w:val="superscript"/>
        </w:rPr>
        <w:t>3</w:t>
      </w:r>
      <w:r>
        <w:rPr>
          <w:rFonts w:cs="Times New Roman"/>
          <w:color w:val="auto"/>
          <w:highlight w:val="none"/>
        </w:rPr>
        <w:t>/d计，因此本项目生活用水量为11.2m</w:t>
      </w:r>
      <w:r>
        <w:rPr>
          <w:rFonts w:cs="Times New Roman"/>
          <w:color w:val="auto"/>
          <w:highlight w:val="none"/>
          <w:vertAlign w:val="superscript"/>
        </w:rPr>
        <w:t>3</w:t>
      </w:r>
      <w:r>
        <w:rPr>
          <w:rFonts w:cs="Times New Roman"/>
          <w:color w:val="auto"/>
          <w:highlight w:val="none"/>
        </w:rPr>
        <w:t>/d，</w:t>
      </w:r>
      <w:r>
        <w:rPr>
          <w:rFonts w:hint="eastAsia" w:cs="Times New Roman"/>
          <w:color w:val="auto"/>
          <w:highlight w:val="none"/>
        </w:rPr>
        <w:t>3696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/a，生活用水产污系数按85%计，则生活污水</w:t>
      </w:r>
      <w:r>
        <w:rPr>
          <w:rFonts w:hint="eastAsia" w:cs="Times New Roman"/>
          <w:color w:val="auto"/>
          <w:highlight w:val="none"/>
        </w:rPr>
        <w:t>（含食堂废水）</w:t>
      </w:r>
      <w:r>
        <w:rPr>
          <w:rFonts w:cs="Times New Roman"/>
          <w:color w:val="auto"/>
          <w:highlight w:val="none"/>
        </w:rPr>
        <w:t>产生量约为9.52m</w:t>
      </w:r>
      <w:r>
        <w:rPr>
          <w:rFonts w:cs="Times New Roman"/>
          <w:color w:val="auto"/>
          <w:highlight w:val="none"/>
          <w:vertAlign w:val="superscript"/>
        </w:rPr>
        <w:t>3</w:t>
      </w:r>
      <w:r>
        <w:rPr>
          <w:rFonts w:cs="Times New Roman"/>
          <w:color w:val="auto"/>
          <w:highlight w:val="none"/>
        </w:rPr>
        <w:t>/d，</w:t>
      </w:r>
      <w:r>
        <w:rPr>
          <w:rFonts w:hint="eastAsia" w:cs="Times New Roman"/>
          <w:color w:val="auto"/>
          <w:highlight w:val="none"/>
        </w:rPr>
        <w:t>3141.6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w:t>
      </w:r>
    </w:p>
    <w:p w14:paraId="65FABE0B">
      <w:pPr>
        <w:adjustRightInd w:val="0"/>
        <w:ind w:firstLine="480"/>
        <w:rPr>
          <w:rFonts w:cs="Times New Roman"/>
          <w:color w:val="auto"/>
          <w:highlight w:val="none"/>
        </w:rPr>
      </w:pPr>
      <w:r>
        <w:rPr>
          <w:rFonts w:cs="Times New Roman"/>
          <w:color w:val="auto"/>
          <w:highlight w:val="none"/>
        </w:rPr>
        <w:t>本项目</w:t>
      </w:r>
      <w:r>
        <w:rPr>
          <w:rFonts w:hint="eastAsia" w:cs="Times New Roman"/>
          <w:color w:val="auto"/>
          <w:highlight w:val="none"/>
        </w:rPr>
        <w:t>食堂废水经依托的乐山市沙湾区豪沐科技有限公司隔油池（1m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p>
    <w:p w14:paraId="5F59A4B4">
      <w:pPr>
        <w:adjustRightInd w:val="0"/>
        <w:ind w:firstLine="482"/>
        <w:rPr>
          <w:rFonts w:cs="Times New Roman"/>
          <w:b/>
          <w:bCs/>
          <w:color w:val="auto"/>
          <w:highlight w:val="none"/>
        </w:rPr>
      </w:pPr>
      <w:r>
        <w:rPr>
          <w:rFonts w:cs="Times New Roman"/>
          <w:b/>
          <w:bCs/>
          <w:color w:val="auto"/>
          <w:highlight w:val="none"/>
        </w:rPr>
        <w:t>（5）初期雨水</w:t>
      </w:r>
    </w:p>
    <w:p w14:paraId="0D107F23">
      <w:pPr>
        <w:adjustRightInd w:val="0"/>
        <w:ind w:firstLine="480"/>
        <w:rPr>
          <w:rFonts w:cs="Times New Roman"/>
          <w:color w:val="auto"/>
          <w:highlight w:val="none"/>
        </w:rPr>
      </w:pPr>
      <w:r>
        <w:rPr>
          <w:rFonts w:cs="Times New Roman"/>
          <w:color w:val="auto"/>
          <w:highlight w:val="none"/>
        </w:rPr>
        <w:t>根据《有色金属工业环境保护工程设计规范》（GB50988-2014），稀有金属及产品制品初期雨水宜取一次降雨初期10min-15min雨量，宜根据装置生产特点和污染特征进行污染区域划分，设置初期雨水收集池。本项目易受污染区按厂区内露天硬化区域（除办公生活楼、绿化</w:t>
      </w:r>
      <w:r>
        <w:rPr>
          <w:rFonts w:hint="eastAsia" w:cs="Times New Roman"/>
          <w:color w:val="auto"/>
          <w:highlight w:val="none"/>
        </w:rPr>
        <w:t>等</w:t>
      </w:r>
      <w:r>
        <w:rPr>
          <w:rFonts w:cs="Times New Roman"/>
          <w:color w:val="auto"/>
          <w:highlight w:val="none"/>
        </w:rPr>
        <w:t>其他区域）计，约</w:t>
      </w:r>
      <w:r>
        <w:rPr>
          <w:rFonts w:hint="eastAsia" w:cs="Times New Roman"/>
          <w:color w:val="auto"/>
          <w:highlight w:val="none"/>
        </w:rPr>
        <w:t>12521</w:t>
      </w:r>
      <w:r>
        <w:rPr>
          <w:rFonts w:cs="Times New Roman"/>
          <w:color w:val="auto"/>
          <w:highlight w:val="none"/>
        </w:rPr>
        <w:t>m</w:t>
      </w:r>
      <w:r>
        <w:rPr>
          <w:rFonts w:cs="Times New Roman"/>
          <w:color w:val="auto"/>
          <w:highlight w:val="none"/>
          <w:vertAlign w:val="superscript"/>
        </w:rPr>
        <w:t>2</w:t>
      </w:r>
      <w:r>
        <w:rPr>
          <w:rFonts w:cs="Times New Roman"/>
          <w:color w:val="auto"/>
          <w:highlight w:val="none"/>
        </w:rPr>
        <w:t>。初期雨水量可按以下公式计算：</w:t>
      </w:r>
    </w:p>
    <w:p w14:paraId="4CEA0ADA">
      <w:pPr>
        <w:adjustRightInd w:val="0"/>
        <w:ind w:firstLine="480"/>
        <w:jc w:val="center"/>
        <w:rPr>
          <w:rFonts w:cs="Times New Roman"/>
          <w:color w:val="auto"/>
          <w:szCs w:val="22"/>
          <w:highlight w:val="none"/>
        </w:rPr>
      </w:pPr>
      <w:r>
        <w:rPr>
          <w:rFonts w:cs="Times New Roman"/>
          <w:color w:val="auto"/>
          <w:szCs w:val="22"/>
          <w:highlight w:val="none"/>
        </w:rPr>
        <w:drawing>
          <wp:inline distT="0" distB="0" distL="114300" distR="114300">
            <wp:extent cx="1017905" cy="359410"/>
            <wp:effectExtent l="0" t="0" r="10795" b="2540"/>
            <wp:docPr id="14" name="图片 14" descr="1663125365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63125365252"/>
                    <pic:cNvPicPr>
                      <a:picLocks noChangeAspect="1"/>
                    </pic:cNvPicPr>
                  </pic:nvPicPr>
                  <pic:blipFill>
                    <a:blip r:embed="rId34"/>
                    <a:stretch>
                      <a:fillRect/>
                    </a:stretch>
                  </pic:blipFill>
                  <pic:spPr>
                    <a:xfrm>
                      <a:off x="0" y="0"/>
                      <a:ext cx="1017905" cy="359410"/>
                    </a:xfrm>
                    <a:prstGeom prst="rect">
                      <a:avLst/>
                    </a:prstGeom>
                  </pic:spPr>
                </pic:pic>
              </a:graphicData>
            </a:graphic>
          </wp:inline>
        </w:drawing>
      </w:r>
    </w:p>
    <w:p w14:paraId="49AF1C52">
      <w:pPr>
        <w:widowControl/>
        <w:adjustRightInd w:val="0"/>
        <w:ind w:firstLine="480"/>
        <w:rPr>
          <w:rFonts w:cs="Times New Roman"/>
          <w:color w:val="auto"/>
          <w:szCs w:val="22"/>
          <w:highlight w:val="none"/>
        </w:rPr>
      </w:pPr>
      <w:r>
        <w:rPr>
          <w:rFonts w:cs="Times New Roman"/>
          <w:color w:val="auto"/>
          <w:szCs w:val="22"/>
          <w:highlight w:val="none"/>
          <w:lang w:bidi="ar"/>
        </w:rPr>
        <w:t>式中：Q</w:t>
      </w:r>
      <w:r>
        <w:rPr>
          <w:rFonts w:cs="Times New Roman"/>
          <w:color w:val="auto"/>
          <w:szCs w:val="22"/>
          <w:highlight w:val="none"/>
          <w:vertAlign w:val="subscript"/>
          <w:lang w:bidi="ar"/>
        </w:rPr>
        <w:t>S</w:t>
      </w:r>
      <w:r>
        <w:rPr>
          <w:rFonts w:cs="Times New Roman"/>
          <w:color w:val="auto"/>
          <w:szCs w:val="22"/>
          <w:highlight w:val="none"/>
          <w:lang w:bidi="ar"/>
        </w:rPr>
        <w:t>——雨水设计流量，m</w:t>
      </w:r>
      <w:r>
        <w:rPr>
          <w:rFonts w:cs="Times New Roman"/>
          <w:color w:val="auto"/>
          <w:szCs w:val="22"/>
          <w:highlight w:val="none"/>
          <w:vertAlign w:val="superscript"/>
          <w:lang w:bidi="ar"/>
        </w:rPr>
        <w:t>3</w:t>
      </w:r>
      <w:r>
        <w:rPr>
          <w:rFonts w:cs="Times New Roman"/>
          <w:color w:val="auto"/>
          <w:szCs w:val="22"/>
          <w:highlight w:val="none"/>
          <w:lang w:bidi="ar"/>
        </w:rPr>
        <w:t>/min；</w:t>
      </w:r>
    </w:p>
    <w:p w14:paraId="5DDE486F">
      <w:pPr>
        <w:widowControl/>
        <w:adjustRightInd w:val="0"/>
        <w:ind w:firstLine="1200" w:firstLineChars="500"/>
        <w:rPr>
          <w:rFonts w:cs="Times New Roman"/>
          <w:color w:val="auto"/>
          <w:szCs w:val="22"/>
          <w:highlight w:val="none"/>
        </w:rPr>
      </w:pPr>
      <w:r>
        <w:rPr>
          <w:rFonts w:cs="Times New Roman"/>
          <w:color w:val="auto"/>
          <w:szCs w:val="22"/>
          <w:highlight w:val="none"/>
          <w:lang w:bidi="ar"/>
        </w:rPr>
        <w:t>q——设计暴雨强度，mm/min；</w:t>
      </w:r>
    </w:p>
    <w:p w14:paraId="338DB194">
      <w:pPr>
        <w:widowControl/>
        <w:adjustRightInd w:val="0"/>
        <w:ind w:firstLine="1200" w:firstLineChars="500"/>
        <w:rPr>
          <w:rFonts w:cs="Times New Roman"/>
          <w:color w:val="auto"/>
          <w:szCs w:val="22"/>
          <w:highlight w:val="none"/>
          <w:lang w:bidi="ar"/>
        </w:rPr>
      </w:pPr>
      <w:r>
        <w:rPr>
          <w:rFonts w:cs="Times New Roman"/>
          <w:color w:val="auto"/>
          <w:szCs w:val="22"/>
          <w:highlight w:val="none"/>
          <w:lang w:bidi="ar"/>
        </w:rPr>
        <w:t>Ψ——径流系数，取0.9；</w:t>
      </w:r>
    </w:p>
    <w:p w14:paraId="5DE239C7">
      <w:pPr>
        <w:widowControl/>
        <w:adjustRightInd w:val="0"/>
        <w:ind w:firstLine="1200" w:firstLineChars="500"/>
        <w:rPr>
          <w:rFonts w:cs="Times New Roman"/>
          <w:color w:val="auto"/>
          <w:szCs w:val="22"/>
          <w:highlight w:val="none"/>
          <w:lang w:bidi="ar"/>
        </w:rPr>
      </w:pPr>
      <w:r>
        <w:rPr>
          <w:rFonts w:cs="Times New Roman"/>
          <w:color w:val="auto"/>
          <w:szCs w:val="22"/>
          <w:highlight w:val="none"/>
          <w:lang w:bidi="ar"/>
        </w:rPr>
        <w:t>F——汇水面积，m</w:t>
      </w:r>
      <w:r>
        <w:rPr>
          <w:rFonts w:cs="Times New Roman"/>
          <w:color w:val="auto"/>
          <w:szCs w:val="22"/>
          <w:highlight w:val="none"/>
          <w:vertAlign w:val="superscript"/>
          <w:lang w:bidi="ar"/>
        </w:rPr>
        <w:t>2</w:t>
      </w:r>
      <w:r>
        <w:rPr>
          <w:rFonts w:cs="Times New Roman"/>
          <w:color w:val="auto"/>
          <w:szCs w:val="22"/>
          <w:highlight w:val="none"/>
          <w:lang w:bidi="ar"/>
        </w:rPr>
        <w:t>，本项目汇水面积取</w:t>
      </w:r>
      <w:r>
        <w:rPr>
          <w:rFonts w:hint="eastAsia" w:cs="Times New Roman"/>
          <w:color w:val="auto"/>
          <w:szCs w:val="22"/>
          <w:highlight w:val="none"/>
          <w:lang w:bidi="ar"/>
        </w:rPr>
        <w:t>12521</w:t>
      </w:r>
      <w:r>
        <w:rPr>
          <w:rFonts w:cs="Times New Roman"/>
          <w:color w:val="auto"/>
          <w:szCs w:val="22"/>
          <w:highlight w:val="none"/>
          <w:lang w:bidi="ar"/>
        </w:rPr>
        <w:t>m</w:t>
      </w:r>
      <w:r>
        <w:rPr>
          <w:rFonts w:cs="Times New Roman"/>
          <w:color w:val="auto"/>
          <w:szCs w:val="22"/>
          <w:highlight w:val="none"/>
          <w:vertAlign w:val="superscript"/>
          <w:lang w:bidi="ar"/>
        </w:rPr>
        <w:t>2</w:t>
      </w:r>
      <w:r>
        <w:rPr>
          <w:rFonts w:cs="Times New Roman"/>
          <w:color w:val="auto"/>
          <w:szCs w:val="22"/>
          <w:highlight w:val="none"/>
          <w:lang w:bidi="ar"/>
        </w:rPr>
        <w:t>。</w:t>
      </w:r>
    </w:p>
    <w:p w14:paraId="4ACF7E47">
      <w:pPr>
        <w:adjustRightInd w:val="0"/>
        <w:ind w:firstLine="480"/>
        <w:rPr>
          <w:rFonts w:cs="Times New Roman"/>
          <w:color w:val="auto"/>
          <w:szCs w:val="22"/>
          <w:highlight w:val="none"/>
        </w:rPr>
      </w:pPr>
      <w:r>
        <w:rPr>
          <w:rFonts w:cs="Times New Roman"/>
          <w:color w:val="auto"/>
          <w:szCs w:val="22"/>
          <w:highlight w:val="none"/>
        </w:rPr>
        <w:t>本次评价采用经修订的乐山市城市暴雨强度公式：</w:t>
      </w:r>
    </w:p>
    <w:p w14:paraId="152C54B8">
      <w:pPr>
        <w:adjustRightInd w:val="0"/>
        <w:ind w:firstLine="480"/>
        <w:jc w:val="center"/>
        <w:rPr>
          <w:rFonts w:cs="Times New Roman"/>
          <w:color w:val="auto"/>
          <w:szCs w:val="22"/>
          <w:highlight w:val="none"/>
        </w:rPr>
      </w:pPr>
      <w:r>
        <w:rPr>
          <w:rFonts w:cs="Times New Roman"/>
          <w:color w:val="auto"/>
          <w:szCs w:val="22"/>
          <w:highlight w:val="none"/>
        </w:rPr>
        <w:t>q=（9.394+6.173lgP）/（t+14.6）</w:t>
      </w:r>
      <w:r>
        <w:rPr>
          <w:rFonts w:cs="Times New Roman"/>
          <w:color w:val="auto"/>
          <w:szCs w:val="22"/>
          <w:highlight w:val="none"/>
          <w:vertAlign w:val="superscript"/>
        </w:rPr>
        <w:t>0.567</w:t>
      </w:r>
    </w:p>
    <w:p w14:paraId="60BAD209">
      <w:pPr>
        <w:widowControl/>
        <w:adjustRightInd w:val="0"/>
        <w:ind w:firstLine="480"/>
        <w:rPr>
          <w:rFonts w:cs="Times New Roman"/>
          <w:color w:val="auto"/>
          <w:szCs w:val="22"/>
          <w:highlight w:val="none"/>
        </w:rPr>
      </w:pPr>
      <w:r>
        <w:rPr>
          <w:rFonts w:cs="Times New Roman"/>
          <w:color w:val="auto"/>
          <w:szCs w:val="22"/>
          <w:highlight w:val="none"/>
          <w:lang w:bidi="ar"/>
        </w:rPr>
        <w:t>式中：q——设计暴雨强度，mm/min；</w:t>
      </w:r>
    </w:p>
    <w:p w14:paraId="7A189023">
      <w:pPr>
        <w:widowControl/>
        <w:adjustRightInd w:val="0"/>
        <w:ind w:firstLine="1200" w:firstLineChars="500"/>
        <w:rPr>
          <w:rFonts w:cs="Times New Roman"/>
          <w:color w:val="auto"/>
          <w:szCs w:val="22"/>
          <w:highlight w:val="none"/>
          <w:lang w:bidi="ar"/>
        </w:rPr>
      </w:pPr>
      <w:r>
        <w:rPr>
          <w:rFonts w:cs="Times New Roman"/>
          <w:color w:val="auto"/>
          <w:szCs w:val="22"/>
          <w:highlight w:val="none"/>
          <w:lang w:bidi="ar"/>
        </w:rPr>
        <w:t>t——降雨历时，min，取15min；</w:t>
      </w:r>
    </w:p>
    <w:p w14:paraId="1B5E8BFF">
      <w:pPr>
        <w:widowControl/>
        <w:adjustRightInd w:val="0"/>
        <w:ind w:firstLine="1200" w:firstLineChars="500"/>
        <w:rPr>
          <w:rFonts w:cs="Times New Roman"/>
          <w:color w:val="auto"/>
          <w:szCs w:val="22"/>
          <w:highlight w:val="none"/>
        </w:rPr>
      </w:pPr>
      <w:r>
        <w:rPr>
          <w:rFonts w:cs="Times New Roman"/>
          <w:color w:val="auto"/>
          <w:szCs w:val="22"/>
          <w:highlight w:val="none"/>
          <w:lang w:bidi="ar"/>
        </w:rPr>
        <w:t>P——设计重现期，年，取2a。</w:t>
      </w:r>
    </w:p>
    <w:p w14:paraId="152D8417">
      <w:pPr>
        <w:adjustRightInd w:val="0"/>
        <w:ind w:firstLine="480"/>
        <w:rPr>
          <w:rFonts w:cs="Times New Roman"/>
          <w:color w:val="auto"/>
          <w:szCs w:val="22"/>
          <w:highlight w:val="none"/>
          <w:lang w:bidi="ar"/>
        </w:rPr>
      </w:pPr>
      <w:r>
        <w:rPr>
          <w:rFonts w:cs="Times New Roman"/>
          <w:color w:val="auto"/>
          <w:szCs w:val="22"/>
          <w:highlight w:val="none"/>
          <w:lang w:bidi="ar"/>
        </w:rPr>
        <w:t>计算得乐山市暴雨强度为1.6482mm/min。项目</w:t>
      </w:r>
      <w:r>
        <w:rPr>
          <w:rFonts w:cs="Times New Roman"/>
          <w:color w:val="auto"/>
          <w:szCs w:val="22"/>
          <w:highlight w:val="none"/>
        </w:rPr>
        <w:t>初期雨水设计流量为</w:t>
      </w:r>
      <w:r>
        <w:rPr>
          <w:rFonts w:hint="eastAsia" w:cs="Times New Roman"/>
          <w:color w:val="auto"/>
          <w:szCs w:val="22"/>
          <w:highlight w:val="none"/>
        </w:rPr>
        <w:t>18.57</w:t>
      </w:r>
      <w:r>
        <w:rPr>
          <w:rFonts w:cs="Times New Roman"/>
          <w:color w:val="auto"/>
          <w:szCs w:val="22"/>
          <w:highlight w:val="none"/>
        </w:rPr>
        <w:t>m³/min，初期雨水收集量为：</w:t>
      </w:r>
      <w:r>
        <w:rPr>
          <w:rFonts w:hint="eastAsia" w:cs="Times New Roman"/>
          <w:color w:val="auto"/>
          <w:szCs w:val="22"/>
          <w:highlight w:val="none"/>
        </w:rPr>
        <w:t>278.5</w:t>
      </w:r>
      <w:r>
        <w:rPr>
          <w:rFonts w:cs="Times New Roman"/>
          <w:color w:val="auto"/>
          <w:szCs w:val="22"/>
          <w:highlight w:val="none"/>
        </w:rPr>
        <w:t>5</w:t>
      </w:r>
      <w:r>
        <w:rPr>
          <w:rFonts w:cs="Times New Roman"/>
          <w:color w:val="auto"/>
          <w:szCs w:val="22"/>
          <w:highlight w:val="none"/>
          <w:lang w:bidi="ar"/>
        </w:rPr>
        <w:t>m</w:t>
      </w:r>
      <w:r>
        <w:rPr>
          <w:rFonts w:cs="Times New Roman"/>
          <w:color w:val="auto"/>
          <w:szCs w:val="22"/>
          <w:highlight w:val="none"/>
          <w:vertAlign w:val="superscript"/>
          <w:lang w:bidi="ar"/>
        </w:rPr>
        <w:t>3</w:t>
      </w:r>
      <w:r>
        <w:rPr>
          <w:rFonts w:cs="Times New Roman"/>
          <w:color w:val="auto"/>
          <w:szCs w:val="22"/>
          <w:highlight w:val="none"/>
          <w:lang w:bidi="ar"/>
        </w:rPr>
        <w:t>/次。</w:t>
      </w:r>
    </w:p>
    <w:p w14:paraId="0E3120A7">
      <w:pPr>
        <w:adjustRightInd w:val="0"/>
        <w:ind w:firstLine="480"/>
        <w:rPr>
          <w:rFonts w:cs="Times New Roman"/>
          <w:color w:val="auto"/>
          <w:szCs w:val="22"/>
          <w:highlight w:val="none"/>
          <w:lang w:bidi="ar"/>
        </w:rPr>
      </w:pPr>
      <w:r>
        <w:rPr>
          <w:rFonts w:cs="Times New Roman"/>
          <w:color w:val="auto"/>
          <w:szCs w:val="22"/>
          <w:highlight w:val="none"/>
          <w:lang w:bidi="ar"/>
        </w:rPr>
        <w:t>本项目</w:t>
      </w:r>
      <w:r>
        <w:rPr>
          <w:rFonts w:cs="Times New Roman"/>
          <w:color w:val="auto"/>
          <w:szCs w:val="22"/>
          <w:highlight w:val="none"/>
        </w:rPr>
        <w:t>全厂采取雨污分流制，厂区初期雨水经导流沟引至</w:t>
      </w:r>
      <w:r>
        <w:rPr>
          <w:rFonts w:hint="eastAsia" w:cs="Times New Roman"/>
          <w:color w:val="auto"/>
          <w:szCs w:val="22"/>
          <w:highlight w:val="none"/>
        </w:rPr>
        <w:t>依托的乐山市沙湾区豪沐科技有限公司</w:t>
      </w:r>
      <w:r>
        <w:rPr>
          <w:rFonts w:cs="Times New Roman"/>
          <w:color w:val="auto"/>
          <w:szCs w:val="22"/>
          <w:highlight w:val="none"/>
        </w:rPr>
        <w:t>初期雨水沉淀池（有效容积600m</w:t>
      </w:r>
      <w:r>
        <w:rPr>
          <w:rFonts w:cs="Times New Roman"/>
          <w:color w:val="auto"/>
          <w:szCs w:val="22"/>
          <w:highlight w:val="none"/>
          <w:vertAlign w:val="superscript"/>
        </w:rPr>
        <w:t>3</w:t>
      </w:r>
      <w:r>
        <w:rPr>
          <w:rFonts w:cs="Times New Roman"/>
          <w:color w:val="auto"/>
          <w:szCs w:val="22"/>
          <w:highlight w:val="none"/>
        </w:rPr>
        <w:t>）沉淀后用于生产补水或厂区洒水降尘</w:t>
      </w:r>
      <w:r>
        <w:rPr>
          <w:rFonts w:cs="Times New Roman"/>
          <w:color w:val="auto"/>
          <w:szCs w:val="22"/>
          <w:highlight w:val="none"/>
          <w:lang w:bidi="ar"/>
        </w:rPr>
        <w:t>。</w:t>
      </w:r>
    </w:p>
    <w:p w14:paraId="0DBE6649">
      <w:pPr>
        <w:adjustRightInd w:val="0"/>
        <w:ind w:firstLine="480"/>
        <w:rPr>
          <w:rFonts w:cs="Times New Roman"/>
          <w:color w:val="auto"/>
          <w:szCs w:val="22"/>
          <w:highlight w:val="none"/>
        </w:rPr>
      </w:pPr>
      <w:r>
        <w:rPr>
          <w:rFonts w:cs="Times New Roman"/>
          <w:color w:val="auto"/>
          <w:szCs w:val="22"/>
          <w:highlight w:val="none"/>
        </w:rPr>
        <w:t>综上所述，本项目水平衡如下。</w:t>
      </w:r>
    </w:p>
    <w:p w14:paraId="5C66BA29">
      <w:pPr>
        <w:pStyle w:val="58"/>
        <w:adjustRightInd w:val="0"/>
        <w:rPr>
          <w:rFonts w:ascii="Times New Roman" w:hAnsi="Times New Roman"/>
          <w:color w:val="auto"/>
          <w:highlight w:val="none"/>
        </w:rPr>
      </w:pPr>
      <w:r>
        <w:rPr>
          <w:rFonts w:ascii="Times New Roman" w:hAnsi="Times New Roman"/>
          <w:color w:val="auto"/>
          <w:highlight w:val="none"/>
        </w:rPr>
        <w:object>
          <v:shape id="_x0000_i1030" o:spt="75" type="#_x0000_t75" style="height:303.9pt;width:415.15pt;" o:ole="t" filled="f" o:preferrelative="t" stroked="f" coordsize="21600,21600">
            <v:path/>
            <v:fill on="f" focussize="0,0"/>
            <v:stroke on="f" joinstyle="miter"/>
            <v:imagedata r:id="rId36" o:title=""/>
            <o:lock v:ext="edit" aspectratio="t"/>
            <w10:wrap type="none"/>
            <w10:anchorlock/>
          </v:shape>
          <o:OLEObject Type="Embed" ProgID="Visio.Drawing.11" ShapeID="_x0000_i1030" DrawAspect="Content" ObjectID="_1468075730" r:id="rId35">
            <o:LockedField>false</o:LockedField>
          </o:OLEObject>
        </w:object>
      </w:r>
    </w:p>
    <w:p w14:paraId="6C00A736">
      <w:pPr>
        <w:pStyle w:val="12"/>
        <w:adjustRightInd w:val="0"/>
        <w:rPr>
          <w:rFonts w:cs="Times New Roman"/>
          <w:color w:val="auto"/>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7</w:t>
      </w:r>
      <w:r>
        <w:rPr>
          <w:rFonts w:cs="Times New Roman"/>
          <w:color w:val="auto"/>
          <w:highlight w:val="none"/>
        </w:rPr>
        <w:fldChar w:fldCharType="end"/>
      </w:r>
      <w:r>
        <w:rPr>
          <w:rFonts w:cs="Times New Roman"/>
          <w:color w:val="auto"/>
          <w:highlight w:val="none"/>
        </w:rPr>
        <w:t>项目水平衡图（单位m</w:t>
      </w:r>
      <w:r>
        <w:rPr>
          <w:rFonts w:cs="Times New Roman"/>
          <w:color w:val="auto"/>
          <w:highlight w:val="none"/>
          <w:vertAlign w:val="superscript"/>
        </w:rPr>
        <w:t>3</w:t>
      </w:r>
      <w:r>
        <w:rPr>
          <w:rFonts w:cs="Times New Roman"/>
          <w:color w:val="auto"/>
          <w:highlight w:val="none"/>
        </w:rPr>
        <w:t>/d）</w:t>
      </w:r>
    </w:p>
    <w:p w14:paraId="701BA72B">
      <w:pPr>
        <w:pStyle w:val="4"/>
        <w:adjustRightInd w:val="0"/>
        <w:rPr>
          <w:rFonts w:cs="Times New Roman"/>
          <w:color w:val="auto"/>
          <w:highlight w:val="none"/>
        </w:rPr>
      </w:pPr>
      <w:bookmarkStart w:id="124" w:name="_Toc1136"/>
      <w:r>
        <w:rPr>
          <w:rFonts w:cs="Times New Roman"/>
          <w:color w:val="auto"/>
          <w:highlight w:val="none"/>
        </w:rPr>
        <w:t>运营期污染源核算及治理措施</w:t>
      </w:r>
      <w:bookmarkEnd w:id="124"/>
    </w:p>
    <w:p w14:paraId="6FE913D4">
      <w:pPr>
        <w:pStyle w:val="5"/>
        <w:adjustRightInd w:val="0"/>
        <w:rPr>
          <w:rFonts w:cs="Times New Roman"/>
          <w:color w:val="auto"/>
          <w:highlight w:val="none"/>
        </w:rPr>
      </w:pPr>
      <w:r>
        <w:rPr>
          <w:rFonts w:cs="Times New Roman"/>
          <w:color w:val="auto"/>
          <w:highlight w:val="none"/>
        </w:rPr>
        <w:t>废气污染物产生及治理措施</w:t>
      </w:r>
    </w:p>
    <w:p w14:paraId="5BAAABEB">
      <w:pPr>
        <w:adjustRightInd w:val="0"/>
        <w:ind w:firstLine="482"/>
        <w:rPr>
          <w:rFonts w:cs="Times New Roman"/>
          <w:b/>
          <w:bCs/>
          <w:color w:val="auto"/>
          <w:highlight w:val="none"/>
        </w:rPr>
      </w:pPr>
      <w:r>
        <w:rPr>
          <w:rFonts w:cs="Times New Roman"/>
          <w:b/>
          <w:bCs/>
          <w:color w:val="auto"/>
          <w:highlight w:val="none"/>
        </w:rPr>
        <w:t>一、有组织废气</w:t>
      </w:r>
    </w:p>
    <w:p w14:paraId="3D92329C">
      <w:pPr>
        <w:adjustRightInd w:val="0"/>
        <w:ind w:firstLine="480"/>
        <w:rPr>
          <w:rFonts w:cs="Times New Roman"/>
          <w:color w:val="auto"/>
          <w:highlight w:val="none"/>
        </w:rPr>
      </w:pPr>
      <w:r>
        <w:rPr>
          <w:rFonts w:cs="Times New Roman"/>
          <w:color w:val="auto"/>
          <w:highlight w:val="none"/>
        </w:rPr>
        <w:t>本项目有组织废气主要为</w:t>
      </w:r>
      <w:r>
        <w:rPr>
          <w:rFonts w:hint="eastAsia" w:cs="Times New Roman"/>
          <w:color w:val="auto"/>
          <w:highlight w:val="none"/>
        </w:rPr>
        <w:t>给料</w:t>
      </w:r>
      <w:r>
        <w:rPr>
          <w:rFonts w:cs="Times New Roman"/>
          <w:color w:val="auto"/>
          <w:highlight w:val="none"/>
        </w:rPr>
        <w:t>粉尘、破碎、筛分粉尘，从湿式磨矿开始，后续工序均为湿法工序。本项目锂辉石矿在进行给料、破碎、筛分工序时，将产生一定量的粉尘。</w:t>
      </w:r>
    </w:p>
    <w:p w14:paraId="2CAC5527">
      <w:pPr>
        <w:numPr>
          <w:ilvl w:val="0"/>
          <w:numId w:val="10"/>
        </w:numPr>
        <w:adjustRightInd w:val="0"/>
        <w:ind w:firstLine="482"/>
        <w:rPr>
          <w:rFonts w:cs="Times New Roman"/>
          <w:b/>
          <w:bCs/>
          <w:color w:val="auto"/>
          <w:highlight w:val="none"/>
        </w:rPr>
      </w:pPr>
      <w:r>
        <w:rPr>
          <w:rFonts w:hint="eastAsia" w:cs="Times New Roman"/>
          <w:b/>
          <w:bCs/>
          <w:color w:val="auto"/>
          <w:highlight w:val="none"/>
        </w:rPr>
        <w:t>给</w:t>
      </w:r>
      <w:r>
        <w:rPr>
          <w:rFonts w:cs="Times New Roman"/>
          <w:b/>
          <w:bCs/>
          <w:color w:val="auto"/>
          <w:highlight w:val="none"/>
        </w:rPr>
        <w:t>料粉尘</w:t>
      </w:r>
    </w:p>
    <w:p w14:paraId="6A4B81C5">
      <w:pPr>
        <w:widowControl/>
        <w:adjustRightInd w:val="0"/>
        <w:ind w:firstLine="482"/>
        <w:jc w:val="left"/>
        <w:rPr>
          <w:rFonts w:cs="Times New Roman"/>
          <w:color w:val="auto"/>
          <w:highlight w:val="none"/>
        </w:rPr>
      </w:pPr>
      <w:r>
        <w:rPr>
          <w:rFonts w:cs="Times New Roman"/>
          <w:b/>
          <w:bCs/>
          <w:color w:val="auto"/>
          <w:highlight w:val="none"/>
        </w:rPr>
        <w:t>产生源强</w:t>
      </w:r>
      <w:r>
        <w:rPr>
          <w:rFonts w:cs="Times New Roman"/>
          <w:color w:val="auto"/>
          <w:highlight w:val="none"/>
        </w:rPr>
        <w:t>：</w:t>
      </w:r>
      <w:r>
        <w:rPr>
          <w:rFonts w:cs="Times New Roman"/>
          <w:color w:val="auto"/>
          <w:kern w:val="0"/>
          <w:szCs w:val="24"/>
          <w:highlight w:val="none"/>
          <w:lang w:bidi="ar"/>
        </w:rPr>
        <w:t>本项目锂辉石原矿利用铲车和给料机进行给料，给料过程中会产生粉尘。</w:t>
      </w:r>
      <w:r>
        <w:rPr>
          <w:rFonts w:hint="eastAsia" w:cs="Times New Roman"/>
          <w:color w:val="auto"/>
          <w:kern w:val="0"/>
          <w:szCs w:val="24"/>
          <w:highlight w:val="none"/>
          <w:lang w:bidi="ar"/>
        </w:rPr>
        <w:t>本项目破碎、筛分粉尘废气产生情况采用类比法进行核算，类比《乐山市全沫矿产品有限公司夹江县锂矿精选项目（一期）环保竣工验收监测报告》（蓉诚环监字（2024）RC01第06043号）中DA001排气筒实测数据核算本项目破碎、筛分粉尘产污系数，由于乐山市全沫矿产品有限公司未计算给料粉尘，因此</w:t>
      </w:r>
      <w:r>
        <w:rPr>
          <w:rFonts w:cs="Times New Roman"/>
          <w:color w:val="auto"/>
          <w:kern w:val="0"/>
          <w:szCs w:val="24"/>
          <w:highlight w:val="none"/>
          <w:lang w:bidi="ar"/>
        </w:rPr>
        <w:t>本次</w:t>
      </w:r>
      <w:r>
        <w:rPr>
          <w:rFonts w:hint="eastAsia" w:cs="Times New Roman"/>
          <w:color w:val="auto"/>
          <w:kern w:val="0"/>
          <w:szCs w:val="24"/>
          <w:highlight w:val="none"/>
          <w:lang w:bidi="ar"/>
        </w:rPr>
        <w:t>给料粉尘</w:t>
      </w:r>
      <w:r>
        <w:rPr>
          <w:rFonts w:cs="Times New Roman"/>
          <w:color w:val="auto"/>
          <w:kern w:val="0"/>
          <w:szCs w:val="24"/>
          <w:highlight w:val="none"/>
          <w:lang w:bidi="ar"/>
        </w:rPr>
        <w:t>评价参照《逸散性工业粉尘控制技术》</w:t>
      </w:r>
      <w:r>
        <w:rPr>
          <w:rFonts w:hint="eastAsia" w:cs="Times New Roman"/>
          <w:color w:val="auto"/>
          <w:kern w:val="0"/>
          <w:szCs w:val="24"/>
          <w:highlight w:val="none"/>
          <w:lang w:bidi="ar"/>
        </w:rPr>
        <w:t>“</w:t>
      </w:r>
      <w:r>
        <w:rPr>
          <w:rFonts w:cs="Times New Roman"/>
          <w:color w:val="auto"/>
          <w:kern w:val="0"/>
          <w:szCs w:val="24"/>
          <w:highlight w:val="none"/>
          <w:lang w:bidi="ar"/>
        </w:rPr>
        <w:t>表22-1混凝土分批搅拌厂的逸散尘排放因子</w:t>
      </w:r>
      <w:r>
        <w:rPr>
          <w:rFonts w:hint="eastAsia" w:cs="Times New Roman"/>
          <w:color w:val="auto"/>
          <w:kern w:val="0"/>
          <w:szCs w:val="24"/>
          <w:highlight w:val="none"/>
          <w:lang w:bidi="ar"/>
        </w:rPr>
        <w:t>”</w:t>
      </w:r>
      <w:r>
        <w:rPr>
          <w:rFonts w:cs="Times New Roman"/>
          <w:color w:val="auto"/>
          <w:kern w:val="0"/>
          <w:szCs w:val="24"/>
          <w:highlight w:val="none"/>
          <w:lang w:bidi="ar"/>
        </w:rPr>
        <w:t>中</w:t>
      </w:r>
      <w:r>
        <w:rPr>
          <w:rFonts w:hint="eastAsia" w:cs="Times New Roman"/>
          <w:color w:val="auto"/>
          <w:kern w:val="0"/>
          <w:szCs w:val="24"/>
          <w:highlight w:val="none"/>
          <w:lang w:bidi="ar"/>
        </w:rPr>
        <w:t>“</w:t>
      </w:r>
      <w:r>
        <w:rPr>
          <w:rFonts w:cs="Times New Roman"/>
          <w:color w:val="auto"/>
          <w:kern w:val="0"/>
          <w:szCs w:val="24"/>
          <w:highlight w:val="none"/>
          <w:lang w:bidi="ar"/>
        </w:rPr>
        <w:t>装砂和粒料入称量斗</w:t>
      </w:r>
      <w:r>
        <w:rPr>
          <w:rFonts w:hint="eastAsia" w:cs="Times New Roman"/>
          <w:color w:val="auto"/>
          <w:kern w:val="0"/>
          <w:szCs w:val="24"/>
          <w:highlight w:val="none"/>
          <w:lang w:bidi="ar"/>
        </w:rPr>
        <w:t>”</w:t>
      </w:r>
      <w:r>
        <w:rPr>
          <w:rFonts w:cs="Times New Roman"/>
          <w:color w:val="auto"/>
          <w:kern w:val="0"/>
          <w:szCs w:val="24"/>
          <w:highlight w:val="none"/>
          <w:lang w:bidi="ar"/>
        </w:rPr>
        <w:t>的排放因子系数0.01kg/t（装料）。本项目锂辉石原矿年加工量为</w:t>
      </w:r>
      <w:r>
        <w:rPr>
          <w:rFonts w:hint="eastAsia" w:cs="Times New Roman"/>
          <w:color w:val="auto"/>
          <w:kern w:val="0"/>
          <w:szCs w:val="24"/>
          <w:highlight w:val="none"/>
          <w:lang w:bidi="ar"/>
        </w:rPr>
        <w:t>36</w:t>
      </w:r>
      <w:r>
        <w:rPr>
          <w:rFonts w:cs="Times New Roman"/>
          <w:color w:val="auto"/>
          <w:kern w:val="0"/>
          <w:szCs w:val="24"/>
          <w:highlight w:val="none"/>
          <w:lang w:bidi="ar"/>
        </w:rPr>
        <w:t>万吨，则</w:t>
      </w:r>
      <w:r>
        <w:rPr>
          <w:rFonts w:hint="eastAsia" w:cs="Times New Roman"/>
          <w:color w:val="auto"/>
          <w:kern w:val="0"/>
          <w:szCs w:val="24"/>
          <w:highlight w:val="none"/>
          <w:lang w:bidi="ar"/>
        </w:rPr>
        <w:t>给</w:t>
      </w:r>
      <w:r>
        <w:rPr>
          <w:rFonts w:cs="Times New Roman"/>
          <w:color w:val="auto"/>
          <w:kern w:val="0"/>
          <w:szCs w:val="24"/>
          <w:highlight w:val="none"/>
          <w:lang w:bidi="ar"/>
        </w:rPr>
        <w:t>料粉尘产生量约为</w:t>
      </w:r>
      <w:r>
        <w:rPr>
          <w:rFonts w:hint="eastAsia" w:cs="Times New Roman"/>
          <w:color w:val="auto"/>
          <w:kern w:val="0"/>
          <w:szCs w:val="24"/>
          <w:highlight w:val="none"/>
          <w:lang w:bidi="ar"/>
        </w:rPr>
        <w:t>3.6</w:t>
      </w:r>
      <w:r>
        <w:rPr>
          <w:rFonts w:cs="Times New Roman"/>
          <w:color w:val="auto"/>
          <w:kern w:val="0"/>
          <w:szCs w:val="24"/>
          <w:highlight w:val="none"/>
          <w:lang w:bidi="ar"/>
        </w:rPr>
        <w:t>t/a，给料工序年作业约</w:t>
      </w:r>
      <w:r>
        <w:rPr>
          <w:rFonts w:hint="eastAsia" w:cs="Times New Roman"/>
          <w:color w:val="auto"/>
          <w:kern w:val="0"/>
          <w:szCs w:val="24"/>
          <w:highlight w:val="none"/>
          <w:lang w:bidi="ar"/>
        </w:rPr>
        <w:t>5280</w:t>
      </w:r>
      <w:r>
        <w:rPr>
          <w:rFonts w:cs="Times New Roman"/>
          <w:color w:val="auto"/>
          <w:kern w:val="0"/>
          <w:szCs w:val="24"/>
          <w:highlight w:val="none"/>
          <w:lang w:bidi="ar"/>
        </w:rPr>
        <w:t>h，产生速率约</w:t>
      </w:r>
      <w:r>
        <w:rPr>
          <w:rFonts w:hint="eastAsia" w:cs="Times New Roman"/>
          <w:color w:val="auto"/>
          <w:kern w:val="0"/>
          <w:szCs w:val="24"/>
          <w:highlight w:val="none"/>
          <w:lang w:bidi="ar"/>
        </w:rPr>
        <w:t>0.68</w:t>
      </w:r>
      <w:r>
        <w:rPr>
          <w:rFonts w:cs="Times New Roman"/>
          <w:color w:val="auto"/>
          <w:kern w:val="0"/>
          <w:szCs w:val="24"/>
          <w:highlight w:val="none"/>
          <w:lang w:bidi="ar"/>
        </w:rPr>
        <w:t>kg/h。</w:t>
      </w:r>
      <w:r>
        <w:rPr>
          <w:rFonts w:hint="eastAsia" w:cs="Times New Roman"/>
          <w:color w:val="auto"/>
          <w:kern w:val="0"/>
          <w:szCs w:val="24"/>
          <w:highlight w:val="none"/>
          <w:lang w:bidi="ar"/>
        </w:rPr>
        <w:t>根据《袋式除尘器技术要求》（GB/T 6719-2009），袋式除尘器除尘效率≥99.3%，为保守起见，本项目袋式除尘器除尘效率取99%。</w:t>
      </w:r>
    </w:p>
    <w:p w14:paraId="6DBE6324">
      <w:pPr>
        <w:widowControl/>
        <w:adjustRightInd w:val="0"/>
        <w:ind w:firstLine="482"/>
        <w:jc w:val="left"/>
        <w:rPr>
          <w:rFonts w:cs="Times New Roman"/>
          <w:color w:val="auto"/>
          <w:kern w:val="0"/>
          <w:szCs w:val="24"/>
          <w:highlight w:val="none"/>
          <w:lang w:bidi="ar"/>
        </w:rPr>
      </w:pPr>
      <w:r>
        <w:rPr>
          <w:rFonts w:hint="eastAsia" w:cs="Times New Roman"/>
          <w:b/>
          <w:bCs/>
          <w:color w:val="auto"/>
          <w:kern w:val="0"/>
          <w:szCs w:val="24"/>
          <w:highlight w:val="none"/>
          <w:lang w:bidi="ar"/>
        </w:rPr>
        <w:t>治理</w:t>
      </w:r>
      <w:r>
        <w:rPr>
          <w:rFonts w:cs="Times New Roman"/>
          <w:b/>
          <w:bCs/>
          <w:color w:val="auto"/>
          <w:kern w:val="0"/>
          <w:szCs w:val="24"/>
          <w:highlight w:val="none"/>
          <w:lang w:bidi="ar"/>
        </w:rPr>
        <w:t>措施：</w:t>
      </w:r>
      <w:r>
        <w:rPr>
          <w:rFonts w:cs="Times New Roman"/>
          <w:color w:val="auto"/>
          <w:highlight w:val="none"/>
        </w:rPr>
        <w:t>本项目设置</w:t>
      </w:r>
      <w:r>
        <w:rPr>
          <w:rFonts w:hint="eastAsia" w:cs="Times New Roman"/>
          <w:color w:val="auto"/>
          <w:highlight w:val="none"/>
        </w:rPr>
        <w:t>3</w:t>
      </w:r>
      <w:r>
        <w:rPr>
          <w:rFonts w:cs="Times New Roman"/>
          <w:color w:val="auto"/>
          <w:highlight w:val="none"/>
        </w:rPr>
        <w:t>台给料机，均为</w:t>
      </w:r>
      <w:r>
        <w:rPr>
          <w:rFonts w:hint="eastAsia" w:cs="Times New Roman"/>
          <w:color w:val="auto"/>
          <w:highlight w:val="none"/>
        </w:rPr>
        <w:t>封</w:t>
      </w:r>
      <w:r>
        <w:rPr>
          <w:rFonts w:cs="Times New Roman"/>
          <w:color w:val="auto"/>
          <w:highlight w:val="none"/>
        </w:rPr>
        <w:t>闭设备。</w:t>
      </w:r>
      <w:r>
        <w:rPr>
          <w:rFonts w:cs="Times New Roman"/>
          <w:color w:val="auto"/>
          <w:kern w:val="0"/>
          <w:szCs w:val="24"/>
          <w:highlight w:val="none"/>
          <w:lang w:bidi="ar"/>
        </w:rPr>
        <w:t>本项目通过在给料机上方设置集气罩，</w:t>
      </w:r>
      <w:r>
        <w:rPr>
          <w:rFonts w:hint="eastAsia" w:cs="Times New Roman"/>
          <w:color w:val="auto"/>
          <w:kern w:val="0"/>
          <w:szCs w:val="24"/>
          <w:highlight w:val="none"/>
          <w:lang w:bidi="ar"/>
        </w:rPr>
        <w:t>给料</w:t>
      </w:r>
      <w:r>
        <w:rPr>
          <w:rFonts w:cs="Times New Roman"/>
          <w:color w:val="auto"/>
          <w:kern w:val="0"/>
          <w:szCs w:val="24"/>
          <w:highlight w:val="none"/>
          <w:lang w:bidi="ar"/>
        </w:rPr>
        <w:t>粉尘经集气罩收集引至布袋除尘器（TA001）进行处理（同后文破碎粉尘一起处理），后由1根15m高排气筒（DA001）排放。</w:t>
      </w:r>
    </w:p>
    <w:p w14:paraId="3BEE5098">
      <w:pPr>
        <w:numPr>
          <w:ilvl w:val="0"/>
          <w:numId w:val="10"/>
        </w:numPr>
        <w:adjustRightInd w:val="0"/>
        <w:ind w:firstLine="482"/>
        <w:rPr>
          <w:rFonts w:cs="Times New Roman"/>
          <w:b/>
          <w:bCs/>
          <w:color w:val="auto"/>
          <w:highlight w:val="none"/>
        </w:rPr>
      </w:pPr>
      <w:r>
        <w:rPr>
          <w:rFonts w:cs="Times New Roman"/>
          <w:b/>
          <w:bCs/>
          <w:color w:val="auto"/>
          <w:highlight w:val="none"/>
        </w:rPr>
        <w:t>破碎、筛分粉尘</w:t>
      </w:r>
    </w:p>
    <w:p w14:paraId="40969C14">
      <w:pPr>
        <w:adjustRightInd w:val="0"/>
        <w:ind w:firstLine="482"/>
        <w:rPr>
          <w:rFonts w:cs="Times New Roman"/>
          <w:color w:val="auto"/>
          <w:highlight w:val="none"/>
        </w:rPr>
      </w:pPr>
      <w:r>
        <w:rPr>
          <w:rFonts w:cs="Times New Roman"/>
          <w:b/>
          <w:bCs/>
          <w:color w:val="auto"/>
          <w:highlight w:val="none"/>
        </w:rPr>
        <w:t>产生源强</w:t>
      </w:r>
      <w:r>
        <w:rPr>
          <w:rFonts w:cs="Times New Roman"/>
          <w:color w:val="auto"/>
          <w:highlight w:val="none"/>
        </w:rPr>
        <w:t>：本项目破碎、筛分粉尘废气产生情况采用类比法进行核算。类比《乐山市全沫矿产品有限公司夹江县锂矿精选项目（一期）环保竣工验收监测报告》（蓉诚环监字（2024）RC01第06043号）</w:t>
      </w:r>
      <w:r>
        <w:rPr>
          <w:rFonts w:hint="eastAsia" w:cs="Times New Roman"/>
          <w:color w:val="auto"/>
          <w:highlight w:val="none"/>
        </w:rPr>
        <w:t>（见附件18）</w:t>
      </w:r>
      <w:r>
        <w:rPr>
          <w:rFonts w:cs="Times New Roman"/>
          <w:color w:val="auto"/>
          <w:highlight w:val="none"/>
        </w:rPr>
        <w:t>中DA001排气筒实测数据核算本项目破碎、筛分粉尘产污系数。</w:t>
      </w:r>
    </w:p>
    <w:p w14:paraId="6CEE8254">
      <w:pPr>
        <w:adjustRightInd w:val="0"/>
        <w:ind w:firstLine="482"/>
        <w:rPr>
          <w:rFonts w:cs="Times New Roman"/>
          <w:color w:val="auto"/>
          <w:highlight w:val="none"/>
        </w:rPr>
      </w:pPr>
      <w:r>
        <w:rPr>
          <w:rFonts w:cs="Times New Roman"/>
          <w:b/>
          <w:bCs/>
          <w:color w:val="auto"/>
          <w:highlight w:val="none"/>
        </w:rPr>
        <w:t>类比可行性分析</w:t>
      </w:r>
      <w:r>
        <w:rPr>
          <w:rFonts w:cs="Times New Roman"/>
          <w:color w:val="auto"/>
          <w:highlight w:val="none"/>
        </w:rPr>
        <w:t>：参考《污染源源强核算技术指南准则》（HJ884-2018），污染源源强核算可采用实测法、产污系数法、排污系数法、类比法等方法。本次废气核算过程采用类比法，类比可行性见下表。</w:t>
      </w:r>
    </w:p>
    <w:p w14:paraId="150AD345">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4</w:t>
      </w:r>
      <w:r>
        <w:rPr>
          <w:rFonts w:cs="Times New Roman"/>
          <w:b/>
          <w:color w:val="auto"/>
          <w:sz w:val="21"/>
          <w:szCs w:val="20"/>
          <w:highlight w:val="none"/>
        </w:rPr>
        <w:fldChar w:fldCharType="end"/>
      </w:r>
      <w:r>
        <w:rPr>
          <w:rFonts w:cs="Times New Roman"/>
          <w:b/>
          <w:color w:val="auto"/>
          <w:sz w:val="21"/>
          <w:szCs w:val="20"/>
          <w:highlight w:val="none"/>
        </w:rPr>
        <w:t>项目类比可行性分析一览表</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2213"/>
        <w:gridCol w:w="2584"/>
        <w:gridCol w:w="2608"/>
        <w:gridCol w:w="687"/>
      </w:tblGrid>
      <w:tr w14:paraId="3436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blHeader/>
          <w:jc w:val="center"/>
        </w:trPr>
        <w:tc>
          <w:tcPr>
            <w:tcW w:w="250" w:type="pct"/>
            <w:tcBorders>
              <w:tl2br w:val="nil"/>
              <w:tr2bl w:val="nil"/>
            </w:tcBorders>
            <w:vAlign w:val="center"/>
          </w:tcPr>
          <w:p w14:paraId="5B57B031">
            <w:pPr>
              <w:pStyle w:val="37"/>
              <w:rPr>
                <w:b/>
                <w:bCs/>
                <w:color w:val="auto"/>
                <w:highlight w:val="none"/>
              </w:rPr>
            </w:pPr>
            <w:r>
              <w:rPr>
                <w:b/>
                <w:bCs/>
                <w:color w:val="auto"/>
                <w:highlight w:val="none"/>
              </w:rPr>
              <w:t>序号</w:t>
            </w:r>
          </w:p>
        </w:tc>
        <w:tc>
          <w:tcPr>
            <w:tcW w:w="1299" w:type="pct"/>
            <w:tcBorders>
              <w:tl2br w:val="nil"/>
              <w:tr2bl w:val="nil"/>
            </w:tcBorders>
            <w:vAlign w:val="center"/>
          </w:tcPr>
          <w:p w14:paraId="4E0F357F">
            <w:pPr>
              <w:pStyle w:val="37"/>
              <w:rPr>
                <w:b/>
                <w:bCs/>
                <w:color w:val="auto"/>
                <w:highlight w:val="none"/>
              </w:rPr>
            </w:pPr>
            <w:r>
              <w:rPr>
                <w:b/>
                <w:bCs/>
                <w:color w:val="auto"/>
                <w:highlight w:val="none"/>
              </w:rPr>
              <w:t>《污染源源强核算技术指南准则》（HJ884-2018）要求</w:t>
            </w:r>
          </w:p>
        </w:tc>
        <w:tc>
          <w:tcPr>
            <w:tcW w:w="1516" w:type="pct"/>
            <w:tcBorders>
              <w:tl2br w:val="nil"/>
              <w:tr2bl w:val="nil"/>
            </w:tcBorders>
            <w:vAlign w:val="center"/>
          </w:tcPr>
          <w:p w14:paraId="38841FFB">
            <w:pPr>
              <w:pStyle w:val="37"/>
              <w:rPr>
                <w:b/>
                <w:bCs/>
                <w:color w:val="auto"/>
                <w:highlight w:val="none"/>
              </w:rPr>
            </w:pPr>
            <w:r>
              <w:rPr>
                <w:b/>
                <w:bCs/>
                <w:color w:val="auto"/>
                <w:highlight w:val="none"/>
              </w:rPr>
              <w:t>类比项目</w:t>
            </w:r>
          </w:p>
        </w:tc>
        <w:tc>
          <w:tcPr>
            <w:tcW w:w="1530" w:type="pct"/>
            <w:tcBorders>
              <w:tl2br w:val="nil"/>
              <w:tr2bl w:val="nil"/>
            </w:tcBorders>
            <w:vAlign w:val="center"/>
          </w:tcPr>
          <w:p w14:paraId="3FCBA7AA">
            <w:pPr>
              <w:pStyle w:val="37"/>
              <w:rPr>
                <w:b/>
                <w:bCs/>
                <w:color w:val="auto"/>
                <w:highlight w:val="none"/>
              </w:rPr>
            </w:pPr>
            <w:r>
              <w:rPr>
                <w:b/>
                <w:bCs/>
                <w:color w:val="auto"/>
                <w:highlight w:val="none"/>
              </w:rPr>
              <w:t>本项目</w:t>
            </w:r>
          </w:p>
        </w:tc>
        <w:tc>
          <w:tcPr>
            <w:tcW w:w="403" w:type="pct"/>
            <w:tcBorders>
              <w:tl2br w:val="nil"/>
              <w:tr2bl w:val="nil"/>
            </w:tcBorders>
            <w:vAlign w:val="center"/>
          </w:tcPr>
          <w:p w14:paraId="02EC098A">
            <w:pPr>
              <w:pStyle w:val="37"/>
              <w:rPr>
                <w:b/>
                <w:bCs/>
                <w:color w:val="auto"/>
                <w:highlight w:val="none"/>
              </w:rPr>
            </w:pPr>
            <w:r>
              <w:rPr>
                <w:b/>
                <w:bCs/>
                <w:color w:val="auto"/>
                <w:highlight w:val="none"/>
              </w:rPr>
              <w:t>类比可行性</w:t>
            </w:r>
          </w:p>
        </w:tc>
      </w:tr>
      <w:tr w14:paraId="7A30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50" w:type="pct"/>
            <w:tcBorders>
              <w:tl2br w:val="nil"/>
              <w:tr2bl w:val="nil"/>
            </w:tcBorders>
            <w:vAlign w:val="center"/>
          </w:tcPr>
          <w:p w14:paraId="3165CC0B">
            <w:pPr>
              <w:pStyle w:val="37"/>
              <w:rPr>
                <w:color w:val="auto"/>
                <w:highlight w:val="none"/>
              </w:rPr>
            </w:pPr>
            <w:r>
              <w:rPr>
                <w:color w:val="auto"/>
                <w:highlight w:val="none"/>
              </w:rPr>
              <w:t>1</w:t>
            </w:r>
          </w:p>
        </w:tc>
        <w:tc>
          <w:tcPr>
            <w:tcW w:w="1299" w:type="pct"/>
            <w:tcBorders>
              <w:tl2br w:val="nil"/>
              <w:tr2bl w:val="nil"/>
            </w:tcBorders>
            <w:vAlign w:val="center"/>
          </w:tcPr>
          <w:p w14:paraId="29519132">
            <w:pPr>
              <w:pStyle w:val="37"/>
              <w:rPr>
                <w:color w:val="auto"/>
                <w:highlight w:val="none"/>
              </w:rPr>
            </w:pPr>
            <w:r>
              <w:rPr>
                <w:color w:val="auto"/>
                <w:highlight w:val="none"/>
              </w:rPr>
              <w:t>原辅料及燃料类型相同且与污染物排放相关的成分相似</w:t>
            </w:r>
          </w:p>
        </w:tc>
        <w:tc>
          <w:tcPr>
            <w:tcW w:w="1516" w:type="pct"/>
            <w:tcBorders>
              <w:tl2br w:val="nil"/>
              <w:tr2bl w:val="nil"/>
            </w:tcBorders>
            <w:vAlign w:val="center"/>
          </w:tcPr>
          <w:p w14:paraId="393C04C7">
            <w:pPr>
              <w:pStyle w:val="37"/>
              <w:rPr>
                <w:color w:val="auto"/>
                <w:highlight w:val="none"/>
              </w:rPr>
            </w:pPr>
            <w:r>
              <w:rPr>
                <w:color w:val="auto"/>
                <w:highlight w:val="none"/>
              </w:rPr>
              <w:t>原辅料为锂矿石、氢氧化钠、碳酸钠、氯化镁、捕收剂、聚凝剂、絮凝剂</w:t>
            </w:r>
          </w:p>
        </w:tc>
        <w:tc>
          <w:tcPr>
            <w:tcW w:w="1530" w:type="pct"/>
            <w:tcBorders>
              <w:tl2br w:val="nil"/>
              <w:tr2bl w:val="nil"/>
            </w:tcBorders>
            <w:vAlign w:val="center"/>
          </w:tcPr>
          <w:p w14:paraId="4E90296C">
            <w:pPr>
              <w:pStyle w:val="37"/>
              <w:rPr>
                <w:color w:val="auto"/>
                <w:highlight w:val="none"/>
              </w:rPr>
            </w:pPr>
            <w:r>
              <w:rPr>
                <w:color w:val="auto"/>
                <w:highlight w:val="none"/>
              </w:rPr>
              <w:t>本项目原辅料为锂矿石、氢氧化钠、碳酸钠、氯化镁、捕收剂、聚凝剂、絮凝剂。</w:t>
            </w:r>
          </w:p>
        </w:tc>
        <w:tc>
          <w:tcPr>
            <w:tcW w:w="403" w:type="pct"/>
            <w:tcBorders>
              <w:tl2br w:val="nil"/>
              <w:tr2bl w:val="nil"/>
            </w:tcBorders>
            <w:vAlign w:val="center"/>
          </w:tcPr>
          <w:p w14:paraId="0B91F9FE">
            <w:pPr>
              <w:pStyle w:val="37"/>
              <w:rPr>
                <w:color w:val="auto"/>
                <w:highlight w:val="none"/>
              </w:rPr>
            </w:pPr>
            <w:r>
              <w:rPr>
                <w:color w:val="auto"/>
                <w:highlight w:val="none"/>
              </w:rPr>
              <w:t>可行</w:t>
            </w:r>
          </w:p>
        </w:tc>
      </w:tr>
      <w:tr w14:paraId="089F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250" w:type="pct"/>
            <w:tcBorders>
              <w:tl2br w:val="nil"/>
              <w:tr2bl w:val="nil"/>
            </w:tcBorders>
            <w:vAlign w:val="center"/>
          </w:tcPr>
          <w:p w14:paraId="25154569">
            <w:pPr>
              <w:pStyle w:val="37"/>
              <w:rPr>
                <w:color w:val="auto"/>
                <w:highlight w:val="none"/>
              </w:rPr>
            </w:pPr>
            <w:r>
              <w:rPr>
                <w:color w:val="auto"/>
                <w:highlight w:val="none"/>
              </w:rPr>
              <w:t>2</w:t>
            </w:r>
          </w:p>
        </w:tc>
        <w:tc>
          <w:tcPr>
            <w:tcW w:w="1299" w:type="pct"/>
            <w:tcBorders>
              <w:tl2br w:val="nil"/>
              <w:tr2bl w:val="nil"/>
            </w:tcBorders>
            <w:vAlign w:val="center"/>
          </w:tcPr>
          <w:p w14:paraId="3C148A36">
            <w:pPr>
              <w:pStyle w:val="37"/>
              <w:rPr>
                <w:color w:val="auto"/>
                <w:highlight w:val="none"/>
              </w:rPr>
            </w:pPr>
            <w:r>
              <w:rPr>
                <w:color w:val="auto"/>
                <w:highlight w:val="none"/>
              </w:rPr>
              <w:t>产品相似</w:t>
            </w:r>
          </w:p>
        </w:tc>
        <w:tc>
          <w:tcPr>
            <w:tcW w:w="1516" w:type="pct"/>
            <w:tcBorders>
              <w:tl2br w:val="nil"/>
              <w:tr2bl w:val="nil"/>
            </w:tcBorders>
            <w:vAlign w:val="center"/>
          </w:tcPr>
          <w:p w14:paraId="7B0714E0">
            <w:pPr>
              <w:pStyle w:val="37"/>
              <w:rPr>
                <w:color w:val="auto"/>
                <w:highlight w:val="none"/>
              </w:rPr>
            </w:pPr>
            <w:r>
              <w:rPr>
                <w:color w:val="auto"/>
                <w:highlight w:val="none"/>
              </w:rPr>
              <w:t>产品为锂辉石精矿</w:t>
            </w:r>
          </w:p>
        </w:tc>
        <w:tc>
          <w:tcPr>
            <w:tcW w:w="1530" w:type="pct"/>
            <w:tcBorders>
              <w:tl2br w:val="nil"/>
              <w:tr2bl w:val="nil"/>
            </w:tcBorders>
            <w:vAlign w:val="center"/>
          </w:tcPr>
          <w:p w14:paraId="59B8DEB8">
            <w:pPr>
              <w:pStyle w:val="37"/>
              <w:rPr>
                <w:color w:val="auto"/>
                <w:highlight w:val="none"/>
              </w:rPr>
            </w:pPr>
            <w:r>
              <w:rPr>
                <w:color w:val="auto"/>
                <w:highlight w:val="none"/>
              </w:rPr>
              <w:t>本项目产品为锂辉石精矿。</w:t>
            </w:r>
          </w:p>
        </w:tc>
        <w:tc>
          <w:tcPr>
            <w:tcW w:w="403" w:type="pct"/>
            <w:tcBorders>
              <w:tl2br w:val="nil"/>
              <w:tr2bl w:val="nil"/>
            </w:tcBorders>
            <w:vAlign w:val="center"/>
          </w:tcPr>
          <w:p w14:paraId="244510BD">
            <w:pPr>
              <w:pStyle w:val="37"/>
              <w:rPr>
                <w:color w:val="auto"/>
                <w:highlight w:val="none"/>
              </w:rPr>
            </w:pPr>
            <w:r>
              <w:rPr>
                <w:color w:val="auto"/>
                <w:highlight w:val="none"/>
              </w:rPr>
              <w:t>可行</w:t>
            </w:r>
          </w:p>
        </w:tc>
      </w:tr>
      <w:tr w14:paraId="69E58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250" w:type="pct"/>
            <w:tcBorders>
              <w:tl2br w:val="nil"/>
              <w:tr2bl w:val="nil"/>
            </w:tcBorders>
            <w:vAlign w:val="center"/>
          </w:tcPr>
          <w:p w14:paraId="7745AA1E">
            <w:pPr>
              <w:pStyle w:val="37"/>
              <w:rPr>
                <w:color w:val="auto"/>
                <w:highlight w:val="none"/>
              </w:rPr>
            </w:pPr>
            <w:r>
              <w:rPr>
                <w:color w:val="auto"/>
                <w:highlight w:val="none"/>
              </w:rPr>
              <w:t>3</w:t>
            </w:r>
          </w:p>
        </w:tc>
        <w:tc>
          <w:tcPr>
            <w:tcW w:w="1299" w:type="pct"/>
            <w:tcBorders>
              <w:tl2br w:val="nil"/>
              <w:tr2bl w:val="nil"/>
            </w:tcBorders>
            <w:vAlign w:val="center"/>
          </w:tcPr>
          <w:p w14:paraId="469C2BBF">
            <w:pPr>
              <w:pStyle w:val="37"/>
              <w:rPr>
                <w:color w:val="auto"/>
                <w:highlight w:val="none"/>
              </w:rPr>
            </w:pPr>
            <w:r>
              <w:rPr>
                <w:color w:val="auto"/>
                <w:highlight w:val="none"/>
              </w:rPr>
              <w:t>生产工艺相同</w:t>
            </w:r>
          </w:p>
        </w:tc>
        <w:tc>
          <w:tcPr>
            <w:tcW w:w="1516" w:type="pct"/>
            <w:tcBorders>
              <w:tl2br w:val="nil"/>
              <w:tr2bl w:val="nil"/>
            </w:tcBorders>
            <w:vAlign w:val="center"/>
          </w:tcPr>
          <w:p w14:paraId="7047191F">
            <w:pPr>
              <w:pStyle w:val="37"/>
              <w:rPr>
                <w:color w:val="auto"/>
                <w:highlight w:val="none"/>
              </w:rPr>
            </w:pPr>
            <w:r>
              <w:rPr>
                <w:color w:val="auto"/>
                <w:highlight w:val="none"/>
              </w:rPr>
              <w:t>生产工艺主要为破碎、筛分、磨矿、浮选、磁选和脱水</w:t>
            </w:r>
          </w:p>
        </w:tc>
        <w:tc>
          <w:tcPr>
            <w:tcW w:w="1530" w:type="pct"/>
            <w:tcBorders>
              <w:tl2br w:val="nil"/>
              <w:tr2bl w:val="nil"/>
            </w:tcBorders>
            <w:vAlign w:val="center"/>
          </w:tcPr>
          <w:p w14:paraId="729BB930">
            <w:pPr>
              <w:pStyle w:val="37"/>
              <w:rPr>
                <w:color w:val="auto"/>
                <w:highlight w:val="none"/>
              </w:rPr>
            </w:pPr>
            <w:r>
              <w:rPr>
                <w:color w:val="auto"/>
                <w:highlight w:val="none"/>
              </w:rPr>
              <w:t>本项目生产工艺主要为破碎、筛分、磨矿、浮选、磁选和脱水。</w:t>
            </w:r>
          </w:p>
        </w:tc>
        <w:tc>
          <w:tcPr>
            <w:tcW w:w="403" w:type="pct"/>
            <w:tcBorders>
              <w:tl2br w:val="nil"/>
              <w:tr2bl w:val="nil"/>
            </w:tcBorders>
            <w:vAlign w:val="center"/>
          </w:tcPr>
          <w:p w14:paraId="5B1C5B40">
            <w:pPr>
              <w:pStyle w:val="37"/>
              <w:rPr>
                <w:color w:val="auto"/>
                <w:highlight w:val="none"/>
              </w:rPr>
            </w:pPr>
            <w:r>
              <w:rPr>
                <w:color w:val="auto"/>
                <w:highlight w:val="none"/>
              </w:rPr>
              <w:t>可行</w:t>
            </w:r>
          </w:p>
        </w:tc>
      </w:tr>
      <w:tr w14:paraId="16B7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250" w:type="pct"/>
            <w:tcBorders>
              <w:tl2br w:val="nil"/>
              <w:tr2bl w:val="nil"/>
            </w:tcBorders>
            <w:vAlign w:val="center"/>
          </w:tcPr>
          <w:p w14:paraId="25783822">
            <w:pPr>
              <w:pStyle w:val="37"/>
              <w:rPr>
                <w:color w:val="auto"/>
                <w:highlight w:val="none"/>
              </w:rPr>
            </w:pPr>
            <w:r>
              <w:rPr>
                <w:color w:val="auto"/>
                <w:highlight w:val="none"/>
              </w:rPr>
              <w:t>4</w:t>
            </w:r>
          </w:p>
        </w:tc>
        <w:tc>
          <w:tcPr>
            <w:tcW w:w="1299" w:type="pct"/>
            <w:tcBorders>
              <w:tl2br w:val="nil"/>
              <w:tr2bl w:val="nil"/>
            </w:tcBorders>
            <w:vAlign w:val="center"/>
          </w:tcPr>
          <w:p w14:paraId="100E27E0">
            <w:pPr>
              <w:pStyle w:val="37"/>
              <w:rPr>
                <w:color w:val="auto"/>
                <w:highlight w:val="none"/>
              </w:rPr>
            </w:pPr>
            <w:r>
              <w:rPr>
                <w:color w:val="auto"/>
                <w:highlight w:val="none"/>
              </w:rPr>
              <w:t>污染控制措施相似，且污染物设计去除效率不低于类比对象去除效率</w:t>
            </w:r>
          </w:p>
        </w:tc>
        <w:tc>
          <w:tcPr>
            <w:tcW w:w="1516" w:type="pct"/>
            <w:tcBorders>
              <w:tl2br w:val="nil"/>
              <w:tr2bl w:val="nil"/>
            </w:tcBorders>
            <w:vAlign w:val="center"/>
          </w:tcPr>
          <w:p w14:paraId="0A1C86B5">
            <w:pPr>
              <w:pStyle w:val="37"/>
              <w:rPr>
                <w:color w:val="auto"/>
                <w:highlight w:val="none"/>
              </w:rPr>
            </w:pPr>
            <w:r>
              <w:rPr>
                <w:color w:val="auto"/>
                <w:highlight w:val="none"/>
              </w:rPr>
              <w:t>破碎、筛分粉尘采用</w:t>
            </w:r>
            <w:r>
              <w:rPr>
                <w:rFonts w:hint="eastAsia"/>
                <w:color w:val="auto"/>
                <w:highlight w:val="none"/>
              </w:rPr>
              <w:t>“</w:t>
            </w:r>
            <w:r>
              <w:rPr>
                <w:color w:val="auto"/>
                <w:highlight w:val="none"/>
              </w:rPr>
              <w:t>集气罩+布袋除尘器处理</w:t>
            </w:r>
            <w:r>
              <w:rPr>
                <w:rFonts w:hint="eastAsia"/>
                <w:color w:val="auto"/>
                <w:highlight w:val="none"/>
              </w:rPr>
              <w:t>”</w:t>
            </w:r>
          </w:p>
        </w:tc>
        <w:tc>
          <w:tcPr>
            <w:tcW w:w="1530" w:type="pct"/>
            <w:tcBorders>
              <w:tl2br w:val="nil"/>
              <w:tr2bl w:val="nil"/>
            </w:tcBorders>
            <w:vAlign w:val="center"/>
          </w:tcPr>
          <w:p w14:paraId="0368886D">
            <w:pPr>
              <w:pStyle w:val="37"/>
              <w:rPr>
                <w:color w:val="auto"/>
                <w:highlight w:val="none"/>
              </w:rPr>
            </w:pPr>
            <w:r>
              <w:rPr>
                <w:color w:val="auto"/>
                <w:highlight w:val="none"/>
              </w:rPr>
              <w:t>本项目破碎、筛分粉尘采用</w:t>
            </w:r>
            <w:r>
              <w:rPr>
                <w:rFonts w:hint="eastAsia"/>
                <w:color w:val="auto"/>
                <w:highlight w:val="none"/>
              </w:rPr>
              <w:t>“</w:t>
            </w:r>
            <w:r>
              <w:rPr>
                <w:color w:val="auto"/>
                <w:highlight w:val="none"/>
              </w:rPr>
              <w:t>集气罩+布袋除尘器处理</w:t>
            </w:r>
            <w:r>
              <w:rPr>
                <w:rFonts w:hint="eastAsia"/>
                <w:color w:val="auto"/>
                <w:highlight w:val="none"/>
              </w:rPr>
              <w:t>”</w:t>
            </w:r>
            <w:r>
              <w:rPr>
                <w:color w:val="auto"/>
                <w:highlight w:val="none"/>
              </w:rPr>
              <w:t>。</w:t>
            </w:r>
          </w:p>
        </w:tc>
        <w:tc>
          <w:tcPr>
            <w:tcW w:w="403" w:type="pct"/>
            <w:tcBorders>
              <w:tl2br w:val="nil"/>
              <w:tr2bl w:val="nil"/>
            </w:tcBorders>
            <w:vAlign w:val="center"/>
          </w:tcPr>
          <w:p w14:paraId="5C4679B0">
            <w:pPr>
              <w:pStyle w:val="37"/>
              <w:rPr>
                <w:color w:val="auto"/>
                <w:highlight w:val="none"/>
              </w:rPr>
            </w:pPr>
            <w:r>
              <w:rPr>
                <w:color w:val="auto"/>
                <w:highlight w:val="none"/>
              </w:rPr>
              <w:t>可行</w:t>
            </w:r>
          </w:p>
        </w:tc>
      </w:tr>
    </w:tbl>
    <w:p w14:paraId="106CED39">
      <w:pPr>
        <w:adjustRightInd w:val="0"/>
        <w:ind w:firstLine="480"/>
        <w:rPr>
          <w:rFonts w:cs="Times New Roman"/>
          <w:color w:val="auto"/>
          <w:highlight w:val="none"/>
        </w:rPr>
      </w:pPr>
      <w:r>
        <w:rPr>
          <w:rFonts w:cs="Times New Roman"/>
          <w:color w:val="auto"/>
          <w:highlight w:val="none"/>
        </w:rPr>
        <w:t>综上所述，本项目破碎、筛分工序颗粒物产生源强类比</w:t>
      </w:r>
      <w:r>
        <w:rPr>
          <w:rFonts w:hint="eastAsia" w:cs="Times New Roman"/>
          <w:color w:val="auto"/>
          <w:highlight w:val="none"/>
        </w:rPr>
        <w:t>“</w:t>
      </w:r>
      <w:r>
        <w:rPr>
          <w:rFonts w:cs="Times New Roman"/>
          <w:color w:val="auto"/>
          <w:highlight w:val="none"/>
        </w:rPr>
        <w:t>乐山市全沫矿产品有限公司夹江县锂矿精选项目（一期）</w:t>
      </w:r>
      <w:r>
        <w:rPr>
          <w:rFonts w:hint="eastAsia" w:cs="Times New Roman"/>
          <w:color w:val="auto"/>
          <w:highlight w:val="none"/>
        </w:rPr>
        <w:t>”</w:t>
      </w:r>
      <w:r>
        <w:rPr>
          <w:rFonts w:cs="Times New Roman"/>
          <w:color w:val="auto"/>
          <w:highlight w:val="none"/>
        </w:rPr>
        <w:t>环保竣工验收监测数据可行。</w:t>
      </w:r>
    </w:p>
    <w:p w14:paraId="3DD5504A">
      <w:pPr>
        <w:adjustRightInd w:val="0"/>
        <w:ind w:firstLine="480"/>
        <w:rPr>
          <w:rFonts w:cs="Times New Roman"/>
          <w:color w:val="auto"/>
          <w:highlight w:val="none"/>
        </w:rPr>
      </w:pPr>
      <w:r>
        <w:rPr>
          <w:rFonts w:cs="Times New Roman"/>
          <w:color w:val="auto"/>
          <w:highlight w:val="none"/>
        </w:rPr>
        <w:t>本项目破碎、筛分粉尘产污系数见下表。</w:t>
      </w:r>
    </w:p>
    <w:p w14:paraId="3B7603A5">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5</w:t>
      </w:r>
      <w:r>
        <w:rPr>
          <w:rFonts w:cs="Times New Roman"/>
          <w:b/>
          <w:color w:val="auto"/>
          <w:sz w:val="21"/>
          <w:szCs w:val="20"/>
          <w:highlight w:val="none"/>
        </w:rPr>
        <w:fldChar w:fldCharType="end"/>
      </w:r>
      <w:r>
        <w:rPr>
          <w:rFonts w:cs="Times New Roman"/>
          <w:b/>
          <w:color w:val="auto"/>
          <w:sz w:val="21"/>
          <w:szCs w:val="20"/>
          <w:highlight w:val="none"/>
        </w:rPr>
        <w:t>破碎、筛分粉尘产污系数核算</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676"/>
        <w:gridCol w:w="902"/>
        <w:gridCol w:w="725"/>
        <w:gridCol w:w="846"/>
        <w:gridCol w:w="929"/>
        <w:gridCol w:w="1034"/>
        <w:gridCol w:w="882"/>
        <w:gridCol w:w="847"/>
        <w:gridCol w:w="847"/>
      </w:tblGrid>
      <w:tr w14:paraId="02C46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88" w:type="pct"/>
            <w:vAlign w:val="center"/>
          </w:tcPr>
          <w:p w14:paraId="3976A5D6">
            <w:pPr>
              <w:pStyle w:val="37"/>
              <w:rPr>
                <w:b/>
                <w:bCs/>
                <w:color w:val="auto"/>
                <w:highlight w:val="none"/>
              </w:rPr>
            </w:pPr>
            <w:r>
              <w:rPr>
                <w:b/>
                <w:bCs/>
                <w:color w:val="auto"/>
                <w:highlight w:val="none"/>
              </w:rPr>
              <w:t>排气筒序号</w:t>
            </w:r>
          </w:p>
        </w:tc>
        <w:tc>
          <w:tcPr>
            <w:tcW w:w="397" w:type="pct"/>
            <w:vAlign w:val="center"/>
          </w:tcPr>
          <w:p w14:paraId="17C4D4DE">
            <w:pPr>
              <w:pStyle w:val="37"/>
              <w:rPr>
                <w:b/>
                <w:bCs/>
                <w:color w:val="auto"/>
                <w:highlight w:val="none"/>
              </w:rPr>
            </w:pPr>
            <w:r>
              <w:rPr>
                <w:b/>
                <w:bCs/>
                <w:color w:val="auto"/>
                <w:highlight w:val="none"/>
              </w:rPr>
              <w:t>污染物</w:t>
            </w:r>
          </w:p>
        </w:tc>
        <w:tc>
          <w:tcPr>
            <w:tcW w:w="529" w:type="pct"/>
            <w:vAlign w:val="center"/>
          </w:tcPr>
          <w:p w14:paraId="7526FF1E">
            <w:pPr>
              <w:pStyle w:val="37"/>
              <w:rPr>
                <w:b/>
                <w:bCs/>
                <w:color w:val="auto"/>
                <w:highlight w:val="none"/>
              </w:rPr>
            </w:pPr>
            <w:r>
              <w:rPr>
                <w:b/>
                <w:bCs/>
                <w:color w:val="auto"/>
                <w:highlight w:val="none"/>
              </w:rPr>
              <w:t>检测结果最大值（kg/h）</w:t>
            </w:r>
          </w:p>
        </w:tc>
        <w:tc>
          <w:tcPr>
            <w:tcW w:w="425" w:type="pct"/>
            <w:vAlign w:val="center"/>
          </w:tcPr>
          <w:p w14:paraId="7416241F">
            <w:pPr>
              <w:pStyle w:val="37"/>
              <w:rPr>
                <w:b/>
                <w:bCs/>
                <w:color w:val="auto"/>
                <w:highlight w:val="none"/>
              </w:rPr>
            </w:pPr>
            <w:r>
              <w:rPr>
                <w:b/>
                <w:bCs/>
                <w:color w:val="auto"/>
                <w:highlight w:val="none"/>
              </w:rPr>
              <w:t>收集效率（%）</w:t>
            </w:r>
          </w:p>
        </w:tc>
        <w:tc>
          <w:tcPr>
            <w:tcW w:w="496" w:type="pct"/>
            <w:vAlign w:val="center"/>
          </w:tcPr>
          <w:p w14:paraId="1074ADC7">
            <w:pPr>
              <w:pStyle w:val="37"/>
              <w:rPr>
                <w:b/>
                <w:bCs/>
                <w:color w:val="auto"/>
                <w:highlight w:val="none"/>
              </w:rPr>
            </w:pPr>
            <w:r>
              <w:rPr>
                <w:b/>
                <w:bCs/>
                <w:color w:val="auto"/>
                <w:highlight w:val="none"/>
              </w:rPr>
              <w:t>处理效率（%）</w:t>
            </w:r>
          </w:p>
        </w:tc>
        <w:tc>
          <w:tcPr>
            <w:tcW w:w="544" w:type="pct"/>
            <w:vAlign w:val="center"/>
          </w:tcPr>
          <w:p w14:paraId="673B7026">
            <w:pPr>
              <w:pStyle w:val="37"/>
              <w:rPr>
                <w:b/>
                <w:bCs/>
                <w:color w:val="auto"/>
                <w:highlight w:val="none"/>
              </w:rPr>
            </w:pPr>
            <w:r>
              <w:rPr>
                <w:b/>
                <w:bCs/>
                <w:color w:val="auto"/>
                <w:highlight w:val="none"/>
              </w:rPr>
              <w:t>类比项目生产时间（h/d）</w:t>
            </w:r>
          </w:p>
        </w:tc>
        <w:tc>
          <w:tcPr>
            <w:tcW w:w="606" w:type="pct"/>
            <w:vAlign w:val="center"/>
          </w:tcPr>
          <w:p w14:paraId="6E4A5F3B">
            <w:pPr>
              <w:pStyle w:val="37"/>
              <w:rPr>
                <w:b/>
                <w:bCs/>
                <w:color w:val="auto"/>
                <w:highlight w:val="none"/>
              </w:rPr>
            </w:pPr>
            <w:r>
              <w:rPr>
                <w:b/>
                <w:bCs/>
                <w:color w:val="auto"/>
                <w:highlight w:val="none"/>
              </w:rPr>
              <w:t>污染物产生速率（kg/h）</w:t>
            </w:r>
          </w:p>
        </w:tc>
        <w:tc>
          <w:tcPr>
            <w:tcW w:w="517" w:type="pct"/>
            <w:vAlign w:val="center"/>
          </w:tcPr>
          <w:p w14:paraId="36345D2F">
            <w:pPr>
              <w:pStyle w:val="37"/>
              <w:rPr>
                <w:b/>
                <w:bCs/>
                <w:color w:val="auto"/>
                <w:highlight w:val="none"/>
              </w:rPr>
            </w:pPr>
            <w:r>
              <w:rPr>
                <w:b/>
                <w:bCs/>
                <w:color w:val="auto"/>
                <w:highlight w:val="none"/>
              </w:rPr>
              <w:t>类比项目处理规模（t/d）</w:t>
            </w:r>
          </w:p>
        </w:tc>
        <w:tc>
          <w:tcPr>
            <w:tcW w:w="496" w:type="pct"/>
            <w:vAlign w:val="center"/>
          </w:tcPr>
          <w:p w14:paraId="11E7AC91">
            <w:pPr>
              <w:pStyle w:val="37"/>
              <w:rPr>
                <w:b/>
                <w:bCs/>
                <w:color w:val="auto"/>
                <w:highlight w:val="none"/>
              </w:rPr>
            </w:pPr>
            <w:r>
              <w:rPr>
                <w:b/>
                <w:bCs/>
                <w:color w:val="auto"/>
                <w:highlight w:val="none"/>
              </w:rPr>
              <w:t>类比项目验收工况（%）</w:t>
            </w:r>
          </w:p>
        </w:tc>
        <w:tc>
          <w:tcPr>
            <w:tcW w:w="496" w:type="pct"/>
            <w:vAlign w:val="center"/>
          </w:tcPr>
          <w:p w14:paraId="7FD3FE01">
            <w:pPr>
              <w:pStyle w:val="37"/>
              <w:rPr>
                <w:b/>
                <w:bCs/>
                <w:color w:val="auto"/>
                <w:highlight w:val="none"/>
              </w:rPr>
            </w:pPr>
            <w:r>
              <w:rPr>
                <w:b/>
                <w:bCs/>
                <w:color w:val="auto"/>
                <w:highlight w:val="none"/>
              </w:rPr>
              <w:t>产生源强（kg/t-原矿）</w:t>
            </w:r>
          </w:p>
        </w:tc>
      </w:tr>
      <w:tr w14:paraId="51F26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88" w:type="pct"/>
            <w:vAlign w:val="center"/>
          </w:tcPr>
          <w:p w14:paraId="4412CD98">
            <w:pPr>
              <w:pStyle w:val="37"/>
              <w:rPr>
                <w:color w:val="auto"/>
                <w:highlight w:val="none"/>
              </w:rPr>
            </w:pPr>
            <w:r>
              <w:rPr>
                <w:color w:val="auto"/>
                <w:highlight w:val="none"/>
              </w:rPr>
              <w:t>DA001</w:t>
            </w:r>
          </w:p>
        </w:tc>
        <w:tc>
          <w:tcPr>
            <w:tcW w:w="397" w:type="pct"/>
            <w:vAlign w:val="center"/>
          </w:tcPr>
          <w:p w14:paraId="20662BF8">
            <w:pPr>
              <w:pStyle w:val="37"/>
              <w:rPr>
                <w:color w:val="auto"/>
                <w:highlight w:val="none"/>
              </w:rPr>
            </w:pPr>
            <w:r>
              <w:rPr>
                <w:color w:val="auto"/>
                <w:highlight w:val="none"/>
              </w:rPr>
              <w:t>颗粒物</w:t>
            </w:r>
          </w:p>
        </w:tc>
        <w:tc>
          <w:tcPr>
            <w:tcW w:w="529" w:type="pct"/>
            <w:vAlign w:val="center"/>
          </w:tcPr>
          <w:p w14:paraId="0AB19B38">
            <w:pPr>
              <w:pStyle w:val="37"/>
              <w:rPr>
                <w:color w:val="auto"/>
                <w:highlight w:val="none"/>
              </w:rPr>
            </w:pPr>
            <w:r>
              <w:rPr>
                <w:color w:val="auto"/>
                <w:highlight w:val="none"/>
              </w:rPr>
              <w:t>0.057</w:t>
            </w:r>
          </w:p>
        </w:tc>
        <w:tc>
          <w:tcPr>
            <w:tcW w:w="425" w:type="pct"/>
            <w:vAlign w:val="center"/>
          </w:tcPr>
          <w:p w14:paraId="5A9C69D1">
            <w:pPr>
              <w:pStyle w:val="37"/>
              <w:rPr>
                <w:color w:val="auto"/>
                <w:highlight w:val="none"/>
              </w:rPr>
            </w:pPr>
            <w:r>
              <w:rPr>
                <w:color w:val="auto"/>
                <w:highlight w:val="none"/>
              </w:rPr>
              <w:t>80</w:t>
            </w:r>
          </w:p>
        </w:tc>
        <w:tc>
          <w:tcPr>
            <w:tcW w:w="496" w:type="pct"/>
            <w:vAlign w:val="center"/>
          </w:tcPr>
          <w:p w14:paraId="3D9452CA">
            <w:pPr>
              <w:pStyle w:val="37"/>
              <w:rPr>
                <w:color w:val="auto"/>
                <w:highlight w:val="none"/>
              </w:rPr>
            </w:pPr>
            <w:r>
              <w:rPr>
                <w:color w:val="auto"/>
                <w:highlight w:val="none"/>
              </w:rPr>
              <w:t>99</w:t>
            </w:r>
          </w:p>
        </w:tc>
        <w:tc>
          <w:tcPr>
            <w:tcW w:w="544" w:type="pct"/>
            <w:vAlign w:val="center"/>
          </w:tcPr>
          <w:p w14:paraId="7E38DD61">
            <w:pPr>
              <w:pStyle w:val="37"/>
              <w:rPr>
                <w:color w:val="auto"/>
                <w:highlight w:val="none"/>
              </w:rPr>
            </w:pPr>
            <w:r>
              <w:rPr>
                <w:color w:val="auto"/>
                <w:highlight w:val="none"/>
              </w:rPr>
              <w:t>24</w:t>
            </w:r>
          </w:p>
        </w:tc>
        <w:tc>
          <w:tcPr>
            <w:tcW w:w="606" w:type="pct"/>
            <w:vAlign w:val="center"/>
          </w:tcPr>
          <w:p w14:paraId="6691D5CF">
            <w:pPr>
              <w:pStyle w:val="37"/>
              <w:rPr>
                <w:color w:val="auto"/>
                <w:highlight w:val="none"/>
              </w:rPr>
            </w:pPr>
            <w:r>
              <w:rPr>
                <w:color w:val="auto"/>
                <w:highlight w:val="none"/>
              </w:rPr>
              <w:t>7.125</w:t>
            </w:r>
          </w:p>
        </w:tc>
        <w:tc>
          <w:tcPr>
            <w:tcW w:w="517" w:type="pct"/>
            <w:vAlign w:val="center"/>
          </w:tcPr>
          <w:p w14:paraId="03C464E8">
            <w:pPr>
              <w:pStyle w:val="37"/>
              <w:rPr>
                <w:color w:val="auto"/>
                <w:highlight w:val="none"/>
              </w:rPr>
            </w:pPr>
            <w:r>
              <w:rPr>
                <w:color w:val="auto"/>
                <w:highlight w:val="none"/>
              </w:rPr>
              <w:t>1000</w:t>
            </w:r>
          </w:p>
        </w:tc>
        <w:tc>
          <w:tcPr>
            <w:tcW w:w="496" w:type="pct"/>
            <w:vAlign w:val="center"/>
          </w:tcPr>
          <w:p w14:paraId="205FD1AE">
            <w:pPr>
              <w:pStyle w:val="37"/>
              <w:rPr>
                <w:color w:val="auto"/>
                <w:highlight w:val="none"/>
              </w:rPr>
            </w:pPr>
            <w:r>
              <w:rPr>
                <w:rFonts w:hint="eastAsia"/>
                <w:color w:val="auto"/>
                <w:highlight w:val="none"/>
              </w:rPr>
              <w:t>40</w:t>
            </w:r>
          </w:p>
        </w:tc>
        <w:tc>
          <w:tcPr>
            <w:tcW w:w="496" w:type="pct"/>
            <w:vAlign w:val="center"/>
          </w:tcPr>
          <w:p w14:paraId="16FBB8EF">
            <w:pPr>
              <w:pStyle w:val="37"/>
              <w:rPr>
                <w:color w:val="auto"/>
                <w:highlight w:val="none"/>
              </w:rPr>
            </w:pPr>
            <w:r>
              <w:rPr>
                <w:rFonts w:hint="eastAsia"/>
                <w:color w:val="auto"/>
                <w:highlight w:val="none"/>
              </w:rPr>
              <w:t>0.52</w:t>
            </w:r>
          </w:p>
        </w:tc>
      </w:tr>
    </w:tbl>
    <w:p w14:paraId="5CAE8668">
      <w:pPr>
        <w:adjustRightInd w:val="0"/>
        <w:ind w:firstLine="480"/>
        <w:rPr>
          <w:rFonts w:cs="Times New Roman"/>
          <w:color w:val="auto"/>
          <w:highlight w:val="none"/>
        </w:rPr>
      </w:pPr>
      <w:r>
        <w:rPr>
          <w:rFonts w:cs="Times New Roman"/>
          <w:color w:val="auto"/>
          <w:highlight w:val="none"/>
        </w:rPr>
        <w:t>根据《乐山市全沫矿产品有限公司夹江县锂矿精选项目（一期）环保竣工验收监测报告》，破碎、筛分粉尘排气筒颗粒物最大排放速率为0.057kg/h，该项目颗粒物收集效率约80%、</w:t>
      </w:r>
      <w:r>
        <w:rPr>
          <w:rFonts w:hint="eastAsia" w:cs="Times New Roman"/>
          <w:color w:val="auto"/>
          <w:highlight w:val="none"/>
        </w:rPr>
        <w:t>处理</w:t>
      </w:r>
      <w:r>
        <w:rPr>
          <w:rFonts w:cs="Times New Roman"/>
          <w:color w:val="auto"/>
          <w:highlight w:val="none"/>
        </w:rPr>
        <w:t>效率约99%，因此破碎、筛分粉尘产生速率约为</w:t>
      </w:r>
      <w:r>
        <w:rPr>
          <w:rFonts w:hint="eastAsia" w:cs="Times New Roman"/>
          <w:color w:val="auto"/>
          <w:highlight w:val="none"/>
        </w:rPr>
        <w:t>0.057÷80%÷（1-99%）=</w:t>
      </w:r>
      <w:r>
        <w:rPr>
          <w:rFonts w:cs="Times New Roman"/>
          <w:color w:val="auto"/>
          <w:highlight w:val="none"/>
        </w:rPr>
        <w:t>7.125kg/h。监测期间该项目原矿处理量约</w:t>
      </w:r>
      <w:r>
        <w:rPr>
          <w:rFonts w:hint="eastAsia" w:cs="Times New Roman"/>
          <w:color w:val="auto"/>
          <w:highlight w:val="none"/>
        </w:rPr>
        <w:t>16.67</w:t>
      </w:r>
      <w:r>
        <w:rPr>
          <w:rFonts w:cs="Times New Roman"/>
          <w:color w:val="auto"/>
          <w:highlight w:val="none"/>
        </w:rPr>
        <w:t>t/h（监测期间工况为</w:t>
      </w:r>
      <w:r>
        <w:rPr>
          <w:rFonts w:hint="eastAsia" w:cs="Times New Roman"/>
          <w:color w:val="auto"/>
          <w:highlight w:val="none"/>
        </w:rPr>
        <w:t>40</w:t>
      </w:r>
      <w:r>
        <w:rPr>
          <w:rFonts w:cs="Times New Roman"/>
          <w:color w:val="auto"/>
          <w:highlight w:val="none"/>
        </w:rPr>
        <w:t>%），因此项目处理每吨原矿粉尘排放量约为</w:t>
      </w:r>
      <w:r>
        <w:rPr>
          <w:rFonts w:hint="eastAsia" w:cs="Times New Roman"/>
          <w:color w:val="auto"/>
          <w:highlight w:val="none"/>
        </w:rPr>
        <w:t>7.125÷16.67=0.52</w:t>
      </w:r>
      <w:r>
        <w:rPr>
          <w:rFonts w:cs="Times New Roman"/>
          <w:color w:val="auto"/>
          <w:highlight w:val="none"/>
        </w:rPr>
        <w:t>kg/t-原矿。</w:t>
      </w:r>
    </w:p>
    <w:p w14:paraId="2E672C3C">
      <w:pPr>
        <w:adjustRightInd w:val="0"/>
        <w:ind w:firstLine="480"/>
        <w:rPr>
          <w:rFonts w:cs="Times New Roman"/>
          <w:color w:val="auto"/>
          <w:highlight w:val="none"/>
        </w:rPr>
      </w:pPr>
      <w:r>
        <w:rPr>
          <w:rFonts w:cs="Times New Roman"/>
          <w:color w:val="auto"/>
          <w:highlight w:val="none"/>
        </w:rPr>
        <w:t>本项目原矿处理规模为</w:t>
      </w:r>
      <w:r>
        <w:rPr>
          <w:rFonts w:hint="eastAsia" w:cs="Times New Roman"/>
          <w:color w:val="auto"/>
          <w:highlight w:val="none"/>
        </w:rPr>
        <w:t>68.18</w:t>
      </w:r>
      <w:r>
        <w:rPr>
          <w:rFonts w:cs="Times New Roman"/>
          <w:color w:val="auto"/>
          <w:highlight w:val="none"/>
        </w:rPr>
        <w:t>t/h，破碎、筛分工序工作时间为16h/d，则本项目破碎、筛分粉尘产生量约为</w:t>
      </w:r>
      <w:r>
        <w:rPr>
          <w:rFonts w:hint="eastAsia" w:cs="Times New Roman"/>
          <w:color w:val="auto"/>
          <w:highlight w:val="none"/>
        </w:rPr>
        <w:t>35.45</w:t>
      </w:r>
      <w:r>
        <w:rPr>
          <w:rFonts w:cs="Times New Roman"/>
          <w:color w:val="auto"/>
          <w:highlight w:val="none"/>
        </w:rPr>
        <w:t>kg/h（</w:t>
      </w:r>
      <w:r>
        <w:rPr>
          <w:rFonts w:hint="eastAsia" w:cs="Times New Roman"/>
          <w:color w:val="auto"/>
          <w:highlight w:val="none"/>
        </w:rPr>
        <w:t>187.18</w:t>
      </w:r>
      <w:r>
        <w:rPr>
          <w:rFonts w:cs="Times New Roman"/>
          <w:color w:val="auto"/>
          <w:highlight w:val="none"/>
        </w:rPr>
        <w:t>t/a）。</w:t>
      </w:r>
    </w:p>
    <w:p w14:paraId="4718B537">
      <w:pPr>
        <w:adjustRightInd w:val="0"/>
        <w:ind w:firstLine="482"/>
        <w:rPr>
          <w:rFonts w:cs="Times New Roman"/>
          <w:color w:val="auto"/>
          <w:highlight w:val="none"/>
        </w:rPr>
      </w:pPr>
      <w:r>
        <w:rPr>
          <w:rFonts w:hint="eastAsia" w:cs="Times New Roman"/>
          <w:b/>
          <w:bCs/>
          <w:color w:val="auto"/>
          <w:highlight w:val="none"/>
        </w:rPr>
        <w:t>治理</w:t>
      </w:r>
      <w:r>
        <w:rPr>
          <w:rFonts w:cs="Times New Roman"/>
          <w:b/>
          <w:bCs/>
          <w:color w:val="auto"/>
          <w:highlight w:val="none"/>
        </w:rPr>
        <w:t>措施：</w:t>
      </w:r>
      <w:r>
        <w:rPr>
          <w:rFonts w:cs="Times New Roman"/>
          <w:color w:val="auto"/>
          <w:highlight w:val="none"/>
        </w:rPr>
        <w:t>本项目设置2台颚式破碎机、1台圆锥破碎机、1台立轴式冲击破和1台振动筛，均为封闭设备。本项目在颚式破碎机、圆锥破碎机</w:t>
      </w:r>
      <w:r>
        <w:rPr>
          <w:rFonts w:hint="eastAsia" w:cs="Times New Roman"/>
          <w:color w:val="auto"/>
          <w:highlight w:val="none"/>
        </w:rPr>
        <w:t>、</w:t>
      </w:r>
      <w:r>
        <w:rPr>
          <w:rFonts w:cs="Times New Roman"/>
          <w:color w:val="auto"/>
          <w:highlight w:val="none"/>
        </w:rPr>
        <w:t>立轴式冲击</w:t>
      </w:r>
      <w:r>
        <w:rPr>
          <w:rFonts w:hint="eastAsia" w:cs="Times New Roman"/>
          <w:color w:val="auto"/>
          <w:highlight w:val="none"/>
        </w:rPr>
        <w:t>和</w:t>
      </w:r>
      <w:r>
        <w:rPr>
          <w:rFonts w:cs="Times New Roman"/>
          <w:color w:val="auto"/>
          <w:highlight w:val="none"/>
        </w:rPr>
        <w:t>破</w:t>
      </w:r>
      <w:r>
        <w:rPr>
          <w:rFonts w:hint="eastAsia"/>
          <w:color w:val="auto"/>
          <w:highlight w:val="none"/>
        </w:rPr>
        <w:t>圆</w:t>
      </w:r>
      <w:r>
        <w:rPr>
          <w:rFonts w:cs="Times New Roman"/>
          <w:color w:val="auto"/>
          <w:highlight w:val="none"/>
        </w:rPr>
        <w:t>振动筛上方各设置1个集气罩，出料口与皮带输送机密闭连接</w:t>
      </w:r>
      <w:r>
        <w:rPr>
          <w:rFonts w:hint="eastAsia" w:cs="Times New Roman"/>
          <w:color w:val="auto"/>
          <w:highlight w:val="none"/>
        </w:rPr>
        <w:t>。根据《袋式除尘器技术要求》（GB/T 6719-2009），袋式除尘器除尘效率≥99.3%，为保守起见，本项目袋式除尘器除尘效率取99%。</w:t>
      </w:r>
      <w:r>
        <w:rPr>
          <w:rFonts w:cs="Times New Roman"/>
          <w:color w:val="auto"/>
          <w:highlight w:val="none"/>
        </w:rPr>
        <w:t>破碎粉尘经集气罩收集（收集效率80%）后经布袋除尘器（TA00</w:t>
      </w:r>
      <w:r>
        <w:rPr>
          <w:rFonts w:hint="eastAsia" w:cs="Times New Roman"/>
          <w:color w:val="auto"/>
          <w:highlight w:val="none"/>
        </w:rPr>
        <w:t>1</w:t>
      </w:r>
      <w:r>
        <w:rPr>
          <w:rFonts w:cs="Times New Roman"/>
          <w:color w:val="auto"/>
          <w:highlight w:val="none"/>
        </w:rPr>
        <w:t>，处理效率99%）处理后通过1根15m高排气筒（DA001）达标排放。</w:t>
      </w:r>
      <w:r>
        <w:rPr>
          <w:rFonts w:hint="eastAsia" w:cs="Times New Roman"/>
          <w:color w:val="auto"/>
          <w:highlight w:val="none"/>
        </w:rPr>
        <w:t>筛分</w:t>
      </w:r>
      <w:r>
        <w:rPr>
          <w:rFonts w:cs="Times New Roman"/>
          <w:color w:val="auto"/>
          <w:highlight w:val="none"/>
        </w:rPr>
        <w:t>粉尘经集气罩收集（收集效率80%）后经布袋除尘器（</w:t>
      </w:r>
      <w:r>
        <w:rPr>
          <w:rFonts w:hint="eastAsia" w:cs="Times New Roman"/>
          <w:color w:val="auto"/>
          <w:highlight w:val="none"/>
        </w:rPr>
        <w:t>TA002，</w:t>
      </w:r>
      <w:r>
        <w:rPr>
          <w:rFonts w:cs="Times New Roman"/>
          <w:color w:val="auto"/>
          <w:highlight w:val="none"/>
        </w:rPr>
        <w:t>处理效率99%）处理后通过1根15m高排气筒（DA001</w:t>
      </w:r>
      <w:r>
        <w:rPr>
          <w:rFonts w:hint="eastAsia" w:cs="Times New Roman"/>
          <w:color w:val="auto"/>
          <w:highlight w:val="none"/>
        </w:rPr>
        <w:t>，共用</w:t>
      </w:r>
      <w:r>
        <w:rPr>
          <w:rFonts w:cs="Times New Roman"/>
          <w:color w:val="auto"/>
          <w:highlight w:val="none"/>
        </w:rPr>
        <w:t>）达标排放</w:t>
      </w:r>
      <w:r>
        <w:rPr>
          <w:rFonts w:hint="eastAsia" w:cs="Times New Roman"/>
          <w:color w:val="auto"/>
          <w:highlight w:val="none"/>
        </w:rPr>
        <w:t>。</w:t>
      </w:r>
    </w:p>
    <w:p w14:paraId="19ECDA65">
      <w:pPr>
        <w:adjustRightInd w:val="0"/>
        <w:ind w:firstLine="482"/>
        <w:rPr>
          <w:rFonts w:cs="Times New Roman"/>
          <w:color w:val="auto"/>
          <w:highlight w:val="none"/>
        </w:rPr>
      </w:pPr>
      <w:r>
        <w:rPr>
          <w:rFonts w:cs="Times New Roman"/>
          <w:b/>
          <w:bCs/>
          <w:color w:val="auto"/>
          <w:highlight w:val="none"/>
        </w:rPr>
        <w:t>风量核算</w:t>
      </w:r>
      <w:r>
        <w:rPr>
          <w:rFonts w:cs="Times New Roman"/>
          <w:color w:val="auto"/>
          <w:highlight w:val="none"/>
        </w:rPr>
        <w:t>：本项目设计集气罩形式为外部集气罩，本项目工序均设置在封闭生产车间内，废气排放形式主要以逸散形式排出，参考《简明通风设计手册》，风量计算公式如下：</w:t>
      </w:r>
    </w:p>
    <w:p w14:paraId="2E831F3F">
      <w:pPr>
        <w:overflowPunct w:val="0"/>
        <w:adjustRightInd w:val="0"/>
        <w:ind w:firstLine="0" w:firstLineChars="0"/>
        <w:jc w:val="center"/>
        <w:rPr>
          <w:rFonts w:cs="Times New Roman"/>
          <w:bCs/>
          <w:color w:val="auto"/>
          <w:kern w:val="21"/>
          <w:szCs w:val="22"/>
          <w:highlight w:val="none"/>
        </w:rPr>
      </w:pPr>
      <w:r>
        <w:rPr>
          <w:rFonts w:cs="Times New Roman"/>
          <w:bCs/>
          <w:color w:val="auto"/>
          <w:kern w:val="21"/>
          <w:szCs w:val="22"/>
          <w:highlight w:val="none"/>
        </w:rPr>
        <w:t>Q=3600×K×P×H×v</w:t>
      </w:r>
      <w:r>
        <w:rPr>
          <w:rFonts w:cs="Times New Roman"/>
          <w:bCs/>
          <w:color w:val="auto"/>
          <w:kern w:val="21"/>
          <w:szCs w:val="22"/>
          <w:highlight w:val="none"/>
          <w:vertAlign w:val="subscript"/>
        </w:rPr>
        <w:t>0</w:t>
      </w:r>
    </w:p>
    <w:p w14:paraId="77528375">
      <w:pPr>
        <w:overflowPunct w:val="0"/>
        <w:adjustRightInd w:val="0"/>
        <w:ind w:firstLine="480"/>
        <w:rPr>
          <w:rFonts w:cs="Times New Roman"/>
          <w:bCs/>
          <w:color w:val="auto"/>
          <w:kern w:val="21"/>
          <w:szCs w:val="22"/>
          <w:highlight w:val="none"/>
        </w:rPr>
      </w:pPr>
      <w:r>
        <w:rPr>
          <w:rFonts w:cs="Times New Roman"/>
          <w:bCs/>
          <w:color w:val="auto"/>
          <w:kern w:val="21"/>
          <w:szCs w:val="22"/>
          <w:highlight w:val="none"/>
        </w:rPr>
        <w:t>式中：</w:t>
      </w:r>
    </w:p>
    <w:p w14:paraId="338A1BF6">
      <w:pPr>
        <w:overflowPunct w:val="0"/>
        <w:adjustRightInd w:val="0"/>
        <w:ind w:firstLine="480"/>
        <w:rPr>
          <w:rFonts w:cs="Times New Roman"/>
          <w:bCs/>
          <w:color w:val="auto"/>
          <w:kern w:val="21"/>
          <w:szCs w:val="22"/>
          <w:highlight w:val="none"/>
        </w:rPr>
      </w:pPr>
      <w:r>
        <w:rPr>
          <w:rFonts w:cs="Times New Roman"/>
          <w:bCs/>
          <w:i/>
          <w:iCs/>
          <w:color w:val="auto"/>
          <w:kern w:val="21"/>
          <w:szCs w:val="22"/>
          <w:highlight w:val="none"/>
        </w:rPr>
        <w:t>Q——</w:t>
      </w:r>
      <w:r>
        <w:rPr>
          <w:rFonts w:cs="Times New Roman"/>
          <w:bCs/>
          <w:color w:val="auto"/>
          <w:kern w:val="21"/>
          <w:szCs w:val="22"/>
          <w:highlight w:val="none"/>
        </w:rPr>
        <w:t>设计风量，m</w:t>
      </w:r>
      <w:r>
        <w:rPr>
          <w:rFonts w:cs="Times New Roman"/>
          <w:bCs/>
          <w:color w:val="auto"/>
          <w:kern w:val="21"/>
          <w:szCs w:val="22"/>
          <w:highlight w:val="none"/>
          <w:vertAlign w:val="superscript"/>
        </w:rPr>
        <w:t>3</w:t>
      </w:r>
      <w:r>
        <w:rPr>
          <w:rFonts w:cs="Times New Roman"/>
          <w:bCs/>
          <w:color w:val="auto"/>
          <w:kern w:val="21"/>
          <w:szCs w:val="22"/>
          <w:highlight w:val="none"/>
        </w:rPr>
        <w:t>/h；</w:t>
      </w:r>
    </w:p>
    <w:p w14:paraId="545F7AF7">
      <w:pPr>
        <w:overflowPunct w:val="0"/>
        <w:adjustRightInd w:val="0"/>
        <w:ind w:firstLine="480"/>
        <w:rPr>
          <w:rFonts w:cs="Times New Roman"/>
          <w:bCs/>
          <w:color w:val="auto"/>
          <w:kern w:val="21"/>
          <w:szCs w:val="22"/>
          <w:highlight w:val="none"/>
        </w:rPr>
      </w:pPr>
      <w:r>
        <w:rPr>
          <w:rFonts w:cs="Times New Roman"/>
          <w:bCs/>
          <w:i/>
          <w:iCs/>
          <w:color w:val="auto"/>
          <w:kern w:val="21"/>
          <w:szCs w:val="22"/>
          <w:highlight w:val="none"/>
        </w:rPr>
        <w:t>K——</w:t>
      </w:r>
      <w:r>
        <w:rPr>
          <w:rFonts w:cs="Times New Roman"/>
          <w:bCs/>
          <w:color w:val="auto"/>
          <w:kern w:val="21"/>
          <w:szCs w:val="22"/>
          <w:highlight w:val="none"/>
        </w:rPr>
        <w:t>考虑沿高度分布不均匀的安全系数，取1.4；</w:t>
      </w:r>
    </w:p>
    <w:p w14:paraId="6DFD4452">
      <w:pPr>
        <w:overflowPunct w:val="0"/>
        <w:adjustRightInd w:val="0"/>
        <w:ind w:firstLine="480"/>
        <w:rPr>
          <w:rFonts w:cs="Times New Roman"/>
          <w:bCs/>
          <w:color w:val="auto"/>
          <w:kern w:val="21"/>
          <w:szCs w:val="22"/>
          <w:highlight w:val="none"/>
        </w:rPr>
      </w:pPr>
      <w:r>
        <w:rPr>
          <w:rFonts w:cs="Times New Roman"/>
          <w:bCs/>
          <w:i/>
          <w:iCs/>
          <w:color w:val="auto"/>
          <w:kern w:val="21"/>
          <w:szCs w:val="22"/>
          <w:highlight w:val="none"/>
        </w:rPr>
        <w:t>P——</w:t>
      </w:r>
      <w:r>
        <w:rPr>
          <w:rFonts w:cs="Times New Roman"/>
          <w:bCs/>
          <w:color w:val="auto"/>
          <w:kern w:val="21"/>
          <w:szCs w:val="22"/>
          <w:highlight w:val="none"/>
        </w:rPr>
        <w:t>排风罩敞开面周长，m；</w:t>
      </w:r>
    </w:p>
    <w:p w14:paraId="283301E4">
      <w:pPr>
        <w:overflowPunct w:val="0"/>
        <w:adjustRightInd w:val="0"/>
        <w:ind w:firstLine="480"/>
        <w:rPr>
          <w:rFonts w:cs="Times New Roman"/>
          <w:bCs/>
          <w:color w:val="auto"/>
          <w:kern w:val="21"/>
          <w:szCs w:val="22"/>
          <w:highlight w:val="none"/>
        </w:rPr>
      </w:pPr>
      <w:r>
        <w:rPr>
          <w:rFonts w:cs="Times New Roman"/>
          <w:bCs/>
          <w:i/>
          <w:iCs/>
          <w:color w:val="auto"/>
          <w:kern w:val="21"/>
          <w:szCs w:val="22"/>
          <w:highlight w:val="none"/>
        </w:rPr>
        <w:t>H——</w:t>
      </w:r>
      <w:r>
        <w:rPr>
          <w:rFonts w:cs="Times New Roman"/>
          <w:bCs/>
          <w:color w:val="auto"/>
          <w:kern w:val="21"/>
          <w:szCs w:val="22"/>
          <w:highlight w:val="none"/>
        </w:rPr>
        <w:t>罩口至废气源距离，m；</w:t>
      </w:r>
    </w:p>
    <w:p w14:paraId="47DC444C">
      <w:pPr>
        <w:overflowPunct w:val="0"/>
        <w:adjustRightInd w:val="0"/>
        <w:ind w:firstLine="480"/>
        <w:rPr>
          <w:rFonts w:cs="Times New Roman"/>
          <w:b/>
          <w:color w:val="auto"/>
          <w:kern w:val="21"/>
          <w:szCs w:val="22"/>
          <w:highlight w:val="none"/>
        </w:rPr>
      </w:pPr>
      <w:r>
        <w:rPr>
          <w:rFonts w:cs="Times New Roman"/>
          <w:bCs/>
          <w:i/>
          <w:iCs/>
          <w:color w:val="auto"/>
          <w:kern w:val="21"/>
          <w:szCs w:val="22"/>
          <w:highlight w:val="none"/>
        </w:rPr>
        <w:t>v</w:t>
      </w:r>
      <w:r>
        <w:rPr>
          <w:rFonts w:cs="Times New Roman"/>
          <w:bCs/>
          <w:i/>
          <w:iCs/>
          <w:color w:val="auto"/>
          <w:kern w:val="21"/>
          <w:szCs w:val="22"/>
          <w:highlight w:val="none"/>
          <w:vertAlign w:val="subscript"/>
        </w:rPr>
        <w:t>0</w:t>
      </w:r>
      <w:r>
        <w:rPr>
          <w:rFonts w:cs="Times New Roman"/>
          <w:bCs/>
          <w:i/>
          <w:iCs/>
          <w:color w:val="auto"/>
          <w:kern w:val="21"/>
          <w:szCs w:val="22"/>
          <w:highlight w:val="none"/>
        </w:rPr>
        <w:t>——</w:t>
      </w:r>
      <w:r>
        <w:rPr>
          <w:rFonts w:cs="Times New Roman"/>
          <w:bCs/>
          <w:color w:val="auto"/>
          <w:kern w:val="21"/>
          <w:szCs w:val="22"/>
          <w:highlight w:val="none"/>
        </w:rPr>
        <w:t>边缘控制点控制风速，m/s，</w:t>
      </w:r>
      <w:r>
        <w:rPr>
          <w:rFonts w:cs="Times New Roman"/>
          <w:color w:val="auto"/>
          <w:kern w:val="21"/>
          <w:szCs w:val="22"/>
          <w:highlight w:val="none"/>
        </w:rPr>
        <w:t>最小控制风速为0.25-0.5m/s，本项目取0.5m/s；</w:t>
      </w:r>
    </w:p>
    <w:p w14:paraId="6834E17D">
      <w:pPr>
        <w:adjustRightInd w:val="0"/>
        <w:ind w:firstLine="480"/>
        <w:rPr>
          <w:rFonts w:cs="Times New Roman"/>
          <w:color w:val="auto"/>
          <w:highlight w:val="none"/>
        </w:rPr>
      </w:pPr>
      <w:r>
        <w:rPr>
          <w:rFonts w:cs="Times New Roman"/>
          <w:color w:val="auto"/>
          <w:highlight w:val="none"/>
        </w:rPr>
        <w:t>本项目给料、破碎、筛分风量计算情况见下表。</w:t>
      </w:r>
    </w:p>
    <w:p w14:paraId="4FBB55FF">
      <w:pPr>
        <w:keepNext/>
        <w:adjustRightInd w:val="0"/>
        <w:spacing w:line="240" w:lineRule="auto"/>
        <w:ind w:firstLine="0" w:firstLineChars="0"/>
        <w:jc w:val="center"/>
        <w:rPr>
          <w:rFonts w:cs="Times New Roman"/>
          <w:b/>
          <w:color w:val="auto"/>
          <w:kern w:val="21"/>
          <w:sz w:val="21"/>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6</w:t>
      </w:r>
      <w:r>
        <w:rPr>
          <w:rFonts w:cs="Times New Roman"/>
          <w:b/>
          <w:color w:val="auto"/>
          <w:sz w:val="21"/>
          <w:szCs w:val="20"/>
          <w:highlight w:val="none"/>
        </w:rPr>
        <w:fldChar w:fldCharType="end"/>
      </w:r>
      <w:r>
        <w:rPr>
          <w:rFonts w:cs="Times New Roman"/>
          <w:b/>
          <w:color w:val="auto"/>
          <w:kern w:val="21"/>
          <w:sz w:val="21"/>
          <w:highlight w:val="none"/>
        </w:rPr>
        <w:t>本项目破碎、筛分粉尘收集系统</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1390"/>
        <w:gridCol w:w="1268"/>
        <w:gridCol w:w="944"/>
        <w:gridCol w:w="985"/>
        <w:gridCol w:w="993"/>
        <w:gridCol w:w="1051"/>
        <w:gridCol w:w="1051"/>
      </w:tblGrid>
      <w:tr w14:paraId="4F1F2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90" w:type="pct"/>
            <w:vAlign w:val="center"/>
          </w:tcPr>
          <w:p w14:paraId="60DEEC74">
            <w:pPr>
              <w:pStyle w:val="37"/>
              <w:rPr>
                <w:b/>
                <w:bCs/>
                <w:color w:val="auto"/>
                <w:highlight w:val="none"/>
              </w:rPr>
            </w:pPr>
            <w:r>
              <w:rPr>
                <w:b/>
                <w:bCs/>
                <w:color w:val="auto"/>
                <w:highlight w:val="none"/>
              </w:rPr>
              <w:t>工序</w:t>
            </w:r>
          </w:p>
        </w:tc>
        <w:tc>
          <w:tcPr>
            <w:tcW w:w="816" w:type="pct"/>
            <w:vAlign w:val="center"/>
          </w:tcPr>
          <w:p w14:paraId="63220FA8">
            <w:pPr>
              <w:pStyle w:val="37"/>
              <w:rPr>
                <w:b/>
                <w:bCs/>
                <w:color w:val="auto"/>
                <w:highlight w:val="none"/>
              </w:rPr>
            </w:pPr>
            <w:r>
              <w:rPr>
                <w:b/>
                <w:bCs/>
                <w:color w:val="auto"/>
                <w:highlight w:val="none"/>
              </w:rPr>
              <w:t>产污节点</w:t>
            </w:r>
          </w:p>
        </w:tc>
        <w:tc>
          <w:tcPr>
            <w:tcW w:w="744" w:type="pct"/>
            <w:vAlign w:val="center"/>
          </w:tcPr>
          <w:p w14:paraId="2CBF80FD">
            <w:pPr>
              <w:pStyle w:val="37"/>
              <w:rPr>
                <w:b/>
                <w:bCs/>
                <w:color w:val="auto"/>
                <w:highlight w:val="none"/>
              </w:rPr>
            </w:pPr>
            <w:r>
              <w:rPr>
                <w:b/>
                <w:bCs/>
                <w:color w:val="auto"/>
                <w:highlight w:val="none"/>
              </w:rPr>
              <w:t>收集方式及数量</w:t>
            </w:r>
          </w:p>
        </w:tc>
        <w:tc>
          <w:tcPr>
            <w:tcW w:w="554" w:type="pct"/>
            <w:vAlign w:val="center"/>
          </w:tcPr>
          <w:p w14:paraId="49C44566">
            <w:pPr>
              <w:pStyle w:val="37"/>
              <w:rPr>
                <w:b/>
                <w:bCs/>
                <w:color w:val="auto"/>
                <w:highlight w:val="none"/>
              </w:rPr>
            </w:pPr>
            <w:r>
              <w:rPr>
                <w:b/>
                <w:bCs/>
                <w:color w:val="auto"/>
                <w:highlight w:val="none"/>
              </w:rPr>
              <w:t>排风罩敞开面周长（m）</w:t>
            </w:r>
          </w:p>
        </w:tc>
        <w:tc>
          <w:tcPr>
            <w:tcW w:w="578" w:type="pct"/>
            <w:vAlign w:val="center"/>
          </w:tcPr>
          <w:p w14:paraId="09A72B95">
            <w:pPr>
              <w:pStyle w:val="37"/>
              <w:rPr>
                <w:b/>
                <w:bCs/>
                <w:color w:val="auto"/>
                <w:highlight w:val="none"/>
              </w:rPr>
            </w:pPr>
            <w:r>
              <w:rPr>
                <w:b/>
                <w:bCs/>
                <w:color w:val="auto"/>
                <w:highlight w:val="none"/>
              </w:rPr>
              <w:t>罩口至废气源距离（m）</w:t>
            </w:r>
          </w:p>
        </w:tc>
        <w:tc>
          <w:tcPr>
            <w:tcW w:w="582" w:type="pct"/>
            <w:vAlign w:val="center"/>
          </w:tcPr>
          <w:p w14:paraId="6D3F9837">
            <w:pPr>
              <w:pStyle w:val="37"/>
              <w:rPr>
                <w:b/>
                <w:bCs/>
                <w:color w:val="auto"/>
                <w:highlight w:val="none"/>
              </w:rPr>
            </w:pPr>
            <w:r>
              <w:rPr>
                <w:b/>
                <w:bCs/>
                <w:color w:val="auto"/>
                <w:highlight w:val="none"/>
              </w:rPr>
              <w:t>控制风速（m/s）</w:t>
            </w:r>
          </w:p>
        </w:tc>
        <w:tc>
          <w:tcPr>
            <w:tcW w:w="617" w:type="pct"/>
            <w:vAlign w:val="center"/>
          </w:tcPr>
          <w:p w14:paraId="3BBF72D0">
            <w:pPr>
              <w:pStyle w:val="37"/>
              <w:rPr>
                <w:b/>
                <w:bCs/>
                <w:color w:val="auto"/>
                <w:highlight w:val="none"/>
              </w:rPr>
            </w:pPr>
            <w:r>
              <w:rPr>
                <w:b/>
                <w:bCs/>
                <w:color w:val="auto"/>
                <w:highlight w:val="none"/>
              </w:rPr>
              <w:t>风量（m³/h）</w:t>
            </w:r>
          </w:p>
        </w:tc>
        <w:tc>
          <w:tcPr>
            <w:tcW w:w="617" w:type="pct"/>
            <w:vAlign w:val="center"/>
          </w:tcPr>
          <w:p w14:paraId="3AA460B7">
            <w:pPr>
              <w:pStyle w:val="37"/>
              <w:rPr>
                <w:b/>
                <w:bCs/>
                <w:color w:val="auto"/>
                <w:highlight w:val="none"/>
              </w:rPr>
            </w:pPr>
            <w:r>
              <w:rPr>
                <w:b/>
                <w:bCs/>
                <w:color w:val="auto"/>
                <w:highlight w:val="none"/>
              </w:rPr>
              <w:t>设计风量（m³/h）</w:t>
            </w:r>
          </w:p>
        </w:tc>
      </w:tr>
      <w:tr w14:paraId="42AB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490" w:type="pct"/>
            <w:vAlign w:val="center"/>
          </w:tcPr>
          <w:p w14:paraId="7A1EFD2C">
            <w:pPr>
              <w:pStyle w:val="37"/>
              <w:rPr>
                <w:color w:val="auto"/>
                <w:highlight w:val="none"/>
              </w:rPr>
            </w:pPr>
            <w:r>
              <w:rPr>
                <w:color w:val="auto"/>
                <w:highlight w:val="none"/>
              </w:rPr>
              <w:t>给料</w:t>
            </w:r>
          </w:p>
        </w:tc>
        <w:tc>
          <w:tcPr>
            <w:tcW w:w="816" w:type="pct"/>
            <w:vAlign w:val="center"/>
          </w:tcPr>
          <w:p w14:paraId="11E378DF">
            <w:pPr>
              <w:pStyle w:val="37"/>
              <w:rPr>
                <w:color w:val="auto"/>
                <w:highlight w:val="none"/>
              </w:rPr>
            </w:pPr>
            <w:r>
              <w:rPr>
                <w:color w:val="auto"/>
                <w:highlight w:val="none"/>
              </w:rPr>
              <w:t>给料机×</w:t>
            </w:r>
            <w:r>
              <w:rPr>
                <w:rFonts w:hint="eastAsia"/>
                <w:color w:val="auto"/>
                <w:highlight w:val="none"/>
              </w:rPr>
              <w:t>3</w:t>
            </w:r>
          </w:p>
        </w:tc>
        <w:tc>
          <w:tcPr>
            <w:tcW w:w="744" w:type="pct"/>
            <w:vAlign w:val="center"/>
          </w:tcPr>
          <w:p w14:paraId="5EA0CE77">
            <w:pPr>
              <w:pStyle w:val="37"/>
              <w:rPr>
                <w:color w:val="auto"/>
                <w:highlight w:val="none"/>
              </w:rPr>
            </w:pPr>
            <w:r>
              <w:rPr>
                <w:color w:val="auto"/>
                <w:highlight w:val="none"/>
              </w:rPr>
              <w:t>集气罩×</w:t>
            </w:r>
            <w:r>
              <w:rPr>
                <w:rFonts w:hint="eastAsia"/>
                <w:color w:val="auto"/>
                <w:highlight w:val="none"/>
              </w:rPr>
              <w:t>3</w:t>
            </w:r>
          </w:p>
        </w:tc>
        <w:tc>
          <w:tcPr>
            <w:tcW w:w="554" w:type="pct"/>
            <w:vAlign w:val="center"/>
          </w:tcPr>
          <w:p w14:paraId="5A1D81B2">
            <w:pPr>
              <w:pStyle w:val="37"/>
              <w:rPr>
                <w:color w:val="auto"/>
                <w:highlight w:val="none"/>
              </w:rPr>
            </w:pPr>
            <w:r>
              <w:rPr>
                <w:rFonts w:hint="eastAsia"/>
                <w:color w:val="auto"/>
                <w:highlight w:val="none"/>
              </w:rPr>
              <w:t>2</w:t>
            </w:r>
          </w:p>
        </w:tc>
        <w:tc>
          <w:tcPr>
            <w:tcW w:w="578" w:type="pct"/>
            <w:vAlign w:val="center"/>
          </w:tcPr>
          <w:p w14:paraId="39057B08">
            <w:pPr>
              <w:pStyle w:val="37"/>
              <w:rPr>
                <w:color w:val="auto"/>
                <w:highlight w:val="none"/>
              </w:rPr>
            </w:pPr>
            <w:r>
              <w:rPr>
                <w:rFonts w:hint="eastAsia"/>
                <w:color w:val="auto"/>
                <w:highlight w:val="none"/>
              </w:rPr>
              <w:t>0.5</w:t>
            </w:r>
          </w:p>
        </w:tc>
        <w:tc>
          <w:tcPr>
            <w:tcW w:w="582" w:type="pct"/>
            <w:vAlign w:val="center"/>
          </w:tcPr>
          <w:p w14:paraId="224DB4EE">
            <w:pPr>
              <w:pStyle w:val="37"/>
              <w:rPr>
                <w:color w:val="auto"/>
                <w:highlight w:val="none"/>
              </w:rPr>
            </w:pPr>
            <w:r>
              <w:rPr>
                <w:color w:val="auto"/>
                <w:highlight w:val="none"/>
              </w:rPr>
              <w:t>0.5</w:t>
            </w:r>
          </w:p>
        </w:tc>
        <w:tc>
          <w:tcPr>
            <w:tcW w:w="617" w:type="pct"/>
            <w:vAlign w:val="center"/>
          </w:tcPr>
          <w:p w14:paraId="1A22CBD4">
            <w:pPr>
              <w:pStyle w:val="37"/>
              <w:rPr>
                <w:color w:val="auto"/>
                <w:highlight w:val="none"/>
              </w:rPr>
            </w:pPr>
            <w:r>
              <w:rPr>
                <w:rFonts w:hint="eastAsia"/>
                <w:color w:val="auto"/>
                <w:highlight w:val="none"/>
              </w:rPr>
              <w:t>7560</w:t>
            </w:r>
          </w:p>
        </w:tc>
        <w:tc>
          <w:tcPr>
            <w:tcW w:w="617" w:type="pct"/>
            <w:vAlign w:val="center"/>
          </w:tcPr>
          <w:p w14:paraId="43F254CA">
            <w:pPr>
              <w:pStyle w:val="37"/>
              <w:rPr>
                <w:color w:val="auto"/>
                <w:highlight w:val="none"/>
              </w:rPr>
            </w:pPr>
            <w:r>
              <w:rPr>
                <w:color w:val="auto"/>
                <w:highlight w:val="none"/>
              </w:rPr>
              <w:t>/</w:t>
            </w:r>
          </w:p>
        </w:tc>
      </w:tr>
      <w:tr w14:paraId="09E5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restart"/>
            <w:vAlign w:val="center"/>
          </w:tcPr>
          <w:p w14:paraId="4C87E00D">
            <w:pPr>
              <w:pStyle w:val="37"/>
              <w:rPr>
                <w:color w:val="auto"/>
                <w:highlight w:val="none"/>
              </w:rPr>
            </w:pPr>
            <w:r>
              <w:rPr>
                <w:color w:val="auto"/>
                <w:highlight w:val="none"/>
              </w:rPr>
              <w:t>破碎</w:t>
            </w:r>
          </w:p>
        </w:tc>
        <w:tc>
          <w:tcPr>
            <w:tcW w:w="816" w:type="pct"/>
            <w:vAlign w:val="center"/>
          </w:tcPr>
          <w:p w14:paraId="13AB4059">
            <w:pPr>
              <w:pStyle w:val="37"/>
              <w:rPr>
                <w:color w:val="auto"/>
                <w:highlight w:val="none"/>
              </w:rPr>
            </w:pPr>
            <w:r>
              <w:rPr>
                <w:color w:val="auto"/>
                <w:highlight w:val="none"/>
              </w:rPr>
              <w:t>颚破机×2</w:t>
            </w:r>
          </w:p>
        </w:tc>
        <w:tc>
          <w:tcPr>
            <w:tcW w:w="744" w:type="pct"/>
            <w:vAlign w:val="center"/>
          </w:tcPr>
          <w:p w14:paraId="2BD03FD8">
            <w:pPr>
              <w:pStyle w:val="37"/>
              <w:rPr>
                <w:color w:val="auto"/>
                <w:highlight w:val="none"/>
              </w:rPr>
            </w:pPr>
            <w:r>
              <w:rPr>
                <w:color w:val="auto"/>
                <w:highlight w:val="none"/>
              </w:rPr>
              <w:t>集气罩×2</w:t>
            </w:r>
          </w:p>
        </w:tc>
        <w:tc>
          <w:tcPr>
            <w:tcW w:w="554" w:type="pct"/>
            <w:vAlign w:val="center"/>
          </w:tcPr>
          <w:p w14:paraId="6F2E0D12">
            <w:pPr>
              <w:pStyle w:val="37"/>
              <w:rPr>
                <w:color w:val="auto"/>
                <w:highlight w:val="none"/>
              </w:rPr>
            </w:pPr>
            <w:r>
              <w:rPr>
                <w:rFonts w:hint="eastAsia"/>
                <w:color w:val="auto"/>
                <w:highlight w:val="none"/>
              </w:rPr>
              <w:t>4</w:t>
            </w:r>
          </w:p>
        </w:tc>
        <w:tc>
          <w:tcPr>
            <w:tcW w:w="578" w:type="pct"/>
            <w:vAlign w:val="center"/>
          </w:tcPr>
          <w:p w14:paraId="54B84FF1">
            <w:pPr>
              <w:pStyle w:val="37"/>
              <w:rPr>
                <w:color w:val="auto"/>
                <w:highlight w:val="none"/>
              </w:rPr>
            </w:pPr>
            <w:r>
              <w:rPr>
                <w:rFonts w:hint="eastAsia"/>
                <w:color w:val="auto"/>
                <w:highlight w:val="none"/>
              </w:rPr>
              <w:t>0.5</w:t>
            </w:r>
          </w:p>
        </w:tc>
        <w:tc>
          <w:tcPr>
            <w:tcW w:w="582" w:type="pct"/>
            <w:vAlign w:val="center"/>
          </w:tcPr>
          <w:p w14:paraId="3DDFB9AD">
            <w:pPr>
              <w:pStyle w:val="37"/>
              <w:rPr>
                <w:color w:val="auto"/>
                <w:highlight w:val="none"/>
              </w:rPr>
            </w:pPr>
            <w:r>
              <w:rPr>
                <w:color w:val="auto"/>
                <w:highlight w:val="none"/>
              </w:rPr>
              <w:t>0.5</w:t>
            </w:r>
          </w:p>
        </w:tc>
        <w:tc>
          <w:tcPr>
            <w:tcW w:w="617" w:type="pct"/>
            <w:vAlign w:val="center"/>
          </w:tcPr>
          <w:p w14:paraId="4AE2F59E">
            <w:pPr>
              <w:pStyle w:val="37"/>
              <w:rPr>
                <w:color w:val="auto"/>
                <w:highlight w:val="none"/>
              </w:rPr>
            </w:pPr>
            <w:r>
              <w:rPr>
                <w:rFonts w:hint="eastAsia"/>
                <w:color w:val="auto"/>
                <w:highlight w:val="none"/>
              </w:rPr>
              <w:t>10080</w:t>
            </w:r>
          </w:p>
        </w:tc>
        <w:tc>
          <w:tcPr>
            <w:tcW w:w="617" w:type="pct"/>
            <w:vAlign w:val="center"/>
          </w:tcPr>
          <w:p w14:paraId="7FF58B15">
            <w:pPr>
              <w:pStyle w:val="37"/>
              <w:rPr>
                <w:color w:val="auto"/>
                <w:highlight w:val="none"/>
              </w:rPr>
            </w:pPr>
            <w:r>
              <w:rPr>
                <w:color w:val="auto"/>
                <w:highlight w:val="none"/>
              </w:rPr>
              <w:t>/</w:t>
            </w:r>
          </w:p>
        </w:tc>
      </w:tr>
      <w:tr w14:paraId="3CCD9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vAlign w:val="center"/>
          </w:tcPr>
          <w:p w14:paraId="4828459D">
            <w:pPr>
              <w:pStyle w:val="37"/>
              <w:rPr>
                <w:color w:val="auto"/>
                <w:highlight w:val="none"/>
              </w:rPr>
            </w:pPr>
          </w:p>
        </w:tc>
        <w:tc>
          <w:tcPr>
            <w:tcW w:w="816" w:type="pct"/>
            <w:vAlign w:val="center"/>
          </w:tcPr>
          <w:p w14:paraId="4C03747F">
            <w:pPr>
              <w:pStyle w:val="37"/>
              <w:rPr>
                <w:color w:val="auto"/>
                <w:highlight w:val="none"/>
              </w:rPr>
            </w:pPr>
            <w:r>
              <w:rPr>
                <w:color w:val="auto"/>
                <w:highlight w:val="none"/>
              </w:rPr>
              <w:t>圆锥破碎机×1</w:t>
            </w:r>
          </w:p>
        </w:tc>
        <w:tc>
          <w:tcPr>
            <w:tcW w:w="744" w:type="pct"/>
            <w:vAlign w:val="center"/>
          </w:tcPr>
          <w:p w14:paraId="3B990B85">
            <w:pPr>
              <w:pStyle w:val="37"/>
              <w:rPr>
                <w:color w:val="auto"/>
                <w:highlight w:val="none"/>
              </w:rPr>
            </w:pPr>
            <w:r>
              <w:rPr>
                <w:color w:val="auto"/>
                <w:highlight w:val="none"/>
              </w:rPr>
              <w:t>集气罩×1</w:t>
            </w:r>
          </w:p>
        </w:tc>
        <w:tc>
          <w:tcPr>
            <w:tcW w:w="554" w:type="pct"/>
            <w:vAlign w:val="center"/>
          </w:tcPr>
          <w:p w14:paraId="795BCFEB">
            <w:pPr>
              <w:pStyle w:val="37"/>
              <w:rPr>
                <w:color w:val="auto"/>
                <w:highlight w:val="none"/>
              </w:rPr>
            </w:pPr>
            <w:r>
              <w:rPr>
                <w:rFonts w:hint="eastAsia"/>
                <w:color w:val="auto"/>
                <w:highlight w:val="none"/>
              </w:rPr>
              <w:t>4</w:t>
            </w:r>
          </w:p>
        </w:tc>
        <w:tc>
          <w:tcPr>
            <w:tcW w:w="578" w:type="pct"/>
            <w:vAlign w:val="center"/>
          </w:tcPr>
          <w:p w14:paraId="52446C12">
            <w:pPr>
              <w:pStyle w:val="37"/>
              <w:rPr>
                <w:color w:val="auto"/>
                <w:highlight w:val="none"/>
              </w:rPr>
            </w:pPr>
            <w:r>
              <w:rPr>
                <w:rFonts w:hint="eastAsia"/>
                <w:color w:val="auto"/>
                <w:highlight w:val="none"/>
              </w:rPr>
              <w:t>0.5</w:t>
            </w:r>
          </w:p>
        </w:tc>
        <w:tc>
          <w:tcPr>
            <w:tcW w:w="582" w:type="pct"/>
            <w:vAlign w:val="center"/>
          </w:tcPr>
          <w:p w14:paraId="25F2D891">
            <w:pPr>
              <w:pStyle w:val="37"/>
              <w:rPr>
                <w:color w:val="auto"/>
                <w:highlight w:val="none"/>
              </w:rPr>
            </w:pPr>
            <w:r>
              <w:rPr>
                <w:color w:val="auto"/>
                <w:highlight w:val="none"/>
              </w:rPr>
              <w:t>0.5</w:t>
            </w:r>
          </w:p>
        </w:tc>
        <w:tc>
          <w:tcPr>
            <w:tcW w:w="617" w:type="pct"/>
            <w:vAlign w:val="center"/>
          </w:tcPr>
          <w:p w14:paraId="706AE6F9">
            <w:pPr>
              <w:pStyle w:val="37"/>
              <w:rPr>
                <w:color w:val="auto"/>
                <w:highlight w:val="none"/>
              </w:rPr>
            </w:pPr>
            <w:r>
              <w:rPr>
                <w:rFonts w:hint="eastAsia"/>
                <w:color w:val="auto"/>
                <w:highlight w:val="none"/>
              </w:rPr>
              <w:t>5040</w:t>
            </w:r>
          </w:p>
        </w:tc>
        <w:tc>
          <w:tcPr>
            <w:tcW w:w="617" w:type="pct"/>
            <w:vAlign w:val="center"/>
          </w:tcPr>
          <w:p w14:paraId="502BD66B">
            <w:pPr>
              <w:pStyle w:val="37"/>
              <w:rPr>
                <w:color w:val="auto"/>
                <w:highlight w:val="none"/>
              </w:rPr>
            </w:pPr>
            <w:r>
              <w:rPr>
                <w:color w:val="auto"/>
                <w:highlight w:val="none"/>
              </w:rPr>
              <w:t>/</w:t>
            </w:r>
          </w:p>
        </w:tc>
      </w:tr>
      <w:tr w14:paraId="321F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Merge w:val="continue"/>
            <w:vAlign w:val="center"/>
          </w:tcPr>
          <w:p w14:paraId="36818477">
            <w:pPr>
              <w:pStyle w:val="37"/>
              <w:rPr>
                <w:color w:val="auto"/>
                <w:highlight w:val="none"/>
              </w:rPr>
            </w:pPr>
          </w:p>
        </w:tc>
        <w:tc>
          <w:tcPr>
            <w:tcW w:w="816" w:type="pct"/>
            <w:vAlign w:val="center"/>
          </w:tcPr>
          <w:p w14:paraId="21C3907D">
            <w:pPr>
              <w:pStyle w:val="37"/>
              <w:rPr>
                <w:color w:val="auto"/>
                <w:highlight w:val="none"/>
              </w:rPr>
            </w:pPr>
            <w:r>
              <w:rPr>
                <w:color w:val="auto"/>
                <w:highlight w:val="none"/>
              </w:rPr>
              <w:t>立轴式冲击破×1</w:t>
            </w:r>
          </w:p>
        </w:tc>
        <w:tc>
          <w:tcPr>
            <w:tcW w:w="744" w:type="pct"/>
            <w:vAlign w:val="center"/>
          </w:tcPr>
          <w:p w14:paraId="668ADB48">
            <w:pPr>
              <w:pStyle w:val="37"/>
              <w:rPr>
                <w:color w:val="auto"/>
                <w:highlight w:val="none"/>
              </w:rPr>
            </w:pPr>
            <w:r>
              <w:rPr>
                <w:color w:val="auto"/>
                <w:highlight w:val="none"/>
              </w:rPr>
              <w:t>集气罩×1</w:t>
            </w:r>
          </w:p>
        </w:tc>
        <w:tc>
          <w:tcPr>
            <w:tcW w:w="554" w:type="pct"/>
            <w:vAlign w:val="center"/>
          </w:tcPr>
          <w:p w14:paraId="780B4B1E">
            <w:pPr>
              <w:pStyle w:val="37"/>
              <w:rPr>
                <w:color w:val="auto"/>
                <w:highlight w:val="none"/>
              </w:rPr>
            </w:pPr>
            <w:r>
              <w:rPr>
                <w:rFonts w:hint="eastAsia"/>
                <w:color w:val="auto"/>
                <w:highlight w:val="none"/>
              </w:rPr>
              <w:t>4</w:t>
            </w:r>
          </w:p>
        </w:tc>
        <w:tc>
          <w:tcPr>
            <w:tcW w:w="578" w:type="pct"/>
            <w:vAlign w:val="center"/>
          </w:tcPr>
          <w:p w14:paraId="644DC8AA">
            <w:pPr>
              <w:pStyle w:val="37"/>
              <w:rPr>
                <w:color w:val="auto"/>
                <w:highlight w:val="none"/>
              </w:rPr>
            </w:pPr>
            <w:r>
              <w:rPr>
                <w:rFonts w:hint="eastAsia"/>
                <w:color w:val="auto"/>
                <w:highlight w:val="none"/>
              </w:rPr>
              <w:t>0.5</w:t>
            </w:r>
          </w:p>
        </w:tc>
        <w:tc>
          <w:tcPr>
            <w:tcW w:w="582" w:type="pct"/>
            <w:vAlign w:val="center"/>
          </w:tcPr>
          <w:p w14:paraId="17180AE3">
            <w:pPr>
              <w:pStyle w:val="37"/>
              <w:rPr>
                <w:color w:val="auto"/>
                <w:highlight w:val="none"/>
              </w:rPr>
            </w:pPr>
            <w:r>
              <w:rPr>
                <w:color w:val="auto"/>
                <w:highlight w:val="none"/>
              </w:rPr>
              <w:t>0.5</w:t>
            </w:r>
          </w:p>
        </w:tc>
        <w:tc>
          <w:tcPr>
            <w:tcW w:w="617" w:type="pct"/>
            <w:vAlign w:val="center"/>
          </w:tcPr>
          <w:p w14:paraId="106653E0">
            <w:pPr>
              <w:pStyle w:val="37"/>
              <w:rPr>
                <w:color w:val="auto"/>
                <w:highlight w:val="none"/>
              </w:rPr>
            </w:pPr>
            <w:r>
              <w:rPr>
                <w:color w:val="auto"/>
                <w:highlight w:val="none"/>
              </w:rPr>
              <w:t>5040</w:t>
            </w:r>
          </w:p>
        </w:tc>
        <w:tc>
          <w:tcPr>
            <w:tcW w:w="617" w:type="pct"/>
            <w:vAlign w:val="center"/>
          </w:tcPr>
          <w:p w14:paraId="40AC6EB3">
            <w:pPr>
              <w:pStyle w:val="37"/>
              <w:rPr>
                <w:color w:val="auto"/>
                <w:highlight w:val="none"/>
              </w:rPr>
            </w:pPr>
            <w:r>
              <w:rPr>
                <w:rFonts w:hint="eastAsia"/>
                <w:color w:val="auto"/>
                <w:highlight w:val="none"/>
              </w:rPr>
              <w:t>/</w:t>
            </w:r>
          </w:p>
        </w:tc>
      </w:tr>
      <w:tr w14:paraId="4389D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5" w:type="pct"/>
            <w:gridSpan w:val="6"/>
            <w:vAlign w:val="center"/>
          </w:tcPr>
          <w:p w14:paraId="00EEE4E3">
            <w:pPr>
              <w:pStyle w:val="37"/>
              <w:rPr>
                <w:color w:val="auto"/>
                <w:highlight w:val="none"/>
              </w:rPr>
            </w:pPr>
            <w:r>
              <w:rPr>
                <w:rFonts w:hint="eastAsia"/>
                <w:color w:val="auto"/>
                <w:highlight w:val="none"/>
              </w:rPr>
              <w:t>给料、破碎合计（TA001）</w:t>
            </w:r>
          </w:p>
        </w:tc>
        <w:tc>
          <w:tcPr>
            <w:tcW w:w="617" w:type="pct"/>
            <w:vAlign w:val="center"/>
          </w:tcPr>
          <w:p w14:paraId="67CF8E90">
            <w:pPr>
              <w:pStyle w:val="37"/>
              <w:rPr>
                <w:color w:val="auto"/>
                <w:highlight w:val="none"/>
              </w:rPr>
            </w:pPr>
            <w:r>
              <w:rPr>
                <w:rFonts w:hint="eastAsia"/>
                <w:color w:val="auto"/>
                <w:highlight w:val="none"/>
              </w:rPr>
              <w:t>27720</w:t>
            </w:r>
          </w:p>
        </w:tc>
        <w:tc>
          <w:tcPr>
            <w:tcW w:w="617" w:type="pct"/>
            <w:vAlign w:val="center"/>
          </w:tcPr>
          <w:p w14:paraId="209D09B3">
            <w:pPr>
              <w:pStyle w:val="37"/>
              <w:rPr>
                <w:color w:val="auto"/>
                <w:highlight w:val="none"/>
              </w:rPr>
            </w:pPr>
            <w:r>
              <w:rPr>
                <w:rFonts w:hint="eastAsia"/>
                <w:color w:val="auto"/>
                <w:highlight w:val="none"/>
              </w:rPr>
              <w:t>35000</w:t>
            </w:r>
          </w:p>
        </w:tc>
      </w:tr>
      <w:tr w14:paraId="6357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0" w:type="pct"/>
            <w:vAlign w:val="center"/>
          </w:tcPr>
          <w:p w14:paraId="1B59029F">
            <w:pPr>
              <w:pStyle w:val="37"/>
              <w:rPr>
                <w:color w:val="auto"/>
                <w:highlight w:val="none"/>
              </w:rPr>
            </w:pPr>
            <w:r>
              <w:rPr>
                <w:color w:val="auto"/>
                <w:highlight w:val="none"/>
              </w:rPr>
              <w:t>筛分</w:t>
            </w:r>
          </w:p>
        </w:tc>
        <w:tc>
          <w:tcPr>
            <w:tcW w:w="816" w:type="pct"/>
            <w:vAlign w:val="center"/>
          </w:tcPr>
          <w:p w14:paraId="40C640A3">
            <w:pPr>
              <w:pStyle w:val="37"/>
              <w:rPr>
                <w:color w:val="auto"/>
                <w:highlight w:val="none"/>
              </w:rPr>
            </w:pPr>
            <w:r>
              <w:rPr>
                <w:rFonts w:hint="eastAsia"/>
                <w:color w:val="auto"/>
                <w:highlight w:val="none"/>
              </w:rPr>
              <w:t>圆</w:t>
            </w:r>
            <w:r>
              <w:rPr>
                <w:color w:val="auto"/>
                <w:highlight w:val="none"/>
              </w:rPr>
              <w:t>振动筛×1</w:t>
            </w:r>
          </w:p>
        </w:tc>
        <w:tc>
          <w:tcPr>
            <w:tcW w:w="744" w:type="pct"/>
            <w:vAlign w:val="center"/>
          </w:tcPr>
          <w:p w14:paraId="10AA93DF">
            <w:pPr>
              <w:pStyle w:val="37"/>
              <w:rPr>
                <w:color w:val="auto"/>
                <w:highlight w:val="none"/>
              </w:rPr>
            </w:pPr>
            <w:r>
              <w:rPr>
                <w:color w:val="auto"/>
                <w:highlight w:val="none"/>
              </w:rPr>
              <w:t>集气罩×1</w:t>
            </w:r>
          </w:p>
        </w:tc>
        <w:tc>
          <w:tcPr>
            <w:tcW w:w="554" w:type="pct"/>
            <w:vAlign w:val="center"/>
          </w:tcPr>
          <w:p w14:paraId="7AF77FA4">
            <w:pPr>
              <w:pStyle w:val="37"/>
              <w:rPr>
                <w:color w:val="auto"/>
                <w:highlight w:val="none"/>
              </w:rPr>
            </w:pPr>
            <w:r>
              <w:rPr>
                <w:rFonts w:hint="eastAsia"/>
                <w:color w:val="auto"/>
                <w:highlight w:val="none"/>
              </w:rPr>
              <w:t>6</w:t>
            </w:r>
          </w:p>
        </w:tc>
        <w:tc>
          <w:tcPr>
            <w:tcW w:w="578" w:type="pct"/>
            <w:vAlign w:val="center"/>
          </w:tcPr>
          <w:p w14:paraId="03E8A82C">
            <w:pPr>
              <w:pStyle w:val="37"/>
              <w:rPr>
                <w:color w:val="auto"/>
                <w:highlight w:val="none"/>
              </w:rPr>
            </w:pPr>
            <w:r>
              <w:rPr>
                <w:rFonts w:hint="eastAsia"/>
                <w:color w:val="auto"/>
                <w:highlight w:val="none"/>
              </w:rPr>
              <w:t>0.5</w:t>
            </w:r>
          </w:p>
        </w:tc>
        <w:tc>
          <w:tcPr>
            <w:tcW w:w="582" w:type="pct"/>
            <w:vAlign w:val="center"/>
          </w:tcPr>
          <w:p w14:paraId="0F88618D">
            <w:pPr>
              <w:pStyle w:val="37"/>
              <w:rPr>
                <w:color w:val="auto"/>
                <w:highlight w:val="none"/>
              </w:rPr>
            </w:pPr>
            <w:r>
              <w:rPr>
                <w:color w:val="auto"/>
                <w:highlight w:val="none"/>
              </w:rPr>
              <w:t>0.5</w:t>
            </w:r>
          </w:p>
        </w:tc>
        <w:tc>
          <w:tcPr>
            <w:tcW w:w="617" w:type="pct"/>
            <w:vAlign w:val="center"/>
          </w:tcPr>
          <w:p w14:paraId="7E130F39">
            <w:pPr>
              <w:pStyle w:val="37"/>
              <w:rPr>
                <w:color w:val="auto"/>
                <w:highlight w:val="none"/>
              </w:rPr>
            </w:pPr>
            <w:r>
              <w:rPr>
                <w:rFonts w:hint="eastAsia"/>
                <w:color w:val="auto"/>
                <w:highlight w:val="none"/>
              </w:rPr>
              <w:t>7560</w:t>
            </w:r>
          </w:p>
        </w:tc>
        <w:tc>
          <w:tcPr>
            <w:tcW w:w="617" w:type="pct"/>
            <w:vAlign w:val="center"/>
          </w:tcPr>
          <w:p w14:paraId="3C3BF5F8">
            <w:pPr>
              <w:pStyle w:val="37"/>
              <w:rPr>
                <w:color w:val="auto"/>
                <w:highlight w:val="none"/>
              </w:rPr>
            </w:pPr>
            <w:r>
              <w:rPr>
                <w:rFonts w:hint="eastAsia"/>
                <w:color w:val="auto"/>
                <w:highlight w:val="none"/>
              </w:rPr>
              <w:t>15000</w:t>
            </w:r>
          </w:p>
        </w:tc>
      </w:tr>
      <w:tr w14:paraId="79044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65" w:type="pct"/>
            <w:gridSpan w:val="6"/>
            <w:vAlign w:val="center"/>
          </w:tcPr>
          <w:p w14:paraId="4015F547">
            <w:pPr>
              <w:pStyle w:val="37"/>
              <w:rPr>
                <w:color w:val="auto"/>
                <w:highlight w:val="none"/>
              </w:rPr>
            </w:pPr>
            <w:r>
              <w:rPr>
                <w:color w:val="auto"/>
                <w:highlight w:val="none"/>
              </w:rPr>
              <w:t>筛分合计（TA00</w:t>
            </w:r>
            <w:r>
              <w:rPr>
                <w:rFonts w:hint="eastAsia"/>
                <w:color w:val="auto"/>
                <w:highlight w:val="none"/>
              </w:rPr>
              <w:t>2</w:t>
            </w:r>
            <w:r>
              <w:rPr>
                <w:color w:val="auto"/>
                <w:highlight w:val="none"/>
              </w:rPr>
              <w:t>）</w:t>
            </w:r>
          </w:p>
        </w:tc>
        <w:tc>
          <w:tcPr>
            <w:tcW w:w="617" w:type="pct"/>
            <w:vAlign w:val="center"/>
          </w:tcPr>
          <w:p w14:paraId="256F6D8D">
            <w:pPr>
              <w:pStyle w:val="37"/>
              <w:rPr>
                <w:color w:val="auto"/>
                <w:highlight w:val="none"/>
              </w:rPr>
            </w:pPr>
            <w:r>
              <w:rPr>
                <w:rFonts w:hint="eastAsia"/>
                <w:color w:val="auto"/>
                <w:highlight w:val="none"/>
              </w:rPr>
              <w:t>7560</w:t>
            </w:r>
          </w:p>
        </w:tc>
        <w:tc>
          <w:tcPr>
            <w:tcW w:w="617" w:type="pct"/>
            <w:vAlign w:val="center"/>
          </w:tcPr>
          <w:p w14:paraId="3ECA7C03">
            <w:pPr>
              <w:pStyle w:val="37"/>
              <w:rPr>
                <w:color w:val="auto"/>
                <w:highlight w:val="none"/>
              </w:rPr>
            </w:pPr>
            <w:r>
              <w:rPr>
                <w:rFonts w:hint="eastAsia"/>
                <w:color w:val="auto"/>
                <w:highlight w:val="none"/>
              </w:rPr>
              <w:t>15</w:t>
            </w:r>
            <w:r>
              <w:rPr>
                <w:color w:val="auto"/>
                <w:highlight w:val="none"/>
              </w:rPr>
              <w:t>00</w:t>
            </w:r>
            <w:r>
              <w:rPr>
                <w:rFonts w:hint="eastAsia"/>
                <w:color w:val="auto"/>
                <w:highlight w:val="none"/>
              </w:rPr>
              <w:t>0</w:t>
            </w:r>
          </w:p>
        </w:tc>
      </w:tr>
    </w:tbl>
    <w:p w14:paraId="33D7D689">
      <w:pPr>
        <w:adjustRightInd w:val="0"/>
        <w:ind w:firstLine="480"/>
        <w:rPr>
          <w:rFonts w:cs="Times New Roman"/>
          <w:color w:val="auto"/>
          <w:highlight w:val="none"/>
        </w:rPr>
      </w:pPr>
      <w:r>
        <w:rPr>
          <w:rFonts w:cs="Times New Roman"/>
          <w:color w:val="auto"/>
          <w:highlight w:val="none"/>
        </w:rPr>
        <w:t>建设单位设置的给料、</w:t>
      </w:r>
      <w:r>
        <w:rPr>
          <w:rFonts w:hint="eastAsia" w:cs="Times New Roman"/>
          <w:color w:val="auto"/>
          <w:highlight w:val="none"/>
        </w:rPr>
        <w:t>破碎</w:t>
      </w:r>
      <w:r>
        <w:rPr>
          <w:rFonts w:cs="Times New Roman"/>
          <w:color w:val="auto"/>
          <w:highlight w:val="none"/>
        </w:rPr>
        <w:t>风机风量为</w:t>
      </w:r>
      <w:r>
        <w:rPr>
          <w:rFonts w:hint="eastAsia" w:cs="Times New Roman"/>
          <w:color w:val="auto"/>
          <w:highlight w:val="none"/>
        </w:rPr>
        <w:t>35</w:t>
      </w:r>
      <w:r>
        <w:rPr>
          <w:rFonts w:cs="Times New Roman"/>
          <w:color w:val="auto"/>
          <w:highlight w:val="none"/>
        </w:rPr>
        <w:t>000m</w:t>
      </w:r>
      <w:r>
        <w:rPr>
          <w:rFonts w:cs="Times New Roman"/>
          <w:color w:val="auto"/>
          <w:highlight w:val="none"/>
          <w:vertAlign w:val="superscript"/>
        </w:rPr>
        <w:t>3</w:t>
      </w:r>
      <w:r>
        <w:rPr>
          <w:rFonts w:cs="Times New Roman"/>
          <w:color w:val="auto"/>
          <w:highlight w:val="none"/>
        </w:rPr>
        <w:t>/h，</w:t>
      </w:r>
      <w:r>
        <w:rPr>
          <w:rFonts w:hint="eastAsia" w:cs="Times New Roman"/>
          <w:color w:val="auto"/>
          <w:highlight w:val="none"/>
        </w:rPr>
        <w:t>筛分</w:t>
      </w:r>
      <w:r>
        <w:rPr>
          <w:rFonts w:cs="Times New Roman"/>
          <w:color w:val="auto"/>
          <w:highlight w:val="none"/>
        </w:rPr>
        <w:t>风机风量为</w:t>
      </w:r>
      <w:r>
        <w:rPr>
          <w:rFonts w:hint="eastAsia" w:cs="Times New Roman"/>
          <w:color w:val="auto"/>
          <w:highlight w:val="none"/>
        </w:rPr>
        <w:t>15</w:t>
      </w:r>
      <w:r>
        <w:rPr>
          <w:rFonts w:cs="Times New Roman"/>
          <w:color w:val="auto"/>
          <w:highlight w:val="none"/>
        </w:rPr>
        <w:t>000m</w:t>
      </w:r>
      <w:r>
        <w:rPr>
          <w:rFonts w:cs="Times New Roman"/>
          <w:color w:val="auto"/>
          <w:highlight w:val="none"/>
          <w:vertAlign w:val="superscript"/>
        </w:rPr>
        <w:t>3</w:t>
      </w:r>
      <w:r>
        <w:rPr>
          <w:rFonts w:cs="Times New Roman"/>
          <w:color w:val="auto"/>
          <w:highlight w:val="none"/>
        </w:rPr>
        <w:t>/h</w:t>
      </w:r>
      <w:r>
        <w:rPr>
          <w:rFonts w:hint="eastAsia" w:cs="Times New Roman"/>
          <w:color w:val="auto"/>
          <w:highlight w:val="none"/>
        </w:rPr>
        <w:t>，</w:t>
      </w:r>
      <w:r>
        <w:rPr>
          <w:rFonts w:cs="Times New Roman"/>
          <w:color w:val="auto"/>
          <w:highlight w:val="none"/>
        </w:rPr>
        <w:t>能够满足本项目给料、破碎、筛分粉尘收集要求。</w:t>
      </w:r>
    </w:p>
    <w:p w14:paraId="7A4E0ED2">
      <w:pPr>
        <w:adjustRightInd w:val="0"/>
        <w:ind w:firstLine="482"/>
        <w:rPr>
          <w:rFonts w:cs="Times New Roman"/>
          <w:b/>
          <w:bCs/>
          <w:color w:val="auto"/>
          <w:highlight w:val="none"/>
        </w:rPr>
      </w:pPr>
      <w:r>
        <w:rPr>
          <w:rFonts w:cs="Times New Roman"/>
          <w:b/>
          <w:bCs/>
          <w:color w:val="auto"/>
          <w:highlight w:val="none"/>
        </w:rPr>
        <w:t>（</w:t>
      </w:r>
      <w:r>
        <w:rPr>
          <w:rFonts w:hint="eastAsia" w:cs="Times New Roman"/>
          <w:b/>
          <w:bCs/>
          <w:color w:val="auto"/>
          <w:highlight w:val="none"/>
        </w:rPr>
        <w:t>3</w:t>
      </w:r>
      <w:r>
        <w:rPr>
          <w:rFonts w:cs="Times New Roman"/>
          <w:b/>
          <w:bCs/>
          <w:color w:val="auto"/>
          <w:highlight w:val="none"/>
        </w:rPr>
        <w:t>）</w:t>
      </w:r>
      <w:r>
        <w:rPr>
          <w:rFonts w:hint="eastAsia" w:cs="Times New Roman"/>
          <w:b/>
          <w:bCs/>
          <w:color w:val="auto"/>
          <w:highlight w:val="none"/>
        </w:rPr>
        <w:t>给料粉尘、破碎粉尘、筛分粉尘</w:t>
      </w:r>
      <w:r>
        <w:rPr>
          <w:rFonts w:cs="Times New Roman"/>
          <w:b/>
          <w:bCs/>
          <w:color w:val="auto"/>
          <w:highlight w:val="none"/>
        </w:rPr>
        <w:t>排放情况</w:t>
      </w:r>
    </w:p>
    <w:p w14:paraId="1F9B9251">
      <w:pPr>
        <w:adjustRightInd w:val="0"/>
        <w:ind w:firstLine="482"/>
        <w:rPr>
          <w:rFonts w:cs="Times New Roman"/>
          <w:color w:val="auto"/>
          <w:highlight w:val="none"/>
        </w:rPr>
      </w:pPr>
      <w:r>
        <w:rPr>
          <w:rFonts w:cs="Times New Roman"/>
          <w:b/>
          <w:bCs/>
          <w:color w:val="auto"/>
          <w:highlight w:val="none"/>
        </w:rPr>
        <w:t>污染物排放情况</w:t>
      </w:r>
      <w:r>
        <w:rPr>
          <w:rFonts w:cs="Times New Roman"/>
          <w:color w:val="auto"/>
          <w:highlight w:val="none"/>
        </w:rPr>
        <w:t>：</w:t>
      </w:r>
      <w:r>
        <w:rPr>
          <w:rFonts w:hint="eastAsia" w:cs="Times New Roman"/>
          <w:color w:val="auto"/>
          <w:highlight w:val="none"/>
        </w:rPr>
        <w:t>本项目给料粉尘、破碎粉尘经集气罩收集（收集效率80%）后经布袋除尘器（TA001，处理效率99%）处理后通过1根15m高排气筒（DA001）达标排放。筛分粉尘经集气罩收集（收集效率80%）后经布袋除尘器（TA002，处理效率99%）处理后通过1根15m高排气筒（DA001，共用）达标排放，给料粉尘、破碎粉尘、筛分粉尘产生源强合计36.13kg/h。</w:t>
      </w:r>
      <w:r>
        <w:rPr>
          <w:rFonts w:cs="Times New Roman"/>
          <w:color w:val="auto"/>
          <w:highlight w:val="none"/>
        </w:rPr>
        <w:t>根据源强核算结果和处理设施计算参数，本项目给料、破碎、筛分粉尘有组织排放情况见下表。</w:t>
      </w:r>
    </w:p>
    <w:p w14:paraId="2E48E300">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3D394BF8">
      <w:pPr>
        <w:keepNext/>
        <w:adjustRightInd w:val="0"/>
        <w:spacing w:line="240" w:lineRule="auto"/>
        <w:ind w:firstLine="48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7</w:t>
      </w:r>
      <w:r>
        <w:rPr>
          <w:rFonts w:cs="Times New Roman"/>
          <w:b/>
          <w:color w:val="auto"/>
          <w:sz w:val="21"/>
          <w:szCs w:val="20"/>
          <w:highlight w:val="none"/>
        </w:rPr>
        <w:fldChar w:fldCharType="end"/>
      </w:r>
      <w:r>
        <w:rPr>
          <w:rFonts w:cs="Times New Roman"/>
          <w:b/>
          <w:color w:val="auto"/>
          <w:sz w:val="21"/>
          <w:szCs w:val="20"/>
          <w:highlight w:val="none"/>
        </w:rPr>
        <w:t>本项目给料、破碎、筛分粉尘源强及排污情况一览表</w:t>
      </w:r>
    </w:p>
    <w:tbl>
      <w:tblPr>
        <w:tblStyle w:val="3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990"/>
        <w:gridCol w:w="1078"/>
        <w:gridCol w:w="1291"/>
        <w:gridCol w:w="1333"/>
        <w:gridCol w:w="1313"/>
        <w:gridCol w:w="1061"/>
        <w:gridCol w:w="1657"/>
        <w:gridCol w:w="1985"/>
        <w:gridCol w:w="1318"/>
        <w:gridCol w:w="952"/>
      </w:tblGrid>
      <w:tr w14:paraId="3F74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vMerge w:val="restart"/>
            <w:vAlign w:val="center"/>
          </w:tcPr>
          <w:p w14:paraId="5A24422F">
            <w:pPr>
              <w:pStyle w:val="37"/>
              <w:rPr>
                <w:b/>
                <w:bCs/>
                <w:color w:val="auto"/>
                <w:highlight w:val="none"/>
              </w:rPr>
            </w:pPr>
            <w:r>
              <w:rPr>
                <w:b/>
                <w:bCs/>
                <w:color w:val="auto"/>
                <w:highlight w:val="none"/>
              </w:rPr>
              <w:t>污染源</w:t>
            </w:r>
          </w:p>
        </w:tc>
        <w:tc>
          <w:tcPr>
            <w:tcW w:w="349" w:type="pct"/>
            <w:vMerge w:val="restart"/>
            <w:vAlign w:val="center"/>
          </w:tcPr>
          <w:p w14:paraId="3C0BDDCA">
            <w:pPr>
              <w:pStyle w:val="37"/>
              <w:rPr>
                <w:b/>
                <w:bCs/>
                <w:color w:val="auto"/>
                <w:highlight w:val="none"/>
              </w:rPr>
            </w:pPr>
            <w:r>
              <w:rPr>
                <w:b/>
                <w:bCs/>
                <w:color w:val="auto"/>
                <w:highlight w:val="none"/>
              </w:rPr>
              <w:t>污染物</w:t>
            </w:r>
          </w:p>
        </w:tc>
        <w:tc>
          <w:tcPr>
            <w:tcW w:w="380" w:type="pct"/>
            <w:vMerge w:val="restart"/>
            <w:vAlign w:val="center"/>
          </w:tcPr>
          <w:p w14:paraId="2E486A9F">
            <w:pPr>
              <w:pStyle w:val="37"/>
              <w:rPr>
                <w:b/>
                <w:bCs/>
                <w:color w:val="auto"/>
                <w:highlight w:val="none"/>
              </w:rPr>
            </w:pPr>
            <w:r>
              <w:rPr>
                <w:b/>
                <w:bCs/>
                <w:color w:val="auto"/>
                <w:highlight w:val="none"/>
              </w:rPr>
              <w:t>产生源强（kg/h）</w:t>
            </w:r>
          </w:p>
        </w:tc>
        <w:tc>
          <w:tcPr>
            <w:tcW w:w="925" w:type="pct"/>
            <w:gridSpan w:val="2"/>
            <w:vAlign w:val="center"/>
          </w:tcPr>
          <w:p w14:paraId="2B2F203E">
            <w:pPr>
              <w:pStyle w:val="37"/>
              <w:rPr>
                <w:b/>
                <w:bCs/>
                <w:color w:val="auto"/>
                <w:highlight w:val="none"/>
              </w:rPr>
            </w:pPr>
            <w:r>
              <w:rPr>
                <w:b/>
                <w:bCs/>
                <w:color w:val="auto"/>
                <w:highlight w:val="none"/>
              </w:rPr>
              <w:t>收集系统</w:t>
            </w:r>
          </w:p>
        </w:tc>
        <w:tc>
          <w:tcPr>
            <w:tcW w:w="837" w:type="pct"/>
            <w:gridSpan w:val="2"/>
            <w:vAlign w:val="center"/>
          </w:tcPr>
          <w:p w14:paraId="49F4B321">
            <w:pPr>
              <w:pStyle w:val="37"/>
              <w:rPr>
                <w:b/>
                <w:bCs/>
                <w:color w:val="auto"/>
                <w:highlight w:val="none"/>
              </w:rPr>
            </w:pPr>
            <w:r>
              <w:rPr>
                <w:b/>
                <w:bCs/>
                <w:color w:val="auto"/>
                <w:highlight w:val="none"/>
              </w:rPr>
              <w:t>治理措施参数</w:t>
            </w:r>
          </w:p>
        </w:tc>
        <w:tc>
          <w:tcPr>
            <w:tcW w:w="1748" w:type="pct"/>
            <w:gridSpan w:val="3"/>
            <w:vAlign w:val="center"/>
          </w:tcPr>
          <w:p w14:paraId="4B88D334">
            <w:pPr>
              <w:pStyle w:val="37"/>
              <w:rPr>
                <w:b/>
                <w:bCs/>
                <w:color w:val="auto"/>
                <w:highlight w:val="none"/>
              </w:rPr>
            </w:pPr>
            <w:r>
              <w:rPr>
                <w:b/>
                <w:bCs/>
                <w:color w:val="auto"/>
                <w:highlight w:val="none"/>
              </w:rPr>
              <w:t>排放参数</w:t>
            </w:r>
          </w:p>
        </w:tc>
        <w:tc>
          <w:tcPr>
            <w:tcW w:w="336" w:type="pct"/>
            <w:vMerge w:val="restart"/>
            <w:vAlign w:val="center"/>
          </w:tcPr>
          <w:p w14:paraId="5B1B400A">
            <w:pPr>
              <w:pStyle w:val="37"/>
              <w:rPr>
                <w:b/>
                <w:bCs/>
                <w:color w:val="auto"/>
                <w:highlight w:val="none"/>
              </w:rPr>
            </w:pPr>
            <w:r>
              <w:rPr>
                <w:b/>
                <w:bCs/>
                <w:color w:val="auto"/>
                <w:highlight w:val="none"/>
              </w:rPr>
              <w:t>排气筒高度</w:t>
            </w:r>
          </w:p>
        </w:tc>
      </w:tr>
      <w:tr w14:paraId="24FF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1" w:type="pct"/>
            <w:vMerge w:val="continue"/>
            <w:vAlign w:val="center"/>
          </w:tcPr>
          <w:p w14:paraId="79C88AC0">
            <w:pPr>
              <w:pStyle w:val="37"/>
              <w:rPr>
                <w:color w:val="auto"/>
                <w:highlight w:val="none"/>
              </w:rPr>
            </w:pPr>
          </w:p>
        </w:tc>
        <w:tc>
          <w:tcPr>
            <w:tcW w:w="349" w:type="pct"/>
            <w:vMerge w:val="continue"/>
            <w:vAlign w:val="center"/>
          </w:tcPr>
          <w:p w14:paraId="1D7FEEA0">
            <w:pPr>
              <w:pStyle w:val="37"/>
              <w:rPr>
                <w:color w:val="auto"/>
                <w:highlight w:val="none"/>
              </w:rPr>
            </w:pPr>
          </w:p>
        </w:tc>
        <w:tc>
          <w:tcPr>
            <w:tcW w:w="380" w:type="pct"/>
            <w:vMerge w:val="continue"/>
            <w:vAlign w:val="center"/>
          </w:tcPr>
          <w:p w14:paraId="4FF221CD">
            <w:pPr>
              <w:pStyle w:val="37"/>
              <w:rPr>
                <w:color w:val="auto"/>
                <w:highlight w:val="none"/>
              </w:rPr>
            </w:pPr>
          </w:p>
        </w:tc>
        <w:tc>
          <w:tcPr>
            <w:tcW w:w="455" w:type="pct"/>
            <w:vAlign w:val="center"/>
          </w:tcPr>
          <w:p w14:paraId="17079FB9">
            <w:pPr>
              <w:pStyle w:val="37"/>
              <w:rPr>
                <w:b/>
                <w:bCs/>
                <w:color w:val="auto"/>
                <w:highlight w:val="none"/>
              </w:rPr>
            </w:pPr>
            <w:r>
              <w:rPr>
                <w:b/>
                <w:bCs/>
                <w:color w:val="auto"/>
                <w:highlight w:val="none"/>
              </w:rPr>
              <w:t>风量（m</w:t>
            </w:r>
            <w:r>
              <w:rPr>
                <w:b/>
                <w:bCs/>
                <w:color w:val="auto"/>
                <w:highlight w:val="none"/>
                <w:vertAlign w:val="superscript"/>
              </w:rPr>
              <w:t>3</w:t>
            </w:r>
            <w:r>
              <w:rPr>
                <w:b/>
                <w:bCs/>
                <w:color w:val="auto"/>
                <w:highlight w:val="none"/>
              </w:rPr>
              <w:t>/h）</w:t>
            </w:r>
          </w:p>
        </w:tc>
        <w:tc>
          <w:tcPr>
            <w:tcW w:w="469" w:type="pct"/>
            <w:vAlign w:val="center"/>
          </w:tcPr>
          <w:p w14:paraId="1A87456A">
            <w:pPr>
              <w:pStyle w:val="37"/>
              <w:rPr>
                <w:b/>
                <w:bCs/>
                <w:color w:val="auto"/>
                <w:highlight w:val="none"/>
              </w:rPr>
            </w:pPr>
            <w:r>
              <w:rPr>
                <w:b/>
                <w:bCs/>
                <w:color w:val="auto"/>
                <w:highlight w:val="none"/>
              </w:rPr>
              <w:t>集气效率（%）</w:t>
            </w:r>
          </w:p>
        </w:tc>
        <w:tc>
          <w:tcPr>
            <w:tcW w:w="463" w:type="pct"/>
            <w:vAlign w:val="center"/>
          </w:tcPr>
          <w:p w14:paraId="527EB8BE">
            <w:pPr>
              <w:pStyle w:val="37"/>
              <w:rPr>
                <w:b/>
                <w:bCs/>
                <w:color w:val="auto"/>
                <w:highlight w:val="none"/>
              </w:rPr>
            </w:pPr>
            <w:r>
              <w:rPr>
                <w:b/>
                <w:bCs/>
                <w:color w:val="auto"/>
                <w:highlight w:val="none"/>
              </w:rPr>
              <w:t>措施</w:t>
            </w:r>
          </w:p>
        </w:tc>
        <w:tc>
          <w:tcPr>
            <w:tcW w:w="374" w:type="pct"/>
            <w:vAlign w:val="center"/>
          </w:tcPr>
          <w:p w14:paraId="62822491">
            <w:pPr>
              <w:pStyle w:val="37"/>
              <w:rPr>
                <w:b/>
                <w:bCs/>
                <w:color w:val="auto"/>
                <w:highlight w:val="none"/>
              </w:rPr>
            </w:pPr>
            <w:r>
              <w:rPr>
                <w:b/>
                <w:bCs/>
                <w:color w:val="auto"/>
                <w:highlight w:val="none"/>
              </w:rPr>
              <w:t>处理效率（%）</w:t>
            </w:r>
          </w:p>
        </w:tc>
        <w:tc>
          <w:tcPr>
            <w:tcW w:w="584" w:type="pct"/>
            <w:vAlign w:val="center"/>
          </w:tcPr>
          <w:p w14:paraId="35C1BCD2">
            <w:pPr>
              <w:pStyle w:val="37"/>
              <w:rPr>
                <w:b/>
                <w:bCs/>
                <w:color w:val="auto"/>
                <w:highlight w:val="none"/>
              </w:rPr>
            </w:pPr>
            <w:r>
              <w:rPr>
                <w:b/>
                <w:bCs/>
                <w:color w:val="auto"/>
                <w:highlight w:val="none"/>
              </w:rPr>
              <w:t>排放速率（kg/h）</w:t>
            </w:r>
          </w:p>
        </w:tc>
        <w:tc>
          <w:tcPr>
            <w:tcW w:w="699" w:type="pct"/>
            <w:vAlign w:val="center"/>
          </w:tcPr>
          <w:p w14:paraId="64759E93">
            <w:pPr>
              <w:pStyle w:val="37"/>
              <w:rPr>
                <w:b/>
                <w:bCs/>
                <w:color w:val="auto"/>
                <w:highlight w:val="none"/>
              </w:rPr>
            </w:pPr>
            <w:r>
              <w:rPr>
                <w:b/>
                <w:bCs/>
                <w:color w:val="auto"/>
                <w:highlight w:val="none"/>
              </w:rPr>
              <w:t>排放浓度（mg/m</w:t>
            </w:r>
            <w:r>
              <w:rPr>
                <w:b/>
                <w:bCs/>
                <w:color w:val="auto"/>
                <w:highlight w:val="none"/>
                <w:vertAlign w:val="superscript"/>
              </w:rPr>
              <w:t>3</w:t>
            </w:r>
            <w:r>
              <w:rPr>
                <w:b/>
                <w:bCs/>
                <w:color w:val="auto"/>
                <w:highlight w:val="none"/>
              </w:rPr>
              <w:t>）</w:t>
            </w:r>
          </w:p>
        </w:tc>
        <w:tc>
          <w:tcPr>
            <w:tcW w:w="464" w:type="pct"/>
            <w:vAlign w:val="center"/>
          </w:tcPr>
          <w:p w14:paraId="0F5168E3">
            <w:pPr>
              <w:pStyle w:val="37"/>
              <w:rPr>
                <w:b/>
                <w:bCs/>
                <w:color w:val="auto"/>
                <w:highlight w:val="none"/>
              </w:rPr>
            </w:pPr>
            <w:r>
              <w:rPr>
                <w:b/>
                <w:bCs/>
                <w:color w:val="auto"/>
                <w:highlight w:val="none"/>
              </w:rPr>
              <w:t>排放量（t/a）</w:t>
            </w:r>
          </w:p>
        </w:tc>
        <w:tc>
          <w:tcPr>
            <w:tcW w:w="336" w:type="pct"/>
            <w:vMerge w:val="continue"/>
            <w:vAlign w:val="center"/>
          </w:tcPr>
          <w:p w14:paraId="41318D21">
            <w:pPr>
              <w:pStyle w:val="37"/>
              <w:rPr>
                <w:color w:val="auto"/>
                <w:highlight w:val="none"/>
              </w:rPr>
            </w:pPr>
          </w:p>
        </w:tc>
      </w:tr>
      <w:tr w14:paraId="519B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421" w:type="pct"/>
            <w:vAlign w:val="center"/>
          </w:tcPr>
          <w:p w14:paraId="0B5EBADB">
            <w:pPr>
              <w:pStyle w:val="37"/>
              <w:rPr>
                <w:color w:val="auto"/>
                <w:highlight w:val="none"/>
              </w:rPr>
            </w:pPr>
            <w:r>
              <w:rPr>
                <w:color w:val="auto"/>
                <w:highlight w:val="none"/>
              </w:rPr>
              <w:t>给料</w:t>
            </w:r>
            <w:r>
              <w:rPr>
                <w:rFonts w:hint="eastAsia"/>
                <w:color w:val="auto"/>
                <w:highlight w:val="none"/>
              </w:rPr>
              <w:t>、破碎、筛分</w:t>
            </w:r>
          </w:p>
        </w:tc>
        <w:tc>
          <w:tcPr>
            <w:tcW w:w="349" w:type="pct"/>
            <w:vAlign w:val="center"/>
          </w:tcPr>
          <w:p w14:paraId="4C3326FE">
            <w:pPr>
              <w:pStyle w:val="37"/>
              <w:rPr>
                <w:color w:val="auto"/>
                <w:highlight w:val="none"/>
              </w:rPr>
            </w:pPr>
            <w:r>
              <w:rPr>
                <w:color w:val="auto"/>
                <w:highlight w:val="none"/>
              </w:rPr>
              <w:t>颗粒物</w:t>
            </w:r>
          </w:p>
        </w:tc>
        <w:tc>
          <w:tcPr>
            <w:tcW w:w="380" w:type="pct"/>
            <w:vAlign w:val="center"/>
          </w:tcPr>
          <w:p w14:paraId="616BCA65">
            <w:pPr>
              <w:pStyle w:val="37"/>
              <w:rPr>
                <w:color w:val="auto"/>
                <w:highlight w:val="none"/>
              </w:rPr>
            </w:pPr>
            <w:r>
              <w:rPr>
                <w:rFonts w:hint="eastAsia"/>
                <w:color w:val="auto"/>
                <w:highlight w:val="none"/>
              </w:rPr>
              <w:t>36.13</w:t>
            </w:r>
          </w:p>
        </w:tc>
        <w:tc>
          <w:tcPr>
            <w:tcW w:w="455" w:type="pct"/>
            <w:vAlign w:val="center"/>
          </w:tcPr>
          <w:p w14:paraId="7F4062A6">
            <w:pPr>
              <w:pStyle w:val="37"/>
              <w:rPr>
                <w:color w:val="auto"/>
                <w:highlight w:val="none"/>
              </w:rPr>
            </w:pPr>
            <w:r>
              <w:rPr>
                <w:rFonts w:hint="eastAsia"/>
                <w:color w:val="auto"/>
                <w:highlight w:val="none"/>
              </w:rPr>
              <w:t>50000</w:t>
            </w:r>
          </w:p>
        </w:tc>
        <w:tc>
          <w:tcPr>
            <w:tcW w:w="469" w:type="pct"/>
            <w:vAlign w:val="center"/>
          </w:tcPr>
          <w:p w14:paraId="641571F7">
            <w:pPr>
              <w:pStyle w:val="37"/>
              <w:rPr>
                <w:color w:val="auto"/>
                <w:highlight w:val="none"/>
              </w:rPr>
            </w:pPr>
            <w:r>
              <w:rPr>
                <w:color w:val="auto"/>
                <w:highlight w:val="none"/>
              </w:rPr>
              <w:t>80</w:t>
            </w:r>
          </w:p>
        </w:tc>
        <w:tc>
          <w:tcPr>
            <w:tcW w:w="463" w:type="pct"/>
            <w:vAlign w:val="center"/>
          </w:tcPr>
          <w:p w14:paraId="25C1EDB8">
            <w:pPr>
              <w:pStyle w:val="37"/>
              <w:rPr>
                <w:color w:val="auto"/>
                <w:highlight w:val="none"/>
              </w:rPr>
            </w:pPr>
            <w:r>
              <w:rPr>
                <w:color w:val="auto"/>
                <w:highlight w:val="none"/>
              </w:rPr>
              <w:t>布袋除尘器</w:t>
            </w:r>
          </w:p>
        </w:tc>
        <w:tc>
          <w:tcPr>
            <w:tcW w:w="374" w:type="pct"/>
            <w:vAlign w:val="center"/>
          </w:tcPr>
          <w:p w14:paraId="1BC96F48">
            <w:pPr>
              <w:pStyle w:val="37"/>
              <w:rPr>
                <w:color w:val="auto"/>
                <w:highlight w:val="none"/>
              </w:rPr>
            </w:pPr>
            <w:r>
              <w:rPr>
                <w:color w:val="auto"/>
                <w:highlight w:val="none"/>
              </w:rPr>
              <w:t>99</w:t>
            </w:r>
          </w:p>
        </w:tc>
        <w:tc>
          <w:tcPr>
            <w:tcW w:w="584" w:type="pct"/>
            <w:vAlign w:val="center"/>
          </w:tcPr>
          <w:p w14:paraId="19BEE2EB">
            <w:pPr>
              <w:pStyle w:val="37"/>
              <w:rPr>
                <w:color w:val="auto"/>
                <w:highlight w:val="none"/>
              </w:rPr>
            </w:pPr>
            <w:r>
              <w:rPr>
                <w:rFonts w:hint="eastAsia"/>
                <w:color w:val="auto"/>
                <w:highlight w:val="none"/>
              </w:rPr>
              <w:t>0.29</w:t>
            </w:r>
          </w:p>
        </w:tc>
        <w:tc>
          <w:tcPr>
            <w:tcW w:w="699" w:type="pct"/>
            <w:vAlign w:val="center"/>
          </w:tcPr>
          <w:p w14:paraId="4B1408F8">
            <w:pPr>
              <w:pStyle w:val="37"/>
              <w:rPr>
                <w:color w:val="auto"/>
                <w:highlight w:val="none"/>
              </w:rPr>
            </w:pPr>
            <w:r>
              <w:rPr>
                <w:rFonts w:hint="eastAsia"/>
                <w:color w:val="auto"/>
                <w:highlight w:val="none"/>
              </w:rPr>
              <w:t>5.8</w:t>
            </w:r>
          </w:p>
        </w:tc>
        <w:tc>
          <w:tcPr>
            <w:tcW w:w="464" w:type="pct"/>
            <w:vAlign w:val="center"/>
          </w:tcPr>
          <w:p w14:paraId="5AA8E364">
            <w:pPr>
              <w:pStyle w:val="37"/>
              <w:rPr>
                <w:color w:val="auto"/>
                <w:highlight w:val="none"/>
              </w:rPr>
            </w:pPr>
            <w:r>
              <w:rPr>
                <w:rFonts w:hint="eastAsia"/>
                <w:color w:val="auto"/>
                <w:highlight w:val="none"/>
              </w:rPr>
              <w:t>1.53</w:t>
            </w:r>
          </w:p>
        </w:tc>
        <w:tc>
          <w:tcPr>
            <w:tcW w:w="336" w:type="pct"/>
            <w:vAlign w:val="center"/>
          </w:tcPr>
          <w:p w14:paraId="1C28503E">
            <w:pPr>
              <w:pStyle w:val="37"/>
              <w:rPr>
                <w:color w:val="auto"/>
                <w:highlight w:val="none"/>
              </w:rPr>
            </w:pPr>
            <w:r>
              <w:rPr>
                <w:color w:val="auto"/>
                <w:highlight w:val="none"/>
              </w:rPr>
              <w:t>DA001（15m）</w:t>
            </w:r>
          </w:p>
        </w:tc>
      </w:tr>
    </w:tbl>
    <w:p w14:paraId="45CDD827">
      <w:pPr>
        <w:adjustRightInd w:val="0"/>
        <w:ind w:firstLine="480"/>
        <w:rPr>
          <w:rFonts w:cs="Times New Roman"/>
          <w:color w:val="auto"/>
          <w:highlight w:val="none"/>
        </w:rPr>
      </w:pPr>
    </w:p>
    <w:p w14:paraId="04EA2DC2">
      <w:pPr>
        <w:adjustRightInd w:val="0"/>
        <w:ind w:firstLine="480"/>
        <w:rPr>
          <w:rFonts w:cs="Times New Roman"/>
          <w:color w:val="auto"/>
          <w:highlight w:val="none"/>
        </w:rPr>
      </w:pPr>
    </w:p>
    <w:p w14:paraId="26EA19EF">
      <w:pPr>
        <w:adjustRightInd w:val="0"/>
        <w:ind w:firstLine="480"/>
        <w:rPr>
          <w:rFonts w:cs="Times New Roman"/>
          <w:color w:val="auto"/>
          <w:highlight w:val="none"/>
        </w:rPr>
        <w:sectPr>
          <w:pgSz w:w="16838" w:h="11906" w:orient="landscape"/>
          <w:pgMar w:top="1800" w:right="1440" w:bottom="1800" w:left="1440" w:header="851" w:footer="992" w:gutter="0"/>
          <w:cols w:space="425" w:num="1"/>
          <w:docGrid w:type="lines" w:linePitch="326" w:charSpace="0"/>
        </w:sectPr>
      </w:pPr>
    </w:p>
    <w:p w14:paraId="7DF1B0F9">
      <w:pPr>
        <w:adjustRightInd w:val="0"/>
        <w:ind w:firstLine="480"/>
        <w:rPr>
          <w:rFonts w:cs="Times New Roman"/>
          <w:color w:val="auto"/>
          <w:highlight w:val="none"/>
        </w:rPr>
      </w:pPr>
      <w:r>
        <w:rPr>
          <w:rFonts w:cs="Times New Roman"/>
          <w:color w:val="auto"/>
          <w:highlight w:val="none"/>
        </w:rPr>
        <w:t>由上表可知，本项目给料、破碎、筛分粉尘中颗粒物有组织排放速率满足参照执行《大气污染物综合排放标准》（GB16297-1996）表2中标准限值；有组织排放浓度能够满足《乐山市打赢蓝天保卫战实施方案》相关要求（排放浓度＜10mg/m</w:t>
      </w:r>
      <w:r>
        <w:rPr>
          <w:rFonts w:cs="Times New Roman"/>
          <w:color w:val="auto"/>
          <w:highlight w:val="none"/>
          <w:vertAlign w:val="superscript"/>
        </w:rPr>
        <w:t>3</w:t>
      </w:r>
      <w:r>
        <w:rPr>
          <w:rFonts w:cs="Times New Roman"/>
          <w:color w:val="auto"/>
          <w:highlight w:val="none"/>
        </w:rPr>
        <w:t>）。</w:t>
      </w:r>
    </w:p>
    <w:p w14:paraId="3C1F47C7">
      <w:pPr>
        <w:adjustRightInd w:val="0"/>
        <w:ind w:firstLine="480"/>
        <w:rPr>
          <w:rFonts w:cs="Times New Roman"/>
          <w:color w:val="auto"/>
          <w:szCs w:val="22"/>
          <w:highlight w:val="none"/>
        </w:rPr>
      </w:pPr>
      <w:r>
        <w:rPr>
          <w:rFonts w:cs="Times New Roman"/>
          <w:color w:val="auto"/>
          <w:szCs w:val="22"/>
          <w:highlight w:val="none"/>
        </w:rPr>
        <w:t>本项目大气污染物有组织年排放情况见下表所示</w:t>
      </w:r>
      <w:r>
        <w:rPr>
          <w:rFonts w:hint="eastAsia" w:cs="Times New Roman"/>
          <w:color w:val="auto"/>
          <w:szCs w:val="22"/>
          <w:highlight w:val="none"/>
        </w:rPr>
        <w:t>。</w:t>
      </w:r>
    </w:p>
    <w:p w14:paraId="171178EF">
      <w:pPr>
        <w:pStyle w:val="12"/>
        <w:rPr>
          <w:color w:val="auto"/>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t>本项目大气污染物有组织年排放量核算表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
        <w:gridCol w:w="1690"/>
        <w:gridCol w:w="1690"/>
        <w:gridCol w:w="1690"/>
        <w:gridCol w:w="1690"/>
        <w:gridCol w:w="1228"/>
      </w:tblGrid>
      <w:tr w14:paraId="2E9A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11" w:type="pct"/>
            <w:vAlign w:val="center"/>
          </w:tcPr>
          <w:p w14:paraId="145921EC">
            <w:pPr>
              <w:pStyle w:val="37"/>
              <w:rPr>
                <w:b/>
                <w:bCs/>
                <w:color w:val="auto"/>
                <w:highlight w:val="none"/>
              </w:rPr>
            </w:pPr>
            <w:r>
              <w:rPr>
                <w:b/>
                <w:bCs/>
                <w:color w:val="auto"/>
                <w:highlight w:val="none"/>
              </w:rPr>
              <w:t>序号</w:t>
            </w:r>
          </w:p>
        </w:tc>
        <w:tc>
          <w:tcPr>
            <w:tcW w:w="992" w:type="pct"/>
            <w:vAlign w:val="center"/>
          </w:tcPr>
          <w:p w14:paraId="3A771DF2">
            <w:pPr>
              <w:pStyle w:val="37"/>
              <w:rPr>
                <w:b/>
                <w:bCs/>
                <w:color w:val="auto"/>
                <w:highlight w:val="none"/>
              </w:rPr>
            </w:pPr>
            <w:r>
              <w:rPr>
                <w:b/>
                <w:bCs/>
                <w:color w:val="auto"/>
                <w:highlight w:val="none"/>
              </w:rPr>
              <w:t>排放口编号</w:t>
            </w:r>
          </w:p>
        </w:tc>
        <w:tc>
          <w:tcPr>
            <w:tcW w:w="992" w:type="pct"/>
            <w:vAlign w:val="center"/>
          </w:tcPr>
          <w:p w14:paraId="06C4A422">
            <w:pPr>
              <w:pStyle w:val="37"/>
              <w:rPr>
                <w:b/>
                <w:bCs/>
                <w:color w:val="auto"/>
                <w:highlight w:val="none"/>
              </w:rPr>
            </w:pPr>
            <w:r>
              <w:rPr>
                <w:b/>
                <w:bCs/>
                <w:color w:val="auto"/>
                <w:highlight w:val="none"/>
              </w:rPr>
              <w:t>污染物</w:t>
            </w:r>
          </w:p>
        </w:tc>
        <w:tc>
          <w:tcPr>
            <w:tcW w:w="992" w:type="pct"/>
            <w:vAlign w:val="center"/>
          </w:tcPr>
          <w:p w14:paraId="40D97050">
            <w:pPr>
              <w:pStyle w:val="37"/>
              <w:rPr>
                <w:b/>
                <w:bCs/>
                <w:color w:val="auto"/>
                <w:highlight w:val="none"/>
              </w:rPr>
            </w:pPr>
            <w:r>
              <w:rPr>
                <w:b/>
                <w:bCs/>
                <w:color w:val="auto"/>
                <w:highlight w:val="none"/>
              </w:rPr>
              <w:t>核算排放浓度/（</w:t>
            </w:r>
            <w:r>
              <w:rPr>
                <w:rFonts w:hint="eastAsia"/>
                <w:b/>
                <w:bCs/>
                <w:color w:val="auto"/>
                <w:highlight w:val="none"/>
              </w:rPr>
              <w:t>m</w:t>
            </w:r>
            <w:r>
              <w:rPr>
                <w:b/>
                <w:bCs/>
                <w:color w:val="auto"/>
                <w:highlight w:val="none"/>
              </w:rPr>
              <w:t>g/m</w:t>
            </w:r>
            <w:r>
              <w:rPr>
                <w:b/>
                <w:bCs/>
                <w:color w:val="auto"/>
                <w:highlight w:val="none"/>
                <w:vertAlign w:val="superscript"/>
              </w:rPr>
              <w:t>3</w:t>
            </w:r>
            <w:r>
              <w:rPr>
                <w:b/>
                <w:bCs/>
                <w:color w:val="auto"/>
                <w:highlight w:val="none"/>
              </w:rPr>
              <w:t>）</w:t>
            </w:r>
          </w:p>
        </w:tc>
        <w:tc>
          <w:tcPr>
            <w:tcW w:w="992" w:type="pct"/>
            <w:vAlign w:val="center"/>
          </w:tcPr>
          <w:p w14:paraId="70B67D3C">
            <w:pPr>
              <w:pStyle w:val="37"/>
              <w:rPr>
                <w:b/>
                <w:bCs/>
                <w:color w:val="auto"/>
                <w:highlight w:val="none"/>
              </w:rPr>
            </w:pPr>
            <w:r>
              <w:rPr>
                <w:b/>
                <w:bCs/>
                <w:color w:val="auto"/>
                <w:highlight w:val="none"/>
              </w:rPr>
              <w:t>核算排放速率/（kg/h）</w:t>
            </w:r>
          </w:p>
        </w:tc>
        <w:tc>
          <w:tcPr>
            <w:tcW w:w="719" w:type="pct"/>
            <w:vAlign w:val="center"/>
          </w:tcPr>
          <w:p w14:paraId="23EF4E46">
            <w:pPr>
              <w:pStyle w:val="37"/>
              <w:rPr>
                <w:b/>
                <w:bCs/>
                <w:color w:val="auto"/>
                <w:highlight w:val="none"/>
              </w:rPr>
            </w:pPr>
            <w:r>
              <w:rPr>
                <w:b/>
                <w:bCs/>
                <w:color w:val="auto"/>
                <w:highlight w:val="none"/>
              </w:rPr>
              <w:t>核算年排放量（t/a）</w:t>
            </w:r>
          </w:p>
        </w:tc>
      </w:tr>
      <w:tr w14:paraId="2539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000" w:type="pct"/>
            <w:gridSpan w:val="6"/>
            <w:vAlign w:val="center"/>
          </w:tcPr>
          <w:p w14:paraId="7E15CBD2">
            <w:pPr>
              <w:pStyle w:val="37"/>
              <w:rPr>
                <w:color w:val="auto"/>
                <w:highlight w:val="none"/>
              </w:rPr>
            </w:pPr>
            <w:r>
              <w:rPr>
                <w:color w:val="auto"/>
                <w:highlight w:val="none"/>
              </w:rPr>
              <w:t>一般排放口</w:t>
            </w:r>
          </w:p>
        </w:tc>
      </w:tr>
      <w:tr w14:paraId="1759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11" w:type="pct"/>
            <w:vAlign w:val="center"/>
          </w:tcPr>
          <w:p w14:paraId="212F1636">
            <w:pPr>
              <w:pStyle w:val="37"/>
              <w:rPr>
                <w:color w:val="auto"/>
                <w:highlight w:val="none"/>
              </w:rPr>
            </w:pPr>
            <w:r>
              <w:rPr>
                <w:color w:val="auto"/>
                <w:highlight w:val="none"/>
              </w:rPr>
              <w:t>1</w:t>
            </w:r>
          </w:p>
        </w:tc>
        <w:tc>
          <w:tcPr>
            <w:tcW w:w="992" w:type="pct"/>
            <w:vAlign w:val="center"/>
          </w:tcPr>
          <w:p w14:paraId="2673C81F">
            <w:pPr>
              <w:pStyle w:val="37"/>
              <w:rPr>
                <w:color w:val="auto"/>
                <w:highlight w:val="none"/>
              </w:rPr>
            </w:pPr>
            <w:r>
              <w:rPr>
                <w:color w:val="auto"/>
                <w:highlight w:val="none"/>
              </w:rPr>
              <w:t>DA001</w:t>
            </w:r>
          </w:p>
        </w:tc>
        <w:tc>
          <w:tcPr>
            <w:tcW w:w="992" w:type="pct"/>
            <w:vAlign w:val="center"/>
          </w:tcPr>
          <w:p w14:paraId="42D11112">
            <w:pPr>
              <w:pStyle w:val="37"/>
              <w:rPr>
                <w:color w:val="auto"/>
                <w:highlight w:val="none"/>
              </w:rPr>
            </w:pPr>
            <w:r>
              <w:rPr>
                <w:color w:val="auto"/>
                <w:highlight w:val="none"/>
              </w:rPr>
              <w:t>颗粒物</w:t>
            </w:r>
          </w:p>
        </w:tc>
        <w:tc>
          <w:tcPr>
            <w:tcW w:w="992" w:type="pct"/>
            <w:vAlign w:val="center"/>
          </w:tcPr>
          <w:p w14:paraId="6988C823">
            <w:pPr>
              <w:pStyle w:val="37"/>
              <w:rPr>
                <w:color w:val="auto"/>
                <w:highlight w:val="none"/>
              </w:rPr>
            </w:pPr>
            <w:r>
              <w:rPr>
                <w:rFonts w:hint="eastAsia"/>
                <w:color w:val="auto"/>
                <w:highlight w:val="none"/>
              </w:rPr>
              <w:t>5.8</w:t>
            </w:r>
          </w:p>
        </w:tc>
        <w:tc>
          <w:tcPr>
            <w:tcW w:w="992" w:type="pct"/>
            <w:vAlign w:val="center"/>
          </w:tcPr>
          <w:p w14:paraId="3F72D66F">
            <w:pPr>
              <w:pStyle w:val="37"/>
              <w:rPr>
                <w:color w:val="auto"/>
                <w:highlight w:val="none"/>
              </w:rPr>
            </w:pPr>
            <w:r>
              <w:rPr>
                <w:rFonts w:hint="eastAsia"/>
                <w:color w:val="auto"/>
                <w:highlight w:val="none"/>
              </w:rPr>
              <w:t>0.29</w:t>
            </w:r>
          </w:p>
        </w:tc>
        <w:tc>
          <w:tcPr>
            <w:tcW w:w="719" w:type="pct"/>
            <w:vAlign w:val="center"/>
          </w:tcPr>
          <w:p w14:paraId="3399337F">
            <w:pPr>
              <w:pStyle w:val="37"/>
              <w:rPr>
                <w:color w:val="auto"/>
                <w:highlight w:val="none"/>
              </w:rPr>
            </w:pPr>
            <w:r>
              <w:rPr>
                <w:rFonts w:hint="eastAsia"/>
                <w:color w:val="auto"/>
                <w:highlight w:val="none"/>
              </w:rPr>
              <w:t>1.53</w:t>
            </w:r>
          </w:p>
        </w:tc>
      </w:tr>
      <w:tr w14:paraId="2FEC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3" w:type="pct"/>
            <w:gridSpan w:val="2"/>
            <w:vAlign w:val="center"/>
          </w:tcPr>
          <w:p w14:paraId="59EF6995">
            <w:pPr>
              <w:pStyle w:val="37"/>
              <w:rPr>
                <w:color w:val="auto"/>
                <w:highlight w:val="none"/>
              </w:rPr>
            </w:pPr>
            <w:r>
              <w:rPr>
                <w:color w:val="auto"/>
                <w:highlight w:val="none"/>
              </w:rPr>
              <w:t>一般排放口合计</w:t>
            </w:r>
          </w:p>
        </w:tc>
        <w:tc>
          <w:tcPr>
            <w:tcW w:w="2976" w:type="pct"/>
            <w:gridSpan w:val="3"/>
            <w:vAlign w:val="center"/>
          </w:tcPr>
          <w:p w14:paraId="50B24C60">
            <w:pPr>
              <w:pStyle w:val="37"/>
              <w:rPr>
                <w:color w:val="auto"/>
                <w:highlight w:val="none"/>
              </w:rPr>
            </w:pPr>
            <w:r>
              <w:rPr>
                <w:color w:val="auto"/>
                <w:highlight w:val="none"/>
              </w:rPr>
              <w:t>颗粒物</w:t>
            </w:r>
          </w:p>
        </w:tc>
        <w:tc>
          <w:tcPr>
            <w:tcW w:w="719" w:type="pct"/>
            <w:vAlign w:val="center"/>
          </w:tcPr>
          <w:p w14:paraId="6328D125">
            <w:pPr>
              <w:pStyle w:val="37"/>
              <w:rPr>
                <w:color w:val="auto"/>
                <w:highlight w:val="none"/>
              </w:rPr>
            </w:pPr>
            <w:r>
              <w:rPr>
                <w:rFonts w:hint="eastAsia"/>
                <w:color w:val="auto"/>
                <w:highlight w:val="none"/>
              </w:rPr>
              <w:t>1.53</w:t>
            </w:r>
          </w:p>
        </w:tc>
      </w:tr>
    </w:tbl>
    <w:p w14:paraId="1AA7089A">
      <w:pPr>
        <w:adjustRightInd w:val="0"/>
        <w:ind w:firstLine="482"/>
        <w:rPr>
          <w:rFonts w:cs="Times New Roman"/>
          <w:b/>
          <w:bCs/>
          <w:color w:val="auto"/>
          <w:highlight w:val="none"/>
        </w:rPr>
      </w:pPr>
      <w:r>
        <w:rPr>
          <w:rFonts w:cs="Times New Roman"/>
          <w:b/>
          <w:bCs/>
          <w:color w:val="auto"/>
          <w:highlight w:val="none"/>
        </w:rPr>
        <w:t>二、无组织废气</w:t>
      </w:r>
    </w:p>
    <w:p w14:paraId="1501CAB3">
      <w:pPr>
        <w:adjustRightInd w:val="0"/>
        <w:ind w:firstLine="480"/>
        <w:rPr>
          <w:rFonts w:cs="Times New Roman"/>
          <w:color w:val="auto"/>
          <w:highlight w:val="none"/>
        </w:rPr>
      </w:pPr>
      <w:r>
        <w:rPr>
          <w:rFonts w:cs="Times New Roman"/>
          <w:color w:val="auto"/>
          <w:highlight w:val="none"/>
        </w:rPr>
        <w:t>本项目无组织废气包括集气罩未收集到的给料粉尘、集气罩未收集到的破碎、筛分粉尘、装卸及堆场粉尘、车辆运输扬尘</w:t>
      </w:r>
      <w:r>
        <w:rPr>
          <w:rFonts w:hint="eastAsia" w:cs="Times New Roman"/>
          <w:color w:val="auto"/>
          <w:highlight w:val="none"/>
        </w:rPr>
        <w:t>、食堂油烟</w:t>
      </w:r>
      <w:r>
        <w:rPr>
          <w:rFonts w:cs="Times New Roman"/>
          <w:color w:val="auto"/>
          <w:highlight w:val="none"/>
        </w:rPr>
        <w:t>。</w:t>
      </w:r>
    </w:p>
    <w:p w14:paraId="00C9E4D6">
      <w:pPr>
        <w:adjustRightInd w:val="0"/>
        <w:ind w:firstLine="482"/>
        <w:rPr>
          <w:rFonts w:cs="Times New Roman"/>
          <w:b/>
          <w:bCs/>
          <w:color w:val="auto"/>
          <w:highlight w:val="none"/>
        </w:rPr>
      </w:pPr>
      <w:r>
        <w:rPr>
          <w:rFonts w:cs="Times New Roman"/>
          <w:b/>
          <w:bCs/>
          <w:color w:val="auto"/>
          <w:highlight w:val="none"/>
        </w:rPr>
        <w:t>（1）未收集的给料粉尘</w:t>
      </w:r>
    </w:p>
    <w:p w14:paraId="5C5C94DF">
      <w:pPr>
        <w:adjustRightInd w:val="0"/>
        <w:ind w:firstLine="482"/>
        <w:rPr>
          <w:rFonts w:cs="Times New Roman"/>
          <w:color w:val="auto"/>
          <w:highlight w:val="none"/>
        </w:rPr>
      </w:pPr>
      <w:r>
        <w:rPr>
          <w:rFonts w:cs="Times New Roman"/>
          <w:b/>
          <w:bCs/>
          <w:color w:val="auto"/>
          <w:highlight w:val="none"/>
        </w:rPr>
        <w:t>产生源强</w:t>
      </w:r>
      <w:r>
        <w:rPr>
          <w:rFonts w:cs="Times New Roman"/>
          <w:color w:val="auto"/>
          <w:highlight w:val="none"/>
        </w:rPr>
        <w:t>：本项目给料粉尘产生速率为</w:t>
      </w:r>
      <w:r>
        <w:rPr>
          <w:rFonts w:hint="eastAsia" w:cs="Times New Roman"/>
          <w:color w:val="auto"/>
          <w:highlight w:val="none"/>
        </w:rPr>
        <w:t>0.68</w:t>
      </w:r>
      <w:r>
        <w:rPr>
          <w:rFonts w:cs="Times New Roman"/>
          <w:color w:val="auto"/>
          <w:highlight w:val="none"/>
        </w:rPr>
        <w:t>g/h（</w:t>
      </w:r>
      <w:r>
        <w:rPr>
          <w:rFonts w:hint="eastAsia" w:cs="Times New Roman"/>
          <w:color w:val="auto"/>
          <w:highlight w:val="none"/>
        </w:rPr>
        <w:t>3.6</w:t>
      </w:r>
      <w:r>
        <w:rPr>
          <w:rFonts w:cs="Times New Roman"/>
          <w:color w:val="auto"/>
          <w:highlight w:val="none"/>
        </w:rPr>
        <w:t>t/a），集气罩收集效率按80%计，则本项目无组织粉尘产生速率为0</w:t>
      </w:r>
      <w:r>
        <w:rPr>
          <w:rFonts w:hint="eastAsia" w:cs="Times New Roman"/>
          <w:color w:val="auto"/>
          <w:highlight w:val="none"/>
        </w:rPr>
        <w:t>.136</w:t>
      </w:r>
      <w:r>
        <w:rPr>
          <w:rFonts w:cs="Times New Roman"/>
          <w:color w:val="auto"/>
          <w:highlight w:val="none"/>
        </w:rPr>
        <w:t>kg/h（</w:t>
      </w:r>
      <w:r>
        <w:rPr>
          <w:rFonts w:hint="eastAsia" w:cs="Times New Roman"/>
          <w:color w:val="auto"/>
          <w:highlight w:val="none"/>
        </w:rPr>
        <w:t>0.72</w:t>
      </w:r>
      <w:r>
        <w:rPr>
          <w:rFonts w:cs="Times New Roman"/>
          <w:color w:val="auto"/>
          <w:highlight w:val="none"/>
        </w:rPr>
        <w:t>t/a）。</w:t>
      </w:r>
    </w:p>
    <w:p w14:paraId="66C81284">
      <w:pPr>
        <w:adjustRightInd w:val="0"/>
        <w:ind w:firstLine="482"/>
        <w:rPr>
          <w:rFonts w:cs="Times New Roman"/>
          <w:color w:val="auto"/>
          <w:highlight w:val="none"/>
        </w:rPr>
      </w:pPr>
      <w:r>
        <w:rPr>
          <w:rFonts w:hint="eastAsia" w:cs="Times New Roman"/>
          <w:b/>
          <w:bCs/>
          <w:color w:val="auto"/>
          <w:highlight w:val="none"/>
        </w:rPr>
        <w:t>治理</w:t>
      </w:r>
      <w:r>
        <w:rPr>
          <w:rFonts w:cs="Times New Roman"/>
          <w:b/>
          <w:bCs/>
          <w:color w:val="auto"/>
          <w:highlight w:val="none"/>
        </w:rPr>
        <w:t>措施</w:t>
      </w:r>
      <w:r>
        <w:rPr>
          <w:rFonts w:cs="Times New Roman"/>
          <w:color w:val="auto"/>
          <w:highlight w:val="none"/>
        </w:rPr>
        <w:t>：本项目给料工序均在封闭碎矿车间内进行，在车间上方设置喷雾除尘装置进行喷雾除尘。参考生态环境部发布的《排放源统计调查产排污核算方法和系数手册》中《附1工业源-附表2工业源固体物料堆场颗粒物核算系数手册》，喷雾降尘措施治理效率为74%。类比乐山市全沫矿产品有限公司，封闭车间治理效率为</w:t>
      </w:r>
      <w:r>
        <w:rPr>
          <w:rFonts w:hint="eastAsia" w:cs="Times New Roman"/>
          <w:color w:val="auto"/>
          <w:highlight w:val="none"/>
        </w:rPr>
        <w:t>9</w:t>
      </w:r>
      <w:r>
        <w:rPr>
          <w:rFonts w:cs="Times New Roman"/>
          <w:color w:val="auto"/>
          <w:highlight w:val="none"/>
        </w:rPr>
        <w:t>0%</w:t>
      </w:r>
      <w:r>
        <w:rPr>
          <w:rFonts w:hint="eastAsia" w:cs="Times New Roman"/>
          <w:color w:val="auto"/>
          <w:highlight w:val="none"/>
        </w:rPr>
        <w:t>。</w:t>
      </w:r>
    </w:p>
    <w:p w14:paraId="247B3FA6">
      <w:pPr>
        <w:adjustRightInd w:val="0"/>
        <w:ind w:firstLine="482"/>
        <w:rPr>
          <w:rFonts w:cs="Times New Roman"/>
          <w:color w:val="auto"/>
          <w:highlight w:val="none"/>
        </w:rPr>
      </w:pPr>
      <w:r>
        <w:rPr>
          <w:rFonts w:cs="Times New Roman"/>
          <w:b/>
          <w:bCs/>
          <w:color w:val="auto"/>
          <w:highlight w:val="none"/>
        </w:rPr>
        <w:t>排放情况</w:t>
      </w:r>
      <w:r>
        <w:rPr>
          <w:rFonts w:cs="Times New Roman"/>
          <w:color w:val="auto"/>
          <w:highlight w:val="none"/>
        </w:rPr>
        <w:t>：本项目无组织给料粉尘的产生、治理及排放情况见下表。</w:t>
      </w:r>
    </w:p>
    <w:p w14:paraId="27459A26">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9</w:t>
      </w:r>
      <w:r>
        <w:rPr>
          <w:rFonts w:cs="Times New Roman"/>
          <w:b/>
          <w:color w:val="auto"/>
          <w:sz w:val="21"/>
          <w:szCs w:val="20"/>
          <w:highlight w:val="none"/>
        </w:rPr>
        <w:fldChar w:fldCharType="end"/>
      </w:r>
      <w:r>
        <w:rPr>
          <w:rFonts w:cs="Times New Roman"/>
          <w:b/>
          <w:color w:val="auto"/>
          <w:sz w:val="21"/>
          <w:szCs w:val="20"/>
          <w:highlight w:val="none"/>
        </w:rPr>
        <w:t>本项目给料粉尘无组织源强及排污情况一览表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831"/>
        <w:gridCol w:w="1144"/>
        <w:gridCol w:w="1895"/>
        <w:gridCol w:w="1098"/>
        <w:gridCol w:w="1158"/>
        <w:gridCol w:w="1216"/>
      </w:tblGrid>
      <w:tr w14:paraId="5331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2" w:type="pct"/>
            <w:vMerge w:val="restart"/>
            <w:vAlign w:val="center"/>
          </w:tcPr>
          <w:p w14:paraId="34376B4A">
            <w:pPr>
              <w:pStyle w:val="37"/>
              <w:rPr>
                <w:b/>
                <w:bCs/>
                <w:color w:val="auto"/>
                <w:highlight w:val="none"/>
              </w:rPr>
            </w:pPr>
            <w:r>
              <w:rPr>
                <w:b/>
                <w:bCs/>
                <w:color w:val="auto"/>
                <w:highlight w:val="none"/>
              </w:rPr>
              <w:t>污染源</w:t>
            </w:r>
          </w:p>
        </w:tc>
        <w:tc>
          <w:tcPr>
            <w:tcW w:w="487" w:type="pct"/>
            <w:vMerge w:val="restart"/>
            <w:vAlign w:val="center"/>
          </w:tcPr>
          <w:p w14:paraId="4D1BB44C">
            <w:pPr>
              <w:pStyle w:val="37"/>
              <w:rPr>
                <w:b/>
                <w:bCs/>
                <w:color w:val="auto"/>
                <w:highlight w:val="none"/>
              </w:rPr>
            </w:pPr>
            <w:r>
              <w:rPr>
                <w:b/>
                <w:bCs/>
                <w:color w:val="auto"/>
                <w:highlight w:val="none"/>
              </w:rPr>
              <w:t>污染物</w:t>
            </w:r>
          </w:p>
        </w:tc>
        <w:tc>
          <w:tcPr>
            <w:tcW w:w="671" w:type="pct"/>
            <w:vMerge w:val="restart"/>
            <w:vAlign w:val="center"/>
          </w:tcPr>
          <w:p w14:paraId="3AE0AD36">
            <w:pPr>
              <w:pStyle w:val="37"/>
              <w:rPr>
                <w:b/>
                <w:bCs/>
                <w:color w:val="auto"/>
                <w:highlight w:val="none"/>
              </w:rPr>
            </w:pPr>
            <w:r>
              <w:rPr>
                <w:b/>
                <w:bCs/>
                <w:color w:val="auto"/>
                <w:highlight w:val="none"/>
              </w:rPr>
              <w:t>产生源强（kg/h）</w:t>
            </w:r>
          </w:p>
        </w:tc>
        <w:tc>
          <w:tcPr>
            <w:tcW w:w="1111" w:type="pct"/>
            <w:vMerge w:val="restart"/>
            <w:vAlign w:val="center"/>
          </w:tcPr>
          <w:p w14:paraId="5861D625">
            <w:pPr>
              <w:pStyle w:val="37"/>
              <w:rPr>
                <w:b/>
                <w:bCs/>
                <w:color w:val="auto"/>
                <w:highlight w:val="none"/>
              </w:rPr>
            </w:pPr>
            <w:r>
              <w:rPr>
                <w:b/>
                <w:bCs/>
                <w:color w:val="auto"/>
                <w:highlight w:val="none"/>
              </w:rPr>
              <w:t>治理措施及效率</w:t>
            </w:r>
          </w:p>
        </w:tc>
        <w:tc>
          <w:tcPr>
            <w:tcW w:w="644" w:type="pct"/>
            <w:vMerge w:val="restart"/>
            <w:vAlign w:val="center"/>
          </w:tcPr>
          <w:p w14:paraId="3C612800">
            <w:pPr>
              <w:pStyle w:val="37"/>
              <w:rPr>
                <w:b/>
                <w:bCs/>
                <w:color w:val="auto"/>
                <w:highlight w:val="none"/>
              </w:rPr>
            </w:pPr>
            <w:r>
              <w:rPr>
                <w:b/>
                <w:bCs/>
                <w:color w:val="auto"/>
                <w:highlight w:val="none"/>
              </w:rPr>
              <w:t>排放方式</w:t>
            </w:r>
          </w:p>
        </w:tc>
        <w:tc>
          <w:tcPr>
            <w:tcW w:w="1392" w:type="pct"/>
            <w:gridSpan w:val="2"/>
            <w:vAlign w:val="center"/>
          </w:tcPr>
          <w:p w14:paraId="76486AAD">
            <w:pPr>
              <w:pStyle w:val="37"/>
              <w:rPr>
                <w:b/>
                <w:bCs/>
                <w:color w:val="auto"/>
                <w:highlight w:val="none"/>
              </w:rPr>
            </w:pPr>
            <w:r>
              <w:rPr>
                <w:b/>
                <w:bCs/>
                <w:color w:val="auto"/>
                <w:highlight w:val="none"/>
              </w:rPr>
              <w:t>排放情况</w:t>
            </w:r>
          </w:p>
        </w:tc>
      </w:tr>
      <w:tr w14:paraId="6BFE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2" w:type="pct"/>
            <w:vMerge w:val="continue"/>
            <w:vAlign w:val="center"/>
          </w:tcPr>
          <w:p w14:paraId="2BC2E8C8">
            <w:pPr>
              <w:pStyle w:val="37"/>
              <w:rPr>
                <w:b/>
                <w:bCs/>
                <w:color w:val="auto"/>
                <w:highlight w:val="none"/>
              </w:rPr>
            </w:pPr>
          </w:p>
        </w:tc>
        <w:tc>
          <w:tcPr>
            <w:tcW w:w="487" w:type="pct"/>
            <w:vMerge w:val="continue"/>
            <w:vAlign w:val="center"/>
          </w:tcPr>
          <w:p w14:paraId="6F6914B9">
            <w:pPr>
              <w:pStyle w:val="37"/>
              <w:rPr>
                <w:b/>
                <w:bCs/>
                <w:color w:val="auto"/>
                <w:highlight w:val="none"/>
              </w:rPr>
            </w:pPr>
          </w:p>
        </w:tc>
        <w:tc>
          <w:tcPr>
            <w:tcW w:w="671" w:type="pct"/>
            <w:vMerge w:val="continue"/>
            <w:vAlign w:val="center"/>
          </w:tcPr>
          <w:p w14:paraId="2D4CF5C5">
            <w:pPr>
              <w:pStyle w:val="37"/>
              <w:rPr>
                <w:b/>
                <w:bCs/>
                <w:color w:val="auto"/>
                <w:highlight w:val="none"/>
              </w:rPr>
            </w:pPr>
          </w:p>
        </w:tc>
        <w:tc>
          <w:tcPr>
            <w:tcW w:w="1111" w:type="pct"/>
            <w:vMerge w:val="continue"/>
            <w:vAlign w:val="center"/>
          </w:tcPr>
          <w:p w14:paraId="7C7D4414">
            <w:pPr>
              <w:pStyle w:val="37"/>
              <w:rPr>
                <w:b/>
                <w:bCs/>
                <w:color w:val="auto"/>
                <w:highlight w:val="none"/>
              </w:rPr>
            </w:pPr>
          </w:p>
        </w:tc>
        <w:tc>
          <w:tcPr>
            <w:tcW w:w="644" w:type="pct"/>
            <w:vMerge w:val="continue"/>
            <w:vAlign w:val="center"/>
          </w:tcPr>
          <w:p w14:paraId="6CA9B856">
            <w:pPr>
              <w:pStyle w:val="37"/>
              <w:rPr>
                <w:b/>
                <w:bCs/>
                <w:color w:val="auto"/>
                <w:highlight w:val="none"/>
              </w:rPr>
            </w:pPr>
          </w:p>
        </w:tc>
        <w:tc>
          <w:tcPr>
            <w:tcW w:w="679" w:type="pct"/>
            <w:vAlign w:val="center"/>
          </w:tcPr>
          <w:p w14:paraId="4611ABDC">
            <w:pPr>
              <w:pStyle w:val="37"/>
              <w:rPr>
                <w:b/>
                <w:bCs/>
                <w:color w:val="auto"/>
                <w:highlight w:val="none"/>
              </w:rPr>
            </w:pPr>
            <w:r>
              <w:rPr>
                <w:b/>
                <w:bCs/>
                <w:color w:val="auto"/>
                <w:highlight w:val="none"/>
              </w:rPr>
              <w:t>排放量（t/a）</w:t>
            </w:r>
          </w:p>
        </w:tc>
        <w:tc>
          <w:tcPr>
            <w:tcW w:w="713" w:type="pct"/>
            <w:vAlign w:val="center"/>
          </w:tcPr>
          <w:p w14:paraId="2EFAF110">
            <w:pPr>
              <w:pStyle w:val="37"/>
              <w:rPr>
                <w:b/>
                <w:bCs/>
                <w:color w:val="auto"/>
                <w:highlight w:val="none"/>
              </w:rPr>
            </w:pPr>
            <w:r>
              <w:rPr>
                <w:b/>
                <w:bCs/>
                <w:color w:val="auto"/>
                <w:highlight w:val="none"/>
              </w:rPr>
              <w:t>排放速率（kg/h）</w:t>
            </w:r>
          </w:p>
        </w:tc>
      </w:tr>
      <w:tr w14:paraId="14BE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14:paraId="2632348B">
            <w:pPr>
              <w:pStyle w:val="37"/>
              <w:rPr>
                <w:color w:val="auto"/>
                <w:highlight w:val="none"/>
              </w:rPr>
            </w:pPr>
            <w:r>
              <w:rPr>
                <w:color w:val="auto"/>
                <w:highlight w:val="none"/>
              </w:rPr>
              <w:t>给料</w:t>
            </w:r>
          </w:p>
        </w:tc>
        <w:tc>
          <w:tcPr>
            <w:tcW w:w="487" w:type="pct"/>
            <w:vAlign w:val="center"/>
          </w:tcPr>
          <w:p w14:paraId="6F16884B">
            <w:pPr>
              <w:pStyle w:val="37"/>
              <w:rPr>
                <w:color w:val="auto"/>
                <w:highlight w:val="none"/>
              </w:rPr>
            </w:pPr>
            <w:r>
              <w:rPr>
                <w:color w:val="auto"/>
                <w:highlight w:val="none"/>
              </w:rPr>
              <w:t>颗粒物</w:t>
            </w:r>
          </w:p>
        </w:tc>
        <w:tc>
          <w:tcPr>
            <w:tcW w:w="671" w:type="pct"/>
            <w:vAlign w:val="center"/>
          </w:tcPr>
          <w:p w14:paraId="4E77903E">
            <w:pPr>
              <w:pStyle w:val="37"/>
              <w:rPr>
                <w:color w:val="auto"/>
                <w:highlight w:val="none"/>
              </w:rPr>
            </w:pPr>
            <w:r>
              <w:rPr>
                <w:rFonts w:hint="eastAsia"/>
                <w:color w:val="auto"/>
                <w:highlight w:val="none"/>
              </w:rPr>
              <w:t>0.136</w:t>
            </w:r>
          </w:p>
        </w:tc>
        <w:tc>
          <w:tcPr>
            <w:tcW w:w="1111" w:type="pct"/>
            <w:vAlign w:val="center"/>
          </w:tcPr>
          <w:p w14:paraId="5BE5830C">
            <w:pPr>
              <w:pStyle w:val="37"/>
              <w:rPr>
                <w:color w:val="auto"/>
                <w:highlight w:val="none"/>
              </w:rPr>
            </w:pPr>
            <w:r>
              <w:rPr>
                <w:color w:val="auto"/>
                <w:highlight w:val="none"/>
              </w:rPr>
              <w:t>喷雾除尘（74%）</w:t>
            </w:r>
          </w:p>
          <w:p w14:paraId="0EE14C1D">
            <w:pPr>
              <w:pStyle w:val="37"/>
              <w:rPr>
                <w:color w:val="auto"/>
                <w:highlight w:val="none"/>
              </w:rPr>
            </w:pPr>
            <w:r>
              <w:rPr>
                <w:color w:val="auto"/>
                <w:highlight w:val="none"/>
              </w:rPr>
              <w:t>封闭车间（</w:t>
            </w:r>
            <w:r>
              <w:rPr>
                <w:rFonts w:hint="eastAsia"/>
                <w:color w:val="auto"/>
                <w:highlight w:val="none"/>
              </w:rPr>
              <w:t>9</w:t>
            </w:r>
            <w:r>
              <w:rPr>
                <w:color w:val="auto"/>
                <w:highlight w:val="none"/>
              </w:rPr>
              <w:t>0%）</w:t>
            </w:r>
          </w:p>
        </w:tc>
        <w:tc>
          <w:tcPr>
            <w:tcW w:w="644" w:type="pct"/>
            <w:vAlign w:val="center"/>
          </w:tcPr>
          <w:p w14:paraId="7431A576">
            <w:pPr>
              <w:pStyle w:val="37"/>
              <w:rPr>
                <w:color w:val="auto"/>
                <w:highlight w:val="none"/>
              </w:rPr>
            </w:pPr>
            <w:r>
              <w:rPr>
                <w:color w:val="auto"/>
                <w:highlight w:val="none"/>
              </w:rPr>
              <w:t>无组织</w:t>
            </w:r>
          </w:p>
        </w:tc>
        <w:tc>
          <w:tcPr>
            <w:tcW w:w="679" w:type="pct"/>
            <w:vAlign w:val="center"/>
          </w:tcPr>
          <w:p w14:paraId="2FA59129">
            <w:pPr>
              <w:pStyle w:val="37"/>
              <w:rPr>
                <w:color w:val="auto"/>
                <w:highlight w:val="none"/>
              </w:rPr>
            </w:pPr>
            <w:r>
              <w:rPr>
                <w:rFonts w:hint="eastAsia"/>
                <w:color w:val="auto"/>
                <w:highlight w:val="none"/>
              </w:rPr>
              <w:t>0.018</w:t>
            </w:r>
          </w:p>
        </w:tc>
        <w:tc>
          <w:tcPr>
            <w:tcW w:w="713" w:type="pct"/>
            <w:vAlign w:val="center"/>
          </w:tcPr>
          <w:p w14:paraId="7DBE9DF1">
            <w:pPr>
              <w:pStyle w:val="37"/>
              <w:rPr>
                <w:color w:val="auto"/>
                <w:highlight w:val="none"/>
              </w:rPr>
            </w:pPr>
            <w:r>
              <w:rPr>
                <w:rFonts w:hint="eastAsia"/>
                <w:color w:val="auto"/>
                <w:highlight w:val="none"/>
              </w:rPr>
              <w:t>0.0035</w:t>
            </w:r>
          </w:p>
        </w:tc>
      </w:tr>
    </w:tbl>
    <w:p w14:paraId="5FFB13C0">
      <w:pPr>
        <w:adjustRightInd w:val="0"/>
        <w:ind w:firstLine="482"/>
        <w:rPr>
          <w:rFonts w:cs="Times New Roman"/>
          <w:b/>
          <w:bCs/>
          <w:color w:val="auto"/>
          <w:highlight w:val="none"/>
        </w:rPr>
      </w:pPr>
      <w:r>
        <w:rPr>
          <w:rFonts w:cs="Times New Roman"/>
          <w:b/>
          <w:bCs/>
          <w:color w:val="auto"/>
          <w:highlight w:val="none"/>
        </w:rPr>
        <w:t>（2）未收集的破碎、筛分粉尘</w:t>
      </w:r>
    </w:p>
    <w:p w14:paraId="3E3190B4">
      <w:pPr>
        <w:adjustRightInd w:val="0"/>
        <w:ind w:firstLine="482"/>
        <w:rPr>
          <w:rFonts w:cs="Times New Roman"/>
          <w:color w:val="auto"/>
          <w:highlight w:val="none"/>
        </w:rPr>
      </w:pPr>
      <w:r>
        <w:rPr>
          <w:rFonts w:cs="Times New Roman"/>
          <w:b/>
          <w:bCs/>
          <w:color w:val="auto"/>
          <w:highlight w:val="none"/>
        </w:rPr>
        <w:t>产生源强</w:t>
      </w:r>
      <w:r>
        <w:rPr>
          <w:rFonts w:cs="Times New Roman"/>
          <w:color w:val="auto"/>
          <w:highlight w:val="none"/>
        </w:rPr>
        <w:t>：本项目破碎、筛分粉尘产生速率为</w:t>
      </w:r>
      <w:r>
        <w:rPr>
          <w:rFonts w:hint="eastAsia" w:cs="Times New Roman"/>
          <w:color w:val="auto"/>
          <w:highlight w:val="none"/>
        </w:rPr>
        <w:t>35.45</w:t>
      </w:r>
      <w:r>
        <w:rPr>
          <w:rFonts w:cs="Times New Roman"/>
          <w:color w:val="auto"/>
          <w:highlight w:val="none"/>
        </w:rPr>
        <w:t>kg/h（</w:t>
      </w:r>
      <w:r>
        <w:rPr>
          <w:rFonts w:hint="eastAsia" w:cs="Times New Roman"/>
          <w:color w:val="auto"/>
          <w:highlight w:val="none"/>
        </w:rPr>
        <w:t>187.18</w:t>
      </w:r>
      <w:r>
        <w:rPr>
          <w:rFonts w:cs="Times New Roman"/>
          <w:color w:val="auto"/>
          <w:highlight w:val="none"/>
        </w:rPr>
        <w:t>t/a），集气罩收集效率按80%计，则本项目无组织粉尘产生速率为</w:t>
      </w:r>
      <w:r>
        <w:rPr>
          <w:rFonts w:hint="eastAsia" w:cs="Times New Roman"/>
          <w:color w:val="auto"/>
          <w:highlight w:val="none"/>
        </w:rPr>
        <w:t>7.09</w:t>
      </w:r>
      <w:r>
        <w:rPr>
          <w:rFonts w:cs="Times New Roman"/>
          <w:color w:val="auto"/>
          <w:highlight w:val="none"/>
        </w:rPr>
        <w:t>kg/h（</w:t>
      </w:r>
      <w:r>
        <w:rPr>
          <w:rFonts w:hint="eastAsia" w:cs="Times New Roman"/>
          <w:color w:val="auto"/>
          <w:highlight w:val="none"/>
        </w:rPr>
        <w:t>37.436</w:t>
      </w:r>
      <w:r>
        <w:rPr>
          <w:rFonts w:cs="Times New Roman"/>
          <w:color w:val="auto"/>
          <w:highlight w:val="none"/>
        </w:rPr>
        <w:t>t/a）。</w:t>
      </w:r>
    </w:p>
    <w:p w14:paraId="0E892F12">
      <w:pPr>
        <w:adjustRightInd w:val="0"/>
        <w:ind w:firstLine="482"/>
        <w:rPr>
          <w:rFonts w:cs="Times New Roman"/>
          <w:color w:val="auto"/>
          <w:highlight w:val="none"/>
        </w:rPr>
      </w:pPr>
      <w:r>
        <w:rPr>
          <w:rFonts w:hint="eastAsia" w:cs="Times New Roman"/>
          <w:b/>
          <w:bCs/>
          <w:color w:val="auto"/>
          <w:highlight w:val="none"/>
        </w:rPr>
        <w:t>现状</w:t>
      </w:r>
      <w:r>
        <w:rPr>
          <w:rFonts w:cs="Times New Roman"/>
          <w:b/>
          <w:bCs/>
          <w:color w:val="auto"/>
          <w:highlight w:val="none"/>
        </w:rPr>
        <w:t>措施</w:t>
      </w:r>
      <w:r>
        <w:rPr>
          <w:rFonts w:cs="Times New Roman"/>
          <w:color w:val="auto"/>
          <w:highlight w:val="none"/>
        </w:rPr>
        <w:t>：本项目破碎、筛分工序均在封闭碎矿车间内进行，在车间上方设置喷雾除尘装置进行喷雾除尘。参考生态环境部发布的《排放源统计调查产排污核算方法和系数手册》中《附1工业源-附表2工业源固体物料堆场颗粒物核算系数手册》，喷雾降尘措施治理效率为74%。</w:t>
      </w:r>
      <w:r>
        <w:rPr>
          <w:rFonts w:hint="eastAsia" w:cs="Times New Roman"/>
          <w:color w:val="auto"/>
          <w:highlight w:val="none"/>
        </w:rPr>
        <w:t>类比乐山市全沫矿产品有限公司，封闭车间治理效率为90%。</w:t>
      </w:r>
    </w:p>
    <w:p w14:paraId="3FDF8BAC">
      <w:pPr>
        <w:adjustRightInd w:val="0"/>
        <w:ind w:firstLine="482"/>
        <w:rPr>
          <w:rFonts w:cs="Times New Roman"/>
          <w:color w:val="auto"/>
          <w:highlight w:val="none"/>
        </w:rPr>
      </w:pPr>
      <w:r>
        <w:rPr>
          <w:rFonts w:cs="Times New Roman"/>
          <w:b/>
          <w:bCs/>
          <w:color w:val="auto"/>
          <w:highlight w:val="none"/>
        </w:rPr>
        <w:t>排放情况</w:t>
      </w:r>
      <w:r>
        <w:rPr>
          <w:rFonts w:cs="Times New Roman"/>
          <w:color w:val="auto"/>
          <w:highlight w:val="none"/>
        </w:rPr>
        <w:t>：本项目无组织破碎筛分粉尘的产生、治理及排放情况见下表。</w:t>
      </w:r>
    </w:p>
    <w:p w14:paraId="7DFE1FEB">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10</w:t>
      </w:r>
      <w:r>
        <w:rPr>
          <w:rFonts w:cs="Times New Roman"/>
          <w:b/>
          <w:color w:val="auto"/>
          <w:sz w:val="21"/>
          <w:szCs w:val="20"/>
          <w:highlight w:val="none"/>
        </w:rPr>
        <w:fldChar w:fldCharType="end"/>
      </w:r>
      <w:r>
        <w:rPr>
          <w:rFonts w:cs="Times New Roman"/>
          <w:b/>
          <w:color w:val="auto"/>
          <w:sz w:val="21"/>
          <w:szCs w:val="20"/>
          <w:highlight w:val="none"/>
        </w:rPr>
        <w:t>本项目破碎、筛分粉尘无组织源强及排污情况一览表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0"/>
        <w:gridCol w:w="831"/>
        <w:gridCol w:w="1144"/>
        <w:gridCol w:w="1895"/>
        <w:gridCol w:w="1098"/>
        <w:gridCol w:w="1158"/>
        <w:gridCol w:w="1216"/>
      </w:tblGrid>
      <w:tr w14:paraId="793D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2" w:type="pct"/>
            <w:vMerge w:val="restart"/>
            <w:vAlign w:val="center"/>
          </w:tcPr>
          <w:p w14:paraId="191B83CB">
            <w:pPr>
              <w:pStyle w:val="37"/>
              <w:rPr>
                <w:b/>
                <w:bCs/>
                <w:color w:val="auto"/>
                <w:highlight w:val="none"/>
              </w:rPr>
            </w:pPr>
            <w:r>
              <w:rPr>
                <w:b/>
                <w:bCs/>
                <w:color w:val="auto"/>
                <w:highlight w:val="none"/>
              </w:rPr>
              <w:t>污染源</w:t>
            </w:r>
          </w:p>
        </w:tc>
        <w:tc>
          <w:tcPr>
            <w:tcW w:w="487" w:type="pct"/>
            <w:vMerge w:val="restart"/>
            <w:vAlign w:val="center"/>
          </w:tcPr>
          <w:p w14:paraId="4F9BBB51">
            <w:pPr>
              <w:pStyle w:val="37"/>
              <w:rPr>
                <w:b/>
                <w:bCs/>
                <w:color w:val="auto"/>
                <w:highlight w:val="none"/>
              </w:rPr>
            </w:pPr>
            <w:r>
              <w:rPr>
                <w:b/>
                <w:bCs/>
                <w:color w:val="auto"/>
                <w:highlight w:val="none"/>
              </w:rPr>
              <w:t>污染物</w:t>
            </w:r>
          </w:p>
        </w:tc>
        <w:tc>
          <w:tcPr>
            <w:tcW w:w="671" w:type="pct"/>
            <w:vMerge w:val="restart"/>
            <w:vAlign w:val="center"/>
          </w:tcPr>
          <w:p w14:paraId="246DF196">
            <w:pPr>
              <w:pStyle w:val="37"/>
              <w:rPr>
                <w:b/>
                <w:bCs/>
                <w:color w:val="auto"/>
                <w:highlight w:val="none"/>
              </w:rPr>
            </w:pPr>
            <w:r>
              <w:rPr>
                <w:b/>
                <w:bCs/>
                <w:color w:val="auto"/>
                <w:highlight w:val="none"/>
              </w:rPr>
              <w:t>产生源强（kg/h）</w:t>
            </w:r>
          </w:p>
        </w:tc>
        <w:tc>
          <w:tcPr>
            <w:tcW w:w="1111" w:type="pct"/>
            <w:vMerge w:val="restart"/>
            <w:vAlign w:val="center"/>
          </w:tcPr>
          <w:p w14:paraId="28D9D532">
            <w:pPr>
              <w:pStyle w:val="37"/>
              <w:rPr>
                <w:b/>
                <w:bCs/>
                <w:color w:val="auto"/>
                <w:highlight w:val="none"/>
              </w:rPr>
            </w:pPr>
            <w:r>
              <w:rPr>
                <w:b/>
                <w:bCs/>
                <w:color w:val="auto"/>
                <w:highlight w:val="none"/>
              </w:rPr>
              <w:t>治理措施及效率</w:t>
            </w:r>
          </w:p>
        </w:tc>
        <w:tc>
          <w:tcPr>
            <w:tcW w:w="644" w:type="pct"/>
            <w:vMerge w:val="restart"/>
            <w:vAlign w:val="center"/>
          </w:tcPr>
          <w:p w14:paraId="47D4A080">
            <w:pPr>
              <w:pStyle w:val="37"/>
              <w:rPr>
                <w:b/>
                <w:bCs/>
                <w:color w:val="auto"/>
                <w:highlight w:val="none"/>
              </w:rPr>
            </w:pPr>
            <w:r>
              <w:rPr>
                <w:b/>
                <w:bCs/>
                <w:color w:val="auto"/>
                <w:highlight w:val="none"/>
              </w:rPr>
              <w:t>排放方式</w:t>
            </w:r>
          </w:p>
        </w:tc>
        <w:tc>
          <w:tcPr>
            <w:tcW w:w="1392" w:type="pct"/>
            <w:gridSpan w:val="2"/>
            <w:vAlign w:val="center"/>
          </w:tcPr>
          <w:p w14:paraId="431E3753">
            <w:pPr>
              <w:pStyle w:val="37"/>
              <w:rPr>
                <w:b/>
                <w:bCs/>
                <w:color w:val="auto"/>
                <w:highlight w:val="none"/>
              </w:rPr>
            </w:pPr>
            <w:r>
              <w:rPr>
                <w:b/>
                <w:bCs/>
                <w:color w:val="auto"/>
                <w:highlight w:val="none"/>
              </w:rPr>
              <w:t>排放情况</w:t>
            </w:r>
          </w:p>
        </w:tc>
      </w:tr>
      <w:tr w14:paraId="3695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92" w:type="pct"/>
            <w:vMerge w:val="continue"/>
            <w:vAlign w:val="center"/>
          </w:tcPr>
          <w:p w14:paraId="3F362E51">
            <w:pPr>
              <w:pStyle w:val="37"/>
              <w:rPr>
                <w:b/>
                <w:bCs/>
                <w:color w:val="auto"/>
                <w:highlight w:val="none"/>
              </w:rPr>
            </w:pPr>
          </w:p>
        </w:tc>
        <w:tc>
          <w:tcPr>
            <w:tcW w:w="487" w:type="pct"/>
            <w:vMerge w:val="continue"/>
            <w:vAlign w:val="center"/>
          </w:tcPr>
          <w:p w14:paraId="1C9BA5EE">
            <w:pPr>
              <w:pStyle w:val="37"/>
              <w:rPr>
                <w:b/>
                <w:bCs/>
                <w:color w:val="auto"/>
                <w:highlight w:val="none"/>
              </w:rPr>
            </w:pPr>
          </w:p>
        </w:tc>
        <w:tc>
          <w:tcPr>
            <w:tcW w:w="671" w:type="pct"/>
            <w:vMerge w:val="continue"/>
            <w:vAlign w:val="center"/>
          </w:tcPr>
          <w:p w14:paraId="1A396066">
            <w:pPr>
              <w:pStyle w:val="37"/>
              <w:rPr>
                <w:b/>
                <w:bCs/>
                <w:color w:val="auto"/>
                <w:highlight w:val="none"/>
              </w:rPr>
            </w:pPr>
          </w:p>
        </w:tc>
        <w:tc>
          <w:tcPr>
            <w:tcW w:w="1111" w:type="pct"/>
            <w:vMerge w:val="continue"/>
            <w:vAlign w:val="center"/>
          </w:tcPr>
          <w:p w14:paraId="2633E0BA">
            <w:pPr>
              <w:pStyle w:val="37"/>
              <w:rPr>
                <w:b/>
                <w:bCs/>
                <w:color w:val="auto"/>
                <w:highlight w:val="none"/>
              </w:rPr>
            </w:pPr>
          </w:p>
        </w:tc>
        <w:tc>
          <w:tcPr>
            <w:tcW w:w="644" w:type="pct"/>
            <w:vMerge w:val="continue"/>
            <w:vAlign w:val="center"/>
          </w:tcPr>
          <w:p w14:paraId="2F4117D6">
            <w:pPr>
              <w:pStyle w:val="37"/>
              <w:rPr>
                <w:b/>
                <w:bCs/>
                <w:color w:val="auto"/>
                <w:highlight w:val="none"/>
              </w:rPr>
            </w:pPr>
          </w:p>
        </w:tc>
        <w:tc>
          <w:tcPr>
            <w:tcW w:w="679" w:type="pct"/>
            <w:vAlign w:val="center"/>
          </w:tcPr>
          <w:p w14:paraId="6F3C4588">
            <w:pPr>
              <w:pStyle w:val="37"/>
              <w:rPr>
                <w:b/>
                <w:bCs/>
                <w:color w:val="auto"/>
                <w:highlight w:val="none"/>
              </w:rPr>
            </w:pPr>
            <w:r>
              <w:rPr>
                <w:b/>
                <w:bCs/>
                <w:color w:val="auto"/>
                <w:highlight w:val="none"/>
              </w:rPr>
              <w:t>排放量（t/a）</w:t>
            </w:r>
          </w:p>
        </w:tc>
        <w:tc>
          <w:tcPr>
            <w:tcW w:w="713" w:type="pct"/>
            <w:vAlign w:val="center"/>
          </w:tcPr>
          <w:p w14:paraId="7644559C">
            <w:pPr>
              <w:pStyle w:val="37"/>
              <w:rPr>
                <w:b/>
                <w:bCs/>
                <w:color w:val="auto"/>
                <w:highlight w:val="none"/>
              </w:rPr>
            </w:pPr>
            <w:r>
              <w:rPr>
                <w:b/>
                <w:bCs/>
                <w:color w:val="auto"/>
                <w:highlight w:val="none"/>
              </w:rPr>
              <w:t>排放速率（kg/h）</w:t>
            </w:r>
          </w:p>
        </w:tc>
      </w:tr>
      <w:tr w14:paraId="3DDD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pct"/>
            <w:vAlign w:val="center"/>
          </w:tcPr>
          <w:p w14:paraId="1421A1C0">
            <w:pPr>
              <w:pStyle w:val="37"/>
              <w:rPr>
                <w:color w:val="auto"/>
                <w:highlight w:val="none"/>
              </w:rPr>
            </w:pPr>
            <w:r>
              <w:rPr>
                <w:color w:val="auto"/>
                <w:highlight w:val="none"/>
              </w:rPr>
              <w:t>破碎、筛分</w:t>
            </w:r>
          </w:p>
        </w:tc>
        <w:tc>
          <w:tcPr>
            <w:tcW w:w="487" w:type="pct"/>
            <w:vAlign w:val="center"/>
          </w:tcPr>
          <w:p w14:paraId="6946FA0B">
            <w:pPr>
              <w:pStyle w:val="37"/>
              <w:rPr>
                <w:color w:val="auto"/>
                <w:highlight w:val="none"/>
              </w:rPr>
            </w:pPr>
            <w:r>
              <w:rPr>
                <w:color w:val="auto"/>
                <w:highlight w:val="none"/>
              </w:rPr>
              <w:t>颗粒物</w:t>
            </w:r>
          </w:p>
        </w:tc>
        <w:tc>
          <w:tcPr>
            <w:tcW w:w="671" w:type="pct"/>
            <w:vAlign w:val="center"/>
          </w:tcPr>
          <w:p w14:paraId="62F37A25">
            <w:pPr>
              <w:pStyle w:val="37"/>
              <w:rPr>
                <w:color w:val="auto"/>
                <w:highlight w:val="none"/>
              </w:rPr>
            </w:pPr>
            <w:r>
              <w:rPr>
                <w:rFonts w:hint="eastAsia"/>
                <w:color w:val="auto"/>
                <w:highlight w:val="none"/>
              </w:rPr>
              <w:t>7.09</w:t>
            </w:r>
          </w:p>
        </w:tc>
        <w:tc>
          <w:tcPr>
            <w:tcW w:w="1111" w:type="pct"/>
            <w:vAlign w:val="center"/>
          </w:tcPr>
          <w:p w14:paraId="31A1CAD7">
            <w:pPr>
              <w:pStyle w:val="37"/>
              <w:rPr>
                <w:color w:val="auto"/>
                <w:highlight w:val="none"/>
              </w:rPr>
            </w:pPr>
            <w:r>
              <w:rPr>
                <w:color w:val="auto"/>
                <w:highlight w:val="none"/>
              </w:rPr>
              <w:t>喷雾除尘（74%）</w:t>
            </w:r>
          </w:p>
          <w:p w14:paraId="26EF5513">
            <w:pPr>
              <w:pStyle w:val="37"/>
              <w:rPr>
                <w:color w:val="auto"/>
                <w:highlight w:val="none"/>
              </w:rPr>
            </w:pPr>
            <w:r>
              <w:rPr>
                <w:rFonts w:hint="eastAsia"/>
                <w:color w:val="auto"/>
                <w:highlight w:val="none"/>
              </w:rPr>
              <w:t>封闭车间（90%）</w:t>
            </w:r>
          </w:p>
        </w:tc>
        <w:tc>
          <w:tcPr>
            <w:tcW w:w="644" w:type="pct"/>
            <w:vAlign w:val="center"/>
          </w:tcPr>
          <w:p w14:paraId="469F91DE">
            <w:pPr>
              <w:pStyle w:val="37"/>
              <w:rPr>
                <w:color w:val="auto"/>
                <w:highlight w:val="none"/>
              </w:rPr>
            </w:pPr>
            <w:r>
              <w:rPr>
                <w:color w:val="auto"/>
                <w:highlight w:val="none"/>
              </w:rPr>
              <w:t>无组织</w:t>
            </w:r>
          </w:p>
        </w:tc>
        <w:tc>
          <w:tcPr>
            <w:tcW w:w="679" w:type="pct"/>
            <w:vAlign w:val="center"/>
          </w:tcPr>
          <w:p w14:paraId="72ABD4ED">
            <w:pPr>
              <w:pStyle w:val="37"/>
              <w:rPr>
                <w:color w:val="auto"/>
                <w:highlight w:val="none"/>
              </w:rPr>
            </w:pPr>
            <w:r>
              <w:rPr>
                <w:rFonts w:hint="eastAsia"/>
                <w:color w:val="auto"/>
                <w:highlight w:val="none"/>
              </w:rPr>
              <w:t>0.973</w:t>
            </w:r>
          </w:p>
        </w:tc>
        <w:tc>
          <w:tcPr>
            <w:tcW w:w="713" w:type="pct"/>
            <w:vAlign w:val="center"/>
          </w:tcPr>
          <w:p w14:paraId="45147BC9">
            <w:pPr>
              <w:pStyle w:val="37"/>
              <w:rPr>
                <w:color w:val="auto"/>
                <w:highlight w:val="none"/>
              </w:rPr>
            </w:pPr>
            <w:r>
              <w:rPr>
                <w:rFonts w:hint="eastAsia"/>
                <w:color w:val="auto"/>
                <w:highlight w:val="none"/>
              </w:rPr>
              <w:t>0.184</w:t>
            </w:r>
          </w:p>
        </w:tc>
      </w:tr>
    </w:tbl>
    <w:p w14:paraId="7E185696">
      <w:pPr>
        <w:adjustRightInd w:val="0"/>
        <w:ind w:firstLine="482"/>
        <w:rPr>
          <w:rFonts w:cs="Times New Roman"/>
          <w:b/>
          <w:bCs/>
          <w:color w:val="auto"/>
          <w:highlight w:val="none"/>
        </w:rPr>
      </w:pPr>
      <w:r>
        <w:rPr>
          <w:rFonts w:cs="Times New Roman"/>
          <w:b/>
          <w:bCs/>
          <w:color w:val="auto"/>
          <w:highlight w:val="none"/>
        </w:rPr>
        <w:t>（3）装卸及堆</w:t>
      </w:r>
      <w:r>
        <w:rPr>
          <w:rFonts w:hint="eastAsia" w:cs="Times New Roman"/>
          <w:b/>
          <w:bCs/>
          <w:color w:val="auto"/>
          <w:highlight w:val="none"/>
        </w:rPr>
        <w:t>料</w:t>
      </w:r>
      <w:r>
        <w:rPr>
          <w:rFonts w:cs="Times New Roman"/>
          <w:b/>
          <w:bCs/>
          <w:color w:val="auto"/>
          <w:highlight w:val="none"/>
        </w:rPr>
        <w:t>粉尘</w:t>
      </w:r>
    </w:p>
    <w:p w14:paraId="06BEBB3F">
      <w:pPr>
        <w:adjustRightInd w:val="0"/>
        <w:ind w:firstLine="482"/>
        <w:rPr>
          <w:rFonts w:cs="Times New Roman"/>
          <w:color w:val="auto"/>
          <w:highlight w:val="none"/>
        </w:rPr>
      </w:pPr>
      <w:r>
        <w:rPr>
          <w:rFonts w:cs="Times New Roman"/>
          <w:b/>
          <w:bCs/>
          <w:color w:val="auto"/>
          <w:highlight w:val="none"/>
        </w:rPr>
        <w:t>产生源强</w:t>
      </w:r>
      <w:r>
        <w:rPr>
          <w:rFonts w:cs="Times New Roman"/>
          <w:color w:val="auto"/>
          <w:highlight w:val="none"/>
        </w:rPr>
        <w:t>：本项目堆场产生的粉尘包括装卸扬尘及风蚀扬尘。根据生态环境部发布的《排放源统计调查产排污核算方法和系数手册》附1工业源中的</w:t>
      </w:r>
      <w:r>
        <w:rPr>
          <w:rFonts w:hint="eastAsia" w:cs="Times New Roman"/>
          <w:color w:val="auto"/>
          <w:highlight w:val="none"/>
        </w:rPr>
        <w:t>“</w:t>
      </w:r>
      <w:r>
        <w:rPr>
          <w:rFonts w:cs="Times New Roman"/>
          <w:color w:val="auto"/>
          <w:highlight w:val="none"/>
        </w:rPr>
        <w:t>附表2工业源固体物料堆场颗粒物核算系数手册</w:t>
      </w:r>
      <w:r>
        <w:rPr>
          <w:rFonts w:hint="eastAsia" w:cs="Times New Roman"/>
          <w:color w:val="auto"/>
          <w:highlight w:val="none"/>
        </w:rPr>
        <w:t>”</w:t>
      </w:r>
      <w:r>
        <w:rPr>
          <w:rFonts w:cs="Times New Roman"/>
          <w:color w:val="auto"/>
          <w:highlight w:val="none"/>
        </w:rPr>
        <w:t>，本项目堆场粉尘产生量核算公式如下：</w:t>
      </w:r>
    </w:p>
    <w:p w14:paraId="5E221203">
      <w:pPr>
        <w:overflowPunct w:val="0"/>
        <w:adjustRightInd w:val="0"/>
        <w:ind w:firstLine="0" w:firstLineChars="0"/>
        <w:jc w:val="center"/>
        <w:rPr>
          <w:rFonts w:cs="Times New Roman"/>
          <w:color w:val="auto"/>
          <w:kern w:val="21"/>
          <w:sz w:val="21"/>
          <w:szCs w:val="24"/>
          <w:highlight w:val="none"/>
        </w:rPr>
      </w:pPr>
      <w:r>
        <w:rPr>
          <w:rFonts w:cs="Times New Roman"/>
          <w:color w:val="auto"/>
          <w:kern w:val="21"/>
          <w:sz w:val="21"/>
          <w:szCs w:val="24"/>
          <w:highlight w:val="none"/>
        </w:rPr>
        <w:object>
          <v:shape id="_x0000_i1031" o:spt="75" type="#_x0000_t75" style="height:36.45pt;width:249.65pt;" o:ole="t" filled="f" o:preferrelative="t" stroked="f" coordsize="21600,21600">
            <v:path/>
            <v:fill on="f" focussize="0,0"/>
            <v:stroke on="f" joinstyle="miter"/>
            <v:imagedata r:id="rId38" o:title=""/>
            <o:lock v:ext="edit" aspectratio="t"/>
            <w10:wrap type="none"/>
            <w10:anchorlock/>
          </v:shape>
          <o:OLEObject Type="Embed" ProgID="Equation.3" ShapeID="_x0000_i1031" DrawAspect="Content" ObjectID="_1468075731" r:id="rId37">
            <o:LockedField>false</o:LockedField>
          </o:OLEObject>
        </w:object>
      </w:r>
    </w:p>
    <w:p w14:paraId="5C19EAC9">
      <w:pPr>
        <w:overflowPunct w:val="0"/>
        <w:adjustRightInd w:val="0"/>
        <w:ind w:firstLine="480"/>
        <w:rPr>
          <w:rFonts w:cs="Times New Roman"/>
          <w:color w:val="auto"/>
          <w:kern w:val="21"/>
          <w:szCs w:val="24"/>
          <w:highlight w:val="none"/>
        </w:rPr>
      </w:pPr>
      <w:r>
        <w:rPr>
          <w:rFonts w:cs="Times New Roman"/>
          <w:color w:val="auto"/>
          <w:kern w:val="21"/>
          <w:szCs w:val="24"/>
          <w:highlight w:val="none"/>
        </w:rPr>
        <w:t>式中：</w:t>
      </w:r>
    </w:p>
    <w:p w14:paraId="6950F7DC">
      <w:pPr>
        <w:overflowPunct w:val="0"/>
        <w:adjustRightInd w:val="0"/>
        <w:ind w:firstLine="480"/>
        <w:rPr>
          <w:rFonts w:cs="Times New Roman"/>
          <w:color w:val="auto"/>
          <w:kern w:val="21"/>
          <w:szCs w:val="24"/>
          <w:highlight w:val="none"/>
        </w:rPr>
      </w:pPr>
      <w:r>
        <w:rPr>
          <w:rFonts w:cs="Times New Roman"/>
          <w:i/>
          <w:color w:val="auto"/>
          <w:kern w:val="21"/>
          <w:szCs w:val="24"/>
          <w:highlight w:val="none"/>
        </w:rPr>
        <w:t>P</w:t>
      </w:r>
      <w:r>
        <w:rPr>
          <w:rFonts w:cs="Times New Roman"/>
          <w:color w:val="auto"/>
          <w:kern w:val="21"/>
          <w:szCs w:val="24"/>
          <w:highlight w:val="none"/>
        </w:rPr>
        <w:t>——颗粒物产生量（单位：吨）；</w:t>
      </w:r>
    </w:p>
    <w:p w14:paraId="6241A0C4">
      <w:pPr>
        <w:overflowPunct w:val="0"/>
        <w:adjustRightInd w:val="0"/>
        <w:ind w:firstLine="480"/>
        <w:rPr>
          <w:rFonts w:cs="Times New Roman"/>
          <w:color w:val="auto"/>
          <w:kern w:val="21"/>
          <w:szCs w:val="24"/>
          <w:highlight w:val="none"/>
        </w:rPr>
      </w:pPr>
      <w:r>
        <w:rPr>
          <w:rFonts w:cs="Times New Roman"/>
          <w:i/>
          <w:color w:val="auto"/>
          <w:kern w:val="21"/>
          <w:szCs w:val="24"/>
          <w:highlight w:val="none"/>
        </w:rPr>
        <w:t>ZC</w:t>
      </w:r>
      <w:r>
        <w:rPr>
          <w:rFonts w:cs="Times New Roman"/>
          <w:i/>
          <w:color w:val="auto"/>
          <w:kern w:val="21"/>
          <w:szCs w:val="24"/>
          <w:highlight w:val="none"/>
          <w:vertAlign w:val="subscript"/>
        </w:rPr>
        <w:t>y</w:t>
      </w:r>
      <w:r>
        <w:rPr>
          <w:rFonts w:cs="Times New Roman"/>
          <w:iCs/>
          <w:color w:val="auto"/>
          <w:kern w:val="21"/>
          <w:szCs w:val="24"/>
          <w:highlight w:val="none"/>
        </w:rPr>
        <w:t>——</w:t>
      </w:r>
      <w:r>
        <w:rPr>
          <w:rFonts w:cs="Times New Roman"/>
          <w:color w:val="auto"/>
          <w:kern w:val="21"/>
          <w:szCs w:val="24"/>
          <w:highlight w:val="none"/>
        </w:rPr>
        <w:t>装卸扬尘产生量（单位：吨）；</w:t>
      </w:r>
    </w:p>
    <w:p w14:paraId="0AC163FC">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FC</w:t>
      </w:r>
      <w:r>
        <w:rPr>
          <w:rFonts w:cs="Times New Roman"/>
          <w:i/>
          <w:iCs/>
          <w:color w:val="auto"/>
          <w:kern w:val="21"/>
          <w:szCs w:val="24"/>
          <w:highlight w:val="none"/>
          <w:vertAlign w:val="subscript"/>
        </w:rPr>
        <w:t>y</w:t>
      </w:r>
      <w:r>
        <w:rPr>
          <w:rFonts w:cs="Times New Roman"/>
          <w:color w:val="auto"/>
          <w:kern w:val="21"/>
          <w:szCs w:val="24"/>
          <w:highlight w:val="none"/>
        </w:rPr>
        <w:t>——风蚀扬尘产生量（单位：吨）；</w:t>
      </w:r>
    </w:p>
    <w:p w14:paraId="382579CA">
      <w:pPr>
        <w:overflowPunct w:val="0"/>
        <w:adjustRightInd w:val="0"/>
        <w:ind w:firstLine="480"/>
        <w:rPr>
          <w:rFonts w:cs="Times New Roman"/>
          <w:color w:val="auto"/>
          <w:kern w:val="21"/>
          <w:szCs w:val="24"/>
          <w:highlight w:val="none"/>
        </w:rPr>
      </w:pPr>
      <w:r>
        <w:rPr>
          <w:rFonts w:cs="Times New Roman"/>
          <w:i/>
          <w:color w:val="auto"/>
          <w:kern w:val="21"/>
          <w:szCs w:val="24"/>
          <w:highlight w:val="none"/>
        </w:rPr>
        <w:t>NC</w:t>
      </w:r>
      <w:r>
        <w:rPr>
          <w:rFonts w:cs="Times New Roman"/>
          <w:iCs/>
          <w:color w:val="auto"/>
          <w:kern w:val="21"/>
          <w:szCs w:val="24"/>
          <w:highlight w:val="none"/>
        </w:rPr>
        <w:t>——</w:t>
      </w:r>
      <w:r>
        <w:rPr>
          <w:rFonts w:cs="Times New Roman"/>
          <w:color w:val="auto"/>
          <w:kern w:val="21"/>
          <w:szCs w:val="24"/>
          <w:highlight w:val="none"/>
        </w:rPr>
        <w:t>年物料运载车次（单位：车/a），原矿运输次数约</w:t>
      </w:r>
      <w:r>
        <w:rPr>
          <w:rFonts w:hint="eastAsia" w:cs="Times New Roman"/>
          <w:color w:val="auto"/>
          <w:kern w:val="21"/>
          <w:szCs w:val="24"/>
          <w:highlight w:val="none"/>
        </w:rPr>
        <w:t>144</w:t>
      </w:r>
      <w:r>
        <w:rPr>
          <w:rFonts w:cs="Times New Roman"/>
          <w:color w:val="auto"/>
          <w:kern w:val="21"/>
          <w:szCs w:val="24"/>
          <w:highlight w:val="none"/>
        </w:rPr>
        <w:t>00次/a</w:t>
      </w:r>
      <w:r>
        <w:rPr>
          <w:rFonts w:hint="eastAsia" w:cs="Times New Roman"/>
          <w:color w:val="auto"/>
          <w:kern w:val="21"/>
          <w:szCs w:val="24"/>
          <w:highlight w:val="none"/>
        </w:rPr>
        <w:t>；精矿运输次数4569次/a；尾矿和黑砂运输次数10660次/a；</w:t>
      </w:r>
    </w:p>
    <w:p w14:paraId="10BDF98D">
      <w:pPr>
        <w:overflowPunct w:val="0"/>
        <w:adjustRightInd w:val="0"/>
        <w:ind w:firstLine="480"/>
        <w:rPr>
          <w:rFonts w:cs="Times New Roman"/>
          <w:color w:val="auto"/>
          <w:kern w:val="21"/>
          <w:szCs w:val="24"/>
          <w:highlight w:val="none"/>
        </w:rPr>
      </w:pPr>
      <w:r>
        <w:rPr>
          <w:rFonts w:cs="Times New Roman"/>
          <w:i/>
          <w:color w:val="auto"/>
          <w:kern w:val="21"/>
          <w:szCs w:val="24"/>
          <w:highlight w:val="none"/>
        </w:rPr>
        <w:t>D</w:t>
      </w:r>
      <w:r>
        <w:rPr>
          <w:rFonts w:cs="Times New Roman"/>
          <w:color w:val="auto"/>
          <w:kern w:val="21"/>
          <w:szCs w:val="24"/>
          <w:highlight w:val="none"/>
        </w:rPr>
        <w:t>——单车平均运载量（单位：t/车），本项目采用的运输汽车载重平均25t/车；</w:t>
      </w:r>
    </w:p>
    <w:p w14:paraId="631B4E6B">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a/b</w:t>
      </w:r>
      <w:r>
        <w:rPr>
          <w:rFonts w:cs="Times New Roman"/>
          <w:color w:val="auto"/>
          <w:kern w:val="21"/>
          <w:szCs w:val="24"/>
          <w:highlight w:val="none"/>
        </w:rPr>
        <w:t>——装卸扬尘概化系数（单位：kg/t），a指各省风速概化系数，本项目位于四川省，根据《工业源固体物料堆场颗粒物核算系数手册》附录1，a取0.0006。b指物料含水率概化系数，本项目原矿仓库</w:t>
      </w:r>
      <w:r>
        <w:rPr>
          <w:rFonts w:hint="eastAsia" w:cs="Times New Roman"/>
          <w:color w:val="auto"/>
          <w:kern w:val="21"/>
          <w:szCs w:val="24"/>
          <w:highlight w:val="none"/>
        </w:rPr>
        <w:t>、精矿仓库、尾矿仓库</w:t>
      </w:r>
      <w:r>
        <w:rPr>
          <w:rFonts w:cs="Times New Roman"/>
          <w:color w:val="auto"/>
          <w:kern w:val="21"/>
          <w:szCs w:val="24"/>
          <w:highlight w:val="none"/>
        </w:rPr>
        <w:t>堆存物料类型参照《工业源固体物料堆场颗粒物核算系数手册》附录2</w:t>
      </w:r>
      <w:r>
        <w:rPr>
          <w:rFonts w:hint="eastAsia" w:cs="Times New Roman"/>
          <w:color w:val="auto"/>
          <w:kern w:val="21"/>
          <w:szCs w:val="24"/>
          <w:highlight w:val="none"/>
        </w:rPr>
        <w:t>“</w:t>
      </w:r>
      <w:r>
        <w:rPr>
          <w:rFonts w:cs="Times New Roman"/>
          <w:color w:val="auto"/>
          <w:kern w:val="21"/>
          <w:szCs w:val="24"/>
          <w:highlight w:val="none"/>
        </w:rPr>
        <w:t>混合矿石</w:t>
      </w:r>
      <w:r>
        <w:rPr>
          <w:rFonts w:hint="eastAsia" w:cs="Times New Roman"/>
          <w:color w:val="auto"/>
          <w:kern w:val="21"/>
          <w:szCs w:val="24"/>
          <w:highlight w:val="none"/>
        </w:rPr>
        <w:t>”</w:t>
      </w:r>
      <w:r>
        <w:rPr>
          <w:rFonts w:cs="Times New Roman"/>
          <w:color w:val="auto"/>
          <w:kern w:val="21"/>
          <w:szCs w:val="24"/>
          <w:highlight w:val="none"/>
        </w:rPr>
        <w:t>，b取0.0084；</w:t>
      </w:r>
    </w:p>
    <w:p w14:paraId="299C418E">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E</w:t>
      </w:r>
      <w:r>
        <w:rPr>
          <w:rFonts w:cs="Times New Roman"/>
          <w:i/>
          <w:iCs/>
          <w:color w:val="auto"/>
          <w:kern w:val="21"/>
          <w:szCs w:val="24"/>
          <w:highlight w:val="none"/>
          <w:vertAlign w:val="subscript"/>
        </w:rPr>
        <w:t>f</w:t>
      </w:r>
      <w:r>
        <w:rPr>
          <w:rFonts w:cs="Times New Roman"/>
          <w:color w:val="auto"/>
          <w:kern w:val="21"/>
          <w:szCs w:val="24"/>
          <w:highlight w:val="none"/>
        </w:rPr>
        <w:t>——堆场风蚀扬尘概化系数，（单位：kg/m</w:t>
      </w:r>
      <w:r>
        <w:rPr>
          <w:rFonts w:cs="Times New Roman"/>
          <w:color w:val="auto"/>
          <w:kern w:val="21"/>
          <w:szCs w:val="24"/>
          <w:highlight w:val="none"/>
          <w:vertAlign w:val="superscript"/>
        </w:rPr>
        <w:t>2</w:t>
      </w:r>
      <w:r>
        <w:rPr>
          <w:rFonts w:cs="Times New Roman"/>
          <w:color w:val="auto"/>
          <w:kern w:val="21"/>
          <w:szCs w:val="24"/>
          <w:highlight w:val="none"/>
        </w:rPr>
        <w:t>）。本项目原矿仓库</w:t>
      </w:r>
      <w:r>
        <w:rPr>
          <w:rFonts w:hint="eastAsia" w:cs="Times New Roman"/>
          <w:color w:val="auto"/>
          <w:kern w:val="21"/>
          <w:szCs w:val="24"/>
          <w:highlight w:val="none"/>
        </w:rPr>
        <w:t>、</w:t>
      </w:r>
      <w:r>
        <w:rPr>
          <w:rFonts w:cs="Times New Roman"/>
          <w:color w:val="auto"/>
          <w:kern w:val="21"/>
          <w:szCs w:val="24"/>
          <w:highlight w:val="none"/>
        </w:rPr>
        <w:t>精矿仓库、尾矿仓库堆存物料类型参照《工业源固体物料堆场颗粒物核算系数手册》附录3，</w:t>
      </w:r>
      <w:r>
        <w:rPr>
          <w:rFonts w:cs="Times New Roman"/>
          <w:i/>
          <w:iCs/>
          <w:color w:val="auto"/>
          <w:kern w:val="21"/>
          <w:szCs w:val="24"/>
          <w:highlight w:val="none"/>
        </w:rPr>
        <w:t>E</w:t>
      </w:r>
      <w:r>
        <w:rPr>
          <w:rFonts w:cs="Times New Roman"/>
          <w:i/>
          <w:iCs/>
          <w:color w:val="auto"/>
          <w:kern w:val="21"/>
          <w:szCs w:val="24"/>
          <w:highlight w:val="none"/>
          <w:vertAlign w:val="subscript"/>
        </w:rPr>
        <w:t>f</w:t>
      </w:r>
      <w:r>
        <w:rPr>
          <w:rFonts w:cs="Times New Roman"/>
          <w:color w:val="auto"/>
          <w:kern w:val="21"/>
          <w:szCs w:val="24"/>
          <w:highlight w:val="none"/>
        </w:rPr>
        <w:t>（混合矿石）取0；</w:t>
      </w:r>
    </w:p>
    <w:p w14:paraId="6A8BA087">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S</w:t>
      </w:r>
      <w:r>
        <w:rPr>
          <w:rFonts w:cs="Times New Roman"/>
          <w:color w:val="auto"/>
          <w:kern w:val="21"/>
          <w:szCs w:val="24"/>
          <w:highlight w:val="none"/>
        </w:rPr>
        <w:t>——堆场占地面积（单位：m</w:t>
      </w:r>
      <w:r>
        <w:rPr>
          <w:rFonts w:cs="Times New Roman"/>
          <w:color w:val="auto"/>
          <w:kern w:val="21"/>
          <w:szCs w:val="24"/>
          <w:highlight w:val="none"/>
          <w:vertAlign w:val="superscript"/>
        </w:rPr>
        <w:t>2</w:t>
      </w:r>
      <w:r>
        <w:rPr>
          <w:rFonts w:cs="Times New Roman"/>
          <w:color w:val="auto"/>
          <w:kern w:val="21"/>
          <w:szCs w:val="24"/>
          <w:highlight w:val="none"/>
        </w:rPr>
        <w:t>），本项目除去运输道路，原料堆存面积约</w:t>
      </w:r>
      <w:r>
        <w:rPr>
          <w:rFonts w:hint="eastAsia" w:cs="Times New Roman"/>
          <w:color w:val="auto"/>
          <w:kern w:val="21"/>
          <w:szCs w:val="24"/>
          <w:highlight w:val="none"/>
        </w:rPr>
        <w:t>6174</w:t>
      </w:r>
      <w:r>
        <w:rPr>
          <w:rFonts w:cs="Times New Roman"/>
          <w:color w:val="auto"/>
          <w:kern w:val="21"/>
          <w:szCs w:val="24"/>
          <w:highlight w:val="none"/>
        </w:rPr>
        <w:t>m</w:t>
      </w:r>
      <w:r>
        <w:rPr>
          <w:rFonts w:cs="Times New Roman"/>
          <w:color w:val="auto"/>
          <w:kern w:val="21"/>
          <w:szCs w:val="24"/>
          <w:highlight w:val="none"/>
          <w:vertAlign w:val="superscript"/>
        </w:rPr>
        <w:t>2</w:t>
      </w:r>
      <w:r>
        <w:rPr>
          <w:rFonts w:hint="eastAsia" w:cs="Times New Roman"/>
          <w:color w:val="auto"/>
          <w:kern w:val="21"/>
          <w:szCs w:val="24"/>
          <w:highlight w:val="none"/>
        </w:rPr>
        <w:t>，精矿堆场面积约554m</w:t>
      </w:r>
      <w:r>
        <w:rPr>
          <w:rFonts w:hint="eastAsia" w:cs="Times New Roman"/>
          <w:color w:val="auto"/>
          <w:kern w:val="21"/>
          <w:szCs w:val="24"/>
          <w:highlight w:val="none"/>
          <w:vertAlign w:val="superscript"/>
        </w:rPr>
        <w:t>2</w:t>
      </w:r>
      <w:r>
        <w:rPr>
          <w:rFonts w:hint="eastAsia" w:cs="Times New Roman"/>
          <w:color w:val="auto"/>
          <w:kern w:val="21"/>
          <w:szCs w:val="24"/>
          <w:highlight w:val="none"/>
        </w:rPr>
        <w:t>，尾矿和黑砂堆场面积约1108m</w:t>
      </w:r>
      <w:r>
        <w:rPr>
          <w:rFonts w:hint="eastAsia" w:cs="Times New Roman"/>
          <w:color w:val="auto"/>
          <w:kern w:val="21"/>
          <w:szCs w:val="24"/>
          <w:highlight w:val="none"/>
          <w:vertAlign w:val="superscript"/>
        </w:rPr>
        <w:t>2</w:t>
      </w:r>
      <w:r>
        <w:rPr>
          <w:rFonts w:cs="Times New Roman"/>
          <w:color w:val="auto"/>
          <w:kern w:val="21"/>
          <w:szCs w:val="24"/>
          <w:highlight w:val="none"/>
        </w:rPr>
        <w:t>。</w:t>
      </w:r>
    </w:p>
    <w:p w14:paraId="099A40E0">
      <w:pPr>
        <w:adjustRightInd w:val="0"/>
        <w:ind w:firstLine="480"/>
        <w:rPr>
          <w:rFonts w:cs="Times New Roman"/>
          <w:color w:val="auto"/>
          <w:highlight w:val="none"/>
        </w:rPr>
      </w:pPr>
      <w:r>
        <w:rPr>
          <w:rFonts w:cs="Times New Roman"/>
          <w:color w:val="auto"/>
          <w:highlight w:val="none"/>
        </w:rPr>
        <w:t>经计算，本项目</w:t>
      </w:r>
      <w:r>
        <w:rPr>
          <w:rFonts w:hint="eastAsia" w:cs="Times New Roman"/>
          <w:color w:val="auto"/>
          <w:highlight w:val="none"/>
        </w:rPr>
        <w:t>原矿仓库</w:t>
      </w:r>
      <w:r>
        <w:rPr>
          <w:rFonts w:cs="Times New Roman"/>
          <w:color w:val="auto"/>
          <w:highlight w:val="none"/>
        </w:rPr>
        <w:t>粉尘产生量为</w:t>
      </w:r>
      <w:r>
        <w:rPr>
          <w:rFonts w:hint="eastAsia" w:cs="Times New Roman"/>
          <w:color w:val="auto"/>
          <w:highlight w:val="none"/>
        </w:rPr>
        <w:t>25.714</w:t>
      </w:r>
      <w:r>
        <w:rPr>
          <w:rFonts w:cs="Times New Roman"/>
          <w:color w:val="auto"/>
          <w:highlight w:val="none"/>
        </w:rPr>
        <w:t>t/a（</w:t>
      </w:r>
      <w:r>
        <w:rPr>
          <w:rFonts w:hint="eastAsia" w:cs="Times New Roman"/>
          <w:color w:val="auto"/>
          <w:highlight w:val="none"/>
        </w:rPr>
        <w:t>3.25</w:t>
      </w:r>
      <w:r>
        <w:rPr>
          <w:rFonts w:cs="Times New Roman"/>
          <w:color w:val="auto"/>
          <w:highlight w:val="none"/>
        </w:rPr>
        <w:t>kg/h）</w:t>
      </w:r>
      <w:r>
        <w:rPr>
          <w:rFonts w:hint="eastAsia" w:cs="Times New Roman"/>
          <w:color w:val="auto"/>
          <w:highlight w:val="none"/>
        </w:rPr>
        <w:t>，精矿仓库粉尘产生量为8.159t/a（1.03kg/h），尾矿仓库粉尘产生量为19.036t/a（2.4kg/h）</w:t>
      </w:r>
      <w:r>
        <w:rPr>
          <w:rFonts w:cs="Times New Roman"/>
          <w:color w:val="auto"/>
          <w:highlight w:val="none"/>
        </w:rPr>
        <w:t>。</w:t>
      </w:r>
    </w:p>
    <w:p w14:paraId="7DB77F14">
      <w:pPr>
        <w:adjustRightInd w:val="0"/>
        <w:ind w:firstLine="482"/>
        <w:rPr>
          <w:rFonts w:cs="Times New Roman"/>
          <w:color w:val="auto"/>
          <w:highlight w:val="none"/>
        </w:rPr>
      </w:pPr>
      <w:r>
        <w:rPr>
          <w:rFonts w:hint="eastAsia" w:cs="Times New Roman"/>
          <w:b/>
          <w:bCs/>
          <w:color w:val="auto"/>
          <w:highlight w:val="none"/>
        </w:rPr>
        <w:t>治理</w:t>
      </w:r>
      <w:r>
        <w:rPr>
          <w:rFonts w:cs="Times New Roman"/>
          <w:b/>
          <w:bCs/>
          <w:color w:val="auto"/>
          <w:highlight w:val="none"/>
        </w:rPr>
        <w:t>措施</w:t>
      </w:r>
      <w:r>
        <w:rPr>
          <w:rFonts w:cs="Times New Roman"/>
          <w:color w:val="auto"/>
          <w:highlight w:val="none"/>
        </w:rPr>
        <w:t>：本项目原矿仓库</w:t>
      </w:r>
      <w:r>
        <w:rPr>
          <w:rFonts w:hint="eastAsia" w:cs="Times New Roman"/>
          <w:color w:val="auto"/>
          <w:highlight w:val="none"/>
        </w:rPr>
        <w:t>、粉矿仓库、精矿仓库、尾矿仓库</w:t>
      </w:r>
      <w:r>
        <w:rPr>
          <w:rFonts w:cs="Times New Roman"/>
          <w:color w:val="auto"/>
          <w:highlight w:val="none"/>
        </w:rPr>
        <w:t>为封闭车间，在原矿仓库上方设置喷雾降尘装置进行喷雾除尘</w:t>
      </w:r>
      <w:r>
        <w:rPr>
          <w:rFonts w:hint="eastAsia" w:cs="Times New Roman"/>
          <w:color w:val="auto"/>
          <w:highlight w:val="none"/>
        </w:rPr>
        <w:t>，</w:t>
      </w:r>
      <w:r>
        <w:rPr>
          <w:rFonts w:cs="Times New Roman"/>
          <w:color w:val="auto"/>
          <w:highlight w:val="none"/>
        </w:rPr>
        <w:t>粉矿仓库</w:t>
      </w:r>
      <w:r>
        <w:rPr>
          <w:rFonts w:hint="eastAsia" w:cs="Times New Roman"/>
          <w:color w:val="auto"/>
          <w:highlight w:val="none"/>
        </w:rPr>
        <w:t>、精矿仓库、尾矿仓库采取雾炮机</w:t>
      </w:r>
      <w:r>
        <w:rPr>
          <w:rFonts w:cs="Times New Roman"/>
          <w:color w:val="auto"/>
          <w:highlight w:val="none"/>
        </w:rPr>
        <w:t>进行喷雾除尘</w:t>
      </w:r>
      <w:r>
        <w:rPr>
          <w:rFonts w:hint="eastAsia" w:cs="Times New Roman"/>
          <w:color w:val="auto"/>
          <w:highlight w:val="none"/>
        </w:rPr>
        <w:t>，粉矿仓库物料采取密闭皮带进行运输，无车辆运输</w:t>
      </w:r>
      <w:r>
        <w:rPr>
          <w:rFonts w:cs="Times New Roman"/>
          <w:color w:val="auto"/>
          <w:highlight w:val="none"/>
        </w:rPr>
        <w:t>。参考生态环境部发布的《排放源统计调查产排污核算方法和系数手册》——《附1工业源-附表2工业源固体物料堆场颗粒物核算系数手册》，本项目堆场粉尘采取的封闭式厂房堆场措施治理效率为99%，喷雾降尘措施治理效率为74%。</w:t>
      </w:r>
    </w:p>
    <w:p w14:paraId="03931AD4">
      <w:pPr>
        <w:adjustRightInd w:val="0"/>
        <w:ind w:firstLine="482"/>
        <w:rPr>
          <w:rFonts w:cs="Times New Roman"/>
          <w:color w:val="auto"/>
          <w:highlight w:val="none"/>
        </w:rPr>
      </w:pPr>
      <w:r>
        <w:rPr>
          <w:rFonts w:cs="Times New Roman"/>
          <w:b/>
          <w:bCs/>
          <w:color w:val="auto"/>
          <w:highlight w:val="none"/>
        </w:rPr>
        <w:t>排放情况</w:t>
      </w:r>
      <w:r>
        <w:rPr>
          <w:rFonts w:cs="Times New Roman"/>
          <w:color w:val="auto"/>
          <w:highlight w:val="none"/>
        </w:rPr>
        <w:t>：本项目堆场粉尘的产生、治理及排放情况见下表。</w:t>
      </w:r>
    </w:p>
    <w:p w14:paraId="3D78F488">
      <w:pPr>
        <w:pStyle w:val="12"/>
        <w:rPr>
          <w:color w:val="auto"/>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3</w:t>
      </w:r>
      <w:r>
        <w:rPr>
          <w:color w:val="auto"/>
          <w:highlight w:val="none"/>
        </w:rPr>
        <w:fldChar w:fldCharType="end"/>
      </w:r>
      <w:r>
        <w:rPr>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11</w:t>
      </w:r>
      <w:r>
        <w:rPr>
          <w:color w:val="auto"/>
          <w:highlight w:val="none"/>
        </w:rPr>
        <w:fldChar w:fldCharType="end"/>
      </w:r>
      <w:r>
        <w:rPr>
          <w:color w:val="auto"/>
          <w:highlight w:val="none"/>
        </w:rPr>
        <w:t>本项目堆场粉尘无组织源强及排污情况一览表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810"/>
        <w:gridCol w:w="1091"/>
        <w:gridCol w:w="2488"/>
        <w:gridCol w:w="1076"/>
        <w:gridCol w:w="871"/>
        <w:gridCol w:w="1105"/>
      </w:tblGrid>
      <w:tr w14:paraId="2ADDC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34" w:type="pct"/>
            <w:vMerge w:val="restart"/>
            <w:vAlign w:val="center"/>
          </w:tcPr>
          <w:p w14:paraId="6449E41D">
            <w:pPr>
              <w:pStyle w:val="37"/>
              <w:rPr>
                <w:b/>
                <w:bCs/>
                <w:color w:val="auto"/>
                <w:highlight w:val="none"/>
              </w:rPr>
            </w:pPr>
            <w:r>
              <w:rPr>
                <w:b/>
                <w:bCs/>
                <w:color w:val="auto"/>
                <w:highlight w:val="none"/>
              </w:rPr>
              <w:t>污染源</w:t>
            </w:r>
          </w:p>
        </w:tc>
        <w:tc>
          <w:tcPr>
            <w:tcW w:w="475" w:type="pct"/>
            <w:vMerge w:val="restart"/>
            <w:vAlign w:val="center"/>
          </w:tcPr>
          <w:p w14:paraId="01C11D28">
            <w:pPr>
              <w:pStyle w:val="37"/>
              <w:rPr>
                <w:b/>
                <w:bCs/>
                <w:color w:val="auto"/>
                <w:highlight w:val="none"/>
              </w:rPr>
            </w:pPr>
            <w:r>
              <w:rPr>
                <w:b/>
                <w:bCs/>
                <w:color w:val="auto"/>
                <w:highlight w:val="none"/>
              </w:rPr>
              <w:t>污染物</w:t>
            </w:r>
          </w:p>
        </w:tc>
        <w:tc>
          <w:tcPr>
            <w:tcW w:w="640" w:type="pct"/>
            <w:vMerge w:val="restart"/>
            <w:vAlign w:val="center"/>
          </w:tcPr>
          <w:p w14:paraId="68883B3B">
            <w:pPr>
              <w:pStyle w:val="37"/>
              <w:rPr>
                <w:b/>
                <w:bCs/>
                <w:color w:val="auto"/>
                <w:highlight w:val="none"/>
              </w:rPr>
            </w:pPr>
            <w:r>
              <w:rPr>
                <w:b/>
                <w:bCs/>
                <w:color w:val="auto"/>
                <w:highlight w:val="none"/>
              </w:rPr>
              <w:t>产生源强（kg/h）</w:t>
            </w:r>
          </w:p>
        </w:tc>
        <w:tc>
          <w:tcPr>
            <w:tcW w:w="1457" w:type="pct"/>
            <w:vMerge w:val="restart"/>
            <w:vAlign w:val="center"/>
          </w:tcPr>
          <w:p w14:paraId="4D552D03">
            <w:pPr>
              <w:pStyle w:val="37"/>
              <w:rPr>
                <w:b/>
                <w:bCs/>
                <w:color w:val="auto"/>
                <w:highlight w:val="none"/>
              </w:rPr>
            </w:pPr>
            <w:r>
              <w:rPr>
                <w:b/>
                <w:bCs/>
                <w:color w:val="auto"/>
                <w:highlight w:val="none"/>
              </w:rPr>
              <w:t>治理措施及效率</w:t>
            </w:r>
          </w:p>
        </w:tc>
        <w:tc>
          <w:tcPr>
            <w:tcW w:w="631" w:type="pct"/>
            <w:vMerge w:val="restart"/>
            <w:vAlign w:val="center"/>
          </w:tcPr>
          <w:p w14:paraId="57ACB01E">
            <w:pPr>
              <w:pStyle w:val="37"/>
              <w:rPr>
                <w:b/>
                <w:bCs/>
                <w:color w:val="auto"/>
                <w:highlight w:val="none"/>
              </w:rPr>
            </w:pPr>
            <w:r>
              <w:rPr>
                <w:b/>
                <w:bCs/>
                <w:color w:val="auto"/>
                <w:highlight w:val="none"/>
              </w:rPr>
              <w:t>排放方式</w:t>
            </w:r>
          </w:p>
        </w:tc>
        <w:tc>
          <w:tcPr>
            <w:tcW w:w="1159" w:type="pct"/>
            <w:gridSpan w:val="2"/>
            <w:vAlign w:val="center"/>
          </w:tcPr>
          <w:p w14:paraId="16ED5B8C">
            <w:pPr>
              <w:pStyle w:val="37"/>
              <w:rPr>
                <w:b/>
                <w:bCs/>
                <w:color w:val="auto"/>
                <w:highlight w:val="none"/>
              </w:rPr>
            </w:pPr>
            <w:r>
              <w:rPr>
                <w:b/>
                <w:bCs/>
                <w:color w:val="auto"/>
                <w:highlight w:val="none"/>
              </w:rPr>
              <w:t>排放情况</w:t>
            </w:r>
          </w:p>
        </w:tc>
      </w:tr>
      <w:tr w14:paraId="31D7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34" w:type="pct"/>
            <w:vMerge w:val="continue"/>
            <w:vAlign w:val="center"/>
          </w:tcPr>
          <w:p w14:paraId="19E304D4">
            <w:pPr>
              <w:pStyle w:val="37"/>
              <w:rPr>
                <w:b/>
                <w:bCs/>
                <w:color w:val="auto"/>
                <w:highlight w:val="none"/>
              </w:rPr>
            </w:pPr>
          </w:p>
        </w:tc>
        <w:tc>
          <w:tcPr>
            <w:tcW w:w="475" w:type="pct"/>
            <w:vMerge w:val="continue"/>
            <w:vAlign w:val="center"/>
          </w:tcPr>
          <w:p w14:paraId="353CF230">
            <w:pPr>
              <w:pStyle w:val="37"/>
              <w:rPr>
                <w:b/>
                <w:bCs/>
                <w:color w:val="auto"/>
                <w:highlight w:val="none"/>
              </w:rPr>
            </w:pPr>
          </w:p>
        </w:tc>
        <w:tc>
          <w:tcPr>
            <w:tcW w:w="640" w:type="pct"/>
            <w:vMerge w:val="continue"/>
            <w:vAlign w:val="center"/>
          </w:tcPr>
          <w:p w14:paraId="7E23E59D">
            <w:pPr>
              <w:pStyle w:val="37"/>
              <w:rPr>
                <w:b/>
                <w:bCs/>
                <w:color w:val="auto"/>
                <w:highlight w:val="none"/>
              </w:rPr>
            </w:pPr>
          </w:p>
        </w:tc>
        <w:tc>
          <w:tcPr>
            <w:tcW w:w="1457" w:type="pct"/>
            <w:vMerge w:val="continue"/>
            <w:vAlign w:val="center"/>
          </w:tcPr>
          <w:p w14:paraId="422CB17E">
            <w:pPr>
              <w:pStyle w:val="37"/>
              <w:rPr>
                <w:b/>
                <w:bCs/>
                <w:color w:val="auto"/>
                <w:highlight w:val="none"/>
              </w:rPr>
            </w:pPr>
          </w:p>
        </w:tc>
        <w:tc>
          <w:tcPr>
            <w:tcW w:w="631" w:type="pct"/>
            <w:vMerge w:val="continue"/>
            <w:vAlign w:val="center"/>
          </w:tcPr>
          <w:p w14:paraId="47A2198C">
            <w:pPr>
              <w:pStyle w:val="37"/>
              <w:rPr>
                <w:b/>
                <w:bCs/>
                <w:color w:val="auto"/>
                <w:highlight w:val="none"/>
              </w:rPr>
            </w:pPr>
          </w:p>
        </w:tc>
        <w:tc>
          <w:tcPr>
            <w:tcW w:w="511" w:type="pct"/>
            <w:vAlign w:val="center"/>
          </w:tcPr>
          <w:p w14:paraId="30BAE37B">
            <w:pPr>
              <w:pStyle w:val="37"/>
              <w:rPr>
                <w:b/>
                <w:bCs/>
                <w:color w:val="auto"/>
                <w:highlight w:val="none"/>
              </w:rPr>
            </w:pPr>
            <w:r>
              <w:rPr>
                <w:b/>
                <w:bCs/>
                <w:color w:val="auto"/>
                <w:highlight w:val="none"/>
              </w:rPr>
              <w:t>排放量（t/a）</w:t>
            </w:r>
          </w:p>
        </w:tc>
        <w:tc>
          <w:tcPr>
            <w:tcW w:w="648" w:type="pct"/>
            <w:vAlign w:val="center"/>
          </w:tcPr>
          <w:p w14:paraId="0CB5B470">
            <w:pPr>
              <w:pStyle w:val="37"/>
              <w:rPr>
                <w:b/>
                <w:bCs/>
                <w:color w:val="auto"/>
                <w:highlight w:val="none"/>
              </w:rPr>
            </w:pPr>
            <w:r>
              <w:rPr>
                <w:b/>
                <w:bCs/>
                <w:color w:val="auto"/>
                <w:highlight w:val="none"/>
              </w:rPr>
              <w:t>排放速率（kg/h）</w:t>
            </w:r>
          </w:p>
        </w:tc>
      </w:tr>
      <w:tr w14:paraId="350A9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4132A344">
            <w:pPr>
              <w:pStyle w:val="37"/>
              <w:rPr>
                <w:color w:val="auto"/>
                <w:highlight w:val="none"/>
              </w:rPr>
            </w:pPr>
            <w:r>
              <w:rPr>
                <w:color w:val="auto"/>
                <w:highlight w:val="none"/>
              </w:rPr>
              <w:t>原料贮存</w:t>
            </w:r>
          </w:p>
        </w:tc>
        <w:tc>
          <w:tcPr>
            <w:tcW w:w="475" w:type="pct"/>
            <w:vAlign w:val="center"/>
          </w:tcPr>
          <w:p w14:paraId="4EAE4B35">
            <w:pPr>
              <w:pStyle w:val="37"/>
              <w:rPr>
                <w:color w:val="auto"/>
                <w:highlight w:val="none"/>
              </w:rPr>
            </w:pPr>
            <w:r>
              <w:rPr>
                <w:color w:val="auto"/>
                <w:highlight w:val="none"/>
              </w:rPr>
              <w:t>颗粒物</w:t>
            </w:r>
          </w:p>
        </w:tc>
        <w:tc>
          <w:tcPr>
            <w:tcW w:w="640" w:type="pct"/>
            <w:vAlign w:val="center"/>
          </w:tcPr>
          <w:p w14:paraId="0F88127D">
            <w:pPr>
              <w:pStyle w:val="37"/>
              <w:rPr>
                <w:color w:val="auto"/>
                <w:highlight w:val="none"/>
              </w:rPr>
            </w:pPr>
            <w:r>
              <w:rPr>
                <w:rFonts w:hint="eastAsia"/>
                <w:color w:val="auto"/>
                <w:highlight w:val="none"/>
              </w:rPr>
              <w:t>3.25</w:t>
            </w:r>
          </w:p>
        </w:tc>
        <w:tc>
          <w:tcPr>
            <w:tcW w:w="1457" w:type="pct"/>
            <w:vAlign w:val="center"/>
          </w:tcPr>
          <w:p w14:paraId="7239FDE7">
            <w:pPr>
              <w:pStyle w:val="37"/>
              <w:rPr>
                <w:color w:val="auto"/>
                <w:highlight w:val="none"/>
              </w:rPr>
            </w:pPr>
            <w:r>
              <w:rPr>
                <w:color w:val="auto"/>
                <w:highlight w:val="none"/>
              </w:rPr>
              <w:t>封闭式厂房（99%）+喷雾除尘（74%）</w:t>
            </w:r>
          </w:p>
        </w:tc>
        <w:tc>
          <w:tcPr>
            <w:tcW w:w="631" w:type="pct"/>
            <w:vAlign w:val="center"/>
          </w:tcPr>
          <w:p w14:paraId="35CE8579">
            <w:pPr>
              <w:pStyle w:val="37"/>
              <w:rPr>
                <w:color w:val="auto"/>
                <w:highlight w:val="none"/>
              </w:rPr>
            </w:pPr>
            <w:r>
              <w:rPr>
                <w:color w:val="auto"/>
                <w:highlight w:val="none"/>
              </w:rPr>
              <w:t>无组织</w:t>
            </w:r>
          </w:p>
        </w:tc>
        <w:tc>
          <w:tcPr>
            <w:tcW w:w="511" w:type="pct"/>
            <w:vAlign w:val="center"/>
          </w:tcPr>
          <w:p w14:paraId="4EE344DA">
            <w:pPr>
              <w:pStyle w:val="37"/>
              <w:rPr>
                <w:color w:val="auto"/>
                <w:highlight w:val="none"/>
              </w:rPr>
            </w:pPr>
            <w:r>
              <w:rPr>
                <w:rFonts w:hint="eastAsia"/>
                <w:color w:val="auto"/>
                <w:highlight w:val="none"/>
              </w:rPr>
              <w:t>0.0669</w:t>
            </w:r>
          </w:p>
        </w:tc>
        <w:tc>
          <w:tcPr>
            <w:tcW w:w="648" w:type="pct"/>
            <w:vAlign w:val="center"/>
          </w:tcPr>
          <w:p w14:paraId="7FD54D7C">
            <w:pPr>
              <w:pStyle w:val="37"/>
              <w:rPr>
                <w:color w:val="auto"/>
                <w:highlight w:val="none"/>
              </w:rPr>
            </w:pPr>
            <w:r>
              <w:rPr>
                <w:rFonts w:hint="eastAsia"/>
                <w:color w:val="auto"/>
                <w:highlight w:val="none"/>
              </w:rPr>
              <w:t>0.00845</w:t>
            </w:r>
          </w:p>
        </w:tc>
      </w:tr>
      <w:tr w14:paraId="077C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7327E62A">
            <w:pPr>
              <w:pStyle w:val="37"/>
              <w:rPr>
                <w:color w:val="auto"/>
                <w:highlight w:val="none"/>
              </w:rPr>
            </w:pPr>
            <w:r>
              <w:rPr>
                <w:rFonts w:hint="eastAsia"/>
                <w:color w:val="auto"/>
                <w:highlight w:val="none"/>
              </w:rPr>
              <w:t>精矿贮存</w:t>
            </w:r>
          </w:p>
        </w:tc>
        <w:tc>
          <w:tcPr>
            <w:tcW w:w="475" w:type="pct"/>
            <w:vAlign w:val="center"/>
          </w:tcPr>
          <w:p w14:paraId="5CB5C800">
            <w:pPr>
              <w:pStyle w:val="37"/>
              <w:rPr>
                <w:color w:val="auto"/>
                <w:highlight w:val="none"/>
              </w:rPr>
            </w:pPr>
            <w:r>
              <w:rPr>
                <w:color w:val="auto"/>
                <w:highlight w:val="none"/>
              </w:rPr>
              <w:t>颗粒物</w:t>
            </w:r>
          </w:p>
        </w:tc>
        <w:tc>
          <w:tcPr>
            <w:tcW w:w="640" w:type="pct"/>
            <w:vAlign w:val="center"/>
          </w:tcPr>
          <w:p w14:paraId="44C693D2">
            <w:pPr>
              <w:pStyle w:val="37"/>
              <w:rPr>
                <w:color w:val="auto"/>
                <w:highlight w:val="none"/>
              </w:rPr>
            </w:pPr>
            <w:r>
              <w:rPr>
                <w:rFonts w:hint="eastAsia"/>
                <w:color w:val="auto"/>
                <w:highlight w:val="none"/>
              </w:rPr>
              <w:t>1.03</w:t>
            </w:r>
          </w:p>
        </w:tc>
        <w:tc>
          <w:tcPr>
            <w:tcW w:w="1457" w:type="pct"/>
            <w:vAlign w:val="center"/>
          </w:tcPr>
          <w:p w14:paraId="1121C7BE">
            <w:pPr>
              <w:pStyle w:val="37"/>
              <w:rPr>
                <w:color w:val="auto"/>
                <w:highlight w:val="none"/>
              </w:rPr>
            </w:pPr>
            <w:r>
              <w:rPr>
                <w:color w:val="auto"/>
                <w:highlight w:val="none"/>
              </w:rPr>
              <w:t>封闭式厂房（99%）+喷雾除尘（74%）</w:t>
            </w:r>
          </w:p>
        </w:tc>
        <w:tc>
          <w:tcPr>
            <w:tcW w:w="631" w:type="pct"/>
            <w:vAlign w:val="center"/>
          </w:tcPr>
          <w:p w14:paraId="57F87F71">
            <w:pPr>
              <w:pStyle w:val="37"/>
              <w:rPr>
                <w:color w:val="auto"/>
                <w:highlight w:val="none"/>
              </w:rPr>
            </w:pPr>
            <w:r>
              <w:rPr>
                <w:color w:val="auto"/>
                <w:highlight w:val="none"/>
              </w:rPr>
              <w:t>无组织</w:t>
            </w:r>
          </w:p>
        </w:tc>
        <w:tc>
          <w:tcPr>
            <w:tcW w:w="511" w:type="pct"/>
            <w:vAlign w:val="center"/>
          </w:tcPr>
          <w:p w14:paraId="733DED76">
            <w:pPr>
              <w:pStyle w:val="37"/>
              <w:rPr>
                <w:color w:val="auto"/>
                <w:highlight w:val="none"/>
              </w:rPr>
            </w:pPr>
            <w:r>
              <w:rPr>
                <w:rFonts w:hint="eastAsia"/>
                <w:color w:val="auto"/>
                <w:highlight w:val="none"/>
              </w:rPr>
              <w:t>0.0212</w:t>
            </w:r>
          </w:p>
        </w:tc>
        <w:tc>
          <w:tcPr>
            <w:tcW w:w="648" w:type="pct"/>
            <w:vAlign w:val="center"/>
          </w:tcPr>
          <w:p w14:paraId="29CBB8C9">
            <w:pPr>
              <w:pStyle w:val="37"/>
              <w:rPr>
                <w:color w:val="auto"/>
                <w:highlight w:val="none"/>
              </w:rPr>
            </w:pPr>
            <w:r>
              <w:rPr>
                <w:rFonts w:hint="eastAsia"/>
                <w:color w:val="auto"/>
                <w:highlight w:val="none"/>
              </w:rPr>
              <w:t>0.00268</w:t>
            </w:r>
          </w:p>
        </w:tc>
      </w:tr>
      <w:tr w14:paraId="42E5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pct"/>
            <w:vAlign w:val="center"/>
          </w:tcPr>
          <w:p w14:paraId="58DE6B2E">
            <w:pPr>
              <w:pStyle w:val="37"/>
              <w:rPr>
                <w:color w:val="auto"/>
                <w:highlight w:val="none"/>
              </w:rPr>
            </w:pPr>
            <w:r>
              <w:rPr>
                <w:rFonts w:hint="eastAsia"/>
                <w:color w:val="auto"/>
                <w:highlight w:val="none"/>
              </w:rPr>
              <w:t>尾矿和黑砂贮存</w:t>
            </w:r>
          </w:p>
        </w:tc>
        <w:tc>
          <w:tcPr>
            <w:tcW w:w="475" w:type="pct"/>
            <w:vAlign w:val="center"/>
          </w:tcPr>
          <w:p w14:paraId="67C2B47A">
            <w:pPr>
              <w:pStyle w:val="37"/>
              <w:rPr>
                <w:color w:val="auto"/>
                <w:highlight w:val="none"/>
              </w:rPr>
            </w:pPr>
            <w:r>
              <w:rPr>
                <w:color w:val="auto"/>
                <w:highlight w:val="none"/>
              </w:rPr>
              <w:t>颗粒物</w:t>
            </w:r>
          </w:p>
        </w:tc>
        <w:tc>
          <w:tcPr>
            <w:tcW w:w="640" w:type="pct"/>
            <w:vAlign w:val="center"/>
          </w:tcPr>
          <w:p w14:paraId="33929452">
            <w:pPr>
              <w:pStyle w:val="37"/>
              <w:rPr>
                <w:color w:val="auto"/>
                <w:highlight w:val="none"/>
              </w:rPr>
            </w:pPr>
            <w:r>
              <w:rPr>
                <w:rFonts w:hint="eastAsia"/>
                <w:color w:val="auto"/>
                <w:highlight w:val="none"/>
              </w:rPr>
              <w:t>2.4</w:t>
            </w:r>
          </w:p>
        </w:tc>
        <w:tc>
          <w:tcPr>
            <w:tcW w:w="1457" w:type="pct"/>
            <w:vAlign w:val="center"/>
          </w:tcPr>
          <w:p w14:paraId="1950EC20">
            <w:pPr>
              <w:pStyle w:val="37"/>
              <w:rPr>
                <w:color w:val="auto"/>
                <w:highlight w:val="none"/>
              </w:rPr>
            </w:pPr>
            <w:r>
              <w:rPr>
                <w:color w:val="auto"/>
                <w:highlight w:val="none"/>
              </w:rPr>
              <w:t>封闭式厂房（99%）+喷雾除尘（74%）</w:t>
            </w:r>
          </w:p>
        </w:tc>
        <w:tc>
          <w:tcPr>
            <w:tcW w:w="631" w:type="pct"/>
            <w:vAlign w:val="center"/>
          </w:tcPr>
          <w:p w14:paraId="507F5566">
            <w:pPr>
              <w:pStyle w:val="37"/>
              <w:rPr>
                <w:color w:val="auto"/>
                <w:highlight w:val="none"/>
              </w:rPr>
            </w:pPr>
            <w:r>
              <w:rPr>
                <w:color w:val="auto"/>
                <w:highlight w:val="none"/>
              </w:rPr>
              <w:t>无组织</w:t>
            </w:r>
          </w:p>
        </w:tc>
        <w:tc>
          <w:tcPr>
            <w:tcW w:w="511" w:type="pct"/>
            <w:vAlign w:val="center"/>
          </w:tcPr>
          <w:p w14:paraId="3FFC18B9">
            <w:pPr>
              <w:pStyle w:val="37"/>
              <w:rPr>
                <w:color w:val="auto"/>
                <w:highlight w:val="none"/>
              </w:rPr>
            </w:pPr>
            <w:r>
              <w:rPr>
                <w:rFonts w:hint="eastAsia"/>
                <w:color w:val="auto"/>
                <w:highlight w:val="none"/>
              </w:rPr>
              <w:t>0.0495</w:t>
            </w:r>
          </w:p>
        </w:tc>
        <w:tc>
          <w:tcPr>
            <w:tcW w:w="648" w:type="pct"/>
            <w:vAlign w:val="center"/>
          </w:tcPr>
          <w:p w14:paraId="454D55E9">
            <w:pPr>
              <w:pStyle w:val="37"/>
              <w:rPr>
                <w:color w:val="auto"/>
                <w:highlight w:val="none"/>
              </w:rPr>
            </w:pPr>
            <w:r>
              <w:rPr>
                <w:rFonts w:hint="eastAsia"/>
                <w:color w:val="auto"/>
                <w:highlight w:val="none"/>
              </w:rPr>
              <w:t>0.00624</w:t>
            </w:r>
          </w:p>
        </w:tc>
      </w:tr>
      <w:tr w14:paraId="6F9C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8" w:type="pct"/>
            <w:gridSpan w:val="4"/>
            <w:vAlign w:val="center"/>
          </w:tcPr>
          <w:p w14:paraId="7FC24F70">
            <w:pPr>
              <w:pStyle w:val="37"/>
              <w:rPr>
                <w:color w:val="auto"/>
                <w:highlight w:val="none"/>
              </w:rPr>
            </w:pPr>
            <w:r>
              <w:rPr>
                <w:rFonts w:hint="eastAsia"/>
                <w:color w:val="auto"/>
                <w:highlight w:val="none"/>
              </w:rPr>
              <w:t>装卸及堆场粉尘合计</w:t>
            </w:r>
          </w:p>
        </w:tc>
        <w:tc>
          <w:tcPr>
            <w:tcW w:w="631" w:type="pct"/>
            <w:vAlign w:val="center"/>
          </w:tcPr>
          <w:p w14:paraId="5C6E803C">
            <w:pPr>
              <w:pStyle w:val="37"/>
              <w:rPr>
                <w:color w:val="auto"/>
                <w:highlight w:val="none"/>
              </w:rPr>
            </w:pPr>
            <w:r>
              <w:rPr>
                <w:color w:val="auto"/>
                <w:highlight w:val="none"/>
              </w:rPr>
              <w:t>无组织</w:t>
            </w:r>
          </w:p>
        </w:tc>
        <w:tc>
          <w:tcPr>
            <w:tcW w:w="511" w:type="pct"/>
            <w:vAlign w:val="center"/>
          </w:tcPr>
          <w:p w14:paraId="163A6414">
            <w:pPr>
              <w:pStyle w:val="37"/>
              <w:rPr>
                <w:color w:val="auto"/>
                <w:highlight w:val="none"/>
              </w:rPr>
            </w:pPr>
            <w:r>
              <w:rPr>
                <w:rFonts w:hint="eastAsia"/>
                <w:color w:val="auto"/>
                <w:highlight w:val="none"/>
              </w:rPr>
              <w:t>0.1376</w:t>
            </w:r>
          </w:p>
        </w:tc>
        <w:tc>
          <w:tcPr>
            <w:tcW w:w="648" w:type="pct"/>
            <w:vAlign w:val="center"/>
          </w:tcPr>
          <w:p w14:paraId="591E046B">
            <w:pPr>
              <w:pStyle w:val="37"/>
              <w:rPr>
                <w:color w:val="auto"/>
                <w:highlight w:val="none"/>
              </w:rPr>
            </w:pPr>
            <w:r>
              <w:rPr>
                <w:rFonts w:hint="eastAsia"/>
                <w:color w:val="auto"/>
                <w:highlight w:val="none"/>
              </w:rPr>
              <w:t>0.01737</w:t>
            </w:r>
          </w:p>
        </w:tc>
      </w:tr>
    </w:tbl>
    <w:p w14:paraId="5C9D4B71">
      <w:pPr>
        <w:adjustRightInd w:val="0"/>
        <w:ind w:firstLine="482"/>
        <w:rPr>
          <w:rFonts w:cs="Times New Roman"/>
          <w:b/>
          <w:bCs/>
          <w:color w:val="auto"/>
          <w:highlight w:val="none"/>
        </w:rPr>
      </w:pPr>
      <w:r>
        <w:rPr>
          <w:rFonts w:cs="Times New Roman"/>
          <w:b/>
          <w:bCs/>
          <w:color w:val="auto"/>
          <w:highlight w:val="none"/>
        </w:rPr>
        <w:t>（4）车辆运输扬尘</w:t>
      </w:r>
    </w:p>
    <w:p w14:paraId="1964172E">
      <w:pPr>
        <w:adjustRightInd w:val="0"/>
        <w:ind w:firstLine="482"/>
        <w:rPr>
          <w:rFonts w:cs="Times New Roman"/>
          <w:color w:val="auto"/>
          <w:highlight w:val="none"/>
        </w:rPr>
      </w:pPr>
      <w:r>
        <w:rPr>
          <w:rFonts w:cs="Times New Roman"/>
          <w:b/>
          <w:bCs/>
          <w:color w:val="auto"/>
          <w:highlight w:val="none"/>
        </w:rPr>
        <w:t>产生源强</w:t>
      </w:r>
      <w:r>
        <w:rPr>
          <w:rFonts w:cs="Times New Roman"/>
          <w:color w:val="auto"/>
          <w:highlight w:val="none"/>
        </w:rPr>
        <w:t>：本项目原料通过汽车运输，汽车进出厂区都会产生道路扬尘。车辆行驶产生的扬尘，在道路完全干燥的情况下，可按下列经验公式计算：</w:t>
      </w:r>
    </w:p>
    <w:p w14:paraId="2FD9ED1E">
      <w:pPr>
        <w:overflowPunct w:val="0"/>
        <w:adjustRightInd w:val="0"/>
        <w:ind w:firstLine="0" w:firstLineChars="0"/>
        <w:jc w:val="center"/>
        <w:rPr>
          <w:rFonts w:cs="Times New Roman"/>
          <w:color w:val="auto"/>
          <w:kern w:val="21"/>
          <w:szCs w:val="24"/>
          <w:highlight w:val="none"/>
        </w:rPr>
      </w:pPr>
      <w:r>
        <w:rPr>
          <w:rFonts w:cs="Times New Roman"/>
          <w:color w:val="auto"/>
          <w:kern w:val="21"/>
          <w:szCs w:val="24"/>
          <w:highlight w:val="none"/>
        </w:rPr>
        <w:object>
          <v:shape id="_x0000_i1032" o:spt="75" type="#_x0000_t75" style="height:18.7pt;width:132.8pt;" o:ole="t" filled="f" o:preferrelative="t" stroked="f" coordsize="21600,21600">
            <v:path/>
            <v:fill on="f" focussize="0,0"/>
            <v:stroke on="f" joinstyle="miter"/>
            <v:imagedata r:id="rId40" o:title=""/>
            <o:lock v:ext="edit" aspectratio="t"/>
            <w10:wrap type="none"/>
            <w10:anchorlock/>
          </v:shape>
          <o:OLEObject Type="Embed" ProgID="Equation.3" ShapeID="_x0000_i1032" DrawAspect="Content" ObjectID="_1468075732" r:id="rId39">
            <o:LockedField>false</o:LockedField>
          </o:OLEObject>
        </w:object>
      </w:r>
    </w:p>
    <w:p w14:paraId="566A7495">
      <w:pPr>
        <w:overflowPunct w:val="0"/>
        <w:adjustRightInd w:val="0"/>
        <w:ind w:firstLine="0" w:firstLineChars="0"/>
        <w:jc w:val="center"/>
        <w:rPr>
          <w:rFonts w:cs="Times New Roman"/>
          <w:color w:val="auto"/>
          <w:kern w:val="21"/>
          <w:szCs w:val="24"/>
          <w:highlight w:val="none"/>
        </w:rPr>
      </w:pPr>
      <w:r>
        <w:rPr>
          <w:rFonts w:cs="Times New Roman"/>
          <w:color w:val="auto"/>
          <w:kern w:val="21"/>
          <w:szCs w:val="24"/>
          <w:highlight w:val="none"/>
        </w:rPr>
        <w:object>
          <v:shape id="_x0000_i1033" o:spt="75" type="#_x0000_t75" style="height:20.55pt;width:50.5pt;" o:ole="t" filled="f" o:preferrelative="t" stroked="f" coordsize="21600,21600">
            <v:path/>
            <v:fill on="f" focussize="0,0"/>
            <v:stroke on="f" joinstyle="miter"/>
            <v:imagedata r:id="rId42" o:title=""/>
            <o:lock v:ext="edit" aspectratio="t"/>
            <w10:wrap type="none"/>
            <w10:anchorlock/>
          </v:shape>
          <o:OLEObject Type="Embed" ProgID="Equation.3" ShapeID="_x0000_i1033" DrawAspect="Content" ObjectID="_1468075733" r:id="rId41">
            <o:LockedField>false</o:LockedField>
          </o:OLEObject>
        </w:object>
      </w:r>
    </w:p>
    <w:p w14:paraId="4D076C6B">
      <w:pPr>
        <w:overflowPunct w:val="0"/>
        <w:adjustRightInd w:val="0"/>
        <w:ind w:firstLine="480"/>
        <w:rPr>
          <w:rFonts w:cs="Times New Roman"/>
          <w:color w:val="auto"/>
          <w:kern w:val="21"/>
          <w:szCs w:val="24"/>
          <w:highlight w:val="none"/>
        </w:rPr>
      </w:pPr>
      <w:r>
        <w:rPr>
          <w:rFonts w:cs="Times New Roman"/>
          <w:color w:val="auto"/>
          <w:kern w:val="21"/>
          <w:szCs w:val="24"/>
          <w:highlight w:val="none"/>
        </w:rPr>
        <w:t>式中：</w:t>
      </w:r>
    </w:p>
    <w:p w14:paraId="30D71B1D">
      <w:pPr>
        <w:overflowPunct w:val="0"/>
        <w:adjustRightInd w:val="0"/>
        <w:ind w:firstLine="480"/>
        <w:rPr>
          <w:rFonts w:cs="Times New Roman"/>
          <w:color w:val="auto"/>
          <w:kern w:val="21"/>
          <w:szCs w:val="24"/>
          <w:highlight w:val="none"/>
        </w:rPr>
      </w:pPr>
      <w:r>
        <w:rPr>
          <w:rFonts w:cs="Times New Roman"/>
          <w:i/>
          <w:iCs/>
          <w:color w:val="auto"/>
          <w:kern w:val="21"/>
          <w:szCs w:val="24"/>
          <w:highlight w:val="none"/>
        </w:rPr>
        <w:t>Q</w:t>
      </w:r>
      <w:r>
        <w:rPr>
          <w:rFonts w:cs="Times New Roman"/>
          <w:i/>
          <w:iCs/>
          <w:color w:val="auto"/>
          <w:kern w:val="21"/>
          <w:szCs w:val="24"/>
          <w:highlight w:val="none"/>
          <w:vertAlign w:val="subscript"/>
        </w:rPr>
        <w:t>i</w:t>
      </w:r>
      <w:r>
        <w:rPr>
          <w:rFonts w:cs="Times New Roman"/>
          <w:color w:val="auto"/>
          <w:kern w:val="21"/>
          <w:szCs w:val="24"/>
          <w:highlight w:val="none"/>
        </w:rPr>
        <w:t>——每辆汽车行驶扬尘量，kg/km；</w:t>
      </w:r>
    </w:p>
    <w:p w14:paraId="473803FF">
      <w:pPr>
        <w:widowControl/>
        <w:overflowPunct w:val="0"/>
        <w:adjustRightInd w:val="0"/>
        <w:ind w:firstLine="480"/>
        <w:rPr>
          <w:rFonts w:cs="Times New Roman"/>
          <w:color w:val="auto"/>
          <w:kern w:val="21"/>
          <w:szCs w:val="24"/>
          <w:highlight w:val="none"/>
        </w:rPr>
      </w:pPr>
      <w:r>
        <w:rPr>
          <w:rFonts w:cs="Times New Roman"/>
          <w:i/>
          <w:iCs/>
          <w:color w:val="auto"/>
          <w:kern w:val="21"/>
          <w:szCs w:val="24"/>
          <w:highlight w:val="none"/>
        </w:rPr>
        <w:t>Q</w:t>
      </w:r>
      <w:r>
        <w:rPr>
          <w:rFonts w:cs="Times New Roman"/>
          <w:color w:val="auto"/>
          <w:kern w:val="21"/>
          <w:szCs w:val="24"/>
          <w:highlight w:val="none"/>
        </w:rPr>
        <w:t>——每辆运输总扬尘量，t/a；</w:t>
      </w:r>
    </w:p>
    <w:p w14:paraId="4AFE2D05">
      <w:pPr>
        <w:widowControl/>
        <w:overflowPunct w:val="0"/>
        <w:adjustRightInd w:val="0"/>
        <w:ind w:firstLine="480"/>
        <w:rPr>
          <w:rFonts w:cs="Times New Roman"/>
          <w:color w:val="auto"/>
          <w:kern w:val="21"/>
          <w:szCs w:val="24"/>
          <w:highlight w:val="none"/>
        </w:rPr>
      </w:pPr>
      <w:r>
        <w:rPr>
          <w:rFonts w:cs="Times New Roman"/>
          <w:i/>
          <w:iCs/>
          <w:color w:val="auto"/>
          <w:kern w:val="21"/>
          <w:szCs w:val="24"/>
          <w:highlight w:val="none"/>
        </w:rPr>
        <w:t>U</w:t>
      </w:r>
      <w:r>
        <w:rPr>
          <w:rFonts w:cs="Times New Roman"/>
          <w:color w:val="auto"/>
          <w:kern w:val="21"/>
          <w:szCs w:val="24"/>
          <w:highlight w:val="none"/>
        </w:rPr>
        <w:t>——汽车速度，km/h，本项目厂内运输限速10km/h；</w:t>
      </w:r>
    </w:p>
    <w:p w14:paraId="1411FB6D">
      <w:pPr>
        <w:widowControl/>
        <w:overflowPunct w:val="0"/>
        <w:adjustRightInd w:val="0"/>
        <w:ind w:firstLine="480"/>
        <w:rPr>
          <w:rFonts w:cs="Times New Roman"/>
          <w:color w:val="auto"/>
          <w:kern w:val="21"/>
          <w:szCs w:val="24"/>
          <w:highlight w:val="none"/>
        </w:rPr>
      </w:pPr>
      <w:r>
        <w:rPr>
          <w:rFonts w:cs="Times New Roman"/>
          <w:i/>
          <w:iCs/>
          <w:color w:val="auto"/>
          <w:kern w:val="21"/>
          <w:szCs w:val="24"/>
          <w:highlight w:val="none"/>
        </w:rPr>
        <w:t>W</w:t>
      </w:r>
      <w:r>
        <w:rPr>
          <w:rFonts w:cs="Times New Roman"/>
          <w:color w:val="auto"/>
          <w:kern w:val="21"/>
          <w:szCs w:val="24"/>
          <w:highlight w:val="none"/>
        </w:rPr>
        <w:t>——汽车重量，t。满载汽车重35t，空载</w:t>
      </w:r>
      <w:r>
        <w:rPr>
          <w:rFonts w:hint="eastAsia" w:cs="Times New Roman"/>
          <w:color w:val="auto"/>
          <w:kern w:val="21"/>
          <w:szCs w:val="24"/>
          <w:highlight w:val="none"/>
        </w:rPr>
        <w:t>10</w:t>
      </w:r>
      <w:r>
        <w:rPr>
          <w:rFonts w:cs="Times New Roman"/>
          <w:color w:val="auto"/>
          <w:kern w:val="21"/>
          <w:szCs w:val="24"/>
          <w:highlight w:val="none"/>
        </w:rPr>
        <w:t>t；</w:t>
      </w:r>
    </w:p>
    <w:p w14:paraId="10E73993">
      <w:pPr>
        <w:widowControl/>
        <w:overflowPunct w:val="0"/>
        <w:adjustRightInd w:val="0"/>
        <w:ind w:firstLine="480"/>
        <w:rPr>
          <w:rFonts w:cs="Times New Roman"/>
          <w:color w:val="auto"/>
          <w:kern w:val="21"/>
          <w:szCs w:val="24"/>
          <w:highlight w:val="none"/>
        </w:rPr>
      </w:pPr>
      <w:r>
        <w:rPr>
          <w:rFonts w:cs="Times New Roman"/>
          <w:i/>
          <w:iCs/>
          <w:color w:val="auto"/>
          <w:kern w:val="21"/>
          <w:szCs w:val="24"/>
          <w:highlight w:val="none"/>
        </w:rPr>
        <w:t>P</w:t>
      </w:r>
      <w:r>
        <w:rPr>
          <w:rFonts w:cs="Times New Roman"/>
          <w:color w:val="auto"/>
          <w:kern w:val="21"/>
          <w:szCs w:val="24"/>
          <w:highlight w:val="none"/>
        </w:rPr>
        <w:t>——道路表面粉尘量，kg/m</w:t>
      </w:r>
      <w:r>
        <w:rPr>
          <w:rFonts w:cs="Times New Roman"/>
          <w:color w:val="auto"/>
          <w:kern w:val="21"/>
          <w:szCs w:val="24"/>
          <w:highlight w:val="none"/>
          <w:vertAlign w:val="superscript"/>
        </w:rPr>
        <w:t>2</w:t>
      </w:r>
      <w:r>
        <w:rPr>
          <w:rFonts w:cs="Times New Roman"/>
          <w:color w:val="auto"/>
          <w:kern w:val="21"/>
          <w:szCs w:val="24"/>
          <w:highlight w:val="none"/>
        </w:rPr>
        <w:t>，厂区路面取0.2kg/m</w:t>
      </w:r>
      <w:r>
        <w:rPr>
          <w:rFonts w:cs="Times New Roman"/>
          <w:color w:val="auto"/>
          <w:kern w:val="21"/>
          <w:szCs w:val="24"/>
          <w:highlight w:val="none"/>
          <w:vertAlign w:val="superscript"/>
        </w:rPr>
        <w:t>2</w:t>
      </w:r>
      <w:r>
        <w:rPr>
          <w:rFonts w:cs="Times New Roman"/>
          <w:color w:val="auto"/>
          <w:kern w:val="21"/>
          <w:szCs w:val="24"/>
          <w:highlight w:val="none"/>
        </w:rPr>
        <w:t>。</w:t>
      </w:r>
    </w:p>
    <w:p w14:paraId="11987FFE">
      <w:pPr>
        <w:overflowPunct w:val="0"/>
        <w:adjustRightInd w:val="0"/>
        <w:ind w:firstLine="480"/>
        <w:rPr>
          <w:rFonts w:cs="Times New Roman"/>
          <w:color w:val="auto"/>
          <w:kern w:val="21"/>
          <w:szCs w:val="24"/>
          <w:highlight w:val="none"/>
        </w:rPr>
      </w:pPr>
      <w:r>
        <w:rPr>
          <w:rFonts w:cs="Times New Roman"/>
          <w:color w:val="auto"/>
          <w:kern w:val="21"/>
          <w:szCs w:val="24"/>
          <w:highlight w:val="none"/>
        </w:rPr>
        <w:t>经计算，本项目运输车辆满载状况下汽车行驶扬尘产生量为0.5091kg/km；空载状况下汽车行驶扬尘产生量为0.0974kg/km。本项目年加工50万吨锂辉石矿，原料和成品运输车次合计约</w:t>
      </w:r>
      <w:r>
        <w:rPr>
          <w:rFonts w:hint="eastAsia" w:cs="Times New Roman"/>
          <w:color w:val="auto"/>
          <w:kern w:val="21"/>
          <w:szCs w:val="24"/>
          <w:highlight w:val="none"/>
        </w:rPr>
        <w:t>29629</w:t>
      </w:r>
      <w:r>
        <w:rPr>
          <w:rFonts w:cs="Times New Roman"/>
          <w:color w:val="auto"/>
          <w:kern w:val="21"/>
          <w:szCs w:val="24"/>
          <w:highlight w:val="none"/>
        </w:rPr>
        <w:t>次/年，厂内运输距离以0.</w:t>
      </w:r>
      <w:r>
        <w:rPr>
          <w:rFonts w:hint="eastAsia" w:cs="Times New Roman"/>
          <w:color w:val="auto"/>
          <w:kern w:val="21"/>
          <w:szCs w:val="24"/>
          <w:highlight w:val="none"/>
        </w:rPr>
        <w:t>2</w:t>
      </w:r>
      <w:r>
        <w:rPr>
          <w:rFonts w:cs="Times New Roman"/>
          <w:color w:val="auto"/>
          <w:kern w:val="21"/>
          <w:szCs w:val="24"/>
          <w:highlight w:val="none"/>
        </w:rPr>
        <w:t>km计。因此，本项目车辆运输粉尘产生量为</w:t>
      </w:r>
      <w:r>
        <w:rPr>
          <w:rFonts w:hint="eastAsia" w:cs="Times New Roman"/>
          <w:color w:val="auto"/>
          <w:kern w:val="21"/>
          <w:szCs w:val="24"/>
          <w:highlight w:val="none"/>
        </w:rPr>
        <w:t>3.594</w:t>
      </w:r>
      <w:r>
        <w:rPr>
          <w:rFonts w:cs="Times New Roman"/>
          <w:color w:val="auto"/>
          <w:kern w:val="21"/>
          <w:szCs w:val="24"/>
          <w:highlight w:val="none"/>
        </w:rPr>
        <w:t>t/a（0.</w:t>
      </w:r>
      <w:r>
        <w:rPr>
          <w:rFonts w:hint="eastAsia" w:cs="Times New Roman"/>
          <w:color w:val="auto"/>
          <w:kern w:val="21"/>
          <w:szCs w:val="24"/>
          <w:highlight w:val="none"/>
        </w:rPr>
        <w:t>45</w:t>
      </w:r>
      <w:r>
        <w:rPr>
          <w:rFonts w:cs="Times New Roman"/>
          <w:color w:val="auto"/>
          <w:kern w:val="21"/>
          <w:szCs w:val="24"/>
          <w:highlight w:val="none"/>
        </w:rPr>
        <w:t>4kg/h）。</w:t>
      </w:r>
    </w:p>
    <w:p w14:paraId="2272E09B">
      <w:pPr>
        <w:overflowPunct w:val="0"/>
        <w:adjustRightInd w:val="0"/>
        <w:ind w:firstLine="482"/>
        <w:rPr>
          <w:rFonts w:cs="Times New Roman"/>
          <w:color w:val="auto"/>
          <w:kern w:val="21"/>
          <w:szCs w:val="22"/>
          <w:highlight w:val="none"/>
        </w:rPr>
      </w:pPr>
      <w:r>
        <w:rPr>
          <w:rFonts w:hint="eastAsia" w:cs="Times New Roman"/>
          <w:b/>
          <w:color w:val="auto"/>
          <w:kern w:val="21"/>
          <w:szCs w:val="22"/>
          <w:highlight w:val="none"/>
        </w:rPr>
        <w:t>治理</w:t>
      </w:r>
      <w:r>
        <w:rPr>
          <w:rFonts w:cs="Times New Roman"/>
          <w:b/>
          <w:color w:val="auto"/>
          <w:kern w:val="21"/>
          <w:szCs w:val="22"/>
          <w:highlight w:val="none"/>
        </w:rPr>
        <w:t>措施：</w:t>
      </w:r>
      <w:r>
        <w:rPr>
          <w:rFonts w:cs="Times New Roman"/>
          <w:bCs/>
          <w:color w:val="auto"/>
          <w:kern w:val="21"/>
          <w:szCs w:val="22"/>
          <w:highlight w:val="none"/>
        </w:rPr>
        <w:t>厂区道路水泥硬化，加强路面清扫及洒水降尘，厂区出口处设置车辆冲洗装置，运输车辆加盖篷布</w:t>
      </w:r>
      <w:r>
        <w:rPr>
          <w:rFonts w:hint="eastAsia"/>
          <w:color w:val="auto"/>
          <w:highlight w:val="none"/>
        </w:rPr>
        <w:t>。</w:t>
      </w:r>
      <w:r>
        <w:rPr>
          <w:rFonts w:cs="Times New Roman"/>
          <w:color w:val="auto"/>
          <w:kern w:val="21"/>
          <w:szCs w:val="22"/>
          <w:highlight w:val="none"/>
        </w:rPr>
        <w:t>参考生态环境部发布的《排放源统计调查产排污核算方法和系数手册》——《附1工业源-附表2工业源固体物料堆场颗粒物核算系数手册》中粉尘控制措施控制效率及堆场类型控制效率。本项目运输粉尘采取的洒水抑尘措施效率为74%，进出场车辆冲洗效率为78%。</w:t>
      </w:r>
    </w:p>
    <w:p w14:paraId="2C1F7007">
      <w:pPr>
        <w:overflowPunct w:val="0"/>
        <w:adjustRightInd w:val="0"/>
        <w:ind w:firstLine="482"/>
        <w:rPr>
          <w:rFonts w:cs="Times New Roman"/>
          <w:color w:val="auto"/>
          <w:kern w:val="21"/>
          <w:szCs w:val="22"/>
          <w:highlight w:val="none"/>
        </w:rPr>
      </w:pPr>
      <w:r>
        <w:rPr>
          <w:rFonts w:cs="Times New Roman"/>
          <w:b/>
          <w:color w:val="auto"/>
          <w:kern w:val="21"/>
          <w:szCs w:val="22"/>
          <w:highlight w:val="none"/>
        </w:rPr>
        <w:t>排放情况：</w:t>
      </w:r>
      <w:r>
        <w:rPr>
          <w:rFonts w:cs="Times New Roman"/>
          <w:color w:val="auto"/>
          <w:kern w:val="21"/>
          <w:szCs w:val="22"/>
          <w:highlight w:val="none"/>
        </w:rPr>
        <w:t>本项目车辆运输粉尘产生、治理及排放情况见下表。</w:t>
      </w:r>
    </w:p>
    <w:p w14:paraId="4D198E97">
      <w:pPr>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12</w:t>
      </w:r>
      <w:r>
        <w:rPr>
          <w:rFonts w:cs="Times New Roman"/>
          <w:b/>
          <w:color w:val="auto"/>
          <w:sz w:val="21"/>
          <w:szCs w:val="20"/>
          <w:highlight w:val="none"/>
        </w:rPr>
        <w:fldChar w:fldCharType="end"/>
      </w:r>
      <w:r>
        <w:rPr>
          <w:rFonts w:cs="Times New Roman"/>
          <w:b/>
          <w:color w:val="auto"/>
          <w:kern w:val="21"/>
          <w:sz w:val="21"/>
          <w:highlight w:val="none"/>
        </w:rPr>
        <w:t>本项目</w:t>
      </w:r>
      <w:r>
        <w:rPr>
          <w:rFonts w:cs="Times New Roman"/>
          <w:b/>
          <w:bCs/>
          <w:color w:val="auto"/>
          <w:kern w:val="21"/>
          <w:sz w:val="21"/>
          <w:highlight w:val="none"/>
        </w:rPr>
        <w:t>车辆运输粉尘</w:t>
      </w:r>
      <w:r>
        <w:rPr>
          <w:rFonts w:cs="Times New Roman"/>
          <w:b/>
          <w:color w:val="auto"/>
          <w:kern w:val="21"/>
          <w:sz w:val="21"/>
          <w:highlight w:val="none"/>
        </w:rPr>
        <w:t>无组织</w:t>
      </w:r>
      <w:r>
        <w:rPr>
          <w:rFonts w:cs="Times New Roman"/>
          <w:b/>
          <w:bCs/>
          <w:color w:val="auto"/>
          <w:kern w:val="21"/>
          <w:sz w:val="21"/>
          <w:highlight w:val="none"/>
        </w:rPr>
        <w:t>源强及排污情况一览表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1"/>
        <w:gridCol w:w="811"/>
        <w:gridCol w:w="1093"/>
        <w:gridCol w:w="2484"/>
        <w:gridCol w:w="1077"/>
        <w:gridCol w:w="871"/>
        <w:gridCol w:w="1105"/>
      </w:tblGrid>
      <w:tr w14:paraId="7713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37" w:type="pct"/>
            <w:vMerge w:val="restart"/>
            <w:vAlign w:val="center"/>
          </w:tcPr>
          <w:p w14:paraId="68800CB9">
            <w:pPr>
              <w:pStyle w:val="37"/>
              <w:rPr>
                <w:b/>
                <w:bCs/>
                <w:color w:val="auto"/>
                <w:highlight w:val="none"/>
              </w:rPr>
            </w:pPr>
            <w:r>
              <w:rPr>
                <w:b/>
                <w:bCs/>
                <w:color w:val="auto"/>
                <w:highlight w:val="none"/>
              </w:rPr>
              <w:t>污染源</w:t>
            </w:r>
          </w:p>
        </w:tc>
        <w:tc>
          <w:tcPr>
            <w:tcW w:w="478" w:type="pct"/>
            <w:vMerge w:val="restart"/>
            <w:vAlign w:val="center"/>
          </w:tcPr>
          <w:p w14:paraId="1374F531">
            <w:pPr>
              <w:pStyle w:val="37"/>
              <w:rPr>
                <w:b/>
                <w:bCs/>
                <w:color w:val="auto"/>
                <w:highlight w:val="none"/>
              </w:rPr>
            </w:pPr>
            <w:r>
              <w:rPr>
                <w:b/>
                <w:bCs/>
                <w:color w:val="auto"/>
                <w:highlight w:val="none"/>
              </w:rPr>
              <w:t>污染物</w:t>
            </w:r>
          </w:p>
        </w:tc>
        <w:tc>
          <w:tcPr>
            <w:tcW w:w="643" w:type="pct"/>
            <w:vMerge w:val="restart"/>
            <w:vAlign w:val="center"/>
          </w:tcPr>
          <w:p w14:paraId="08EF266E">
            <w:pPr>
              <w:pStyle w:val="37"/>
              <w:rPr>
                <w:b/>
                <w:bCs/>
                <w:color w:val="auto"/>
                <w:highlight w:val="none"/>
              </w:rPr>
            </w:pPr>
            <w:r>
              <w:rPr>
                <w:b/>
                <w:bCs/>
                <w:color w:val="auto"/>
                <w:highlight w:val="none"/>
              </w:rPr>
              <w:t>产生源强（kg/h）</w:t>
            </w:r>
          </w:p>
        </w:tc>
        <w:tc>
          <w:tcPr>
            <w:tcW w:w="1459" w:type="pct"/>
            <w:vMerge w:val="restart"/>
            <w:vAlign w:val="center"/>
          </w:tcPr>
          <w:p w14:paraId="59A20454">
            <w:pPr>
              <w:pStyle w:val="37"/>
              <w:rPr>
                <w:b/>
                <w:bCs/>
                <w:color w:val="auto"/>
                <w:highlight w:val="none"/>
              </w:rPr>
            </w:pPr>
            <w:r>
              <w:rPr>
                <w:b/>
                <w:bCs/>
                <w:color w:val="auto"/>
                <w:highlight w:val="none"/>
              </w:rPr>
              <w:t>治理措施及效率</w:t>
            </w:r>
          </w:p>
        </w:tc>
        <w:tc>
          <w:tcPr>
            <w:tcW w:w="634" w:type="pct"/>
            <w:vMerge w:val="restart"/>
            <w:vAlign w:val="center"/>
          </w:tcPr>
          <w:p w14:paraId="378CF776">
            <w:pPr>
              <w:pStyle w:val="37"/>
              <w:rPr>
                <w:b/>
                <w:bCs/>
                <w:color w:val="auto"/>
                <w:highlight w:val="none"/>
              </w:rPr>
            </w:pPr>
            <w:r>
              <w:rPr>
                <w:b/>
                <w:bCs/>
                <w:color w:val="auto"/>
                <w:highlight w:val="none"/>
              </w:rPr>
              <w:t>排放方式</w:t>
            </w:r>
          </w:p>
        </w:tc>
        <w:tc>
          <w:tcPr>
            <w:tcW w:w="1146" w:type="pct"/>
            <w:gridSpan w:val="2"/>
            <w:vAlign w:val="center"/>
          </w:tcPr>
          <w:p w14:paraId="35FE47C1">
            <w:pPr>
              <w:pStyle w:val="37"/>
              <w:rPr>
                <w:b/>
                <w:bCs/>
                <w:color w:val="auto"/>
                <w:highlight w:val="none"/>
              </w:rPr>
            </w:pPr>
            <w:r>
              <w:rPr>
                <w:b/>
                <w:bCs/>
                <w:color w:val="auto"/>
                <w:highlight w:val="none"/>
              </w:rPr>
              <w:t>排放情况</w:t>
            </w:r>
          </w:p>
        </w:tc>
      </w:tr>
      <w:tr w14:paraId="0C74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37" w:type="pct"/>
            <w:vMerge w:val="continue"/>
            <w:vAlign w:val="center"/>
          </w:tcPr>
          <w:p w14:paraId="4259AD15">
            <w:pPr>
              <w:pStyle w:val="37"/>
              <w:rPr>
                <w:b/>
                <w:bCs/>
                <w:color w:val="auto"/>
                <w:highlight w:val="none"/>
              </w:rPr>
            </w:pPr>
          </w:p>
        </w:tc>
        <w:tc>
          <w:tcPr>
            <w:tcW w:w="478" w:type="pct"/>
            <w:vMerge w:val="continue"/>
            <w:vAlign w:val="center"/>
          </w:tcPr>
          <w:p w14:paraId="0551E12A">
            <w:pPr>
              <w:pStyle w:val="37"/>
              <w:rPr>
                <w:b/>
                <w:bCs/>
                <w:color w:val="auto"/>
                <w:highlight w:val="none"/>
              </w:rPr>
            </w:pPr>
          </w:p>
        </w:tc>
        <w:tc>
          <w:tcPr>
            <w:tcW w:w="643" w:type="pct"/>
            <w:vMerge w:val="continue"/>
            <w:vAlign w:val="center"/>
          </w:tcPr>
          <w:p w14:paraId="3137B644">
            <w:pPr>
              <w:pStyle w:val="37"/>
              <w:rPr>
                <w:b/>
                <w:bCs/>
                <w:color w:val="auto"/>
                <w:highlight w:val="none"/>
              </w:rPr>
            </w:pPr>
          </w:p>
        </w:tc>
        <w:tc>
          <w:tcPr>
            <w:tcW w:w="1459" w:type="pct"/>
            <w:vMerge w:val="continue"/>
            <w:vAlign w:val="center"/>
          </w:tcPr>
          <w:p w14:paraId="41581669">
            <w:pPr>
              <w:pStyle w:val="37"/>
              <w:rPr>
                <w:b/>
                <w:bCs/>
                <w:color w:val="auto"/>
                <w:highlight w:val="none"/>
              </w:rPr>
            </w:pPr>
          </w:p>
        </w:tc>
        <w:tc>
          <w:tcPr>
            <w:tcW w:w="634" w:type="pct"/>
            <w:vMerge w:val="continue"/>
            <w:vAlign w:val="center"/>
          </w:tcPr>
          <w:p w14:paraId="6B608D76">
            <w:pPr>
              <w:pStyle w:val="37"/>
              <w:rPr>
                <w:b/>
                <w:bCs/>
                <w:color w:val="auto"/>
                <w:highlight w:val="none"/>
              </w:rPr>
            </w:pPr>
          </w:p>
        </w:tc>
        <w:tc>
          <w:tcPr>
            <w:tcW w:w="496" w:type="pct"/>
            <w:vAlign w:val="center"/>
          </w:tcPr>
          <w:p w14:paraId="721FE778">
            <w:pPr>
              <w:pStyle w:val="37"/>
              <w:rPr>
                <w:b/>
                <w:bCs/>
                <w:color w:val="auto"/>
                <w:highlight w:val="none"/>
              </w:rPr>
            </w:pPr>
            <w:r>
              <w:rPr>
                <w:b/>
                <w:bCs/>
                <w:color w:val="auto"/>
                <w:highlight w:val="none"/>
              </w:rPr>
              <w:t>排放量（t/a）</w:t>
            </w:r>
          </w:p>
        </w:tc>
        <w:tc>
          <w:tcPr>
            <w:tcW w:w="650" w:type="pct"/>
            <w:vAlign w:val="center"/>
          </w:tcPr>
          <w:p w14:paraId="4CFFCD52">
            <w:pPr>
              <w:pStyle w:val="37"/>
              <w:rPr>
                <w:b/>
                <w:bCs/>
                <w:color w:val="auto"/>
                <w:highlight w:val="none"/>
              </w:rPr>
            </w:pPr>
            <w:r>
              <w:rPr>
                <w:b/>
                <w:bCs/>
                <w:color w:val="auto"/>
                <w:highlight w:val="none"/>
              </w:rPr>
              <w:t>排放速率（kg/h）</w:t>
            </w:r>
          </w:p>
        </w:tc>
      </w:tr>
      <w:tr w14:paraId="68B6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7" w:type="pct"/>
            <w:vAlign w:val="center"/>
          </w:tcPr>
          <w:p w14:paraId="70D79C17">
            <w:pPr>
              <w:pStyle w:val="37"/>
              <w:rPr>
                <w:color w:val="auto"/>
                <w:highlight w:val="none"/>
              </w:rPr>
            </w:pPr>
            <w:r>
              <w:rPr>
                <w:color w:val="auto"/>
                <w:highlight w:val="none"/>
              </w:rPr>
              <w:t>原料运输</w:t>
            </w:r>
          </w:p>
        </w:tc>
        <w:tc>
          <w:tcPr>
            <w:tcW w:w="478" w:type="pct"/>
            <w:vAlign w:val="center"/>
          </w:tcPr>
          <w:p w14:paraId="1A8C028A">
            <w:pPr>
              <w:pStyle w:val="37"/>
              <w:rPr>
                <w:color w:val="auto"/>
                <w:highlight w:val="none"/>
              </w:rPr>
            </w:pPr>
            <w:r>
              <w:rPr>
                <w:color w:val="auto"/>
                <w:highlight w:val="none"/>
              </w:rPr>
              <w:t>颗粒物</w:t>
            </w:r>
          </w:p>
        </w:tc>
        <w:tc>
          <w:tcPr>
            <w:tcW w:w="643" w:type="pct"/>
            <w:vAlign w:val="center"/>
          </w:tcPr>
          <w:p w14:paraId="084A1611">
            <w:pPr>
              <w:pStyle w:val="37"/>
              <w:rPr>
                <w:color w:val="auto"/>
                <w:highlight w:val="none"/>
              </w:rPr>
            </w:pPr>
            <w:r>
              <w:rPr>
                <w:rFonts w:hint="eastAsia"/>
                <w:color w:val="auto"/>
                <w:highlight w:val="none"/>
              </w:rPr>
              <w:t>0.454</w:t>
            </w:r>
          </w:p>
        </w:tc>
        <w:tc>
          <w:tcPr>
            <w:tcW w:w="1459" w:type="pct"/>
            <w:vAlign w:val="center"/>
          </w:tcPr>
          <w:p w14:paraId="1D3D4AEB">
            <w:pPr>
              <w:pStyle w:val="37"/>
              <w:rPr>
                <w:color w:val="auto"/>
                <w:highlight w:val="none"/>
              </w:rPr>
            </w:pPr>
            <w:r>
              <w:rPr>
                <w:color w:val="auto"/>
                <w:highlight w:val="none"/>
              </w:rPr>
              <w:t>冲洗进出厂车辆（78%）+硬化厂区道路、洒水抑尘（74%）</w:t>
            </w:r>
          </w:p>
        </w:tc>
        <w:tc>
          <w:tcPr>
            <w:tcW w:w="634" w:type="pct"/>
            <w:vAlign w:val="center"/>
          </w:tcPr>
          <w:p w14:paraId="536FCA73">
            <w:pPr>
              <w:pStyle w:val="37"/>
              <w:rPr>
                <w:color w:val="auto"/>
                <w:highlight w:val="none"/>
              </w:rPr>
            </w:pPr>
            <w:r>
              <w:rPr>
                <w:color w:val="auto"/>
                <w:highlight w:val="none"/>
              </w:rPr>
              <w:t>无组织</w:t>
            </w:r>
          </w:p>
        </w:tc>
        <w:tc>
          <w:tcPr>
            <w:tcW w:w="496" w:type="pct"/>
            <w:vAlign w:val="center"/>
          </w:tcPr>
          <w:p w14:paraId="02B676A5">
            <w:pPr>
              <w:pStyle w:val="37"/>
              <w:rPr>
                <w:color w:val="auto"/>
                <w:highlight w:val="none"/>
              </w:rPr>
            </w:pPr>
            <w:r>
              <w:rPr>
                <w:color w:val="auto"/>
                <w:highlight w:val="none"/>
              </w:rPr>
              <w:t>0.2</w:t>
            </w:r>
            <w:r>
              <w:rPr>
                <w:rFonts w:hint="eastAsia"/>
                <w:color w:val="auto"/>
                <w:highlight w:val="none"/>
              </w:rPr>
              <w:t>06</w:t>
            </w:r>
          </w:p>
        </w:tc>
        <w:tc>
          <w:tcPr>
            <w:tcW w:w="650" w:type="pct"/>
            <w:vAlign w:val="center"/>
          </w:tcPr>
          <w:p w14:paraId="2CF25BC1">
            <w:pPr>
              <w:pStyle w:val="37"/>
              <w:rPr>
                <w:color w:val="auto"/>
                <w:highlight w:val="none"/>
              </w:rPr>
            </w:pPr>
            <w:r>
              <w:rPr>
                <w:color w:val="auto"/>
                <w:highlight w:val="none"/>
              </w:rPr>
              <w:t>0.0</w:t>
            </w:r>
            <w:r>
              <w:rPr>
                <w:rFonts w:hint="eastAsia"/>
                <w:color w:val="auto"/>
                <w:highlight w:val="none"/>
              </w:rPr>
              <w:t>26</w:t>
            </w:r>
          </w:p>
        </w:tc>
      </w:tr>
    </w:tbl>
    <w:p w14:paraId="458B060E">
      <w:pPr>
        <w:adjustRightInd w:val="0"/>
        <w:ind w:firstLine="482"/>
        <w:rPr>
          <w:rFonts w:cs="Times New Roman"/>
          <w:b/>
          <w:bCs/>
          <w:color w:val="auto"/>
          <w:highlight w:val="none"/>
        </w:rPr>
      </w:pPr>
      <w:r>
        <w:rPr>
          <w:rFonts w:hint="eastAsia" w:cs="Times New Roman"/>
          <w:b/>
          <w:bCs/>
          <w:color w:val="auto"/>
          <w:highlight w:val="none"/>
        </w:rPr>
        <w:t>（5）食堂油烟</w:t>
      </w:r>
    </w:p>
    <w:p w14:paraId="01741132">
      <w:pPr>
        <w:adjustRightInd w:val="0"/>
        <w:ind w:firstLine="482"/>
        <w:rPr>
          <w:rFonts w:cs="Times New Roman"/>
          <w:color w:val="auto"/>
          <w:highlight w:val="none"/>
        </w:rPr>
      </w:pPr>
      <w:r>
        <w:rPr>
          <w:rFonts w:cs="Times New Roman"/>
          <w:b/>
          <w:bCs/>
          <w:color w:val="auto"/>
          <w:highlight w:val="none"/>
        </w:rPr>
        <w:t>产生源强</w:t>
      </w:r>
      <w:r>
        <w:rPr>
          <w:rFonts w:hint="eastAsia" w:cs="Times New Roman"/>
          <w:color w:val="auto"/>
          <w:highlight w:val="none"/>
        </w:rPr>
        <w:t>：</w:t>
      </w:r>
      <w:r>
        <w:rPr>
          <w:rFonts w:cs="Times New Roman"/>
          <w:color w:val="auto"/>
          <w:highlight w:val="none"/>
        </w:rPr>
        <w:t>本项目劳动定员</w:t>
      </w:r>
      <w:r>
        <w:rPr>
          <w:rFonts w:hint="eastAsia" w:cs="Times New Roman"/>
          <w:color w:val="auto"/>
          <w:highlight w:val="none"/>
        </w:rPr>
        <w:t>70</w:t>
      </w:r>
      <w:r>
        <w:rPr>
          <w:rFonts w:cs="Times New Roman"/>
          <w:color w:val="auto"/>
          <w:highlight w:val="none"/>
        </w:rPr>
        <w:t>人，年工作3</w:t>
      </w:r>
      <w:r>
        <w:rPr>
          <w:rFonts w:hint="eastAsia" w:cs="Times New Roman"/>
          <w:color w:val="auto"/>
          <w:highlight w:val="none"/>
        </w:rPr>
        <w:t>3</w:t>
      </w:r>
      <w:r>
        <w:rPr>
          <w:rFonts w:cs="Times New Roman"/>
          <w:color w:val="auto"/>
          <w:highlight w:val="none"/>
        </w:rPr>
        <w:t>0天，项目设置员工食堂，厨房以液化气或电能为主要燃料，属清洁燃料，排放污染物较少。厨房油烟是指食物煎、炒、炸、烤等加工过程中挥发出的含油废气。厨房日常烹饪食用油消耗系数约为60g/人·d，食堂烹饪时间以每天高峰期4小时计，烹饪过程中的挥发损失按3%计，则本项目油烟产生情况见下表。</w:t>
      </w:r>
    </w:p>
    <w:p w14:paraId="5CC450ED">
      <w:pPr>
        <w:keepNext/>
        <w:adjustRightInd w:val="0"/>
        <w:spacing w:line="240" w:lineRule="auto"/>
        <w:ind w:firstLine="480" w:firstLineChars="0"/>
        <w:jc w:val="center"/>
        <w:rPr>
          <w:rFonts w:cs="Times New Roman"/>
          <w:b/>
          <w:color w:val="auto"/>
          <w:sz w:val="21"/>
          <w:szCs w:val="20"/>
          <w:highlight w:val="none"/>
        </w:rPr>
      </w:pPr>
      <w:r>
        <w:rPr>
          <w:rFonts w:cstheme="majorBidi"/>
          <w:b/>
          <w:color w:val="auto"/>
          <w:sz w:val="21"/>
          <w:szCs w:val="20"/>
          <w:highlight w:val="none"/>
        </w:rPr>
        <w:t xml:space="preserve">表 </w:t>
      </w:r>
      <w:r>
        <w:rPr>
          <w:rFonts w:cstheme="majorBidi"/>
          <w:b/>
          <w:color w:val="auto"/>
          <w:sz w:val="21"/>
          <w:szCs w:val="20"/>
          <w:highlight w:val="none"/>
        </w:rPr>
        <w:fldChar w:fldCharType="begin"/>
      </w:r>
      <w:r>
        <w:rPr>
          <w:rFonts w:cstheme="majorBidi"/>
          <w:b/>
          <w:color w:val="auto"/>
          <w:sz w:val="21"/>
          <w:szCs w:val="20"/>
          <w:highlight w:val="none"/>
        </w:rPr>
        <w:instrText xml:space="preserve"> STYLEREF 1 \s </w:instrText>
      </w:r>
      <w:r>
        <w:rPr>
          <w:rFonts w:cstheme="majorBidi"/>
          <w:b/>
          <w:color w:val="auto"/>
          <w:sz w:val="21"/>
          <w:szCs w:val="20"/>
          <w:highlight w:val="none"/>
        </w:rPr>
        <w:fldChar w:fldCharType="separate"/>
      </w:r>
      <w:r>
        <w:rPr>
          <w:rFonts w:cstheme="majorBidi"/>
          <w:b/>
          <w:color w:val="auto"/>
          <w:sz w:val="21"/>
          <w:szCs w:val="20"/>
          <w:highlight w:val="none"/>
        </w:rPr>
        <w:t>3</w:t>
      </w:r>
      <w:r>
        <w:rPr>
          <w:rFonts w:cstheme="majorBidi"/>
          <w:b/>
          <w:color w:val="auto"/>
          <w:sz w:val="21"/>
          <w:szCs w:val="20"/>
          <w:highlight w:val="none"/>
        </w:rPr>
        <w:fldChar w:fldCharType="end"/>
      </w:r>
      <w:r>
        <w:rPr>
          <w:rFonts w:hint="eastAsia" w:cstheme="majorBidi"/>
          <w:b/>
          <w:color w:val="auto"/>
          <w:sz w:val="21"/>
          <w:szCs w:val="20"/>
          <w:highlight w:val="none"/>
        </w:rPr>
        <w:t>-</w:t>
      </w:r>
      <w:r>
        <w:rPr>
          <w:rFonts w:cstheme="majorBidi"/>
          <w:b/>
          <w:color w:val="auto"/>
          <w:sz w:val="21"/>
          <w:szCs w:val="20"/>
          <w:highlight w:val="none"/>
        </w:rPr>
        <w:fldChar w:fldCharType="begin"/>
      </w:r>
      <w:r>
        <w:rPr>
          <w:rFonts w:cstheme="majorBidi"/>
          <w:b/>
          <w:color w:val="auto"/>
          <w:sz w:val="21"/>
          <w:szCs w:val="20"/>
          <w:highlight w:val="none"/>
        </w:rPr>
        <w:instrText xml:space="preserve"> SEQ 表 \* ARABIC \s 1 </w:instrText>
      </w:r>
      <w:r>
        <w:rPr>
          <w:rFonts w:cstheme="majorBidi"/>
          <w:b/>
          <w:color w:val="auto"/>
          <w:sz w:val="21"/>
          <w:szCs w:val="20"/>
          <w:highlight w:val="none"/>
        </w:rPr>
        <w:fldChar w:fldCharType="separate"/>
      </w:r>
      <w:r>
        <w:rPr>
          <w:rFonts w:cstheme="majorBidi"/>
          <w:b/>
          <w:color w:val="auto"/>
          <w:sz w:val="21"/>
          <w:szCs w:val="20"/>
          <w:highlight w:val="none"/>
        </w:rPr>
        <w:t>13</w:t>
      </w:r>
      <w:r>
        <w:rPr>
          <w:rFonts w:cstheme="majorBidi"/>
          <w:b/>
          <w:color w:val="auto"/>
          <w:sz w:val="21"/>
          <w:szCs w:val="20"/>
          <w:highlight w:val="none"/>
        </w:rPr>
        <w:fldChar w:fldCharType="end"/>
      </w:r>
      <w:r>
        <w:rPr>
          <w:rFonts w:hint="eastAsia" w:cstheme="majorBidi"/>
          <w:b/>
          <w:color w:val="auto"/>
          <w:sz w:val="21"/>
          <w:szCs w:val="20"/>
          <w:highlight w:val="none"/>
        </w:rPr>
        <w:t>本项目油烟产生情况一览表</w:t>
      </w:r>
    </w:p>
    <w:tbl>
      <w:tblPr>
        <w:tblStyle w:val="3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1158"/>
        <w:gridCol w:w="1074"/>
        <w:gridCol w:w="1304"/>
        <w:gridCol w:w="1366"/>
        <w:gridCol w:w="1148"/>
        <w:gridCol w:w="1391"/>
      </w:tblGrid>
      <w:tr w14:paraId="25CD7F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0" w:hRule="atLeast"/>
          <w:tblHeader/>
          <w:jc w:val="center"/>
        </w:trPr>
        <w:tc>
          <w:tcPr>
            <w:tcW w:w="632" w:type="pct"/>
            <w:tcBorders>
              <w:top w:val="single" w:color="auto" w:sz="4" w:space="0"/>
              <w:left w:val="single" w:color="auto" w:sz="0" w:space="0"/>
            </w:tcBorders>
            <w:vAlign w:val="center"/>
          </w:tcPr>
          <w:p w14:paraId="726182EA">
            <w:pPr>
              <w:pStyle w:val="37"/>
              <w:rPr>
                <w:b/>
                <w:bCs/>
                <w:color w:val="auto"/>
                <w:highlight w:val="none"/>
              </w:rPr>
            </w:pPr>
            <w:r>
              <w:rPr>
                <w:b/>
                <w:bCs/>
                <w:color w:val="auto"/>
                <w:highlight w:val="none"/>
              </w:rPr>
              <w:t>产污位置</w:t>
            </w:r>
          </w:p>
        </w:tc>
        <w:tc>
          <w:tcPr>
            <w:tcW w:w="679" w:type="pct"/>
            <w:tcBorders>
              <w:top w:val="single" w:color="auto" w:sz="4" w:space="0"/>
            </w:tcBorders>
            <w:vAlign w:val="center"/>
          </w:tcPr>
          <w:p w14:paraId="21E8491D">
            <w:pPr>
              <w:pStyle w:val="37"/>
              <w:rPr>
                <w:b/>
                <w:bCs/>
                <w:color w:val="auto"/>
                <w:highlight w:val="none"/>
              </w:rPr>
            </w:pPr>
            <w:r>
              <w:rPr>
                <w:b/>
                <w:bCs/>
                <w:color w:val="auto"/>
                <w:highlight w:val="none"/>
              </w:rPr>
              <w:t>污染物</w:t>
            </w:r>
          </w:p>
        </w:tc>
        <w:tc>
          <w:tcPr>
            <w:tcW w:w="630" w:type="pct"/>
            <w:tcBorders>
              <w:top w:val="single" w:color="auto" w:sz="4" w:space="0"/>
            </w:tcBorders>
            <w:vAlign w:val="center"/>
          </w:tcPr>
          <w:p w14:paraId="6749ABFC">
            <w:pPr>
              <w:pStyle w:val="37"/>
              <w:rPr>
                <w:b/>
                <w:bCs/>
                <w:color w:val="auto"/>
                <w:highlight w:val="none"/>
              </w:rPr>
            </w:pPr>
            <w:r>
              <w:rPr>
                <w:b/>
                <w:bCs/>
                <w:color w:val="auto"/>
                <w:highlight w:val="none"/>
              </w:rPr>
              <w:t>污染因子</w:t>
            </w:r>
          </w:p>
        </w:tc>
        <w:tc>
          <w:tcPr>
            <w:tcW w:w="765" w:type="pct"/>
            <w:tcBorders>
              <w:top w:val="single" w:color="auto" w:sz="4" w:space="0"/>
            </w:tcBorders>
            <w:vAlign w:val="center"/>
          </w:tcPr>
          <w:p w14:paraId="1057C335">
            <w:pPr>
              <w:pStyle w:val="37"/>
              <w:rPr>
                <w:b/>
                <w:bCs/>
                <w:color w:val="auto"/>
                <w:highlight w:val="none"/>
              </w:rPr>
            </w:pPr>
            <w:r>
              <w:rPr>
                <w:b/>
                <w:bCs/>
                <w:color w:val="auto"/>
                <w:highlight w:val="none"/>
              </w:rPr>
              <w:t>产污系数</w:t>
            </w:r>
          </w:p>
        </w:tc>
        <w:tc>
          <w:tcPr>
            <w:tcW w:w="801" w:type="pct"/>
            <w:tcBorders>
              <w:top w:val="single" w:color="auto" w:sz="4" w:space="0"/>
            </w:tcBorders>
            <w:vAlign w:val="center"/>
          </w:tcPr>
          <w:p w14:paraId="11E887DF">
            <w:pPr>
              <w:pStyle w:val="37"/>
              <w:rPr>
                <w:b/>
                <w:bCs/>
                <w:color w:val="auto"/>
                <w:highlight w:val="none"/>
              </w:rPr>
            </w:pPr>
            <w:r>
              <w:rPr>
                <w:b/>
                <w:bCs/>
                <w:color w:val="auto"/>
                <w:highlight w:val="none"/>
              </w:rPr>
              <w:t>就餐人数</w:t>
            </w:r>
          </w:p>
        </w:tc>
        <w:tc>
          <w:tcPr>
            <w:tcW w:w="673" w:type="pct"/>
            <w:tcBorders>
              <w:top w:val="single" w:color="auto" w:sz="4" w:space="0"/>
            </w:tcBorders>
            <w:vAlign w:val="center"/>
          </w:tcPr>
          <w:p w14:paraId="20B131A8">
            <w:pPr>
              <w:pStyle w:val="37"/>
              <w:rPr>
                <w:b/>
                <w:bCs/>
                <w:color w:val="auto"/>
                <w:highlight w:val="none"/>
              </w:rPr>
            </w:pPr>
            <w:r>
              <w:rPr>
                <w:b/>
                <w:bCs/>
                <w:color w:val="auto"/>
                <w:highlight w:val="none"/>
              </w:rPr>
              <w:t>产生量t/a</w:t>
            </w:r>
          </w:p>
        </w:tc>
        <w:tc>
          <w:tcPr>
            <w:tcW w:w="816" w:type="pct"/>
            <w:tcBorders>
              <w:top w:val="single" w:color="auto" w:sz="4" w:space="0"/>
              <w:right w:val="single" w:color="auto" w:sz="4" w:space="0"/>
            </w:tcBorders>
            <w:vAlign w:val="center"/>
          </w:tcPr>
          <w:p w14:paraId="48CAC3FC">
            <w:pPr>
              <w:pStyle w:val="37"/>
              <w:rPr>
                <w:b/>
                <w:bCs/>
                <w:color w:val="auto"/>
                <w:highlight w:val="none"/>
              </w:rPr>
            </w:pPr>
            <w:r>
              <w:rPr>
                <w:b/>
                <w:bCs/>
                <w:color w:val="auto"/>
                <w:highlight w:val="none"/>
              </w:rPr>
              <w:t>产生速率kg/h</w:t>
            </w:r>
          </w:p>
        </w:tc>
      </w:tr>
      <w:tr w14:paraId="24623B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32" w:type="pct"/>
            <w:tcBorders>
              <w:left w:val="single" w:color="auto" w:sz="4" w:space="0"/>
              <w:bottom w:val="single" w:color="auto" w:sz="4" w:space="0"/>
            </w:tcBorders>
            <w:vAlign w:val="center"/>
          </w:tcPr>
          <w:p w14:paraId="5791D924">
            <w:pPr>
              <w:pStyle w:val="37"/>
              <w:rPr>
                <w:color w:val="auto"/>
                <w:highlight w:val="none"/>
              </w:rPr>
            </w:pPr>
            <w:r>
              <w:rPr>
                <w:color w:val="auto"/>
                <w:highlight w:val="none"/>
              </w:rPr>
              <w:t>食堂</w:t>
            </w:r>
          </w:p>
        </w:tc>
        <w:tc>
          <w:tcPr>
            <w:tcW w:w="679" w:type="pct"/>
            <w:tcBorders>
              <w:bottom w:val="single" w:color="auto" w:sz="4" w:space="0"/>
            </w:tcBorders>
            <w:vAlign w:val="center"/>
          </w:tcPr>
          <w:p w14:paraId="11442BF9">
            <w:pPr>
              <w:pStyle w:val="37"/>
              <w:rPr>
                <w:color w:val="auto"/>
                <w:highlight w:val="none"/>
              </w:rPr>
            </w:pPr>
            <w:r>
              <w:rPr>
                <w:color w:val="auto"/>
                <w:highlight w:val="none"/>
              </w:rPr>
              <w:t>食堂油烟</w:t>
            </w:r>
          </w:p>
        </w:tc>
        <w:tc>
          <w:tcPr>
            <w:tcW w:w="630" w:type="pct"/>
            <w:tcBorders>
              <w:bottom w:val="single" w:color="auto" w:sz="4" w:space="0"/>
            </w:tcBorders>
            <w:vAlign w:val="center"/>
          </w:tcPr>
          <w:p w14:paraId="7F57A687">
            <w:pPr>
              <w:pStyle w:val="37"/>
              <w:rPr>
                <w:color w:val="auto"/>
                <w:highlight w:val="none"/>
              </w:rPr>
            </w:pPr>
            <w:r>
              <w:rPr>
                <w:color w:val="auto"/>
                <w:highlight w:val="none"/>
              </w:rPr>
              <w:t>油烟</w:t>
            </w:r>
          </w:p>
        </w:tc>
        <w:tc>
          <w:tcPr>
            <w:tcW w:w="765" w:type="pct"/>
            <w:tcBorders>
              <w:bottom w:val="single" w:color="auto" w:sz="4" w:space="0"/>
            </w:tcBorders>
            <w:vAlign w:val="center"/>
          </w:tcPr>
          <w:p w14:paraId="609C7649">
            <w:pPr>
              <w:pStyle w:val="37"/>
              <w:rPr>
                <w:color w:val="auto"/>
                <w:highlight w:val="none"/>
              </w:rPr>
            </w:pPr>
            <w:r>
              <w:rPr>
                <w:color w:val="auto"/>
                <w:highlight w:val="none"/>
              </w:rPr>
              <w:t>60g/人·d</w:t>
            </w:r>
          </w:p>
        </w:tc>
        <w:tc>
          <w:tcPr>
            <w:tcW w:w="801" w:type="pct"/>
            <w:tcBorders>
              <w:bottom w:val="single" w:color="auto" w:sz="4" w:space="0"/>
            </w:tcBorders>
            <w:vAlign w:val="center"/>
          </w:tcPr>
          <w:p w14:paraId="6D72C86D">
            <w:pPr>
              <w:pStyle w:val="37"/>
              <w:rPr>
                <w:color w:val="auto"/>
                <w:highlight w:val="none"/>
              </w:rPr>
            </w:pPr>
            <w:r>
              <w:rPr>
                <w:rFonts w:hint="eastAsia"/>
                <w:color w:val="auto"/>
                <w:highlight w:val="none"/>
              </w:rPr>
              <w:t>70</w:t>
            </w:r>
          </w:p>
        </w:tc>
        <w:tc>
          <w:tcPr>
            <w:tcW w:w="673" w:type="pct"/>
            <w:tcBorders>
              <w:bottom w:val="single" w:color="auto" w:sz="4" w:space="0"/>
            </w:tcBorders>
            <w:vAlign w:val="center"/>
          </w:tcPr>
          <w:p w14:paraId="677FEBBD">
            <w:pPr>
              <w:pStyle w:val="37"/>
              <w:rPr>
                <w:color w:val="auto"/>
                <w:highlight w:val="none"/>
              </w:rPr>
            </w:pPr>
            <w:r>
              <w:rPr>
                <w:color w:val="auto"/>
                <w:highlight w:val="none"/>
              </w:rPr>
              <w:t>0.0</w:t>
            </w:r>
            <w:r>
              <w:rPr>
                <w:rFonts w:hint="eastAsia"/>
                <w:color w:val="auto"/>
                <w:highlight w:val="none"/>
              </w:rPr>
              <w:t>4158</w:t>
            </w:r>
          </w:p>
        </w:tc>
        <w:tc>
          <w:tcPr>
            <w:tcW w:w="816" w:type="pct"/>
            <w:tcBorders>
              <w:bottom w:val="single" w:color="auto" w:sz="4" w:space="0"/>
              <w:right w:val="single" w:color="auto" w:sz="4" w:space="0"/>
            </w:tcBorders>
            <w:vAlign w:val="center"/>
          </w:tcPr>
          <w:p w14:paraId="3183B277">
            <w:pPr>
              <w:pStyle w:val="37"/>
              <w:rPr>
                <w:color w:val="auto"/>
                <w:highlight w:val="none"/>
              </w:rPr>
            </w:pPr>
            <w:r>
              <w:rPr>
                <w:color w:val="auto"/>
                <w:highlight w:val="none"/>
              </w:rPr>
              <w:t>0.0</w:t>
            </w:r>
            <w:r>
              <w:rPr>
                <w:rFonts w:hint="eastAsia"/>
                <w:color w:val="auto"/>
                <w:highlight w:val="none"/>
              </w:rPr>
              <w:t>315</w:t>
            </w:r>
          </w:p>
        </w:tc>
      </w:tr>
    </w:tbl>
    <w:p w14:paraId="67A1AB84">
      <w:pPr>
        <w:adjustRightInd w:val="0"/>
        <w:ind w:firstLine="482"/>
        <w:rPr>
          <w:rFonts w:cs="Times New Roman"/>
          <w:b/>
          <w:bCs/>
          <w:color w:val="auto"/>
          <w:highlight w:val="none"/>
        </w:rPr>
      </w:pPr>
      <w:r>
        <w:rPr>
          <w:rFonts w:hint="eastAsia" w:cs="Times New Roman"/>
          <w:b/>
          <w:bCs/>
          <w:color w:val="auto"/>
          <w:highlight w:val="none"/>
        </w:rPr>
        <w:t>治理</w:t>
      </w:r>
      <w:r>
        <w:rPr>
          <w:rFonts w:cs="Times New Roman"/>
          <w:b/>
          <w:bCs/>
          <w:color w:val="auto"/>
          <w:highlight w:val="none"/>
        </w:rPr>
        <w:t>措施</w:t>
      </w:r>
      <w:r>
        <w:rPr>
          <w:rFonts w:cs="Times New Roman"/>
          <w:color w:val="auto"/>
          <w:highlight w:val="none"/>
        </w:rPr>
        <w:t>：在灶头上方设置一套效率不低于75%的油烟收集净化系统收集治理后通过专用烟道引至楼顶（DA00</w:t>
      </w:r>
      <w:r>
        <w:rPr>
          <w:rFonts w:hint="eastAsia" w:cs="Times New Roman"/>
          <w:color w:val="auto"/>
          <w:highlight w:val="none"/>
        </w:rPr>
        <w:t>2</w:t>
      </w:r>
      <w:r>
        <w:rPr>
          <w:rFonts w:cs="Times New Roman"/>
          <w:color w:val="auto"/>
          <w:highlight w:val="none"/>
        </w:rPr>
        <w:t>）排放，风机设计风量为</w:t>
      </w:r>
      <w:r>
        <w:rPr>
          <w:rFonts w:hint="eastAsia" w:cs="Times New Roman"/>
          <w:color w:val="auto"/>
          <w:highlight w:val="none"/>
        </w:rPr>
        <w:t>5</w:t>
      </w:r>
      <w:r>
        <w:rPr>
          <w:rFonts w:cs="Times New Roman"/>
          <w:color w:val="auto"/>
          <w:highlight w:val="none"/>
        </w:rPr>
        <w:t>000m</w:t>
      </w:r>
      <w:r>
        <w:rPr>
          <w:rFonts w:cs="Times New Roman"/>
          <w:color w:val="auto"/>
          <w:highlight w:val="none"/>
          <w:vertAlign w:val="superscript"/>
        </w:rPr>
        <w:t>3</w:t>
      </w:r>
      <w:r>
        <w:rPr>
          <w:rFonts w:cs="Times New Roman"/>
          <w:color w:val="auto"/>
          <w:highlight w:val="none"/>
        </w:rPr>
        <w:t>/h，排放时间按高峰期每天4h计算</w:t>
      </w:r>
      <w:r>
        <w:rPr>
          <w:rFonts w:cs="Times New Roman"/>
          <w:b/>
          <w:bCs/>
          <w:color w:val="auto"/>
          <w:highlight w:val="none"/>
        </w:rPr>
        <w:t>。</w:t>
      </w:r>
    </w:p>
    <w:p w14:paraId="403DDE8A">
      <w:pPr>
        <w:pStyle w:val="12"/>
        <w:adjustRightInd w:val="0"/>
        <w:ind w:firstLine="480"/>
        <w:rPr>
          <w:rFonts w:cs="Times New Roman"/>
          <w:bCs/>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3</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14</w:t>
      </w:r>
      <w:r>
        <w:rPr>
          <w:color w:val="auto"/>
          <w:highlight w:val="none"/>
        </w:rPr>
        <w:fldChar w:fldCharType="end"/>
      </w:r>
      <w:r>
        <w:rPr>
          <w:rFonts w:cs="Times New Roman"/>
          <w:bCs/>
          <w:color w:val="auto"/>
          <w:highlight w:val="none"/>
        </w:rPr>
        <w:t>本项目食堂油烟产排情况一览表</w:t>
      </w:r>
    </w:p>
    <w:tbl>
      <w:tblPr>
        <w:tblStyle w:val="94"/>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469"/>
        <w:gridCol w:w="608"/>
        <w:gridCol w:w="899"/>
        <w:gridCol w:w="794"/>
        <w:gridCol w:w="881"/>
        <w:gridCol w:w="1255"/>
        <w:gridCol w:w="7"/>
        <w:gridCol w:w="461"/>
        <w:gridCol w:w="8"/>
        <w:gridCol w:w="787"/>
        <w:gridCol w:w="795"/>
        <w:gridCol w:w="784"/>
      </w:tblGrid>
      <w:tr w14:paraId="7D4ECD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46"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tcMar>
              <w:top w:w="0" w:type="dxa"/>
              <w:left w:w="51" w:type="dxa"/>
              <w:bottom w:w="0" w:type="dxa"/>
              <w:right w:w="51" w:type="dxa"/>
            </w:tcMar>
            <w:vAlign w:val="center"/>
          </w:tcPr>
          <w:p w14:paraId="208F2A14">
            <w:pPr>
              <w:pStyle w:val="37"/>
              <w:adjustRightInd w:val="0"/>
              <w:rPr>
                <w:rFonts w:eastAsia="黑体"/>
                <w:b/>
                <w:bCs/>
                <w:color w:val="auto"/>
                <w:highlight w:val="none"/>
              </w:rPr>
            </w:pPr>
            <w:r>
              <w:rPr>
                <w:rFonts w:eastAsia="黑体"/>
                <w:b/>
                <w:bCs/>
                <w:color w:val="auto"/>
                <w:highlight w:val="none"/>
              </w:rPr>
              <w:t>排气筒编号</w:t>
            </w:r>
          </w:p>
        </w:tc>
        <w:tc>
          <w:tcPr>
            <w:tcW w:w="334" w:type="pct"/>
            <w:vMerge w:val="restar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2F4E01DB">
            <w:pPr>
              <w:pStyle w:val="37"/>
              <w:adjustRightInd w:val="0"/>
              <w:rPr>
                <w:rFonts w:eastAsia="黑体"/>
                <w:b/>
                <w:bCs/>
                <w:color w:val="auto"/>
                <w:highlight w:val="none"/>
              </w:rPr>
            </w:pPr>
            <w:r>
              <w:rPr>
                <w:rFonts w:eastAsia="黑体"/>
                <w:b/>
                <w:bCs/>
                <w:color w:val="auto"/>
                <w:highlight w:val="none"/>
              </w:rPr>
              <w:t>产污位置</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5EA9F810">
            <w:pPr>
              <w:pStyle w:val="37"/>
              <w:adjustRightInd w:val="0"/>
              <w:rPr>
                <w:rFonts w:eastAsia="黑体"/>
                <w:b/>
                <w:bCs/>
                <w:color w:val="auto"/>
                <w:highlight w:val="none"/>
              </w:rPr>
            </w:pPr>
            <w:r>
              <w:rPr>
                <w:rFonts w:eastAsia="黑体"/>
                <w:b/>
                <w:bCs/>
                <w:color w:val="auto"/>
                <w:highlight w:val="none"/>
              </w:rPr>
              <w:t>污染物</w:t>
            </w:r>
          </w:p>
        </w:tc>
        <w:tc>
          <w:tcPr>
            <w:tcW w:w="1405" w:type="pct"/>
            <w:gridSpan w:val="3"/>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399E5EEC">
            <w:pPr>
              <w:pStyle w:val="37"/>
              <w:adjustRightInd w:val="0"/>
              <w:rPr>
                <w:rFonts w:eastAsia="黑体"/>
                <w:b/>
                <w:bCs/>
                <w:color w:val="auto"/>
                <w:highlight w:val="none"/>
              </w:rPr>
            </w:pPr>
            <w:r>
              <w:rPr>
                <w:rFonts w:eastAsia="黑体"/>
                <w:b/>
                <w:bCs/>
                <w:color w:val="auto"/>
                <w:highlight w:val="none"/>
              </w:rPr>
              <w:t>产生情况</w:t>
            </w:r>
          </w:p>
        </w:tc>
        <w:tc>
          <w:tcPr>
            <w:tcW w:w="638"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0BAC46CC">
            <w:pPr>
              <w:pStyle w:val="37"/>
              <w:adjustRightInd w:val="0"/>
              <w:rPr>
                <w:rFonts w:eastAsia="黑体"/>
                <w:b/>
                <w:bCs/>
                <w:color w:val="auto"/>
                <w:highlight w:val="none"/>
              </w:rPr>
            </w:pPr>
            <w:r>
              <w:rPr>
                <w:rFonts w:eastAsia="黑体"/>
                <w:b/>
                <w:bCs/>
                <w:color w:val="auto"/>
                <w:highlight w:val="none"/>
              </w:rPr>
              <w:t>治理措施及效率</w:t>
            </w:r>
          </w:p>
        </w:tc>
        <w:tc>
          <w:tcPr>
            <w:tcW w:w="1757" w:type="pct"/>
            <w:gridSpan w:val="5"/>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6B24C963">
            <w:pPr>
              <w:pStyle w:val="37"/>
              <w:adjustRightInd w:val="0"/>
              <w:rPr>
                <w:rFonts w:eastAsia="黑体"/>
                <w:b/>
                <w:bCs/>
                <w:color w:val="auto"/>
                <w:highlight w:val="none"/>
              </w:rPr>
            </w:pPr>
            <w:r>
              <w:rPr>
                <w:rFonts w:eastAsia="黑体"/>
                <w:b/>
                <w:bCs/>
                <w:color w:val="auto"/>
                <w:highlight w:val="none"/>
              </w:rPr>
              <w:t>排放情况</w:t>
            </w:r>
          </w:p>
        </w:tc>
      </w:tr>
      <w:tr w14:paraId="1A108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 w:hRule="atLeast"/>
          <w:tblHeader/>
          <w:jc w:val="center"/>
        </w:trPr>
        <w:tc>
          <w:tcPr>
            <w:tcW w:w="446" w:type="pct"/>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532FA9E8">
            <w:pPr>
              <w:pStyle w:val="37"/>
              <w:adjustRightInd w:val="0"/>
              <w:rPr>
                <w:rFonts w:eastAsia="黑体"/>
                <w:b/>
                <w:bCs/>
                <w:color w:val="auto"/>
                <w:highlight w:val="none"/>
              </w:rPr>
            </w:pPr>
          </w:p>
        </w:tc>
        <w:tc>
          <w:tcPr>
            <w:tcW w:w="334" w:type="pct"/>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6695F87A">
            <w:pPr>
              <w:pStyle w:val="37"/>
              <w:adjustRightInd w:val="0"/>
              <w:rPr>
                <w:rFonts w:eastAsia="黑体"/>
                <w:b/>
                <w:bCs/>
                <w:color w:val="auto"/>
                <w:highlight w:val="none"/>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226A604D">
            <w:pPr>
              <w:pStyle w:val="37"/>
              <w:adjustRightInd w:val="0"/>
              <w:rPr>
                <w:rFonts w:eastAsia="黑体"/>
                <w:b/>
                <w:bCs/>
                <w:color w:val="auto"/>
                <w:highlight w:val="none"/>
              </w:rPr>
            </w:pPr>
          </w:p>
        </w:tc>
        <w:tc>
          <w:tcPr>
            <w:tcW w:w="388"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65FD26BD">
            <w:pPr>
              <w:pStyle w:val="37"/>
              <w:adjustRightInd w:val="0"/>
              <w:rPr>
                <w:rFonts w:eastAsia="黑体"/>
                <w:b/>
                <w:bCs/>
                <w:color w:val="auto"/>
                <w:highlight w:val="none"/>
              </w:rPr>
            </w:pPr>
            <w:r>
              <w:rPr>
                <w:rFonts w:eastAsia="黑体"/>
                <w:b/>
                <w:bCs/>
                <w:color w:val="auto"/>
                <w:highlight w:val="none"/>
              </w:rPr>
              <w:t>产生量t/a</w:t>
            </w:r>
          </w:p>
        </w:tc>
        <w:tc>
          <w:tcPr>
            <w:tcW w:w="438"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3BC4066A">
            <w:pPr>
              <w:pStyle w:val="37"/>
              <w:adjustRightInd w:val="0"/>
              <w:rPr>
                <w:rFonts w:eastAsia="黑体"/>
                <w:b/>
                <w:bCs/>
                <w:color w:val="auto"/>
                <w:highlight w:val="none"/>
              </w:rPr>
            </w:pPr>
            <w:r>
              <w:rPr>
                <w:rFonts w:eastAsia="黑体"/>
                <w:b/>
                <w:bCs/>
                <w:color w:val="auto"/>
                <w:highlight w:val="none"/>
              </w:rPr>
              <w:t>产生速率kg/h</w:t>
            </w:r>
          </w:p>
        </w:tc>
        <w:tc>
          <w:tcPr>
            <w:tcW w:w="578"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6A36DD9B">
            <w:pPr>
              <w:pStyle w:val="37"/>
              <w:adjustRightInd w:val="0"/>
              <w:rPr>
                <w:rFonts w:eastAsia="黑体"/>
                <w:b/>
                <w:bCs/>
                <w:color w:val="auto"/>
                <w:highlight w:val="none"/>
              </w:rPr>
            </w:pPr>
            <w:r>
              <w:rPr>
                <w:rFonts w:eastAsia="黑体"/>
                <w:b/>
                <w:bCs/>
                <w:color w:val="auto"/>
                <w:highlight w:val="none"/>
              </w:rPr>
              <w:t>产生浓度mg/m</w:t>
            </w:r>
            <w:r>
              <w:rPr>
                <w:rFonts w:eastAsia="黑体"/>
                <w:b/>
                <w:bCs/>
                <w:color w:val="auto"/>
                <w:highlight w:val="none"/>
                <w:vertAlign w:val="superscript"/>
              </w:rPr>
              <w:t>3</w:t>
            </w:r>
          </w:p>
        </w:tc>
        <w:tc>
          <w:tcPr>
            <w:tcW w:w="63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55E07FFD">
            <w:pPr>
              <w:pStyle w:val="37"/>
              <w:adjustRightInd w:val="0"/>
              <w:rPr>
                <w:rFonts w:eastAsia="黑体"/>
                <w:b/>
                <w:bCs/>
                <w:color w:val="auto"/>
                <w:highlight w:val="none"/>
              </w:rPr>
            </w:pPr>
          </w:p>
        </w:tc>
        <w:tc>
          <w:tcPr>
            <w:tcW w:w="387" w:type="pct"/>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209AF058">
            <w:pPr>
              <w:pStyle w:val="37"/>
              <w:adjustRightInd w:val="0"/>
              <w:rPr>
                <w:rFonts w:eastAsia="黑体"/>
                <w:b/>
                <w:bCs/>
                <w:color w:val="auto"/>
                <w:highlight w:val="none"/>
              </w:rPr>
            </w:pPr>
            <w:r>
              <w:rPr>
                <w:rFonts w:eastAsia="黑体"/>
                <w:b/>
                <w:bCs/>
                <w:color w:val="auto"/>
                <w:highlight w:val="none"/>
              </w:rPr>
              <w:t>排放方式</w:t>
            </w:r>
          </w:p>
        </w:tc>
        <w:tc>
          <w:tcPr>
            <w:tcW w:w="384"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730314DE">
            <w:pPr>
              <w:pStyle w:val="37"/>
              <w:adjustRightInd w:val="0"/>
              <w:rPr>
                <w:rFonts w:eastAsia="黑体"/>
                <w:b/>
                <w:bCs/>
                <w:color w:val="auto"/>
                <w:highlight w:val="none"/>
              </w:rPr>
            </w:pPr>
            <w:r>
              <w:rPr>
                <w:rFonts w:eastAsia="黑体"/>
                <w:b/>
                <w:bCs/>
                <w:color w:val="auto"/>
                <w:highlight w:val="none"/>
              </w:rPr>
              <w:t>排放量t/a</w:t>
            </w:r>
          </w:p>
        </w:tc>
        <w:tc>
          <w:tcPr>
            <w:tcW w:w="465"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58446BA1">
            <w:pPr>
              <w:pStyle w:val="37"/>
              <w:adjustRightInd w:val="0"/>
              <w:rPr>
                <w:rFonts w:eastAsia="黑体"/>
                <w:b/>
                <w:bCs/>
                <w:color w:val="auto"/>
                <w:highlight w:val="none"/>
              </w:rPr>
            </w:pPr>
            <w:r>
              <w:rPr>
                <w:rFonts w:eastAsia="黑体"/>
                <w:b/>
                <w:bCs/>
                <w:color w:val="auto"/>
                <w:highlight w:val="none"/>
              </w:rPr>
              <w:t>排放速率kg/h</w:t>
            </w:r>
          </w:p>
        </w:tc>
        <w:tc>
          <w:tcPr>
            <w:tcW w:w="519" w:type="pct"/>
            <w:tcBorders>
              <w:top w:val="single" w:color="000000" w:sz="4" w:space="0"/>
              <w:left w:val="single" w:color="000000" w:sz="4" w:space="0"/>
              <w:bottom w:val="single" w:color="000000" w:sz="4" w:space="0"/>
              <w:right w:val="single" w:color="000000" w:sz="4" w:space="0"/>
            </w:tcBorders>
            <w:shd w:val="clear" w:color="auto" w:fill="FFFFFF"/>
            <w:tcMar>
              <w:top w:w="0" w:type="dxa"/>
              <w:left w:w="51" w:type="dxa"/>
              <w:bottom w:w="0" w:type="dxa"/>
              <w:right w:w="51" w:type="dxa"/>
            </w:tcMar>
            <w:vAlign w:val="center"/>
          </w:tcPr>
          <w:p w14:paraId="53E1D761">
            <w:pPr>
              <w:pStyle w:val="37"/>
              <w:adjustRightInd w:val="0"/>
              <w:rPr>
                <w:rFonts w:eastAsia="黑体"/>
                <w:b/>
                <w:bCs/>
                <w:color w:val="auto"/>
                <w:highlight w:val="none"/>
              </w:rPr>
            </w:pPr>
            <w:r>
              <w:rPr>
                <w:rFonts w:eastAsia="黑体"/>
                <w:b/>
                <w:bCs/>
                <w:color w:val="auto"/>
                <w:highlight w:val="none"/>
              </w:rPr>
              <w:t>排放浓度mg/m</w:t>
            </w:r>
            <w:r>
              <w:rPr>
                <w:rFonts w:eastAsia="黑体"/>
                <w:b/>
                <w:bCs/>
                <w:color w:val="auto"/>
                <w:highlight w:val="none"/>
                <w:vertAlign w:val="superscript"/>
              </w:rPr>
              <w:t>3</w:t>
            </w:r>
          </w:p>
        </w:tc>
      </w:tr>
      <w:tr w14:paraId="6C21A4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46" w:type="pct"/>
            <w:tcBorders>
              <w:top w:val="single" w:color="000000" w:sz="4" w:space="0"/>
              <w:left w:val="single" w:color="000000" w:sz="4" w:space="0"/>
              <w:bottom w:val="single" w:color="000000" w:sz="4" w:space="0"/>
              <w:right w:val="single" w:color="000000" w:sz="4" w:space="0"/>
            </w:tcBorders>
            <w:shd w:val="clear" w:color="auto" w:fill="FFFFFF"/>
            <w:tcMar>
              <w:top w:w="0" w:type="dxa"/>
              <w:left w:w="0" w:type="dxa"/>
              <w:bottom w:w="0" w:type="dxa"/>
              <w:right w:w="0" w:type="dxa"/>
            </w:tcMar>
            <w:vAlign w:val="center"/>
          </w:tcPr>
          <w:p w14:paraId="062072AC">
            <w:pPr>
              <w:pStyle w:val="37"/>
              <w:adjustRightInd w:val="0"/>
              <w:rPr>
                <w:color w:val="auto"/>
                <w:highlight w:val="none"/>
              </w:rPr>
            </w:pPr>
            <w:r>
              <w:rPr>
                <w:rFonts w:hint="eastAsia"/>
                <w:color w:val="auto"/>
                <w:highlight w:val="none"/>
              </w:rPr>
              <w:t>DA002</w:t>
            </w:r>
          </w:p>
        </w:tc>
        <w:tc>
          <w:tcPr>
            <w:tcW w:w="3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BF4F9">
            <w:pPr>
              <w:pStyle w:val="37"/>
              <w:adjustRightInd w:val="0"/>
              <w:rPr>
                <w:color w:val="auto"/>
                <w:highlight w:val="none"/>
              </w:rPr>
            </w:pPr>
            <w:r>
              <w:rPr>
                <w:color w:val="auto"/>
                <w:highlight w:val="none"/>
              </w:rPr>
              <w:t>食堂</w:t>
            </w:r>
          </w:p>
        </w:tc>
        <w:tc>
          <w:tcPr>
            <w:tcW w:w="4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1A8B0">
            <w:pPr>
              <w:pStyle w:val="37"/>
              <w:adjustRightInd w:val="0"/>
              <w:rPr>
                <w:color w:val="auto"/>
                <w:highlight w:val="none"/>
              </w:rPr>
            </w:pPr>
            <w:r>
              <w:rPr>
                <w:color w:val="auto"/>
                <w:highlight w:val="none"/>
              </w:rPr>
              <w:t>油烟</w:t>
            </w:r>
          </w:p>
        </w:tc>
        <w:tc>
          <w:tcPr>
            <w:tcW w:w="38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C10C35">
            <w:pPr>
              <w:pStyle w:val="37"/>
              <w:adjustRightInd w:val="0"/>
              <w:rPr>
                <w:color w:val="auto"/>
                <w:highlight w:val="none"/>
              </w:rPr>
            </w:pPr>
            <w:r>
              <w:rPr>
                <w:rFonts w:hint="eastAsia"/>
                <w:color w:val="auto"/>
                <w:highlight w:val="none"/>
              </w:rPr>
              <w:t>0.04158</w:t>
            </w:r>
          </w:p>
        </w:tc>
        <w:tc>
          <w:tcPr>
            <w:tcW w:w="4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FDFD70">
            <w:pPr>
              <w:pStyle w:val="37"/>
              <w:adjustRightInd w:val="0"/>
              <w:rPr>
                <w:color w:val="auto"/>
                <w:highlight w:val="none"/>
              </w:rPr>
            </w:pPr>
            <w:r>
              <w:rPr>
                <w:rFonts w:hint="eastAsia"/>
                <w:color w:val="auto"/>
                <w:highlight w:val="none"/>
              </w:rPr>
              <w:t>0.0315</w:t>
            </w:r>
          </w:p>
        </w:tc>
        <w:tc>
          <w:tcPr>
            <w:tcW w:w="57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F0744C">
            <w:pPr>
              <w:pStyle w:val="37"/>
              <w:adjustRightInd w:val="0"/>
              <w:rPr>
                <w:color w:val="auto"/>
                <w:highlight w:val="none"/>
              </w:rPr>
            </w:pPr>
            <w:r>
              <w:rPr>
                <w:rFonts w:hint="eastAsia"/>
                <w:color w:val="auto"/>
                <w:highlight w:val="none"/>
              </w:rPr>
              <w:t>6.3</w:t>
            </w:r>
          </w:p>
        </w:tc>
        <w:tc>
          <w:tcPr>
            <w:tcW w:w="6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AA73CF">
            <w:pPr>
              <w:pStyle w:val="37"/>
              <w:adjustRightInd w:val="0"/>
              <w:rPr>
                <w:color w:val="auto"/>
                <w:highlight w:val="none"/>
              </w:rPr>
            </w:pPr>
            <w:r>
              <w:rPr>
                <w:color w:val="auto"/>
                <w:highlight w:val="none"/>
              </w:rPr>
              <w:t>油烟净化系统（处理效率</w:t>
            </w:r>
            <w:r>
              <w:rPr>
                <w:rFonts w:hint="eastAsia"/>
                <w:color w:val="auto"/>
                <w:highlight w:val="none"/>
              </w:rPr>
              <w:t>75</w:t>
            </w:r>
            <w:r>
              <w:rPr>
                <w:color w:val="auto"/>
                <w:highlight w:val="none"/>
              </w:rPr>
              <w:t>%）</w:t>
            </w:r>
            <w:r>
              <w:rPr>
                <w:rFonts w:hint="eastAsia"/>
                <w:color w:val="auto"/>
                <w:highlight w:val="none"/>
              </w:rPr>
              <w:t>引至楼顶</w:t>
            </w:r>
            <w:r>
              <w:rPr>
                <w:color w:val="auto"/>
                <w:highlight w:val="none"/>
              </w:rPr>
              <w:t>（DA00</w:t>
            </w:r>
            <w:r>
              <w:rPr>
                <w:rFonts w:hint="eastAsia"/>
                <w:color w:val="auto"/>
                <w:highlight w:val="none"/>
              </w:rPr>
              <w:t>2</w:t>
            </w:r>
            <w:r>
              <w:rPr>
                <w:color w:val="auto"/>
                <w:highlight w:val="none"/>
              </w:rPr>
              <w:t>）</w:t>
            </w:r>
            <w:r>
              <w:rPr>
                <w:rFonts w:hint="eastAsia"/>
                <w:color w:val="auto"/>
                <w:highlight w:val="none"/>
              </w:rPr>
              <w:t>排放</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0298AC3">
            <w:pPr>
              <w:pStyle w:val="37"/>
              <w:adjustRightInd w:val="0"/>
              <w:rPr>
                <w:color w:val="auto"/>
                <w:highlight w:val="none"/>
              </w:rPr>
            </w:pPr>
            <w:r>
              <w:rPr>
                <w:color w:val="auto"/>
                <w:highlight w:val="none"/>
              </w:rPr>
              <w:t>有组织</w:t>
            </w:r>
          </w:p>
        </w:tc>
        <w:tc>
          <w:tcPr>
            <w:tcW w:w="389"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4BD4E62">
            <w:pPr>
              <w:pStyle w:val="37"/>
              <w:adjustRightInd w:val="0"/>
              <w:rPr>
                <w:color w:val="auto"/>
                <w:highlight w:val="none"/>
              </w:rPr>
            </w:pPr>
            <w:r>
              <w:rPr>
                <w:rFonts w:hint="eastAsia"/>
                <w:color w:val="auto"/>
                <w:highlight w:val="none"/>
              </w:rPr>
              <w:t>0.0104</w:t>
            </w:r>
          </w:p>
        </w:tc>
        <w:tc>
          <w:tcPr>
            <w:tcW w:w="46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4D387">
            <w:pPr>
              <w:pStyle w:val="37"/>
              <w:adjustRightInd w:val="0"/>
              <w:rPr>
                <w:color w:val="auto"/>
                <w:highlight w:val="none"/>
              </w:rPr>
            </w:pPr>
            <w:r>
              <w:rPr>
                <w:rFonts w:hint="eastAsia"/>
                <w:color w:val="auto"/>
                <w:highlight w:val="none"/>
              </w:rPr>
              <w:t>0.0079</w:t>
            </w:r>
          </w:p>
        </w:tc>
        <w:tc>
          <w:tcPr>
            <w:tcW w:w="5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3B849">
            <w:pPr>
              <w:pStyle w:val="37"/>
              <w:adjustRightInd w:val="0"/>
              <w:rPr>
                <w:color w:val="auto"/>
                <w:highlight w:val="none"/>
              </w:rPr>
            </w:pPr>
            <w:r>
              <w:rPr>
                <w:rFonts w:hint="eastAsia"/>
                <w:color w:val="auto"/>
                <w:highlight w:val="none"/>
              </w:rPr>
              <w:t>1.58</w:t>
            </w:r>
          </w:p>
        </w:tc>
      </w:tr>
    </w:tbl>
    <w:p w14:paraId="61C31091">
      <w:pPr>
        <w:adjustRightInd w:val="0"/>
        <w:ind w:firstLine="480"/>
        <w:rPr>
          <w:rFonts w:cs="Times New Roman"/>
          <w:color w:val="auto"/>
          <w:highlight w:val="none"/>
        </w:rPr>
      </w:pPr>
      <w:r>
        <w:rPr>
          <w:rFonts w:hint="eastAsia" w:cs="Times New Roman"/>
          <w:color w:val="auto"/>
          <w:highlight w:val="none"/>
        </w:rPr>
        <w:t>由上表可知，本项目油烟总排放量为0.0104t/a，排放速率为0.0079kg/h。经核算，本项目油烟排放浓度能够达到《饮食业油烟排放标准（试行）》（GB18483-2001）中标准限值要求（2.0mg/m</w:t>
      </w:r>
      <w:r>
        <w:rPr>
          <w:rFonts w:hint="eastAsia" w:cs="Times New Roman"/>
          <w:color w:val="auto"/>
          <w:highlight w:val="none"/>
          <w:vertAlign w:val="superscript"/>
        </w:rPr>
        <w:t>3</w:t>
      </w:r>
      <w:r>
        <w:rPr>
          <w:rFonts w:hint="eastAsia" w:cs="Times New Roman"/>
          <w:color w:val="auto"/>
          <w:highlight w:val="none"/>
        </w:rPr>
        <w:t>）。</w:t>
      </w:r>
    </w:p>
    <w:p w14:paraId="135F6D5C">
      <w:pPr>
        <w:adjustRightInd w:val="0"/>
        <w:ind w:firstLine="482"/>
        <w:rPr>
          <w:rFonts w:cs="Times New Roman"/>
          <w:b/>
          <w:bCs/>
          <w:color w:val="auto"/>
          <w:highlight w:val="none"/>
        </w:rPr>
      </w:pPr>
      <w:r>
        <w:rPr>
          <w:rFonts w:cs="Times New Roman"/>
          <w:b/>
          <w:bCs/>
          <w:color w:val="auto"/>
          <w:highlight w:val="none"/>
        </w:rPr>
        <w:t>（</w:t>
      </w:r>
      <w:r>
        <w:rPr>
          <w:rFonts w:hint="eastAsia" w:cs="Times New Roman"/>
          <w:b/>
          <w:bCs/>
          <w:color w:val="auto"/>
          <w:highlight w:val="none"/>
        </w:rPr>
        <w:t>6</w:t>
      </w:r>
      <w:r>
        <w:rPr>
          <w:rFonts w:cs="Times New Roman"/>
          <w:b/>
          <w:bCs/>
          <w:color w:val="auto"/>
          <w:highlight w:val="none"/>
        </w:rPr>
        <w:t>）无组织废气排放情况</w:t>
      </w:r>
    </w:p>
    <w:p w14:paraId="4EF31E5D">
      <w:pPr>
        <w:adjustRightInd w:val="0"/>
        <w:ind w:firstLine="480"/>
        <w:rPr>
          <w:rFonts w:cs="Times New Roman"/>
          <w:color w:val="auto"/>
          <w:highlight w:val="none"/>
        </w:rPr>
      </w:pPr>
      <w:r>
        <w:rPr>
          <w:rFonts w:cs="Times New Roman"/>
          <w:color w:val="auto"/>
          <w:highlight w:val="none"/>
        </w:rPr>
        <w:t>经计算，本项目无组织废气排放情况如下。</w:t>
      </w:r>
    </w:p>
    <w:p w14:paraId="5FE0BB9C">
      <w:pPr>
        <w:keepNext/>
        <w:adjustRightInd w:val="0"/>
        <w:spacing w:line="240" w:lineRule="auto"/>
        <w:ind w:firstLine="0" w:firstLineChars="0"/>
        <w:jc w:val="center"/>
        <w:rPr>
          <w:rFonts w:cs="Times New Roman"/>
          <w:b/>
          <w:color w:val="auto"/>
          <w:sz w:val="21"/>
          <w:szCs w:val="20"/>
          <w:highlight w:val="none"/>
        </w:rPr>
      </w:pPr>
      <w:r>
        <w:rPr>
          <w:rFonts w:cs="Times New Roman"/>
          <w:b/>
          <w:color w:val="auto"/>
          <w:sz w:val="21"/>
          <w:szCs w:val="20"/>
          <w:highlight w:val="none"/>
        </w:rPr>
        <w:t>表</w:t>
      </w:r>
      <w:r>
        <w:rPr>
          <w:rFonts w:cs="Times New Roman"/>
          <w:b/>
          <w:color w:val="auto"/>
          <w:sz w:val="21"/>
          <w:szCs w:val="20"/>
          <w:highlight w:val="none"/>
        </w:rPr>
        <w:fldChar w:fldCharType="begin"/>
      </w:r>
      <w:r>
        <w:rPr>
          <w:rFonts w:cs="Times New Roman"/>
          <w:b/>
          <w:color w:val="auto"/>
          <w:sz w:val="21"/>
          <w:szCs w:val="20"/>
          <w:highlight w:val="none"/>
        </w:rPr>
        <w:instrText xml:space="preserve"> STYLEREF 1 \s </w:instrText>
      </w:r>
      <w:r>
        <w:rPr>
          <w:rFonts w:cs="Times New Roman"/>
          <w:b/>
          <w:color w:val="auto"/>
          <w:sz w:val="21"/>
          <w:szCs w:val="20"/>
          <w:highlight w:val="none"/>
        </w:rPr>
        <w:fldChar w:fldCharType="separate"/>
      </w:r>
      <w:r>
        <w:rPr>
          <w:rFonts w:cs="Times New Roman"/>
          <w:b/>
          <w:color w:val="auto"/>
          <w:sz w:val="21"/>
          <w:szCs w:val="20"/>
          <w:highlight w:val="none"/>
        </w:rPr>
        <w:t>3</w:t>
      </w:r>
      <w:r>
        <w:rPr>
          <w:rFonts w:cs="Times New Roman"/>
          <w:b/>
          <w:color w:val="auto"/>
          <w:sz w:val="21"/>
          <w:szCs w:val="20"/>
          <w:highlight w:val="none"/>
        </w:rPr>
        <w:fldChar w:fldCharType="end"/>
      </w:r>
      <w:r>
        <w:rPr>
          <w:rFonts w:cs="Times New Roman"/>
          <w:b/>
          <w:color w:val="auto"/>
          <w:sz w:val="21"/>
          <w:szCs w:val="20"/>
          <w:highlight w:val="none"/>
        </w:rPr>
        <w:t>-</w:t>
      </w:r>
      <w:r>
        <w:rPr>
          <w:rFonts w:cs="Times New Roman"/>
          <w:b/>
          <w:color w:val="auto"/>
          <w:sz w:val="21"/>
          <w:szCs w:val="20"/>
          <w:highlight w:val="none"/>
        </w:rPr>
        <w:fldChar w:fldCharType="begin"/>
      </w:r>
      <w:r>
        <w:rPr>
          <w:rFonts w:cs="Times New Roman"/>
          <w:b/>
          <w:color w:val="auto"/>
          <w:sz w:val="21"/>
          <w:szCs w:val="20"/>
          <w:highlight w:val="none"/>
        </w:rPr>
        <w:instrText xml:space="preserve"> SEQ 表 \* ARABIC \s 1 </w:instrText>
      </w:r>
      <w:r>
        <w:rPr>
          <w:rFonts w:cs="Times New Roman"/>
          <w:b/>
          <w:color w:val="auto"/>
          <w:sz w:val="21"/>
          <w:szCs w:val="20"/>
          <w:highlight w:val="none"/>
        </w:rPr>
        <w:fldChar w:fldCharType="separate"/>
      </w:r>
      <w:r>
        <w:rPr>
          <w:rFonts w:cs="Times New Roman"/>
          <w:b/>
          <w:color w:val="auto"/>
          <w:sz w:val="21"/>
          <w:szCs w:val="20"/>
          <w:highlight w:val="none"/>
        </w:rPr>
        <w:t>15</w:t>
      </w:r>
      <w:r>
        <w:rPr>
          <w:rFonts w:cs="Times New Roman"/>
          <w:b/>
          <w:color w:val="auto"/>
          <w:sz w:val="21"/>
          <w:szCs w:val="20"/>
          <w:highlight w:val="none"/>
        </w:rPr>
        <w:fldChar w:fldCharType="end"/>
      </w:r>
      <w:r>
        <w:rPr>
          <w:rFonts w:cs="Times New Roman"/>
          <w:b/>
          <w:color w:val="auto"/>
          <w:sz w:val="21"/>
          <w:szCs w:val="20"/>
          <w:highlight w:val="none"/>
        </w:rPr>
        <w:t>本项目无组织废气排放情况一览表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
        <w:gridCol w:w="1048"/>
        <w:gridCol w:w="1181"/>
        <w:gridCol w:w="22"/>
        <w:gridCol w:w="980"/>
        <w:gridCol w:w="17"/>
        <w:gridCol w:w="2246"/>
        <w:gridCol w:w="19"/>
        <w:gridCol w:w="1397"/>
        <w:gridCol w:w="1130"/>
      </w:tblGrid>
      <w:tr w14:paraId="675D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2" w:type="pct"/>
            <w:vMerge w:val="restart"/>
            <w:vAlign w:val="center"/>
          </w:tcPr>
          <w:p w14:paraId="4B8A4A1B">
            <w:pPr>
              <w:pStyle w:val="37"/>
              <w:rPr>
                <w:b/>
                <w:bCs/>
                <w:color w:val="auto"/>
                <w:highlight w:val="none"/>
              </w:rPr>
            </w:pPr>
            <w:r>
              <w:rPr>
                <w:b/>
                <w:bCs/>
                <w:color w:val="auto"/>
                <w:highlight w:val="none"/>
              </w:rPr>
              <w:t>序号</w:t>
            </w:r>
          </w:p>
        </w:tc>
        <w:tc>
          <w:tcPr>
            <w:tcW w:w="615" w:type="pct"/>
            <w:vMerge w:val="restart"/>
            <w:vAlign w:val="center"/>
          </w:tcPr>
          <w:p w14:paraId="1349C002">
            <w:pPr>
              <w:pStyle w:val="37"/>
              <w:rPr>
                <w:b/>
                <w:bCs/>
                <w:color w:val="auto"/>
                <w:highlight w:val="none"/>
              </w:rPr>
            </w:pPr>
            <w:r>
              <w:rPr>
                <w:b/>
                <w:bCs/>
                <w:color w:val="auto"/>
                <w:highlight w:val="none"/>
              </w:rPr>
              <w:t>产污设施名称</w:t>
            </w:r>
          </w:p>
        </w:tc>
        <w:tc>
          <w:tcPr>
            <w:tcW w:w="706" w:type="pct"/>
            <w:gridSpan w:val="2"/>
            <w:vMerge w:val="restart"/>
            <w:vAlign w:val="center"/>
          </w:tcPr>
          <w:p w14:paraId="0F57CA2C">
            <w:pPr>
              <w:pStyle w:val="37"/>
              <w:rPr>
                <w:b/>
                <w:bCs/>
                <w:color w:val="auto"/>
                <w:highlight w:val="none"/>
              </w:rPr>
            </w:pPr>
            <w:r>
              <w:rPr>
                <w:b/>
                <w:bCs/>
                <w:color w:val="auto"/>
                <w:highlight w:val="none"/>
              </w:rPr>
              <w:t>产污环节</w:t>
            </w:r>
          </w:p>
        </w:tc>
        <w:tc>
          <w:tcPr>
            <w:tcW w:w="575" w:type="pct"/>
            <w:vMerge w:val="restart"/>
            <w:vAlign w:val="center"/>
          </w:tcPr>
          <w:p w14:paraId="35F3AB5D">
            <w:pPr>
              <w:pStyle w:val="37"/>
              <w:rPr>
                <w:b/>
                <w:bCs/>
                <w:color w:val="auto"/>
                <w:highlight w:val="none"/>
              </w:rPr>
            </w:pPr>
            <w:r>
              <w:rPr>
                <w:b/>
                <w:bCs/>
                <w:color w:val="auto"/>
                <w:highlight w:val="none"/>
              </w:rPr>
              <w:t>污染物</w:t>
            </w:r>
          </w:p>
        </w:tc>
        <w:tc>
          <w:tcPr>
            <w:tcW w:w="2158" w:type="pct"/>
            <w:gridSpan w:val="4"/>
            <w:vAlign w:val="center"/>
          </w:tcPr>
          <w:p w14:paraId="6001DD29">
            <w:pPr>
              <w:pStyle w:val="37"/>
              <w:rPr>
                <w:b/>
                <w:bCs/>
                <w:color w:val="auto"/>
                <w:highlight w:val="none"/>
              </w:rPr>
            </w:pPr>
            <w:r>
              <w:rPr>
                <w:b/>
                <w:bCs/>
                <w:color w:val="auto"/>
                <w:highlight w:val="none"/>
              </w:rPr>
              <w:t>国家或地方污染物排放标准</w:t>
            </w:r>
          </w:p>
        </w:tc>
        <w:tc>
          <w:tcPr>
            <w:tcW w:w="662" w:type="pct"/>
            <w:vMerge w:val="restart"/>
            <w:vAlign w:val="center"/>
          </w:tcPr>
          <w:p w14:paraId="428E4795">
            <w:pPr>
              <w:pStyle w:val="37"/>
              <w:rPr>
                <w:b/>
                <w:bCs/>
                <w:color w:val="auto"/>
                <w:highlight w:val="none"/>
              </w:rPr>
            </w:pPr>
            <w:r>
              <w:rPr>
                <w:b/>
                <w:bCs/>
                <w:color w:val="auto"/>
                <w:highlight w:val="none"/>
              </w:rPr>
              <w:t>年排放量（t/a）</w:t>
            </w:r>
          </w:p>
        </w:tc>
      </w:tr>
      <w:tr w14:paraId="2F57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blHeader/>
          <w:jc w:val="center"/>
        </w:trPr>
        <w:tc>
          <w:tcPr>
            <w:tcW w:w="282" w:type="pct"/>
            <w:vMerge w:val="continue"/>
            <w:vAlign w:val="center"/>
          </w:tcPr>
          <w:p w14:paraId="7737D7B3">
            <w:pPr>
              <w:pStyle w:val="37"/>
              <w:rPr>
                <w:color w:val="auto"/>
                <w:highlight w:val="none"/>
              </w:rPr>
            </w:pPr>
          </w:p>
        </w:tc>
        <w:tc>
          <w:tcPr>
            <w:tcW w:w="615" w:type="pct"/>
            <w:vMerge w:val="continue"/>
            <w:vAlign w:val="center"/>
          </w:tcPr>
          <w:p w14:paraId="345AE1DE">
            <w:pPr>
              <w:pStyle w:val="37"/>
              <w:rPr>
                <w:color w:val="auto"/>
                <w:highlight w:val="none"/>
              </w:rPr>
            </w:pPr>
          </w:p>
        </w:tc>
        <w:tc>
          <w:tcPr>
            <w:tcW w:w="706" w:type="pct"/>
            <w:gridSpan w:val="2"/>
            <w:vMerge w:val="continue"/>
            <w:vAlign w:val="center"/>
          </w:tcPr>
          <w:p w14:paraId="1D97D499">
            <w:pPr>
              <w:pStyle w:val="37"/>
              <w:rPr>
                <w:color w:val="auto"/>
                <w:highlight w:val="none"/>
              </w:rPr>
            </w:pPr>
          </w:p>
        </w:tc>
        <w:tc>
          <w:tcPr>
            <w:tcW w:w="575" w:type="pct"/>
            <w:vMerge w:val="continue"/>
            <w:vAlign w:val="center"/>
          </w:tcPr>
          <w:p w14:paraId="64C3A7FA">
            <w:pPr>
              <w:pStyle w:val="37"/>
              <w:rPr>
                <w:color w:val="auto"/>
                <w:highlight w:val="none"/>
              </w:rPr>
            </w:pPr>
          </w:p>
        </w:tc>
        <w:tc>
          <w:tcPr>
            <w:tcW w:w="1328" w:type="pct"/>
            <w:gridSpan w:val="2"/>
            <w:vAlign w:val="center"/>
          </w:tcPr>
          <w:p w14:paraId="41101D14">
            <w:pPr>
              <w:pStyle w:val="37"/>
              <w:rPr>
                <w:b/>
                <w:bCs/>
                <w:color w:val="auto"/>
                <w:highlight w:val="none"/>
              </w:rPr>
            </w:pPr>
            <w:r>
              <w:rPr>
                <w:b/>
                <w:bCs/>
                <w:color w:val="auto"/>
                <w:highlight w:val="none"/>
              </w:rPr>
              <w:t>标准名称</w:t>
            </w:r>
          </w:p>
        </w:tc>
        <w:tc>
          <w:tcPr>
            <w:tcW w:w="829" w:type="pct"/>
            <w:gridSpan w:val="2"/>
            <w:vAlign w:val="center"/>
          </w:tcPr>
          <w:p w14:paraId="22385A64">
            <w:pPr>
              <w:pStyle w:val="37"/>
              <w:rPr>
                <w:b/>
                <w:bCs/>
                <w:color w:val="auto"/>
                <w:highlight w:val="none"/>
              </w:rPr>
            </w:pPr>
            <w:r>
              <w:rPr>
                <w:b/>
                <w:bCs/>
                <w:color w:val="auto"/>
                <w:highlight w:val="none"/>
              </w:rPr>
              <w:t>浓度限值（mg/m</w:t>
            </w:r>
            <w:r>
              <w:rPr>
                <w:b/>
                <w:bCs/>
                <w:color w:val="auto"/>
                <w:highlight w:val="none"/>
                <w:vertAlign w:val="superscript"/>
              </w:rPr>
              <w:t>3</w:t>
            </w:r>
            <w:r>
              <w:rPr>
                <w:b/>
                <w:bCs/>
                <w:color w:val="auto"/>
                <w:highlight w:val="none"/>
              </w:rPr>
              <w:t>）</w:t>
            </w:r>
          </w:p>
        </w:tc>
        <w:tc>
          <w:tcPr>
            <w:tcW w:w="662" w:type="pct"/>
            <w:vMerge w:val="continue"/>
            <w:vAlign w:val="center"/>
          </w:tcPr>
          <w:p w14:paraId="66F064CD">
            <w:pPr>
              <w:pStyle w:val="37"/>
              <w:rPr>
                <w:color w:val="auto"/>
                <w:highlight w:val="none"/>
              </w:rPr>
            </w:pPr>
          </w:p>
        </w:tc>
      </w:tr>
      <w:tr w14:paraId="38E33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5A78F93E">
            <w:pPr>
              <w:pStyle w:val="37"/>
              <w:rPr>
                <w:color w:val="auto"/>
                <w:highlight w:val="none"/>
              </w:rPr>
            </w:pPr>
            <w:r>
              <w:rPr>
                <w:color w:val="auto"/>
                <w:highlight w:val="none"/>
              </w:rPr>
              <w:t>1</w:t>
            </w:r>
          </w:p>
        </w:tc>
        <w:tc>
          <w:tcPr>
            <w:tcW w:w="615" w:type="pct"/>
            <w:vAlign w:val="center"/>
          </w:tcPr>
          <w:p w14:paraId="6DFE9CBB">
            <w:pPr>
              <w:pStyle w:val="37"/>
              <w:rPr>
                <w:color w:val="auto"/>
                <w:highlight w:val="none"/>
              </w:rPr>
            </w:pPr>
            <w:r>
              <w:rPr>
                <w:color w:val="auto"/>
                <w:highlight w:val="none"/>
              </w:rPr>
              <w:t>碎矿车间</w:t>
            </w:r>
          </w:p>
        </w:tc>
        <w:tc>
          <w:tcPr>
            <w:tcW w:w="706" w:type="pct"/>
            <w:gridSpan w:val="2"/>
            <w:vAlign w:val="center"/>
          </w:tcPr>
          <w:p w14:paraId="5BCFB0A3">
            <w:pPr>
              <w:pStyle w:val="37"/>
              <w:rPr>
                <w:color w:val="auto"/>
                <w:highlight w:val="none"/>
              </w:rPr>
            </w:pPr>
            <w:r>
              <w:rPr>
                <w:color w:val="auto"/>
                <w:highlight w:val="none"/>
              </w:rPr>
              <w:t>给料</w:t>
            </w:r>
          </w:p>
        </w:tc>
        <w:tc>
          <w:tcPr>
            <w:tcW w:w="575" w:type="pct"/>
            <w:vAlign w:val="center"/>
          </w:tcPr>
          <w:p w14:paraId="49B83D0C">
            <w:pPr>
              <w:pStyle w:val="37"/>
              <w:rPr>
                <w:color w:val="auto"/>
                <w:highlight w:val="none"/>
              </w:rPr>
            </w:pPr>
            <w:r>
              <w:rPr>
                <w:color w:val="auto"/>
                <w:highlight w:val="none"/>
              </w:rPr>
              <w:t>颗粒物</w:t>
            </w:r>
          </w:p>
        </w:tc>
        <w:tc>
          <w:tcPr>
            <w:tcW w:w="1328" w:type="pct"/>
            <w:gridSpan w:val="2"/>
            <w:vMerge w:val="restart"/>
            <w:vAlign w:val="center"/>
          </w:tcPr>
          <w:p w14:paraId="3C0ADB6A">
            <w:pPr>
              <w:pStyle w:val="37"/>
              <w:rPr>
                <w:color w:val="auto"/>
                <w:highlight w:val="none"/>
              </w:rPr>
            </w:pPr>
            <w:r>
              <w:rPr>
                <w:color w:val="auto"/>
                <w:highlight w:val="none"/>
              </w:rPr>
              <w:t>《四川省重污染天气金属表面处理及热处理加工等10个行业应急减排措施制定技术指南》</w:t>
            </w:r>
            <w:r>
              <w:rPr>
                <w:rFonts w:hint="eastAsia"/>
                <w:color w:val="auto"/>
                <w:highlight w:val="none"/>
              </w:rPr>
              <w:t>（2024年修订版）</w:t>
            </w:r>
            <w:r>
              <w:rPr>
                <w:color w:val="auto"/>
                <w:highlight w:val="none"/>
              </w:rPr>
              <w:t>无组织排放浓度限值</w:t>
            </w:r>
          </w:p>
        </w:tc>
        <w:tc>
          <w:tcPr>
            <w:tcW w:w="829" w:type="pct"/>
            <w:gridSpan w:val="2"/>
            <w:vAlign w:val="center"/>
          </w:tcPr>
          <w:p w14:paraId="0790341F">
            <w:pPr>
              <w:pStyle w:val="37"/>
              <w:rPr>
                <w:color w:val="auto"/>
                <w:highlight w:val="none"/>
              </w:rPr>
            </w:pPr>
            <w:r>
              <w:rPr>
                <w:rFonts w:hint="eastAsia"/>
                <w:color w:val="auto"/>
                <w:highlight w:val="none"/>
              </w:rPr>
              <w:t>0.5</w:t>
            </w:r>
          </w:p>
        </w:tc>
        <w:tc>
          <w:tcPr>
            <w:tcW w:w="662" w:type="pct"/>
            <w:vAlign w:val="center"/>
          </w:tcPr>
          <w:p w14:paraId="422C4F18">
            <w:pPr>
              <w:pStyle w:val="37"/>
              <w:rPr>
                <w:color w:val="auto"/>
                <w:highlight w:val="none"/>
              </w:rPr>
            </w:pPr>
            <w:r>
              <w:rPr>
                <w:rFonts w:hint="eastAsia"/>
                <w:color w:val="auto"/>
                <w:highlight w:val="none"/>
              </w:rPr>
              <w:t>0.018</w:t>
            </w:r>
          </w:p>
        </w:tc>
      </w:tr>
      <w:tr w14:paraId="1A6D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7ECE1D7A">
            <w:pPr>
              <w:pStyle w:val="37"/>
              <w:rPr>
                <w:color w:val="auto"/>
                <w:highlight w:val="none"/>
              </w:rPr>
            </w:pPr>
            <w:r>
              <w:rPr>
                <w:color w:val="auto"/>
                <w:highlight w:val="none"/>
              </w:rPr>
              <w:t>2</w:t>
            </w:r>
          </w:p>
        </w:tc>
        <w:tc>
          <w:tcPr>
            <w:tcW w:w="615" w:type="pct"/>
            <w:vAlign w:val="center"/>
          </w:tcPr>
          <w:p w14:paraId="444DD4F8">
            <w:pPr>
              <w:pStyle w:val="37"/>
              <w:rPr>
                <w:color w:val="auto"/>
                <w:highlight w:val="none"/>
              </w:rPr>
            </w:pPr>
            <w:r>
              <w:rPr>
                <w:color w:val="auto"/>
                <w:highlight w:val="none"/>
              </w:rPr>
              <w:t>碎矿车间</w:t>
            </w:r>
          </w:p>
        </w:tc>
        <w:tc>
          <w:tcPr>
            <w:tcW w:w="706" w:type="pct"/>
            <w:gridSpan w:val="2"/>
            <w:vAlign w:val="center"/>
          </w:tcPr>
          <w:p w14:paraId="78F00D79">
            <w:pPr>
              <w:pStyle w:val="37"/>
              <w:rPr>
                <w:color w:val="auto"/>
                <w:highlight w:val="none"/>
              </w:rPr>
            </w:pPr>
            <w:r>
              <w:rPr>
                <w:color w:val="auto"/>
                <w:highlight w:val="none"/>
              </w:rPr>
              <w:t>破碎筛分</w:t>
            </w:r>
          </w:p>
        </w:tc>
        <w:tc>
          <w:tcPr>
            <w:tcW w:w="575" w:type="pct"/>
            <w:vAlign w:val="center"/>
          </w:tcPr>
          <w:p w14:paraId="2C41E3ED">
            <w:pPr>
              <w:pStyle w:val="37"/>
              <w:rPr>
                <w:color w:val="auto"/>
                <w:highlight w:val="none"/>
              </w:rPr>
            </w:pPr>
            <w:r>
              <w:rPr>
                <w:color w:val="auto"/>
                <w:highlight w:val="none"/>
              </w:rPr>
              <w:t>颗粒物</w:t>
            </w:r>
          </w:p>
        </w:tc>
        <w:tc>
          <w:tcPr>
            <w:tcW w:w="1328" w:type="pct"/>
            <w:gridSpan w:val="2"/>
            <w:vMerge w:val="continue"/>
            <w:vAlign w:val="center"/>
          </w:tcPr>
          <w:p w14:paraId="76D1D66F">
            <w:pPr>
              <w:pStyle w:val="37"/>
              <w:rPr>
                <w:color w:val="auto"/>
                <w:highlight w:val="none"/>
              </w:rPr>
            </w:pPr>
          </w:p>
        </w:tc>
        <w:tc>
          <w:tcPr>
            <w:tcW w:w="829" w:type="pct"/>
            <w:gridSpan w:val="2"/>
            <w:vAlign w:val="center"/>
          </w:tcPr>
          <w:p w14:paraId="6B1C4A45">
            <w:pPr>
              <w:pStyle w:val="37"/>
              <w:rPr>
                <w:color w:val="auto"/>
                <w:highlight w:val="none"/>
              </w:rPr>
            </w:pPr>
            <w:r>
              <w:rPr>
                <w:rFonts w:hint="eastAsia"/>
                <w:color w:val="auto"/>
                <w:highlight w:val="none"/>
              </w:rPr>
              <w:t>0.5</w:t>
            </w:r>
          </w:p>
        </w:tc>
        <w:tc>
          <w:tcPr>
            <w:tcW w:w="662" w:type="pct"/>
            <w:vAlign w:val="center"/>
          </w:tcPr>
          <w:p w14:paraId="375A3346">
            <w:pPr>
              <w:pStyle w:val="37"/>
              <w:rPr>
                <w:color w:val="auto"/>
                <w:highlight w:val="none"/>
              </w:rPr>
            </w:pPr>
            <w:r>
              <w:rPr>
                <w:rFonts w:hint="eastAsia"/>
                <w:color w:val="auto"/>
                <w:highlight w:val="none"/>
              </w:rPr>
              <w:t>0.973</w:t>
            </w:r>
          </w:p>
        </w:tc>
      </w:tr>
      <w:tr w14:paraId="7194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05703DAC">
            <w:pPr>
              <w:pStyle w:val="37"/>
              <w:rPr>
                <w:color w:val="auto"/>
                <w:highlight w:val="none"/>
              </w:rPr>
            </w:pPr>
            <w:r>
              <w:rPr>
                <w:color w:val="auto"/>
                <w:highlight w:val="none"/>
              </w:rPr>
              <w:t>3</w:t>
            </w:r>
          </w:p>
        </w:tc>
        <w:tc>
          <w:tcPr>
            <w:tcW w:w="615" w:type="pct"/>
            <w:vAlign w:val="center"/>
          </w:tcPr>
          <w:p w14:paraId="3DFA9B9E">
            <w:pPr>
              <w:pStyle w:val="37"/>
              <w:rPr>
                <w:color w:val="auto"/>
                <w:highlight w:val="none"/>
              </w:rPr>
            </w:pPr>
            <w:r>
              <w:rPr>
                <w:color w:val="auto"/>
                <w:highlight w:val="none"/>
              </w:rPr>
              <w:t>原矿仓库</w:t>
            </w:r>
            <w:r>
              <w:rPr>
                <w:rFonts w:hint="eastAsia"/>
                <w:color w:val="auto"/>
                <w:highlight w:val="none"/>
              </w:rPr>
              <w:t>、精矿仓库、尾矿仓库</w:t>
            </w:r>
          </w:p>
        </w:tc>
        <w:tc>
          <w:tcPr>
            <w:tcW w:w="706" w:type="pct"/>
            <w:gridSpan w:val="2"/>
            <w:vAlign w:val="center"/>
          </w:tcPr>
          <w:p w14:paraId="5230D5B6">
            <w:pPr>
              <w:pStyle w:val="37"/>
              <w:rPr>
                <w:color w:val="auto"/>
                <w:highlight w:val="none"/>
              </w:rPr>
            </w:pPr>
            <w:r>
              <w:rPr>
                <w:color w:val="auto"/>
                <w:highlight w:val="none"/>
              </w:rPr>
              <w:t>装卸及堆场粉尘</w:t>
            </w:r>
          </w:p>
        </w:tc>
        <w:tc>
          <w:tcPr>
            <w:tcW w:w="575" w:type="pct"/>
            <w:vAlign w:val="center"/>
          </w:tcPr>
          <w:p w14:paraId="368394BD">
            <w:pPr>
              <w:pStyle w:val="37"/>
              <w:rPr>
                <w:color w:val="auto"/>
                <w:highlight w:val="none"/>
              </w:rPr>
            </w:pPr>
            <w:r>
              <w:rPr>
                <w:color w:val="auto"/>
                <w:highlight w:val="none"/>
              </w:rPr>
              <w:t>颗粒物</w:t>
            </w:r>
          </w:p>
        </w:tc>
        <w:tc>
          <w:tcPr>
            <w:tcW w:w="1328" w:type="pct"/>
            <w:gridSpan w:val="2"/>
            <w:vMerge w:val="continue"/>
            <w:vAlign w:val="center"/>
          </w:tcPr>
          <w:p w14:paraId="70EDE688">
            <w:pPr>
              <w:pStyle w:val="37"/>
              <w:rPr>
                <w:color w:val="auto"/>
                <w:highlight w:val="none"/>
              </w:rPr>
            </w:pPr>
          </w:p>
        </w:tc>
        <w:tc>
          <w:tcPr>
            <w:tcW w:w="829" w:type="pct"/>
            <w:gridSpan w:val="2"/>
            <w:vAlign w:val="center"/>
          </w:tcPr>
          <w:p w14:paraId="71B1E15F">
            <w:pPr>
              <w:pStyle w:val="37"/>
              <w:rPr>
                <w:color w:val="auto"/>
                <w:highlight w:val="none"/>
              </w:rPr>
            </w:pPr>
            <w:r>
              <w:rPr>
                <w:rFonts w:hint="eastAsia"/>
                <w:color w:val="auto"/>
                <w:highlight w:val="none"/>
              </w:rPr>
              <w:t>0.5</w:t>
            </w:r>
          </w:p>
        </w:tc>
        <w:tc>
          <w:tcPr>
            <w:tcW w:w="662" w:type="pct"/>
            <w:vAlign w:val="center"/>
          </w:tcPr>
          <w:p w14:paraId="501FDDFD">
            <w:pPr>
              <w:pStyle w:val="37"/>
              <w:rPr>
                <w:color w:val="auto"/>
                <w:highlight w:val="none"/>
              </w:rPr>
            </w:pPr>
            <w:r>
              <w:rPr>
                <w:rFonts w:hint="eastAsia"/>
                <w:color w:val="auto"/>
                <w:highlight w:val="none"/>
              </w:rPr>
              <w:t>0.1376</w:t>
            </w:r>
          </w:p>
        </w:tc>
      </w:tr>
      <w:tr w14:paraId="5F10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5B128CE2">
            <w:pPr>
              <w:pStyle w:val="37"/>
              <w:rPr>
                <w:color w:val="auto"/>
                <w:highlight w:val="none"/>
              </w:rPr>
            </w:pPr>
            <w:r>
              <w:rPr>
                <w:color w:val="auto"/>
                <w:highlight w:val="none"/>
              </w:rPr>
              <w:t>4</w:t>
            </w:r>
          </w:p>
        </w:tc>
        <w:tc>
          <w:tcPr>
            <w:tcW w:w="615" w:type="pct"/>
            <w:vAlign w:val="center"/>
          </w:tcPr>
          <w:p w14:paraId="71B3930A">
            <w:pPr>
              <w:pStyle w:val="37"/>
              <w:rPr>
                <w:color w:val="auto"/>
                <w:highlight w:val="none"/>
              </w:rPr>
            </w:pPr>
            <w:r>
              <w:rPr>
                <w:color w:val="auto"/>
                <w:highlight w:val="none"/>
              </w:rPr>
              <w:t>道路</w:t>
            </w:r>
          </w:p>
        </w:tc>
        <w:tc>
          <w:tcPr>
            <w:tcW w:w="706" w:type="pct"/>
            <w:gridSpan w:val="2"/>
            <w:vAlign w:val="center"/>
          </w:tcPr>
          <w:p w14:paraId="111CD7C7">
            <w:pPr>
              <w:pStyle w:val="37"/>
              <w:rPr>
                <w:color w:val="auto"/>
                <w:highlight w:val="none"/>
              </w:rPr>
            </w:pPr>
            <w:r>
              <w:rPr>
                <w:color w:val="auto"/>
                <w:highlight w:val="none"/>
              </w:rPr>
              <w:t>车辆运输扬尘</w:t>
            </w:r>
          </w:p>
        </w:tc>
        <w:tc>
          <w:tcPr>
            <w:tcW w:w="575" w:type="pct"/>
            <w:vAlign w:val="center"/>
          </w:tcPr>
          <w:p w14:paraId="1A8EAB90">
            <w:pPr>
              <w:pStyle w:val="37"/>
              <w:rPr>
                <w:color w:val="auto"/>
                <w:highlight w:val="none"/>
              </w:rPr>
            </w:pPr>
            <w:r>
              <w:rPr>
                <w:color w:val="auto"/>
                <w:highlight w:val="none"/>
              </w:rPr>
              <w:t>颗粒物</w:t>
            </w:r>
          </w:p>
        </w:tc>
        <w:tc>
          <w:tcPr>
            <w:tcW w:w="1328" w:type="pct"/>
            <w:gridSpan w:val="2"/>
            <w:vMerge w:val="continue"/>
            <w:vAlign w:val="center"/>
          </w:tcPr>
          <w:p w14:paraId="6E58649D">
            <w:pPr>
              <w:pStyle w:val="37"/>
              <w:rPr>
                <w:color w:val="auto"/>
                <w:highlight w:val="none"/>
              </w:rPr>
            </w:pPr>
          </w:p>
        </w:tc>
        <w:tc>
          <w:tcPr>
            <w:tcW w:w="829" w:type="pct"/>
            <w:gridSpan w:val="2"/>
            <w:vAlign w:val="center"/>
          </w:tcPr>
          <w:p w14:paraId="5018C8CE">
            <w:pPr>
              <w:pStyle w:val="37"/>
              <w:rPr>
                <w:color w:val="auto"/>
                <w:highlight w:val="none"/>
              </w:rPr>
            </w:pPr>
            <w:r>
              <w:rPr>
                <w:rFonts w:hint="eastAsia"/>
                <w:color w:val="auto"/>
                <w:highlight w:val="none"/>
              </w:rPr>
              <w:t>0.5</w:t>
            </w:r>
          </w:p>
        </w:tc>
        <w:tc>
          <w:tcPr>
            <w:tcW w:w="662" w:type="pct"/>
            <w:vAlign w:val="center"/>
          </w:tcPr>
          <w:p w14:paraId="61DC64B8">
            <w:pPr>
              <w:pStyle w:val="37"/>
              <w:rPr>
                <w:color w:val="auto"/>
                <w:highlight w:val="none"/>
              </w:rPr>
            </w:pPr>
            <w:r>
              <w:rPr>
                <w:color w:val="auto"/>
                <w:highlight w:val="none"/>
              </w:rPr>
              <w:t>0.2</w:t>
            </w:r>
            <w:r>
              <w:rPr>
                <w:rFonts w:hint="eastAsia"/>
                <w:color w:val="auto"/>
                <w:highlight w:val="none"/>
              </w:rPr>
              <w:t>06</w:t>
            </w:r>
          </w:p>
        </w:tc>
      </w:tr>
      <w:tr w14:paraId="67B23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10"/>
            <w:vAlign w:val="center"/>
          </w:tcPr>
          <w:p w14:paraId="242983CE">
            <w:pPr>
              <w:pStyle w:val="37"/>
              <w:rPr>
                <w:color w:val="auto"/>
                <w:highlight w:val="none"/>
              </w:rPr>
            </w:pPr>
            <w:r>
              <w:rPr>
                <w:color w:val="auto"/>
                <w:highlight w:val="none"/>
              </w:rPr>
              <w:t>无组织</w:t>
            </w:r>
            <w:r>
              <w:rPr>
                <w:rFonts w:hint="eastAsia"/>
                <w:color w:val="auto"/>
                <w:highlight w:val="none"/>
              </w:rPr>
              <w:t>颗粒物</w:t>
            </w:r>
            <w:r>
              <w:rPr>
                <w:color w:val="auto"/>
                <w:highlight w:val="none"/>
              </w:rPr>
              <w:t>排放总计</w:t>
            </w:r>
          </w:p>
        </w:tc>
      </w:tr>
      <w:tr w14:paraId="43A7F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3A3244DD">
            <w:pPr>
              <w:pStyle w:val="37"/>
              <w:rPr>
                <w:color w:val="auto"/>
                <w:highlight w:val="none"/>
              </w:rPr>
            </w:pPr>
            <w:r>
              <w:rPr>
                <w:color w:val="auto"/>
                <w:highlight w:val="none"/>
              </w:rPr>
              <w:t>5</w:t>
            </w:r>
          </w:p>
        </w:tc>
        <w:tc>
          <w:tcPr>
            <w:tcW w:w="4055" w:type="pct"/>
            <w:gridSpan w:val="8"/>
            <w:vAlign w:val="center"/>
          </w:tcPr>
          <w:p w14:paraId="35889E1D">
            <w:pPr>
              <w:pStyle w:val="37"/>
              <w:rPr>
                <w:color w:val="auto"/>
                <w:highlight w:val="none"/>
              </w:rPr>
            </w:pPr>
            <w:r>
              <w:rPr>
                <w:color w:val="auto"/>
                <w:highlight w:val="none"/>
              </w:rPr>
              <w:t>无组织</w:t>
            </w:r>
            <w:r>
              <w:rPr>
                <w:rFonts w:hint="eastAsia"/>
                <w:color w:val="auto"/>
                <w:highlight w:val="none"/>
              </w:rPr>
              <w:t>颗粒物</w:t>
            </w:r>
            <w:r>
              <w:rPr>
                <w:color w:val="auto"/>
                <w:highlight w:val="none"/>
              </w:rPr>
              <w:t>排放合计</w:t>
            </w:r>
          </w:p>
        </w:tc>
        <w:tc>
          <w:tcPr>
            <w:tcW w:w="662" w:type="pct"/>
            <w:vAlign w:val="center"/>
          </w:tcPr>
          <w:p w14:paraId="5526917B">
            <w:pPr>
              <w:pStyle w:val="37"/>
              <w:rPr>
                <w:color w:val="auto"/>
                <w:highlight w:val="none"/>
              </w:rPr>
            </w:pPr>
            <w:r>
              <w:rPr>
                <w:rFonts w:hint="eastAsia"/>
                <w:color w:val="auto"/>
                <w:highlight w:val="none"/>
              </w:rPr>
              <w:t>1.3346</w:t>
            </w:r>
          </w:p>
        </w:tc>
      </w:tr>
      <w:tr w14:paraId="6BD8A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2" w:type="pct"/>
            <w:vAlign w:val="center"/>
          </w:tcPr>
          <w:p w14:paraId="1DF3024F">
            <w:pPr>
              <w:pStyle w:val="37"/>
              <w:rPr>
                <w:color w:val="auto"/>
                <w:highlight w:val="none"/>
              </w:rPr>
            </w:pPr>
            <w:r>
              <w:rPr>
                <w:rFonts w:hint="eastAsia"/>
                <w:color w:val="auto"/>
                <w:highlight w:val="none"/>
              </w:rPr>
              <w:t>6</w:t>
            </w:r>
          </w:p>
        </w:tc>
        <w:tc>
          <w:tcPr>
            <w:tcW w:w="615" w:type="pct"/>
            <w:vAlign w:val="center"/>
          </w:tcPr>
          <w:p w14:paraId="0EAC62D3">
            <w:pPr>
              <w:pStyle w:val="37"/>
              <w:rPr>
                <w:color w:val="auto"/>
                <w:highlight w:val="none"/>
              </w:rPr>
            </w:pPr>
            <w:r>
              <w:rPr>
                <w:rFonts w:hint="eastAsia"/>
                <w:color w:val="auto"/>
                <w:highlight w:val="none"/>
              </w:rPr>
              <w:t>食堂</w:t>
            </w:r>
          </w:p>
        </w:tc>
        <w:tc>
          <w:tcPr>
            <w:tcW w:w="693" w:type="pct"/>
            <w:vAlign w:val="center"/>
          </w:tcPr>
          <w:p w14:paraId="0657EF21">
            <w:pPr>
              <w:pStyle w:val="37"/>
              <w:rPr>
                <w:color w:val="auto"/>
                <w:highlight w:val="none"/>
              </w:rPr>
            </w:pPr>
            <w:r>
              <w:rPr>
                <w:rFonts w:hint="eastAsia"/>
                <w:color w:val="auto"/>
                <w:highlight w:val="none"/>
              </w:rPr>
              <w:t>烹饪</w:t>
            </w:r>
          </w:p>
        </w:tc>
        <w:tc>
          <w:tcPr>
            <w:tcW w:w="598" w:type="pct"/>
            <w:gridSpan w:val="3"/>
            <w:vAlign w:val="center"/>
          </w:tcPr>
          <w:p w14:paraId="767D7A7C">
            <w:pPr>
              <w:pStyle w:val="37"/>
              <w:rPr>
                <w:color w:val="auto"/>
                <w:highlight w:val="none"/>
              </w:rPr>
            </w:pPr>
            <w:r>
              <w:rPr>
                <w:rFonts w:hint="eastAsia"/>
                <w:color w:val="auto"/>
                <w:highlight w:val="none"/>
              </w:rPr>
              <w:t>油烟</w:t>
            </w:r>
          </w:p>
        </w:tc>
        <w:tc>
          <w:tcPr>
            <w:tcW w:w="1329" w:type="pct"/>
            <w:gridSpan w:val="2"/>
            <w:vAlign w:val="center"/>
          </w:tcPr>
          <w:p w14:paraId="46D0DB69">
            <w:pPr>
              <w:pStyle w:val="37"/>
              <w:rPr>
                <w:color w:val="auto"/>
                <w:highlight w:val="none"/>
              </w:rPr>
            </w:pPr>
            <w:r>
              <w:rPr>
                <w:rFonts w:hint="eastAsia"/>
                <w:color w:val="auto"/>
                <w:highlight w:val="none"/>
              </w:rPr>
              <w:t>《饮食业油烟排放标准（试行）》（GB18483-2001）</w:t>
            </w:r>
          </w:p>
        </w:tc>
        <w:tc>
          <w:tcPr>
            <w:tcW w:w="818" w:type="pct"/>
            <w:vAlign w:val="center"/>
          </w:tcPr>
          <w:p w14:paraId="557E286E">
            <w:pPr>
              <w:pStyle w:val="37"/>
              <w:rPr>
                <w:color w:val="auto"/>
                <w:highlight w:val="none"/>
              </w:rPr>
            </w:pPr>
            <w:r>
              <w:rPr>
                <w:rFonts w:hint="eastAsia"/>
                <w:color w:val="auto"/>
                <w:highlight w:val="none"/>
              </w:rPr>
              <w:t>2</w:t>
            </w:r>
          </w:p>
        </w:tc>
        <w:tc>
          <w:tcPr>
            <w:tcW w:w="662" w:type="pct"/>
            <w:vAlign w:val="center"/>
          </w:tcPr>
          <w:p w14:paraId="63E1E345">
            <w:pPr>
              <w:pStyle w:val="37"/>
              <w:rPr>
                <w:color w:val="auto"/>
                <w:highlight w:val="none"/>
              </w:rPr>
            </w:pPr>
            <w:r>
              <w:rPr>
                <w:rFonts w:hint="eastAsia"/>
                <w:color w:val="auto"/>
                <w:highlight w:val="none"/>
              </w:rPr>
              <w:t>0.0104</w:t>
            </w:r>
          </w:p>
        </w:tc>
      </w:tr>
    </w:tbl>
    <w:p w14:paraId="71F33DD9">
      <w:pPr>
        <w:adjustRightInd w:val="0"/>
        <w:ind w:firstLine="482"/>
        <w:rPr>
          <w:rFonts w:cs="Times New Roman"/>
          <w:b/>
          <w:bCs/>
          <w:color w:val="auto"/>
          <w:highlight w:val="none"/>
        </w:rPr>
      </w:pPr>
      <w:r>
        <w:rPr>
          <w:rFonts w:cs="Times New Roman"/>
          <w:b/>
          <w:bCs/>
          <w:color w:val="auto"/>
          <w:highlight w:val="none"/>
        </w:rPr>
        <w:t>三、非正常排放</w:t>
      </w:r>
    </w:p>
    <w:p w14:paraId="1B98978F">
      <w:pPr>
        <w:adjustRightInd w:val="0"/>
        <w:ind w:firstLine="480"/>
        <w:rPr>
          <w:rFonts w:cs="Times New Roman"/>
          <w:color w:val="auto"/>
          <w:highlight w:val="none"/>
        </w:rPr>
      </w:pPr>
      <w:r>
        <w:rPr>
          <w:rFonts w:cs="Times New Roman"/>
          <w:color w:val="auto"/>
          <w:highlight w:val="none"/>
        </w:rPr>
        <w:t>根据《环境影响评价技术导则大气环境》（HJ2.2-2018），项目废气非正常排放为废气处理设施开停工、日常维修、检修以及废气设备运行异常下废气非正常工况下污染物的排放。本次评价在废气正常收集，处理效率为50%的情况下对非正常工况下废气排放情况进行计算。</w:t>
      </w:r>
    </w:p>
    <w:p w14:paraId="47FB07D0">
      <w:pPr>
        <w:keepNext/>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表3-7</w:t>
      </w:r>
      <w:r>
        <w:rPr>
          <w:rFonts w:cs="Times New Roman"/>
          <w:b/>
          <w:color w:val="auto"/>
          <w:kern w:val="21"/>
          <w:sz w:val="21"/>
          <w:highlight w:val="none"/>
        </w:rPr>
        <w:t>非正常工况下废气排放情况表</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838"/>
        <w:gridCol w:w="1294"/>
        <w:gridCol w:w="867"/>
        <w:gridCol w:w="1134"/>
        <w:gridCol w:w="1066"/>
        <w:gridCol w:w="1019"/>
        <w:gridCol w:w="950"/>
        <w:gridCol w:w="925"/>
      </w:tblGrid>
      <w:tr w14:paraId="7ACB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249" w:type="pct"/>
            <w:vAlign w:val="center"/>
          </w:tcPr>
          <w:p w14:paraId="04679F9E">
            <w:pPr>
              <w:pStyle w:val="37"/>
              <w:rPr>
                <w:b/>
                <w:bCs/>
                <w:color w:val="auto"/>
                <w:highlight w:val="none"/>
              </w:rPr>
            </w:pPr>
            <w:r>
              <w:rPr>
                <w:b/>
                <w:bCs/>
                <w:color w:val="auto"/>
                <w:highlight w:val="none"/>
              </w:rPr>
              <w:t>序号</w:t>
            </w:r>
          </w:p>
        </w:tc>
        <w:tc>
          <w:tcPr>
            <w:tcW w:w="493" w:type="pct"/>
            <w:vAlign w:val="center"/>
          </w:tcPr>
          <w:p w14:paraId="166316D7">
            <w:pPr>
              <w:pStyle w:val="37"/>
              <w:rPr>
                <w:b/>
                <w:bCs/>
                <w:color w:val="auto"/>
                <w:highlight w:val="none"/>
              </w:rPr>
            </w:pPr>
            <w:r>
              <w:rPr>
                <w:b/>
                <w:bCs/>
                <w:color w:val="auto"/>
                <w:highlight w:val="none"/>
              </w:rPr>
              <w:t>非正常排放源</w:t>
            </w:r>
          </w:p>
        </w:tc>
        <w:tc>
          <w:tcPr>
            <w:tcW w:w="759" w:type="pct"/>
            <w:vAlign w:val="center"/>
          </w:tcPr>
          <w:p w14:paraId="726FF08C">
            <w:pPr>
              <w:pStyle w:val="37"/>
              <w:rPr>
                <w:b/>
                <w:bCs/>
                <w:color w:val="auto"/>
                <w:highlight w:val="none"/>
              </w:rPr>
            </w:pPr>
            <w:r>
              <w:rPr>
                <w:b/>
                <w:bCs/>
                <w:color w:val="auto"/>
                <w:highlight w:val="none"/>
              </w:rPr>
              <w:t>非正常排放原因</w:t>
            </w:r>
          </w:p>
        </w:tc>
        <w:tc>
          <w:tcPr>
            <w:tcW w:w="508" w:type="pct"/>
            <w:vAlign w:val="center"/>
          </w:tcPr>
          <w:p w14:paraId="4B6C1EC6">
            <w:pPr>
              <w:pStyle w:val="37"/>
              <w:rPr>
                <w:b/>
                <w:bCs/>
                <w:color w:val="auto"/>
                <w:highlight w:val="none"/>
              </w:rPr>
            </w:pPr>
            <w:r>
              <w:rPr>
                <w:b/>
                <w:bCs/>
                <w:color w:val="auto"/>
                <w:highlight w:val="none"/>
              </w:rPr>
              <w:t>污染物</w:t>
            </w:r>
          </w:p>
        </w:tc>
        <w:tc>
          <w:tcPr>
            <w:tcW w:w="665" w:type="pct"/>
            <w:vAlign w:val="center"/>
          </w:tcPr>
          <w:p w14:paraId="0DE56BC6">
            <w:pPr>
              <w:pStyle w:val="37"/>
              <w:rPr>
                <w:b/>
                <w:bCs/>
                <w:color w:val="auto"/>
                <w:highlight w:val="none"/>
              </w:rPr>
            </w:pPr>
            <w:r>
              <w:rPr>
                <w:b/>
                <w:bCs/>
                <w:color w:val="auto"/>
                <w:highlight w:val="none"/>
              </w:rPr>
              <w:t>非正常排放浓度（mg/m</w:t>
            </w:r>
            <w:r>
              <w:rPr>
                <w:b/>
                <w:bCs/>
                <w:color w:val="auto"/>
                <w:highlight w:val="none"/>
                <w:vertAlign w:val="superscript"/>
              </w:rPr>
              <w:t>3</w:t>
            </w:r>
            <w:r>
              <w:rPr>
                <w:b/>
                <w:bCs/>
                <w:color w:val="auto"/>
                <w:highlight w:val="none"/>
              </w:rPr>
              <w:t>）</w:t>
            </w:r>
          </w:p>
        </w:tc>
        <w:tc>
          <w:tcPr>
            <w:tcW w:w="625" w:type="pct"/>
            <w:vAlign w:val="center"/>
          </w:tcPr>
          <w:p w14:paraId="3564363D">
            <w:pPr>
              <w:pStyle w:val="37"/>
              <w:rPr>
                <w:b/>
                <w:bCs/>
                <w:color w:val="auto"/>
                <w:highlight w:val="none"/>
              </w:rPr>
            </w:pPr>
            <w:r>
              <w:rPr>
                <w:b/>
                <w:bCs/>
                <w:color w:val="auto"/>
                <w:highlight w:val="none"/>
              </w:rPr>
              <w:t>非正常排放速率（kg/h）</w:t>
            </w:r>
          </w:p>
        </w:tc>
        <w:tc>
          <w:tcPr>
            <w:tcW w:w="597" w:type="pct"/>
            <w:vAlign w:val="center"/>
          </w:tcPr>
          <w:p w14:paraId="60819B8C">
            <w:pPr>
              <w:pStyle w:val="37"/>
              <w:rPr>
                <w:b/>
                <w:bCs/>
                <w:color w:val="auto"/>
                <w:highlight w:val="none"/>
              </w:rPr>
            </w:pPr>
            <w:r>
              <w:rPr>
                <w:b/>
                <w:bCs/>
                <w:color w:val="auto"/>
                <w:highlight w:val="none"/>
              </w:rPr>
              <w:t>单次持续时间（h）</w:t>
            </w:r>
          </w:p>
        </w:tc>
        <w:tc>
          <w:tcPr>
            <w:tcW w:w="557" w:type="pct"/>
            <w:vAlign w:val="center"/>
          </w:tcPr>
          <w:p w14:paraId="67393E72">
            <w:pPr>
              <w:pStyle w:val="37"/>
              <w:rPr>
                <w:b/>
                <w:bCs/>
                <w:color w:val="auto"/>
                <w:highlight w:val="none"/>
              </w:rPr>
            </w:pPr>
            <w:r>
              <w:rPr>
                <w:b/>
                <w:bCs/>
                <w:color w:val="auto"/>
                <w:highlight w:val="none"/>
              </w:rPr>
              <w:t>年发生频次（次）</w:t>
            </w:r>
          </w:p>
        </w:tc>
        <w:tc>
          <w:tcPr>
            <w:tcW w:w="542" w:type="pct"/>
            <w:vAlign w:val="center"/>
          </w:tcPr>
          <w:p w14:paraId="1A1D8D88">
            <w:pPr>
              <w:pStyle w:val="37"/>
              <w:rPr>
                <w:b/>
                <w:bCs/>
                <w:color w:val="auto"/>
                <w:highlight w:val="none"/>
              </w:rPr>
            </w:pPr>
            <w:r>
              <w:rPr>
                <w:b/>
                <w:bCs/>
                <w:color w:val="auto"/>
                <w:highlight w:val="none"/>
              </w:rPr>
              <w:t>应对措施</w:t>
            </w:r>
          </w:p>
        </w:tc>
      </w:tr>
      <w:tr w14:paraId="395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49" w:type="pct"/>
            <w:vAlign w:val="center"/>
          </w:tcPr>
          <w:p w14:paraId="68239E7B">
            <w:pPr>
              <w:pStyle w:val="37"/>
              <w:rPr>
                <w:color w:val="auto"/>
                <w:highlight w:val="none"/>
              </w:rPr>
            </w:pPr>
            <w:r>
              <w:rPr>
                <w:color w:val="auto"/>
                <w:highlight w:val="none"/>
              </w:rPr>
              <w:t>1</w:t>
            </w:r>
          </w:p>
        </w:tc>
        <w:tc>
          <w:tcPr>
            <w:tcW w:w="493" w:type="pct"/>
            <w:vAlign w:val="center"/>
          </w:tcPr>
          <w:p w14:paraId="3983CFA4">
            <w:pPr>
              <w:pStyle w:val="37"/>
              <w:rPr>
                <w:color w:val="auto"/>
                <w:highlight w:val="none"/>
              </w:rPr>
            </w:pPr>
            <w:r>
              <w:rPr>
                <w:color w:val="auto"/>
                <w:highlight w:val="none"/>
              </w:rPr>
              <w:t>DA001</w:t>
            </w:r>
          </w:p>
        </w:tc>
        <w:tc>
          <w:tcPr>
            <w:tcW w:w="759" w:type="pct"/>
            <w:vAlign w:val="center"/>
          </w:tcPr>
          <w:p w14:paraId="10C1A331">
            <w:pPr>
              <w:pStyle w:val="37"/>
              <w:rPr>
                <w:color w:val="auto"/>
                <w:highlight w:val="none"/>
              </w:rPr>
            </w:pPr>
            <w:r>
              <w:rPr>
                <w:color w:val="auto"/>
                <w:highlight w:val="none"/>
              </w:rPr>
              <w:t>废气处理设施开停工、日常维修、检修以及废气设备运行异常</w:t>
            </w:r>
          </w:p>
        </w:tc>
        <w:tc>
          <w:tcPr>
            <w:tcW w:w="508" w:type="pct"/>
            <w:vAlign w:val="center"/>
          </w:tcPr>
          <w:p w14:paraId="6F9E55C1">
            <w:pPr>
              <w:pStyle w:val="37"/>
              <w:rPr>
                <w:color w:val="auto"/>
                <w:highlight w:val="none"/>
              </w:rPr>
            </w:pPr>
            <w:r>
              <w:rPr>
                <w:color w:val="auto"/>
                <w:highlight w:val="none"/>
              </w:rPr>
              <w:t>颗粒物</w:t>
            </w:r>
          </w:p>
        </w:tc>
        <w:tc>
          <w:tcPr>
            <w:tcW w:w="665" w:type="pct"/>
            <w:vAlign w:val="center"/>
          </w:tcPr>
          <w:p w14:paraId="284CCDD8">
            <w:pPr>
              <w:pStyle w:val="37"/>
              <w:rPr>
                <w:color w:val="auto"/>
                <w:highlight w:val="none"/>
              </w:rPr>
            </w:pPr>
            <w:r>
              <w:rPr>
                <w:rFonts w:hint="eastAsia"/>
                <w:color w:val="auto"/>
                <w:highlight w:val="none"/>
              </w:rPr>
              <w:t>289.04</w:t>
            </w:r>
          </w:p>
        </w:tc>
        <w:tc>
          <w:tcPr>
            <w:tcW w:w="625" w:type="pct"/>
            <w:vAlign w:val="center"/>
          </w:tcPr>
          <w:p w14:paraId="25818D58">
            <w:pPr>
              <w:pStyle w:val="37"/>
              <w:rPr>
                <w:color w:val="auto"/>
                <w:highlight w:val="none"/>
              </w:rPr>
            </w:pPr>
            <w:r>
              <w:rPr>
                <w:rFonts w:hint="eastAsia"/>
                <w:color w:val="auto"/>
                <w:highlight w:val="none"/>
              </w:rPr>
              <w:t>14.452</w:t>
            </w:r>
          </w:p>
        </w:tc>
        <w:tc>
          <w:tcPr>
            <w:tcW w:w="597" w:type="pct"/>
            <w:vAlign w:val="center"/>
          </w:tcPr>
          <w:p w14:paraId="76183372">
            <w:pPr>
              <w:pStyle w:val="37"/>
              <w:rPr>
                <w:color w:val="auto"/>
                <w:highlight w:val="none"/>
              </w:rPr>
            </w:pPr>
            <w:r>
              <w:rPr>
                <w:color w:val="auto"/>
                <w:highlight w:val="none"/>
              </w:rPr>
              <w:t>0.5</w:t>
            </w:r>
          </w:p>
        </w:tc>
        <w:tc>
          <w:tcPr>
            <w:tcW w:w="557" w:type="pct"/>
            <w:vAlign w:val="center"/>
          </w:tcPr>
          <w:p w14:paraId="197A8B63">
            <w:pPr>
              <w:pStyle w:val="37"/>
              <w:rPr>
                <w:color w:val="auto"/>
                <w:highlight w:val="none"/>
              </w:rPr>
            </w:pPr>
            <w:r>
              <w:rPr>
                <w:color w:val="auto"/>
                <w:highlight w:val="none"/>
              </w:rPr>
              <w:t>1</w:t>
            </w:r>
          </w:p>
        </w:tc>
        <w:tc>
          <w:tcPr>
            <w:tcW w:w="542" w:type="pct"/>
            <w:vAlign w:val="center"/>
          </w:tcPr>
          <w:p w14:paraId="0D4208E5">
            <w:pPr>
              <w:pStyle w:val="37"/>
              <w:rPr>
                <w:color w:val="auto"/>
                <w:highlight w:val="none"/>
              </w:rPr>
            </w:pPr>
            <w:r>
              <w:rPr>
                <w:color w:val="auto"/>
                <w:highlight w:val="none"/>
              </w:rPr>
              <w:t>加强日常管理维护，尽量避免非正常排放</w:t>
            </w:r>
          </w:p>
        </w:tc>
      </w:tr>
    </w:tbl>
    <w:p w14:paraId="15DE15F2">
      <w:pPr>
        <w:adjustRightInd w:val="0"/>
        <w:ind w:firstLine="480"/>
        <w:rPr>
          <w:rFonts w:cs="Times New Roman"/>
          <w:color w:val="auto"/>
          <w:highlight w:val="none"/>
        </w:rPr>
      </w:pPr>
      <w:r>
        <w:rPr>
          <w:rFonts w:cs="Times New Roman"/>
          <w:color w:val="auto"/>
          <w:highlight w:val="none"/>
        </w:rPr>
        <w:t>本次评价要求建设单位加强管理，定期对设备及环保设施进行维护检修，保证环保设施的处理效率，避免事故排放对大气环境产生影响。</w:t>
      </w:r>
    </w:p>
    <w:p w14:paraId="03FC8F07">
      <w:pPr>
        <w:pStyle w:val="5"/>
        <w:adjustRightInd w:val="0"/>
        <w:rPr>
          <w:rFonts w:cs="Times New Roman"/>
          <w:color w:val="auto"/>
          <w:highlight w:val="none"/>
        </w:rPr>
      </w:pPr>
      <w:r>
        <w:rPr>
          <w:rFonts w:cs="Times New Roman"/>
          <w:color w:val="auto"/>
          <w:highlight w:val="none"/>
        </w:rPr>
        <w:t>废水污染物产生及治理措施</w:t>
      </w:r>
    </w:p>
    <w:p w14:paraId="0B07B62B">
      <w:pPr>
        <w:adjustRightInd w:val="0"/>
        <w:ind w:firstLine="480"/>
        <w:rPr>
          <w:rFonts w:cs="Times New Roman"/>
          <w:color w:val="auto"/>
          <w:highlight w:val="none"/>
        </w:rPr>
      </w:pPr>
      <w:r>
        <w:rPr>
          <w:rFonts w:cs="Times New Roman"/>
          <w:color w:val="auto"/>
          <w:highlight w:val="none"/>
        </w:rPr>
        <w:t>本项目产生的废水主要为</w:t>
      </w:r>
      <w:r>
        <w:rPr>
          <w:rFonts w:hint="eastAsia" w:cs="Times New Roman"/>
          <w:color w:val="auto"/>
          <w:highlight w:val="none"/>
        </w:rPr>
        <w:t>生产废水（</w:t>
      </w:r>
      <w:r>
        <w:rPr>
          <w:rFonts w:cs="Times New Roman"/>
          <w:color w:val="auto"/>
          <w:highlight w:val="none"/>
        </w:rPr>
        <w:t>选矿废水、车辆冲洗废水</w:t>
      </w:r>
      <w:r>
        <w:rPr>
          <w:rFonts w:hint="eastAsia" w:cs="Times New Roman"/>
          <w:color w:val="auto"/>
          <w:highlight w:val="none"/>
        </w:rPr>
        <w:t>）</w:t>
      </w:r>
      <w:r>
        <w:rPr>
          <w:rFonts w:cs="Times New Roman"/>
          <w:color w:val="auto"/>
          <w:highlight w:val="none"/>
        </w:rPr>
        <w:t>、生活污水</w:t>
      </w:r>
      <w:r>
        <w:rPr>
          <w:rFonts w:hint="eastAsia" w:cs="Times New Roman"/>
          <w:color w:val="auto"/>
          <w:highlight w:val="none"/>
        </w:rPr>
        <w:t>（含食堂废水）</w:t>
      </w:r>
      <w:r>
        <w:rPr>
          <w:rFonts w:cs="Times New Roman"/>
          <w:color w:val="auto"/>
          <w:highlight w:val="none"/>
        </w:rPr>
        <w:t>及初期雨水。</w:t>
      </w:r>
    </w:p>
    <w:p w14:paraId="41E4530F">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w:t>
      </w:r>
      <w:r>
        <w:rPr>
          <w:rFonts w:hint="eastAsia" w:cs="Times New Roman"/>
          <w:b/>
          <w:color w:val="auto"/>
          <w:kern w:val="21"/>
          <w:szCs w:val="22"/>
          <w:highlight w:val="none"/>
        </w:rPr>
        <w:t>一</w:t>
      </w:r>
      <w:r>
        <w:rPr>
          <w:rFonts w:cs="Times New Roman"/>
          <w:b/>
          <w:color w:val="auto"/>
          <w:kern w:val="21"/>
          <w:szCs w:val="22"/>
          <w:highlight w:val="none"/>
        </w:rPr>
        <w:t>）选矿废水</w:t>
      </w:r>
    </w:p>
    <w:p w14:paraId="6F532C34">
      <w:pPr>
        <w:overflowPunct w:val="0"/>
        <w:adjustRightInd w:val="0"/>
        <w:ind w:firstLine="482"/>
        <w:rPr>
          <w:rFonts w:cs="Times New Roman"/>
          <w:b/>
          <w:color w:val="auto"/>
          <w:kern w:val="21"/>
          <w:szCs w:val="22"/>
          <w:highlight w:val="none"/>
        </w:rPr>
      </w:pPr>
      <w:r>
        <w:rPr>
          <w:rFonts w:hint="eastAsia" w:cs="Times New Roman"/>
          <w:b/>
          <w:color w:val="auto"/>
          <w:kern w:val="21"/>
          <w:szCs w:val="22"/>
          <w:highlight w:val="none"/>
        </w:rPr>
        <w:t>（1）选矿废水</w:t>
      </w:r>
    </w:p>
    <w:p w14:paraId="64D3CB36">
      <w:pPr>
        <w:adjustRightInd w:val="0"/>
        <w:ind w:firstLine="480"/>
        <w:rPr>
          <w:rFonts w:cs="Times New Roman"/>
          <w:color w:val="auto"/>
          <w:highlight w:val="none"/>
        </w:rPr>
      </w:pPr>
      <w:r>
        <w:rPr>
          <w:rFonts w:cs="Times New Roman"/>
          <w:color w:val="auto"/>
          <w:highlight w:val="none"/>
        </w:rPr>
        <w:t>1）产生情况</w:t>
      </w:r>
    </w:p>
    <w:p w14:paraId="2C27CE6E">
      <w:pPr>
        <w:adjustRightInd w:val="0"/>
        <w:ind w:firstLine="480"/>
        <w:rPr>
          <w:rFonts w:cs="Times New Roman"/>
          <w:color w:val="auto"/>
          <w:highlight w:val="none"/>
        </w:rPr>
      </w:pPr>
      <w:r>
        <w:rPr>
          <w:rFonts w:cs="Times New Roman"/>
          <w:color w:val="auto"/>
          <w:highlight w:val="none"/>
        </w:rPr>
        <w:t>根据乐山市全沫矿产品有限公司运行阶段生产经验数据，单位产品污水产生量为3.67t/t-产品，本项目日加工锂辉石</w:t>
      </w:r>
      <w:r>
        <w:rPr>
          <w:rFonts w:hint="eastAsia" w:cs="Times New Roman"/>
          <w:color w:val="auto"/>
          <w:highlight w:val="none"/>
        </w:rPr>
        <w:t>1090.91</w:t>
      </w:r>
      <w:r>
        <w:rPr>
          <w:rFonts w:cs="Times New Roman"/>
          <w:color w:val="auto"/>
          <w:highlight w:val="none"/>
        </w:rPr>
        <w:t>t，日产精矿、尾矿等约</w:t>
      </w:r>
      <w:r>
        <w:rPr>
          <w:rFonts w:hint="eastAsia" w:cs="Times New Roman"/>
          <w:color w:val="auto"/>
          <w:highlight w:val="none"/>
        </w:rPr>
        <w:t>1153.61</w:t>
      </w:r>
      <w:r>
        <w:rPr>
          <w:rFonts w:cs="Times New Roman"/>
          <w:color w:val="auto"/>
          <w:highlight w:val="none"/>
        </w:rPr>
        <w:t>t。因此，本项目选矿废水产生量为</w:t>
      </w:r>
      <w:r>
        <w:rPr>
          <w:rFonts w:hint="eastAsia" w:cs="Times New Roman"/>
          <w:color w:val="auto"/>
          <w:highlight w:val="none"/>
        </w:rPr>
        <w:t>4233.75</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p>
    <w:p w14:paraId="0E271673">
      <w:pPr>
        <w:adjustRightInd w:val="0"/>
        <w:ind w:firstLine="480"/>
        <w:rPr>
          <w:rFonts w:cs="Times New Roman"/>
          <w:color w:val="auto"/>
          <w:szCs w:val="22"/>
          <w:highlight w:val="none"/>
        </w:rPr>
      </w:pPr>
      <w:r>
        <w:rPr>
          <w:rFonts w:cs="Times New Roman"/>
          <w:color w:val="auto"/>
          <w:szCs w:val="22"/>
          <w:highlight w:val="none"/>
        </w:rPr>
        <w:t>根据乐山市全沫矿产品有限公司运行阶段生产经验数据，浓密机废水、脱水过程产生的废水分别占选矿废水百分比为69.942%、</w:t>
      </w:r>
      <w:r>
        <w:rPr>
          <w:rFonts w:hint="eastAsia" w:cs="Times New Roman"/>
          <w:color w:val="auto"/>
          <w:szCs w:val="22"/>
          <w:highlight w:val="none"/>
        </w:rPr>
        <w:t>30.058</w:t>
      </w:r>
      <w:r>
        <w:rPr>
          <w:rFonts w:cs="Times New Roman"/>
          <w:color w:val="auto"/>
          <w:szCs w:val="22"/>
          <w:highlight w:val="none"/>
        </w:rPr>
        <w:t>%。因此，本项目浓密机废水</w:t>
      </w:r>
      <w:r>
        <w:rPr>
          <w:rFonts w:hint="eastAsia" w:cs="Times New Roman"/>
          <w:color w:val="auto"/>
          <w:szCs w:val="22"/>
          <w:highlight w:val="none"/>
        </w:rPr>
        <w:t>2961.17</w:t>
      </w:r>
      <w:r>
        <w:rPr>
          <w:rFonts w:cs="Times New Roman"/>
          <w:color w:val="auto"/>
          <w:szCs w:val="22"/>
          <w:highlight w:val="none"/>
        </w:rPr>
        <w:t>m</w:t>
      </w:r>
      <w:r>
        <w:rPr>
          <w:rFonts w:cs="Times New Roman"/>
          <w:color w:val="auto"/>
          <w:szCs w:val="22"/>
          <w:highlight w:val="none"/>
          <w:vertAlign w:val="superscript"/>
        </w:rPr>
        <w:t>3</w:t>
      </w:r>
      <w:r>
        <w:rPr>
          <w:rFonts w:cs="Times New Roman"/>
          <w:color w:val="auto"/>
          <w:szCs w:val="22"/>
          <w:highlight w:val="none"/>
        </w:rPr>
        <w:t>/d、脱水过程产生的废水</w:t>
      </w:r>
      <w:r>
        <w:rPr>
          <w:rFonts w:hint="eastAsia" w:cs="Times New Roman"/>
          <w:color w:val="auto"/>
          <w:szCs w:val="22"/>
          <w:highlight w:val="none"/>
        </w:rPr>
        <w:t>1272.58</w:t>
      </w:r>
      <w:r>
        <w:rPr>
          <w:rFonts w:cs="Times New Roman"/>
          <w:color w:val="auto"/>
          <w:szCs w:val="22"/>
          <w:highlight w:val="none"/>
        </w:rPr>
        <w:t>m</w:t>
      </w:r>
      <w:r>
        <w:rPr>
          <w:rFonts w:cs="Times New Roman"/>
          <w:color w:val="auto"/>
          <w:szCs w:val="22"/>
          <w:highlight w:val="none"/>
          <w:vertAlign w:val="superscript"/>
        </w:rPr>
        <w:t>3</w:t>
      </w:r>
      <w:r>
        <w:rPr>
          <w:rFonts w:cs="Times New Roman"/>
          <w:color w:val="auto"/>
          <w:szCs w:val="22"/>
          <w:highlight w:val="none"/>
        </w:rPr>
        <w:t>/d。</w:t>
      </w:r>
    </w:p>
    <w:p w14:paraId="0C94EE01">
      <w:pPr>
        <w:adjustRightInd w:val="0"/>
        <w:ind w:firstLine="480"/>
        <w:rPr>
          <w:rFonts w:cs="Times New Roman"/>
          <w:color w:val="auto"/>
          <w:highlight w:val="none"/>
        </w:rPr>
      </w:pPr>
      <w:r>
        <w:rPr>
          <w:rFonts w:cs="Times New Roman"/>
          <w:color w:val="auto"/>
          <w:highlight w:val="none"/>
        </w:rPr>
        <w:t>本项目选矿过程中选矿用水可能由于设备泄漏（管道接头、阀门、泵体密封件老化或损坏，导致废水渗漏）、溢流失水（搅拌槽、浮选机、沉淀池等设备液位控制不当，造成废水溢出）、输送损耗（输送管道、溜槽沿途的滴漏）、蒸发损耗（本项目浓密机、三级沉淀池为露天状态，受温度、风速影响，水分自然蒸发流失会造成一定的损耗），本项目水损耗以5%计，同时锂辉石精矿（含水率13%）带走水量</w:t>
      </w:r>
      <w:r>
        <w:rPr>
          <w:rFonts w:hint="eastAsia" w:cs="Times New Roman"/>
          <w:color w:val="auto"/>
          <w:highlight w:val="none"/>
        </w:rPr>
        <w:t>44.99</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/d、尾矿（含水率13%）带走水量</w:t>
      </w:r>
      <w:r>
        <w:rPr>
          <w:rFonts w:hint="eastAsia" w:cs="Times New Roman"/>
          <w:color w:val="auto"/>
          <w:highlight w:val="none"/>
        </w:rPr>
        <w:t>97.48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/d、黑砂（含水率13%）将带走水量</w:t>
      </w:r>
      <w:r>
        <w:rPr>
          <w:rFonts w:hint="eastAsia" w:cs="Times New Roman"/>
          <w:color w:val="auto"/>
          <w:highlight w:val="none"/>
        </w:rPr>
        <w:t>7.5</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p>
    <w:p w14:paraId="487B66FE">
      <w:pPr>
        <w:adjustRightInd w:val="0"/>
        <w:ind w:firstLine="480"/>
        <w:rPr>
          <w:rFonts w:cs="Times New Roman"/>
          <w:color w:val="auto"/>
          <w:highlight w:val="none"/>
        </w:rPr>
      </w:pPr>
      <w:r>
        <w:rPr>
          <w:rFonts w:cs="Times New Roman"/>
          <w:color w:val="auto"/>
          <w:highlight w:val="none"/>
        </w:rPr>
        <w:t>2）治理措施及排放情况</w:t>
      </w:r>
    </w:p>
    <w:p w14:paraId="412AF4D1">
      <w:pPr>
        <w:adjustRightInd w:val="0"/>
        <w:ind w:firstLine="480"/>
        <w:rPr>
          <w:rFonts w:cs="Times New Roman"/>
          <w:color w:val="auto"/>
          <w:highlight w:val="none"/>
        </w:rPr>
      </w:pPr>
      <w:r>
        <w:rPr>
          <w:rFonts w:hint="eastAsia" w:cs="Times New Roman"/>
          <w:color w:val="auto"/>
          <w:highlight w:val="none"/>
        </w:rPr>
        <w:t>治理</w:t>
      </w:r>
      <w:r>
        <w:rPr>
          <w:rFonts w:cs="Times New Roman"/>
          <w:color w:val="auto"/>
          <w:highlight w:val="none"/>
        </w:rPr>
        <w:t>措施：全厂共设置1套生产废水处理设施，为三级沉淀池（一级沉淀池有效容积1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、二级沉淀池有效容积1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、三级沉淀池有效容积1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，其中一级沉淀池设计水力停留时间为</w:t>
      </w:r>
      <w:r>
        <w:rPr>
          <w:rFonts w:hint="eastAsia" w:cs="Times New Roman"/>
          <w:color w:val="auto"/>
          <w:highlight w:val="none"/>
        </w:rPr>
        <w:t>5</w:t>
      </w:r>
      <w:r>
        <w:rPr>
          <w:rFonts w:cs="Times New Roman"/>
          <w:color w:val="auto"/>
          <w:highlight w:val="none"/>
        </w:rPr>
        <w:t>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沉淀），其中浓密机废水（</w:t>
      </w:r>
      <w:r>
        <w:rPr>
          <w:rFonts w:hint="eastAsia" w:cs="Times New Roman"/>
          <w:color w:val="auto"/>
          <w:highlight w:val="none"/>
        </w:rPr>
        <w:t>2961.17</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r>
        <w:rPr>
          <w:rFonts w:hint="eastAsia" w:cs="Times New Roman"/>
          <w:color w:val="auto"/>
          <w:highlight w:val="none"/>
        </w:rPr>
        <w:t>、</w:t>
      </w:r>
      <w:r>
        <w:rPr>
          <w:rFonts w:cs="Times New Roman"/>
          <w:color w:val="auto"/>
          <w:highlight w:val="none"/>
        </w:rPr>
        <w:t>脱水工序产生的废水（</w:t>
      </w:r>
      <w:r>
        <w:rPr>
          <w:rFonts w:hint="eastAsia" w:cs="Times New Roman"/>
          <w:color w:val="auto"/>
          <w:highlight w:val="none"/>
        </w:rPr>
        <w:t>1272.58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d）经废水处理设施处理后回用于湿式磨矿、浮选工序。全厂设置</w:t>
      </w:r>
      <w:r>
        <w:rPr>
          <w:rFonts w:hint="eastAsia" w:cs="Times New Roman"/>
          <w:color w:val="auto"/>
          <w:highlight w:val="none"/>
        </w:rPr>
        <w:t>4</w:t>
      </w:r>
      <w:r>
        <w:rPr>
          <w:rFonts w:cs="Times New Roman"/>
          <w:color w:val="auto"/>
          <w:highlight w:val="none"/>
        </w:rPr>
        <w:t>套板框压滤机+1套带式真空过滤机。</w:t>
      </w:r>
    </w:p>
    <w:p w14:paraId="27FEC7E6">
      <w:pPr>
        <w:adjustRightInd w:val="0"/>
        <w:ind w:firstLine="480"/>
        <w:rPr>
          <w:rFonts w:cs="Times New Roman"/>
          <w:color w:val="auto"/>
          <w:highlight w:val="none"/>
        </w:rPr>
      </w:pPr>
      <w:r>
        <w:rPr>
          <w:rFonts w:cs="Times New Roman"/>
          <w:color w:val="auto"/>
          <w:highlight w:val="none"/>
        </w:rPr>
        <w:t>治理措施可行性分析：</w:t>
      </w:r>
    </w:p>
    <w:p w14:paraId="74479174">
      <w:pPr>
        <w:adjustRightInd w:val="0"/>
        <w:ind w:firstLine="480"/>
        <w:rPr>
          <w:rFonts w:cs="Times New Roman"/>
          <w:color w:val="auto"/>
          <w:highlight w:val="none"/>
        </w:rPr>
      </w:pPr>
      <w:r>
        <w:rPr>
          <w:rFonts w:cs="Times New Roman"/>
          <w:color w:val="auto"/>
          <w:highlight w:val="none"/>
        </w:rPr>
        <w:t>①生产废水处理设施处理能力可行性分析</w:t>
      </w:r>
    </w:p>
    <w:p w14:paraId="78A3F33E">
      <w:pPr>
        <w:adjustRightInd w:val="0"/>
        <w:ind w:firstLine="480"/>
        <w:rPr>
          <w:rFonts w:cs="Times New Roman"/>
          <w:color w:val="auto"/>
          <w:highlight w:val="none"/>
        </w:rPr>
      </w:pPr>
      <w:r>
        <w:rPr>
          <w:rFonts w:cs="Times New Roman"/>
          <w:color w:val="auto"/>
          <w:highlight w:val="none"/>
        </w:rPr>
        <w:t>本项目设置1套三级沉淀池（一级沉淀池有效容积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、二级沉淀池有效容积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、三级沉淀池有效容积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，其中一级沉淀池设计水力停留时间为5h、二级沉淀池设计水力停留时间为5h，三级沉淀池设计水力停留时间为5h，处理能力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沉淀。本项目选矿废水产生量为</w:t>
      </w:r>
      <w:r>
        <w:rPr>
          <w:rFonts w:hint="eastAsia" w:cs="Times New Roman"/>
          <w:color w:val="auto"/>
          <w:highlight w:val="none"/>
        </w:rPr>
        <w:t>4233.75m</w:t>
      </w:r>
      <w:r>
        <w:rPr>
          <w:rFonts w:cs="Times New Roman"/>
          <w:color w:val="auto"/>
          <w:highlight w:val="none"/>
          <w:vertAlign w:val="superscript"/>
        </w:rPr>
        <w:t>3</w:t>
      </w:r>
      <w:r>
        <w:rPr>
          <w:rFonts w:cs="Times New Roman"/>
          <w:color w:val="auto"/>
          <w:highlight w:val="none"/>
        </w:rPr>
        <w:t>/d（约</w:t>
      </w:r>
      <w:r>
        <w:rPr>
          <w:rFonts w:hint="eastAsia" w:cs="Times New Roman"/>
          <w:color w:val="auto"/>
          <w:highlight w:val="none"/>
        </w:rPr>
        <w:t>176.41</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/h），因此本项目生产废水处理设施处理能力可满足选矿废水处理需求。</w:t>
      </w:r>
    </w:p>
    <w:p w14:paraId="44B78523">
      <w:pPr>
        <w:adjustRightInd w:val="0"/>
        <w:ind w:firstLine="480"/>
        <w:rPr>
          <w:rFonts w:cs="Times New Roman"/>
          <w:color w:val="auto"/>
          <w:highlight w:val="none"/>
        </w:rPr>
      </w:pPr>
      <w:r>
        <w:rPr>
          <w:rFonts w:cs="Times New Roman"/>
          <w:color w:val="auto"/>
          <w:highlight w:val="none"/>
        </w:rPr>
        <w:t>②回用水水质可行性分析</w:t>
      </w:r>
    </w:p>
    <w:p w14:paraId="4F7B740B">
      <w:pPr>
        <w:adjustRightInd w:val="0"/>
        <w:ind w:firstLine="480"/>
        <w:rPr>
          <w:rFonts w:cs="Times New Roman"/>
          <w:color w:val="auto"/>
          <w:highlight w:val="none"/>
        </w:rPr>
      </w:pPr>
      <w:r>
        <w:rPr>
          <w:rFonts w:cs="Times New Roman"/>
          <w:color w:val="auto"/>
          <w:highlight w:val="none"/>
        </w:rPr>
        <w:t>本项目所用选矿药剂不属于毒性物质，主要为碱性浮选药剂，浮选和水处理过程中溶于水，在选矿废水中主要体现为SS，呈弱碱性，不含有毒物质，聚丙烯酰胺和氯化铝主要为水处理絮凝剂和聚凝剂，随脱水处理后进入产品或尾矿。因此，本项目选矿废水的主要污染物为SS，经过3级絮凝沉淀后回用于</w:t>
      </w:r>
      <w:r>
        <w:rPr>
          <w:rFonts w:hint="eastAsia" w:cs="Times New Roman"/>
          <w:color w:val="auto"/>
          <w:highlight w:val="none"/>
        </w:rPr>
        <w:t>湿式磨矿、浮选等工序</w:t>
      </w:r>
      <w:r>
        <w:rPr>
          <w:rFonts w:cs="Times New Roman"/>
          <w:color w:val="auto"/>
          <w:highlight w:val="none"/>
        </w:rPr>
        <w:t>，不外排。本项目选矿废水使用量为</w:t>
      </w:r>
      <w:r>
        <w:rPr>
          <w:rFonts w:hint="eastAsia" w:cs="Times New Roman"/>
          <w:color w:val="auto"/>
          <w:highlight w:val="none"/>
        </w:rPr>
        <w:t>4522.58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/d，每日补充新鲜水</w:t>
      </w:r>
      <w:r>
        <w:rPr>
          <w:rFonts w:hint="eastAsia" w:cs="Times New Roman"/>
          <w:color w:val="auto"/>
          <w:highlight w:val="none"/>
        </w:rPr>
        <w:t>288.83</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w:t>
      </w:r>
    </w:p>
    <w:p w14:paraId="4E1FAC27">
      <w:pPr>
        <w:adjustRightInd w:val="0"/>
        <w:ind w:firstLine="480"/>
        <w:rPr>
          <w:rFonts w:cs="Times New Roman"/>
          <w:color w:val="auto"/>
          <w:highlight w:val="none"/>
        </w:rPr>
      </w:pPr>
      <w:r>
        <w:rPr>
          <w:rFonts w:cs="Times New Roman"/>
          <w:color w:val="auto"/>
          <w:highlight w:val="none"/>
        </w:rPr>
        <w:t>3）选矿废水处理流程</w:t>
      </w:r>
    </w:p>
    <w:p w14:paraId="301C2C0F">
      <w:pPr>
        <w:adjustRightInd w:val="0"/>
        <w:ind w:firstLine="480"/>
        <w:rPr>
          <w:rFonts w:cs="Times New Roman"/>
          <w:color w:val="auto"/>
          <w:highlight w:val="none"/>
        </w:rPr>
      </w:pPr>
      <w:r>
        <w:rPr>
          <w:rFonts w:cs="Times New Roman"/>
          <w:color w:val="auto"/>
          <w:highlight w:val="none"/>
        </w:rPr>
        <w:t>①投药：絮凝剂的配制与投加方法可分为干法投加和湿法投加两种。</w:t>
      </w:r>
    </w:p>
    <w:p w14:paraId="43D317C3">
      <w:pPr>
        <w:adjustRightInd w:val="0"/>
        <w:ind w:firstLine="480"/>
        <w:rPr>
          <w:rFonts w:cs="Times New Roman"/>
          <w:color w:val="auto"/>
          <w:highlight w:val="none"/>
        </w:rPr>
      </w:pPr>
      <w:r>
        <w:rPr>
          <w:rFonts w:cs="Times New Roman"/>
          <w:color w:val="auto"/>
          <w:highlight w:val="none"/>
        </w:rPr>
        <w:t>②混合：混合是指当药剂投入污水后发生水解并产生异电荷胶体与水中胶体和悬浮物接触形成细小的絮凝体（俗称矾花）这一过程。混合过程大约在10~30s内完成。混合需要搅拌动力，搅拌动力可采用水力搅拌和机械搅拌两种，水力搅拌常用管道式、穿孔板式、涡流式混合等方法；机械式可采用变速搅拌和水泵混合槽等装置。</w:t>
      </w:r>
    </w:p>
    <w:p w14:paraId="1443654A">
      <w:pPr>
        <w:adjustRightInd w:val="0"/>
        <w:ind w:firstLine="480"/>
        <w:rPr>
          <w:rFonts w:cs="Times New Roman"/>
          <w:color w:val="auto"/>
          <w:highlight w:val="none"/>
        </w:rPr>
      </w:pPr>
      <w:r>
        <w:rPr>
          <w:rFonts w:cs="Times New Roman"/>
          <w:color w:val="auto"/>
          <w:highlight w:val="none"/>
        </w:rPr>
        <w:t>③反应：当在混合设备内完成混合后，水中已经产生细小絮体，但还未达到自然沉降的粒度，反应设备的任务就是使小絮体逐渐成大絮体以便于沉淀。</w:t>
      </w:r>
      <w:r>
        <w:rPr>
          <w:rFonts w:hint="eastAsia" w:cs="Times New Roman"/>
          <w:color w:val="auto"/>
          <w:highlight w:val="none"/>
        </w:rPr>
        <w:t>反应</w:t>
      </w:r>
      <w:r>
        <w:rPr>
          <w:rFonts w:cs="Times New Roman"/>
          <w:color w:val="auto"/>
          <w:highlight w:val="none"/>
        </w:rPr>
        <w:t>设备有一定的停留时间和适当的搅拌强度，使小絮体能相互碰撞，并防止生产的大絮体沉淀。但搅拌器强度太大，则会使生成的絮体破碎，且絮体碎，且絮体越大，越易破碎。因此在反应设备中，沿着水流入方向搅拌强度越来越小。</w:t>
      </w:r>
    </w:p>
    <w:p w14:paraId="78918C5D">
      <w:pPr>
        <w:adjustRightInd w:val="0"/>
        <w:ind w:firstLine="480"/>
        <w:rPr>
          <w:rFonts w:cs="Times New Roman"/>
          <w:color w:val="auto"/>
          <w:highlight w:val="none"/>
        </w:rPr>
      </w:pPr>
      <w:r>
        <w:rPr>
          <w:rFonts w:cs="Times New Roman"/>
          <w:color w:val="auto"/>
          <w:highlight w:val="none"/>
        </w:rPr>
        <w:t>④沉淀：废水经过加药、混合、反应后，完成絮凝过程，进入沉淀池进行泥水分离。沉淀池可采用平流、辐流、竖流、斜流等多种结果形式。</w:t>
      </w:r>
    </w:p>
    <w:p w14:paraId="02C2CCBE">
      <w:pPr>
        <w:adjustRightInd w:val="0"/>
        <w:ind w:firstLine="480"/>
        <w:rPr>
          <w:rFonts w:cs="Times New Roman"/>
          <w:color w:val="auto"/>
          <w:highlight w:val="none"/>
        </w:rPr>
      </w:pPr>
      <w:r>
        <w:rPr>
          <w:rFonts w:cs="Times New Roman"/>
          <w:color w:val="auto"/>
          <w:highlight w:val="none"/>
        </w:rPr>
        <w:t>本项目选矿磨-浮工段需要水量较大，选矿用水对水质要求不高。因此选矿废水回用于生产用水在充分利用水资源的同时可减少废水的排放。</w:t>
      </w:r>
    </w:p>
    <w:p w14:paraId="0635395E">
      <w:pPr>
        <w:adjustRightInd w:val="0"/>
        <w:ind w:firstLine="480"/>
        <w:rPr>
          <w:rFonts w:cs="Times New Roman"/>
          <w:color w:val="auto"/>
          <w:highlight w:val="none"/>
        </w:rPr>
      </w:pPr>
      <w:r>
        <w:rPr>
          <w:rFonts w:cs="Times New Roman"/>
          <w:color w:val="auto"/>
          <w:highlight w:val="none"/>
        </w:rPr>
        <w:t>综上所述，本项目选矿废水零排放技术上可行。</w:t>
      </w:r>
    </w:p>
    <w:p w14:paraId="42E6824C">
      <w:pPr>
        <w:overflowPunct w:val="0"/>
        <w:adjustRightInd w:val="0"/>
        <w:ind w:firstLine="482"/>
        <w:rPr>
          <w:rFonts w:cs="Times New Roman"/>
          <w:color w:val="auto"/>
          <w:kern w:val="21"/>
          <w:szCs w:val="22"/>
          <w:highlight w:val="none"/>
        </w:rPr>
      </w:pPr>
      <w:r>
        <w:rPr>
          <w:rFonts w:hint="eastAsia" w:cs="Times New Roman"/>
          <w:b/>
          <w:bCs/>
          <w:color w:val="auto"/>
          <w:kern w:val="21"/>
          <w:szCs w:val="22"/>
          <w:highlight w:val="none"/>
        </w:rPr>
        <w:t>治理</w:t>
      </w:r>
      <w:r>
        <w:rPr>
          <w:rFonts w:cs="Times New Roman"/>
          <w:b/>
          <w:bCs/>
          <w:color w:val="auto"/>
          <w:kern w:val="21"/>
          <w:szCs w:val="22"/>
          <w:highlight w:val="none"/>
        </w:rPr>
        <w:t>措施：</w:t>
      </w:r>
      <w:r>
        <w:rPr>
          <w:rFonts w:cs="Times New Roman"/>
          <w:color w:val="auto"/>
          <w:kern w:val="21"/>
          <w:szCs w:val="22"/>
          <w:highlight w:val="none"/>
        </w:rPr>
        <w:t>全厂共设置1套生产废水处理设施，为3级沉淀池（</w:t>
      </w:r>
      <w:r>
        <w:rPr>
          <w:rFonts w:cs="Times New Roman"/>
          <w:color w:val="auto"/>
          <w:highlight w:val="none"/>
        </w:rPr>
        <w:t>一级沉淀池有效容积1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、二级沉淀池有效容积1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、三级沉淀池有效容积1</w:t>
      </w:r>
      <w:r>
        <w:rPr>
          <w:rFonts w:hint="eastAsia" w:cs="Times New Roman"/>
          <w:color w:val="auto"/>
          <w:highlight w:val="none"/>
        </w:rPr>
        <w:t>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，其中一级沉淀池设计水力停留时间为5h、二级沉淀池设计水力停留时间为5h，三级沉淀池设计水力停留时间为5h，处理能力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w:t>
      </w:r>
      <w:r>
        <w:rPr>
          <w:rFonts w:cs="Times New Roman"/>
          <w:color w:val="auto"/>
          <w:kern w:val="21"/>
          <w:szCs w:val="22"/>
          <w:highlight w:val="none"/>
        </w:rPr>
        <w:t>），本项目选矿废水经三级沉淀池絮凝沉淀处理后，上清液进入清水池中，清水池内设置回水泵，作为选矿生产用水回用于</w:t>
      </w:r>
      <w:r>
        <w:rPr>
          <w:rFonts w:hint="eastAsia" w:cs="Times New Roman"/>
          <w:color w:val="auto"/>
          <w:kern w:val="21"/>
          <w:szCs w:val="22"/>
          <w:highlight w:val="none"/>
        </w:rPr>
        <w:t>湿式磨矿、浮选等工序</w:t>
      </w:r>
      <w:r>
        <w:rPr>
          <w:rFonts w:cs="Times New Roman"/>
          <w:color w:val="auto"/>
          <w:kern w:val="21"/>
          <w:szCs w:val="22"/>
          <w:highlight w:val="none"/>
        </w:rPr>
        <w:t>，不外排。</w:t>
      </w:r>
    </w:p>
    <w:p w14:paraId="20218275">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4）选矿废水事故排放预防措施如下：</w:t>
      </w:r>
    </w:p>
    <w:p w14:paraId="4096796D">
      <w:pPr>
        <w:overflowPunct w:val="0"/>
        <w:adjustRightInd w:val="0"/>
        <w:ind w:firstLine="480"/>
        <w:rPr>
          <w:rFonts w:cs="Times New Roman"/>
          <w:color w:val="auto"/>
          <w:kern w:val="21"/>
          <w:szCs w:val="22"/>
          <w:highlight w:val="none"/>
        </w:rPr>
      </w:pPr>
      <w:r>
        <w:rPr>
          <w:rFonts w:cs="Times New Roman"/>
          <w:color w:val="auto"/>
          <w:kern w:val="21"/>
          <w:szCs w:val="22"/>
          <w:highlight w:val="none"/>
        </w:rPr>
        <w:t>①本项目在实际运营过程中应加强对各种废水处理设施的运行管理，一旦发现隐患应当及时报告和排除，当出现废水事故排放时，立即停产将废水抽送至事故水池，组织人力抢修，排除故障，避免废水事故外排。本项目拟在厂内设置</w:t>
      </w:r>
      <w:r>
        <w:rPr>
          <w:rFonts w:hint="eastAsia" w:cs="Times New Roman"/>
          <w:color w:val="auto"/>
          <w:kern w:val="21"/>
          <w:szCs w:val="22"/>
          <w:highlight w:val="none"/>
        </w:rPr>
        <w:t>1</w:t>
      </w:r>
      <w:r>
        <w:rPr>
          <w:rFonts w:cs="Times New Roman"/>
          <w:color w:val="auto"/>
          <w:kern w:val="21"/>
          <w:szCs w:val="22"/>
          <w:highlight w:val="none"/>
        </w:rPr>
        <w:t>个事故应急水池（</w:t>
      </w:r>
      <w:r>
        <w:rPr>
          <w:rFonts w:hint="eastAsia" w:cs="Times New Roman"/>
          <w:color w:val="auto"/>
          <w:kern w:val="21"/>
          <w:szCs w:val="22"/>
          <w:highlight w:val="none"/>
        </w:rPr>
        <w:t>容积1020m</w:t>
      </w:r>
      <w:r>
        <w:rPr>
          <w:rFonts w:hint="eastAsia" w:cs="Times New Roman"/>
          <w:color w:val="auto"/>
          <w:kern w:val="21"/>
          <w:szCs w:val="22"/>
          <w:highlight w:val="none"/>
          <w:vertAlign w:val="superscript"/>
        </w:rPr>
        <w:t>3</w:t>
      </w:r>
      <w:r>
        <w:rPr>
          <w:rFonts w:hint="eastAsia" w:cs="Times New Roman"/>
          <w:color w:val="auto"/>
          <w:kern w:val="21"/>
          <w:szCs w:val="22"/>
          <w:highlight w:val="none"/>
        </w:rPr>
        <w:t>，</w:t>
      </w:r>
      <w:r>
        <w:rPr>
          <w:rFonts w:cs="Times New Roman"/>
          <w:color w:val="auto"/>
          <w:kern w:val="21"/>
          <w:szCs w:val="22"/>
          <w:highlight w:val="none"/>
        </w:rPr>
        <w:t>）收集事故状态下的废水，保证事故状态下废水不外排。</w:t>
      </w:r>
    </w:p>
    <w:p w14:paraId="67BD29E8">
      <w:pPr>
        <w:overflowPunct w:val="0"/>
        <w:adjustRightInd w:val="0"/>
        <w:ind w:firstLine="480"/>
        <w:rPr>
          <w:rFonts w:cs="Times New Roman"/>
          <w:color w:val="auto"/>
          <w:kern w:val="21"/>
          <w:szCs w:val="22"/>
          <w:highlight w:val="none"/>
        </w:rPr>
      </w:pPr>
      <w:r>
        <w:rPr>
          <w:rFonts w:cs="Times New Roman"/>
          <w:color w:val="auto"/>
          <w:kern w:val="21"/>
          <w:szCs w:val="22"/>
          <w:highlight w:val="none"/>
        </w:rPr>
        <w:t>②本项目各个池子的输水泵及清水池的回水泵均为</w:t>
      </w:r>
      <w:r>
        <w:rPr>
          <w:rFonts w:hint="eastAsia" w:cs="Times New Roman"/>
          <w:color w:val="auto"/>
          <w:kern w:val="21"/>
          <w:szCs w:val="22"/>
          <w:highlight w:val="none"/>
        </w:rPr>
        <w:t>“</w:t>
      </w:r>
      <w:r>
        <w:rPr>
          <w:rFonts w:cs="Times New Roman"/>
          <w:color w:val="auto"/>
          <w:kern w:val="21"/>
          <w:szCs w:val="22"/>
          <w:highlight w:val="none"/>
        </w:rPr>
        <w:t>一用一备</w:t>
      </w:r>
      <w:r>
        <w:rPr>
          <w:rFonts w:hint="eastAsia" w:cs="Times New Roman"/>
          <w:color w:val="auto"/>
          <w:kern w:val="21"/>
          <w:szCs w:val="22"/>
          <w:highlight w:val="none"/>
        </w:rPr>
        <w:t>”</w:t>
      </w:r>
      <w:r>
        <w:rPr>
          <w:rFonts w:cs="Times New Roman"/>
          <w:color w:val="auto"/>
          <w:kern w:val="21"/>
          <w:szCs w:val="22"/>
          <w:highlight w:val="none"/>
        </w:rPr>
        <w:t>，一旦水泵出现损坏，立即启用备用水泵，确保各个水池不因水泵损坏而溢流；</w:t>
      </w:r>
    </w:p>
    <w:p w14:paraId="5EFD84EB">
      <w:pPr>
        <w:overflowPunct w:val="0"/>
        <w:adjustRightInd w:val="0"/>
        <w:ind w:firstLine="480"/>
        <w:rPr>
          <w:rFonts w:cs="Times New Roman"/>
          <w:color w:val="auto"/>
          <w:kern w:val="21"/>
          <w:szCs w:val="22"/>
          <w:highlight w:val="none"/>
        </w:rPr>
      </w:pPr>
      <w:r>
        <w:rPr>
          <w:rFonts w:cs="Times New Roman"/>
          <w:color w:val="auto"/>
          <w:kern w:val="21"/>
          <w:szCs w:val="22"/>
          <w:highlight w:val="none"/>
        </w:rPr>
        <w:t>③本项目各废水收集池均为钢混结构，具有足够的稳固性，不易垮塌；雨季加强对废水沉淀池的巡检，若发生开裂变形需及时加固维修。</w:t>
      </w:r>
    </w:p>
    <w:p w14:paraId="3EE10AD5">
      <w:pPr>
        <w:overflowPunct w:val="0"/>
        <w:adjustRightInd w:val="0"/>
        <w:ind w:firstLine="480"/>
        <w:rPr>
          <w:rFonts w:cs="Times New Roman"/>
          <w:color w:val="auto"/>
          <w:kern w:val="21"/>
          <w:szCs w:val="22"/>
          <w:highlight w:val="none"/>
        </w:rPr>
      </w:pPr>
      <w:r>
        <w:rPr>
          <w:rFonts w:cs="Times New Roman"/>
          <w:color w:val="auto"/>
          <w:kern w:val="21"/>
          <w:szCs w:val="22"/>
          <w:highlight w:val="none"/>
        </w:rPr>
        <w:t>④公司管理人员应加强对应急水池的管理，应急水池在非事故状态下常年不得占用，保证在事故情况下将事故废水全部收集完毕，事故废水不得外排进入外环境中。选厂应对制定的相应防洪防汛事故应急救援预案，并定期进行演练，备足应急物资。防止废水收集池泄漏导致废水外排。</w:t>
      </w:r>
    </w:p>
    <w:p w14:paraId="5A695097">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（2）车辆冲洗废水</w:t>
      </w:r>
    </w:p>
    <w:p w14:paraId="15458813">
      <w:pPr>
        <w:overflowPunct w:val="0"/>
        <w:adjustRightInd w:val="0"/>
        <w:ind w:firstLine="482"/>
        <w:rPr>
          <w:rFonts w:cs="Times New Roman"/>
          <w:color w:val="auto"/>
          <w:kern w:val="21"/>
          <w:szCs w:val="22"/>
          <w:highlight w:val="none"/>
        </w:rPr>
      </w:pPr>
      <w:r>
        <w:rPr>
          <w:rFonts w:cs="Times New Roman"/>
          <w:b/>
          <w:bCs/>
          <w:color w:val="auto"/>
          <w:kern w:val="21"/>
          <w:szCs w:val="22"/>
          <w:highlight w:val="none"/>
        </w:rPr>
        <w:t>源强核算：</w:t>
      </w:r>
      <w:r>
        <w:rPr>
          <w:rFonts w:cs="Times New Roman"/>
          <w:color w:val="auto"/>
          <w:highlight w:val="none"/>
        </w:rPr>
        <w:t>本项目设置洗车平台1座，对运输车辆进行冲洗，以降低运输扬尘的产生，根据《四川省用水定额》（2021年）平均每辆运输车辆每次冲洗轮胎用水量为0.1m</w:t>
      </w:r>
      <w:r>
        <w:rPr>
          <w:rFonts w:cs="Times New Roman"/>
          <w:color w:val="auto"/>
          <w:highlight w:val="none"/>
          <w:vertAlign w:val="superscript"/>
        </w:rPr>
        <w:t>3</w:t>
      </w:r>
      <w:r>
        <w:rPr>
          <w:rFonts w:cs="Times New Roman"/>
          <w:color w:val="auto"/>
          <w:highlight w:val="none"/>
        </w:rPr>
        <w:t>。本项目年加工</w:t>
      </w:r>
      <w:r>
        <w:rPr>
          <w:rFonts w:hint="eastAsia" w:cs="Times New Roman"/>
          <w:color w:val="auto"/>
          <w:highlight w:val="none"/>
        </w:rPr>
        <w:t>36</w:t>
      </w:r>
      <w:r>
        <w:rPr>
          <w:rFonts w:cs="Times New Roman"/>
          <w:color w:val="auto"/>
          <w:highlight w:val="none"/>
        </w:rPr>
        <w:t>万吨锂辉石矿，运输车次合计约</w:t>
      </w:r>
      <w:r>
        <w:rPr>
          <w:rFonts w:hint="eastAsia" w:cs="Times New Roman"/>
          <w:color w:val="auto"/>
          <w:highlight w:val="none"/>
        </w:rPr>
        <w:t>14400</w:t>
      </w:r>
      <w:r>
        <w:rPr>
          <w:rFonts w:cs="Times New Roman"/>
          <w:color w:val="auto"/>
          <w:highlight w:val="none"/>
        </w:rPr>
        <w:t>次/年，因此本项目车辆冲洗用水量约为</w:t>
      </w:r>
      <w:r>
        <w:rPr>
          <w:rFonts w:hint="eastAsia" w:cs="Times New Roman"/>
          <w:color w:val="auto"/>
          <w:highlight w:val="none"/>
        </w:rPr>
        <w:t>1440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/a。本项目车辆冲洗废水产污系数按85%计，因此本项目车辆冲洗废水产生量为</w:t>
      </w:r>
      <w:r>
        <w:rPr>
          <w:rFonts w:hint="eastAsia" w:cs="Times New Roman"/>
          <w:color w:val="auto"/>
          <w:highlight w:val="none"/>
        </w:rPr>
        <w:t>1224</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/a（</w:t>
      </w:r>
      <w:r>
        <w:rPr>
          <w:rFonts w:hint="eastAsia" w:cs="Times New Roman"/>
          <w:color w:val="auto"/>
          <w:highlight w:val="none"/>
        </w:rPr>
        <w:t>4.08</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/d）</w:t>
      </w:r>
      <w:r>
        <w:rPr>
          <w:rFonts w:cs="Times New Roman"/>
          <w:color w:val="auto"/>
          <w:kern w:val="21"/>
          <w:szCs w:val="22"/>
          <w:highlight w:val="none"/>
        </w:rPr>
        <w:t>。</w:t>
      </w:r>
    </w:p>
    <w:p w14:paraId="278204DD">
      <w:pPr>
        <w:overflowPunct w:val="0"/>
        <w:adjustRightInd w:val="0"/>
        <w:ind w:firstLine="482"/>
        <w:rPr>
          <w:rFonts w:cs="Times New Roman"/>
          <w:color w:val="auto"/>
          <w:kern w:val="21"/>
          <w:szCs w:val="22"/>
          <w:highlight w:val="none"/>
        </w:rPr>
      </w:pPr>
      <w:r>
        <w:rPr>
          <w:rFonts w:hint="eastAsia" w:cs="Times New Roman"/>
          <w:b/>
          <w:bCs/>
          <w:color w:val="auto"/>
          <w:kern w:val="21"/>
          <w:szCs w:val="22"/>
          <w:highlight w:val="none"/>
        </w:rPr>
        <w:t>治理</w:t>
      </w:r>
      <w:r>
        <w:rPr>
          <w:rFonts w:cs="Times New Roman"/>
          <w:b/>
          <w:bCs/>
          <w:color w:val="auto"/>
          <w:kern w:val="21"/>
          <w:szCs w:val="22"/>
          <w:highlight w:val="none"/>
        </w:rPr>
        <w:t>措施：</w:t>
      </w:r>
      <w:r>
        <w:rPr>
          <w:rFonts w:cs="Times New Roman"/>
          <w:color w:val="auto"/>
          <w:kern w:val="21"/>
          <w:szCs w:val="22"/>
          <w:highlight w:val="none"/>
        </w:rPr>
        <w:t>本项目车辆冲洗废水经</w:t>
      </w:r>
      <w:r>
        <w:rPr>
          <w:rFonts w:hint="eastAsia" w:cs="Times New Roman"/>
          <w:color w:val="auto"/>
          <w:kern w:val="21"/>
          <w:szCs w:val="22"/>
          <w:highlight w:val="none"/>
        </w:rPr>
        <w:t>依托的乐山市沙湾区豪沐科技有限公司</w:t>
      </w:r>
      <w:r>
        <w:rPr>
          <w:rFonts w:cs="Times New Roman"/>
          <w:color w:val="auto"/>
          <w:kern w:val="21"/>
          <w:szCs w:val="22"/>
          <w:highlight w:val="none"/>
        </w:rPr>
        <w:t>沉淀池（5</w:t>
      </w:r>
      <w:r>
        <w:rPr>
          <w:rFonts w:hint="eastAsia" w:cs="Times New Roman"/>
          <w:color w:val="auto"/>
          <w:kern w:val="21"/>
          <w:szCs w:val="22"/>
          <w:highlight w:val="none"/>
        </w:rPr>
        <w:t>0</w:t>
      </w:r>
      <w:r>
        <w:rPr>
          <w:rFonts w:cs="Times New Roman"/>
          <w:color w:val="auto"/>
          <w:kern w:val="21"/>
          <w:szCs w:val="22"/>
          <w:highlight w:val="none"/>
        </w:rPr>
        <w:t>m</w:t>
      </w:r>
      <w:r>
        <w:rPr>
          <w:rFonts w:cs="Times New Roman"/>
          <w:color w:val="auto"/>
          <w:kern w:val="21"/>
          <w:szCs w:val="22"/>
          <w:highlight w:val="none"/>
          <w:vertAlign w:val="superscript"/>
        </w:rPr>
        <w:t>3</w:t>
      </w:r>
      <w:r>
        <w:rPr>
          <w:rFonts w:cs="Times New Roman"/>
          <w:color w:val="auto"/>
          <w:kern w:val="21"/>
          <w:szCs w:val="22"/>
          <w:highlight w:val="none"/>
        </w:rPr>
        <w:t>）处理后回用于车辆冲洗，不外排。</w:t>
      </w:r>
    </w:p>
    <w:p w14:paraId="42016275">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w:t>
      </w:r>
      <w:r>
        <w:rPr>
          <w:rFonts w:hint="eastAsia" w:cs="Times New Roman"/>
          <w:b/>
          <w:bCs/>
          <w:color w:val="auto"/>
          <w:kern w:val="21"/>
          <w:szCs w:val="22"/>
          <w:highlight w:val="none"/>
        </w:rPr>
        <w:t>二</w:t>
      </w:r>
      <w:r>
        <w:rPr>
          <w:rFonts w:cs="Times New Roman"/>
          <w:b/>
          <w:bCs/>
          <w:color w:val="auto"/>
          <w:kern w:val="21"/>
          <w:szCs w:val="22"/>
          <w:highlight w:val="none"/>
        </w:rPr>
        <w:t>）初期雨水</w:t>
      </w:r>
    </w:p>
    <w:p w14:paraId="4A2B09FB">
      <w:pPr>
        <w:overflowPunct w:val="0"/>
        <w:adjustRightInd w:val="0"/>
        <w:ind w:firstLine="482"/>
        <w:rPr>
          <w:rFonts w:cs="Times New Roman"/>
          <w:color w:val="auto"/>
          <w:kern w:val="21"/>
          <w:szCs w:val="22"/>
          <w:highlight w:val="none"/>
        </w:rPr>
      </w:pPr>
      <w:r>
        <w:rPr>
          <w:rFonts w:cs="Times New Roman"/>
          <w:b/>
          <w:bCs/>
          <w:color w:val="auto"/>
          <w:kern w:val="21"/>
          <w:szCs w:val="22"/>
          <w:highlight w:val="none"/>
        </w:rPr>
        <w:t>源强核算：</w:t>
      </w:r>
      <w:r>
        <w:rPr>
          <w:rFonts w:cs="Times New Roman"/>
          <w:color w:val="auto"/>
          <w:kern w:val="21"/>
          <w:szCs w:val="22"/>
          <w:highlight w:val="none"/>
        </w:rPr>
        <w:t>根据3.2.3章节计算，本项目初期雨水量为</w:t>
      </w:r>
      <w:r>
        <w:rPr>
          <w:rFonts w:hint="eastAsia" w:cs="Times New Roman"/>
          <w:color w:val="auto"/>
          <w:kern w:val="21"/>
          <w:szCs w:val="22"/>
          <w:highlight w:val="none"/>
        </w:rPr>
        <w:t>278.55</w:t>
      </w:r>
      <w:r>
        <w:rPr>
          <w:rFonts w:cs="Times New Roman"/>
          <w:color w:val="auto"/>
          <w:kern w:val="21"/>
          <w:szCs w:val="22"/>
          <w:highlight w:val="none"/>
        </w:rPr>
        <w:t>m</w:t>
      </w:r>
      <w:r>
        <w:rPr>
          <w:rFonts w:cs="Times New Roman"/>
          <w:color w:val="auto"/>
          <w:kern w:val="21"/>
          <w:szCs w:val="22"/>
          <w:highlight w:val="none"/>
          <w:vertAlign w:val="superscript"/>
        </w:rPr>
        <w:t>3</w:t>
      </w:r>
      <w:r>
        <w:rPr>
          <w:rFonts w:cs="Times New Roman"/>
          <w:color w:val="auto"/>
          <w:kern w:val="21"/>
          <w:szCs w:val="22"/>
          <w:highlight w:val="none"/>
        </w:rPr>
        <w:t>。</w:t>
      </w:r>
    </w:p>
    <w:p w14:paraId="702AB61A">
      <w:pPr>
        <w:overflowPunct w:val="0"/>
        <w:adjustRightInd w:val="0"/>
        <w:ind w:firstLine="482"/>
        <w:rPr>
          <w:rFonts w:cs="Times New Roman"/>
          <w:color w:val="auto"/>
          <w:kern w:val="21"/>
          <w:szCs w:val="22"/>
          <w:highlight w:val="none"/>
        </w:rPr>
      </w:pPr>
      <w:r>
        <w:rPr>
          <w:rFonts w:hint="eastAsia" w:cs="Times New Roman"/>
          <w:b/>
          <w:bCs/>
          <w:color w:val="auto"/>
          <w:kern w:val="21"/>
          <w:szCs w:val="22"/>
          <w:highlight w:val="none"/>
        </w:rPr>
        <w:t>治理措施</w:t>
      </w:r>
      <w:r>
        <w:rPr>
          <w:rFonts w:hint="eastAsia" w:cs="Times New Roman"/>
          <w:color w:val="auto"/>
          <w:kern w:val="21"/>
          <w:szCs w:val="22"/>
          <w:highlight w:val="none"/>
        </w:rPr>
        <w:t>：</w:t>
      </w:r>
      <w:r>
        <w:rPr>
          <w:rFonts w:cs="Times New Roman"/>
          <w:color w:val="auto"/>
          <w:kern w:val="21"/>
          <w:szCs w:val="22"/>
          <w:highlight w:val="none"/>
        </w:rPr>
        <w:t>厂区设置</w:t>
      </w:r>
      <w:r>
        <w:rPr>
          <w:rFonts w:hint="eastAsia" w:cs="Times New Roman"/>
          <w:color w:val="auto"/>
          <w:kern w:val="21"/>
          <w:szCs w:val="22"/>
          <w:highlight w:val="none"/>
        </w:rPr>
        <w:t>“</w:t>
      </w:r>
      <w:r>
        <w:rPr>
          <w:rFonts w:cs="Times New Roman"/>
          <w:color w:val="auto"/>
          <w:kern w:val="21"/>
          <w:szCs w:val="22"/>
          <w:highlight w:val="none"/>
        </w:rPr>
        <w:t>雨污分流、清污分流</w:t>
      </w:r>
      <w:r>
        <w:rPr>
          <w:rFonts w:hint="eastAsia" w:cs="Times New Roman"/>
          <w:color w:val="auto"/>
          <w:kern w:val="21"/>
          <w:szCs w:val="22"/>
          <w:highlight w:val="none"/>
        </w:rPr>
        <w:t>”</w:t>
      </w:r>
      <w:r>
        <w:rPr>
          <w:rFonts w:cs="Times New Roman"/>
          <w:color w:val="auto"/>
          <w:kern w:val="21"/>
          <w:szCs w:val="22"/>
          <w:highlight w:val="none"/>
        </w:rPr>
        <w:t>，车间外设置雨水收集沟。厂区雨水系统设置截留阀、转换闸门等系统，平时均设置为截留、转换进入初期雨水池，有效收集厂区初期雨水，15min后经人工打开闸门，将15min后的雨水切换进入雨水管网排放。初期雨水经雨水管道收集后汇入</w:t>
      </w:r>
      <w:r>
        <w:rPr>
          <w:rFonts w:hint="eastAsia" w:cs="Times New Roman"/>
          <w:color w:val="auto"/>
          <w:kern w:val="21"/>
          <w:szCs w:val="22"/>
          <w:highlight w:val="none"/>
        </w:rPr>
        <w:t>依托的乐山市沙湾区豪沐科技有限公司</w:t>
      </w:r>
      <w:r>
        <w:rPr>
          <w:rFonts w:cs="Times New Roman"/>
          <w:color w:val="auto"/>
          <w:kern w:val="21"/>
          <w:szCs w:val="22"/>
          <w:highlight w:val="none"/>
        </w:rPr>
        <w:t>初期雨</w:t>
      </w:r>
      <w:r>
        <w:rPr>
          <w:rFonts w:cs="Times New Roman"/>
          <w:color w:val="auto"/>
          <w:kern w:val="21"/>
          <w:szCs w:val="24"/>
          <w:highlight w:val="none"/>
        </w:rPr>
        <w:t>水池</w:t>
      </w:r>
      <w:r>
        <w:rPr>
          <w:rFonts w:cs="Times New Roman"/>
          <w:color w:val="auto"/>
          <w:kern w:val="21"/>
          <w:szCs w:val="22"/>
          <w:highlight w:val="none"/>
        </w:rPr>
        <w:t>（600m</w:t>
      </w:r>
      <w:r>
        <w:rPr>
          <w:rFonts w:cs="Times New Roman"/>
          <w:color w:val="auto"/>
          <w:kern w:val="21"/>
          <w:szCs w:val="22"/>
          <w:highlight w:val="none"/>
          <w:vertAlign w:val="superscript"/>
        </w:rPr>
        <w:t>3</w:t>
      </w:r>
      <w:r>
        <w:rPr>
          <w:rFonts w:cs="Times New Roman"/>
          <w:color w:val="auto"/>
          <w:kern w:val="21"/>
          <w:szCs w:val="22"/>
          <w:highlight w:val="none"/>
        </w:rPr>
        <w:t>）</w:t>
      </w:r>
      <w:r>
        <w:rPr>
          <w:rFonts w:cs="Times New Roman"/>
          <w:color w:val="auto"/>
          <w:kern w:val="21"/>
          <w:szCs w:val="24"/>
          <w:highlight w:val="none"/>
        </w:rPr>
        <w:t>沉淀后回用于生产补水或厂区洒水降尘，不外排。</w:t>
      </w:r>
    </w:p>
    <w:p w14:paraId="3198EE12">
      <w:pPr>
        <w:overflowPunct w:val="0"/>
        <w:adjustRightInd w:val="0"/>
        <w:ind w:firstLine="480"/>
        <w:rPr>
          <w:rFonts w:cs="Times New Roman"/>
          <w:color w:val="auto"/>
          <w:kern w:val="21"/>
          <w:szCs w:val="22"/>
          <w:highlight w:val="none"/>
        </w:rPr>
      </w:pPr>
      <w:r>
        <w:rPr>
          <w:rFonts w:cs="Times New Roman"/>
          <w:color w:val="auto"/>
          <w:kern w:val="21"/>
          <w:szCs w:val="22"/>
          <w:highlight w:val="none"/>
        </w:rPr>
        <w:t>项目设置合理的初期雨水收集、切换管控设施，严控初期雨水未经处理直接直排外环境。初期雨水收集系统要与一般性雨水收集管网相连，并在连接口设置切换阀，可以实现15分钟前的初期雨水进入污水管网，15分钟以后的雨水进入一般性雨水收集管网。</w:t>
      </w:r>
    </w:p>
    <w:p w14:paraId="52F1EE4C">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w:t>
      </w:r>
      <w:r>
        <w:rPr>
          <w:rFonts w:hint="eastAsia" w:cs="Times New Roman"/>
          <w:b/>
          <w:color w:val="auto"/>
          <w:kern w:val="21"/>
          <w:szCs w:val="22"/>
          <w:highlight w:val="none"/>
        </w:rPr>
        <w:t>三</w:t>
      </w:r>
      <w:r>
        <w:rPr>
          <w:rFonts w:cs="Times New Roman"/>
          <w:b/>
          <w:color w:val="auto"/>
          <w:kern w:val="21"/>
          <w:szCs w:val="22"/>
          <w:highlight w:val="none"/>
        </w:rPr>
        <w:t>）生活污水</w:t>
      </w:r>
      <w:r>
        <w:rPr>
          <w:rFonts w:hint="eastAsia" w:cs="Times New Roman"/>
          <w:b/>
          <w:color w:val="auto"/>
          <w:kern w:val="21"/>
          <w:szCs w:val="22"/>
          <w:highlight w:val="none"/>
        </w:rPr>
        <w:t>（含食堂废水）</w:t>
      </w:r>
    </w:p>
    <w:p w14:paraId="264FB792">
      <w:pPr>
        <w:overflowPunct w:val="0"/>
        <w:adjustRightInd w:val="0"/>
        <w:ind w:firstLine="482"/>
        <w:rPr>
          <w:rFonts w:cs="Times New Roman"/>
          <w:color w:val="auto"/>
          <w:kern w:val="21"/>
          <w:szCs w:val="22"/>
          <w:highlight w:val="none"/>
        </w:rPr>
      </w:pPr>
      <w:r>
        <w:rPr>
          <w:rFonts w:cs="Times New Roman"/>
          <w:b/>
          <w:bCs/>
          <w:color w:val="auto"/>
          <w:kern w:val="21"/>
          <w:szCs w:val="22"/>
          <w:highlight w:val="none"/>
        </w:rPr>
        <w:t>源强核算：</w:t>
      </w:r>
      <w:r>
        <w:rPr>
          <w:rFonts w:cs="Times New Roman"/>
          <w:color w:val="auto"/>
          <w:kern w:val="21"/>
          <w:szCs w:val="22"/>
          <w:highlight w:val="none"/>
        </w:rPr>
        <w:t>本项目劳动定员70人，参考《四川省用水定额》（川府函〔2021〕8号），嘉农镇人口约2.4万人，属于小型城市，员工生活用水量取160L（人·d），则本</w:t>
      </w:r>
      <w:r>
        <w:rPr>
          <w:rFonts w:cs="Times New Roman"/>
          <w:color w:val="auto"/>
          <w:kern w:val="21"/>
          <w:szCs w:val="24"/>
          <w:highlight w:val="none"/>
        </w:rPr>
        <w:t>项目</w:t>
      </w:r>
      <w:r>
        <w:rPr>
          <w:rFonts w:cs="Times New Roman"/>
          <w:color w:val="auto"/>
          <w:kern w:val="21"/>
          <w:szCs w:val="22"/>
          <w:highlight w:val="none"/>
        </w:rPr>
        <w:t>员工生活用水为11.2m</w:t>
      </w:r>
      <w:r>
        <w:rPr>
          <w:rFonts w:cs="Times New Roman"/>
          <w:color w:val="auto"/>
          <w:kern w:val="21"/>
          <w:szCs w:val="22"/>
          <w:highlight w:val="none"/>
          <w:vertAlign w:val="superscript"/>
        </w:rPr>
        <w:t>3</w:t>
      </w:r>
      <w:r>
        <w:rPr>
          <w:rFonts w:cs="Times New Roman"/>
          <w:color w:val="auto"/>
          <w:kern w:val="21"/>
          <w:szCs w:val="22"/>
          <w:highlight w:val="none"/>
        </w:rPr>
        <w:t>/d，</w:t>
      </w:r>
      <w:r>
        <w:rPr>
          <w:rFonts w:hint="eastAsia" w:cs="Times New Roman"/>
          <w:color w:val="auto"/>
          <w:kern w:val="21"/>
          <w:szCs w:val="22"/>
          <w:highlight w:val="none"/>
        </w:rPr>
        <w:t>3696</w:t>
      </w:r>
      <w:r>
        <w:rPr>
          <w:rFonts w:cs="Times New Roman"/>
          <w:color w:val="auto"/>
          <w:kern w:val="21"/>
          <w:szCs w:val="22"/>
          <w:highlight w:val="none"/>
        </w:rPr>
        <w:t>m</w:t>
      </w:r>
      <w:r>
        <w:rPr>
          <w:rFonts w:cs="Times New Roman"/>
          <w:color w:val="auto"/>
          <w:kern w:val="21"/>
          <w:szCs w:val="22"/>
          <w:highlight w:val="none"/>
          <w:vertAlign w:val="superscript"/>
        </w:rPr>
        <w:t>3</w:t>
      </w:r>
      <w:r>
        <w:rPr>
          <w:rFonts w:cs="Times New Roman"/>
          <w:color w:val="auto"/>
          <w:kern w:val="21"/>
          <w:szCs w:val="22"/>
          <w:highlight w:val="none"/>
        </w:rPr>
        <w:t>/a，污水排放系数按0.85计算，则员工生活污水</w:t>
      </w:r>
      <w:r>
        <w:rPr>
          <w:rFonts w:hint="eastAsia" w:cs="Times New Roman"/>
          <w:color w:val="auto"/>
          <w:kern w:val="21"/>
          <w:szCs w:val="22"/>
          <w:highlight w:val="none"/>
        </w:rPr>
        <w:t>（含食堂废水）</w:t>
      </w:r>
      <w:r>
        <w:rPr>
          <w:rFonts w:cs="Times New Roman"/>
          <w:color w:val="auto"/>
          <w:kern w:val="21"/>
          <w:szCs w:val="22"/>
          <w:highlight w:val="none"/>
        </w:rPr>
        <w:t>产生量为9.52m</w:t>
      </w:r>
      <w:r>
        <w:rPr>
          <w:rFonts w:cs="Times New Roman"/>
          <w:color w:val="auto"/>
          <w:kern w:val="21"/>
          <w:szCs w:val="22"/>
          <w:highlight w:val="none"/>
          <w:vertAlign w:val="superscript"/>
        </w:rPr>
        <w:t>3</w:t>
      </w:r>
      <w:r>
        <w:rPr>
          <w:rFonts w:cs="Times New Roman"/>
          <w:color w:val="auto"/>
          <w:kern w:val="21"/>
          <w:szCs w:val="22"/>
          <w:highlight w:val="none"/>
        </w:rPr>
        <w:t>/d（3141.6m</w:t>
      </w:r>
      <w:r>
        <w:rPr>
          <w:rFonts w:cs="Times New Roman"/>
          <w:color w:val="auto"/>
          <w:kern w:val="21"/>
          <w:szCs w:val="22"/>
          <w:highlight w:val="none"/>
          <w:vertAlign w:val="superscript"/>
        </w:rPr>
        <w:t>3</w:t>
      </w:r>
      <w:r>
        <w:rPr>
          <w:rFonts w:cs="Times New Roman"/>
          <w:color w:val="auto"/>
          <w:kern w:val="21"/>
          <w:szCs w:val="22"/>
          <w:highlight w:val="none"/>
        </w:rPr>
        <w:t>/a）。</w:t>
      </w:r>
    </w:p>
    <w:p w14:paraId="5B422D56">
      <w:pPr>
        <w:overflowPunct w:val="0"/>
        <w:adjustRightInd w:val="0"/>
        <w:ind w:firstLine="480"/>
        <w:rPr>
          <w:rFonts w:cs="Times New Roman"/>
          <w:color w:val="auto"/>
          <w:kern w:val="21"/>
          <w:szCs w:val="24"/>
          <w:highlight w:val="none"/>
        </w:rPr>
      </w:pPr>
      <w:r>
        <w:rPr>
          <w:rFonts w:cs="Times New Roman"/>
          <w:color w:val="auto"/>
          <w:kern w:val="21"/>
          <w:szCs w:val="24"/>
          <w:highlight w:val="none"/>
        </w:rPr>
        <w:t>参考《排放源统计调查产排污核算方法和系数手册》（公告2021年第24号）、《废水污染控制技术手册》（2013版），典型生活污水水质污染物浓度见下表。</w:t>
      </w:r>
    </w:p>
    <w:p w14:paraId="14D21928">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16</w:t>
      </w:r>
      <w:r>
        <w:rPr>
          <w:rFonts w:cs="Times New Roman"/>
          <w:color w:val="auto"/>
          <w:highlight w:val="none"/>
        </w:rPr>
        <w:fldChar w:fldCharType="end"/>
      </w:r>
      <w:r>
        <w:rPr>
          <w:rFonts w:cs="Times New Roman"/>
          <w:color w:val="auto"/>
          <w:highlight w:val="none"/>
        </w:rPr>
        <w:t>典型生活污水水质污染物浓度表</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195"/>
        <w:gridCol w:w="1435"/>
        <w:gridCol w:w="5148"/>
      </w:tblGrid>
      <w:tr w14:paraId="5BB8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 w:hRule="atLeast"/>
          <w:tblHeader/>
          <w:jc w:val="center"/>
        </w:trPr>
        <w:tc>
          <w:tcPr>
            <w:tcW w:w="435" w:type="pct"/>
            <w:vAlign w:val="center"/>
          </w:tcPr>
          <w:p w14:paraId="5B1BCFFF">
            <w:pPr>
              <w:pStyle w:val="69"/>
              <w:spacing w:before="65" w:after="65"/>
              <w:rPr>
                <w:rFonts w:cs="Times New Roman"/>
                <w:b/>
                <w:bCs w:val="0"/>
                <w:color w:val="auto"/>
                <w:highlight w:val="none"/>
              </w:rPr>
            </w:pPr>
            <w:r>
              <w:rPr>
                <w:rFonts w:cs="Times New Roman"/>
                <w:b/>
                <w:bCs w:val="0"/>
                <w:color w:val="auto"/>
                <w:highlight w:val="none"/>
              </w:rPr>
              <w:t>序号</w:t>
            </w:r>
          </w:p>
        </w:tc>
        <w:tc>
          <w:tcPr>
            <w:tcW w:w="701" w:type="pct"/>
            <w:vAlign w:val="center"/>
          </w:tcPr>
          <w:p w14:paraId="550759E1">
            <w:pPr>
              <w:pStyle w:val="69"/>
              <w:spacing w:before="65" w:after="65"/>
              <w:rPr>
                <w:rFonts w:cs="Times New Roman"/>
                <w:b/>
                <w:bCs w:val="0"/>
                <w:color w:val="auto"/>
                <w:highlight w:val="none"/>
              </w:rPr>
            </w:pPr>
            <w:r>
              <w:rPr>
                <w:rFonts w:cs="Times New Roman"/>
                <w:b/>
                <w:bCs w:val="0"/>
                <w:color w:val="auto"/>
                <w:highlight w:val="none"/>
              </w:rPr>
              <w:t>污染物</w:t>
            </w:r>
          </w:p>
        </w:tc>
        <w:tc>
          <w:tcPr>
            <w:tcW w:w="842" w:type="pct"/>
            <w:vAlign w:val="center"/>
          </w:tcPr>
          <w:p w14:paraId="160FEA54">
            <w:pPr>
              <w:pStyle w:val="69"/>
              <w:spacing w:before="65" w:after="65"/>
              <w:rPr>
                <w:rFonts w:cs="Times New Roman"/>
                <w:b/>
                <w:bCs w:val="0"/>
                <w:color w:val="auto"/>
                <w:highlight w:val="none"/>
              </w:rPr>
            </w:pPr>
            <w:r>
              <w:rPr>
                <w:rFonts w:cs="Times New Roman"/>
                <w:b/>
                <w:bCs w:val="0"/>
                <w:color w:val="auto"/>
                <w:highlight w:val="none"/>
              </w:rPr>
              <w:t>浓度（mg/L）</w:t>
            </w:r>
          </w:p>
        </w:tc>
        <w:tc>
          <w:tcPr>
            <w:tcW w:w="3021" w:type="pct"/>
            <w:vAlign w:val="center"/>
          </w:tcPr>
          <w:p w14:paraId="7B9D46F8">
            <w:pPr>
              <w:pStyle w:val="69"/>
              <w:spacing w:before="65" w:after="65"/>
              <w:rPr>
                <w:rFonts w:cs="Times New Roman"/>
                <w:b/>
                <w:bCs w:val="0"/>
                <w:color w:val="auto"/>
                <w:highlight w:val="none"/>
              </w:rPr>
            </w:pPr>
            <w:r>
              <w:rPr>
                <w:rFonts w:cs="Times New Roman"/>
                <w:b/>
                <w:bCs w:val="0"/>
                <w:color w:val="auto"/>
                <w:highlight w:val="none"/>
              </w:rPr>
              <w:t>数据来源</w:t>
            </w:r>
          </w:p>
        </w:tc>
      </w:tr>
      <w:tr w14:paraId="3F16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pct"/>
            <w:vAlign w:val="center"/>
          </w:tcPr>
          <w:p w14:paraId="518406B4">
            <w:pPr>
              <w:pStyle w:val="69"/>
              <w:spacing w:before="65" w:after="65"/>
              <w:rPr>
                <w:rFonts w:cs="Times New Roman"/>
                <w:color w:val="auto"/>
                <w:highlight w:val="none"/>
              </w:rPr>
            </w:pPr>
            <w:r>
              <w:rPr>
                <w:rFonts w:cs="Times New Roman"/>
                <w:color w:val="auto"/>
                <w:highlight w:val="none"/>
              </w:rPr>
              <w:t>1</w:t>
            </w:r>
          </w:p>
        </w:tc>
        <w:tc>
          <w:tcPr>
            <w:tcW w:w="701" w:type="pct"/>
            <w:vAlign w:val="center"/>
          </w:tcPr>
          <w:p w14:paraId="510209D8">
            <w:pPr>
              <w:pStyle w:val="69"/>
              <w:spacing w:before="65" w:after="65"/>
              <w:rPr>
                <w:rFonts w:cs="Times New Roman"/>
                <w:color w:val="auto"/>
                <w:highlight w:val="none"/>
              </w:rPr>
            </w:pPr>
            <w:r>
              <w:rPr>
                <w:rFonts w:cs="Times New Roman"/>
                <w:color w:val="auto"/>
                <w:highlight w:val="none"/>
              </w:rPr>
              <w:t>CODcr</w:t>
            </w:r>
          </w:p>
        </w:tc>
        <w:tc>
          <w:tcPr>
            <w:tcW w:w="842" w:type="pct"/>
            <w:vAlign w:val="center"/>
          </w:tcPr>
          <w:p w14:paraId="5640973B">
            <w:pPr>
              <w:pStyle w:val="69"/>
              <w:spacing w:before="65" w:after="65"/>
              <w:rPr>
                <w:rFonts w:cs="Times New Roman"/>
                <w:color w:val="auto"/>
                <w:highlight w:val="none"/>
              </w:rPr>
            </w:pPr>
            <w:r>
              <w:rPr>
                <w:rFonts w:cs="Times New Roman"/>
                <w:color w:val="auto"/>
                <w:highlight w:val="none"/>
              </w:rPr>
              <w:t>325</w:t>
            </w:r>
          </w:p>
        </w:tc>
        <w:tc>
          <w:tcPr>
            <w:tcW w:w="3021" w:type="pct"/>
            <w:vAlign w:val="center"/>
          </w:tcPr>
          <w:p w14:paraId="06F6A4A1">
            <w:pPr>
              <w:pStyle w:val="69"/>
              <w:spacing w:before="65" w:after="65"/>
              <w:rPr>
                <w:rFonts w:cs="Times New Roman"/>
                <w:color w:val="auto"/>
                <w:highlight w:val="none"/>
              </w:rPr>
            </w:pPr>
            <w:r>
              <w:rPr>
                <w:rFonts w:cs="Times New Roman"/>
                <w:color w:val="auto"/>
                <w:highlight w:val="none"/>
              </w:rPr>
              <w:t>《排放源统计调查产排污核算方法和系数手册》（公告2021年第24号）中</w:t>
            </w:r>
            <w:r>
              <w:rPr>
                <w:rFonts w:hint="eastAsia" w:cs="Times New Roman"/>
                <w:color w:val="auto"/>
                <w:highlight w:val="none"/>
              </w:rPr>
              <w:t>“</w:t>
            </w:r>
            <w:r>
              <w:rPr>
                <w:rFonts w:cs="Times New Roman"/>
                <w:color w:val="auto"/>
                <w:highlight w:val="none"/>
              </w:rPr>
              <w:t>生活源产排污核算系数手册</w:t>
            </w:r>
            <w:r>
              <w:rPr>
                <w:rFonts w:hint="eastAsia" w:cs="Times New Roman"/>
                <w:color w:val="auto"/>
                <w:highlight w:val="none"/>
              </w:rPr>
              <w:t>”</w:t>
            </w:r>
          </w:p>
        </w:tc>
      </w:tr>
      <w:tr w14:paraId="1595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5" w:type="pct"/>
            <w:vAlign w:val="center"/>
          </w:tcPr>
          <w:p w14:paraId="5896CC4D">
            <w:pPr>
              <w:pStyle w:val="69"/>
              <w:spacing w:before="65" w:after="65"/>
              <w:rPr>
                <w:rFonts w:cs="Times New Roman"/>
                <w:color w:val="auto"/>
                <w:highlight w:val="none"/>
              </w:rPr>
            </w:pPr>
            <w:r>
              <w:rPr>
                <w:rFonts w:cs="Times New Roman"/>
                <w:color w:val="auto"/>
                <w:highlight w:val="none"/>
              </w:rPr>
              <w:t>2</w:t>
            </w:r>
          </w:p>
        </w:tc>
        <w:tc>
          <w:tcPr>
            <w:tcW w:w="701" w:type="pct"/>
            <w:vAlign w:val="center"/>
          </w:tcPr>
          <w:p w14:paraId="2C287ADE">
            <w:pPr>
              <w:pStyle w:val="69"/>
              <w:spacing w:before="65" w:after="65"/>
              <w:rPr>
                <w:rFonts w:cs="Times New Roman"/>
                <w:color w:val="auto"/>
                <w:highlight w:val="none"/>
              </w:rPr>
            </w:pPr>
            <w:r>
              <w:rPr>
                <w:rFonts w:cs="Times New Roman"/>
                <w:color w:val="auto"/>
                <w:highlight w:val="none"/>
              </w:rPr>
              <w:t>BOD</w:t>
            </w:r>
            <w:r>
              <w:rPr>
                <w:rFonts w:cs="Times New Roman"/>
                <w:color w:val="auto"/>
                <w:highlight w:val="none"/>
                <w:vertAlign w:val="subscript"/>
              </w:rPr>
              <w:t>5</w:t>
            </w:r>
          </w:p>
        </w:tc>
        <w:tc>
          <w:tcPr>
            <w:tcW w:w="842" w:type="pct"/>
            <w:vAlign w:val="center"/>
          </w:tcPr>
          <w:p w14:paraId="27FE68C6">
            <w:pPr>
              <w:pStyle w:val="69"/>
              <w:spacing w:before="65" w:after="65"/>
              <w:rPr>
                <w:rFonts w:cs="Times New Roman"/>
                <w:color w:val="auto"/>
                <w:highlight w:val="none"/>
              </w:rPr>
            </w:pPr>
            <w:r>
              <w:rPr>
                <w:rFonts w:cs="Times New Roman"/>
                <w:color w:val="auto"/>
                <w:highlight w:val="none"/>
              </w:rPr>
              <w:t>220</w:t>
            </w:r>
          </w:p>
        </w:tc>
        <w:tc>
          <w:tcPr>
            <w:tcW w:w="3021" w:type="pct"/>
            <w:vMerge w:val="restart"/>
            <w:vAlign w:val="center"/>
          </w:tcPr>
          <w:p w14:paraId="66062A67">
            <w:pPr>
              <w:pStyle w:val="69"/>
              <w:spacing w:before="65" w:after="65"/>
              <w:rPr>
                <w:rFonts w:cs="Times New Roman"/>
                <w:color w:val="auto"/>
                <w:highlight w:val="none"/>
              </w:rPr>
            </w:pPr>
            <w:r>
              <w:rPr>
                <w:rFonts w:cs="Times New Roman"/>
                <w:color w:val="auto"/>
                <w:highlight w:val="none"/>
              </w:rPr>
              <w:t>《废水污染控制技术手册》（2013版）表1-1-1</w:t>
            </w:r>
          </w:p>
        </w:tc>
      </w:tr>
      <w:tr w14:paraId="36B77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vAlign w:val="center"/>
          </w:tcPr>
          <w:p w14:paraId="2559D129">
            <w:pPr>
              <w:pStyle w:val="69"/>
              <w:spacing w:before="65" w:after="65"/>
              <w:rPr>
                <w:rFonts w:cs="Times New Roman"/>
                <w:color w:val="auto"/>
                <w:highlight w:val="none"/>
              </w:rPr>
            </w:pPr>
            <w:r>
              <w:rPr>
                <w:rFonts w:cs="Times New Roman"/>
                <w:color w:val="auto"/>
                <w:highlight w:val="none"/>
              </w:rPr>
              <w:t>3</w:t>
            </w:r>
          </w:p>
        </w:tc>
        <w:tc>
          <w:tcPr>
            <w:tcW w:w="701" w:type="pct"/>
            <w:vAlign w:val="center"/>
          </w:tcPr>
          <w:p w14:paraId="01B9C8BF">
            <w:pPr>
              <w:pStyle w:val="69"/>
              <w:spacing w:before="65" w:after="65"/>
              <w:rPr>
                <w:rFonts w:cs="Times New Roman"/>
                <w:color w:val="auto"/>
                <w:highlight w:val="none"/>
              </w:rPr>
            </w:pPr>
            <w:r>
              <w:rPr>
                <w:rFonts w:cs="Times New Roman"/>
                <w:color w:val="auto"/>
                <w:highlight w:val="none"/>
              </w:rPr>
              <w:t>SS</w:t>
            </w:r>
          </w:p>
        </w:tc>
        <w:tc>
          <w:tcPr>
            <w:tcW w:w="842" w:type="pct"/>
            <w:vAlign w:val="center"/>
          </w:tcPr>
          <w:p w14:paraId="4F56F95D">
            <w:pPr>
              <w:pStyle w:val="69"/>
              <w:spacing w:before="65" w:after="65"/>
              <w:rPr>
                <w:rFonts w:cs="Times New Roman"/>
                <w:color w:val="auto"/>
                <w:highlight w:val="none"/>
              </w:rPr>
            </w:pPr>
            <w:r>
              <w:rPr>
                <w:rFonts w:cs="Times New Roman"/>
                <w:color w:val="auto"/>
                <w:highlight w:val="none"/>
              </w:rPr>
              <w:t>200</w:t>
            </w:r>
          </w:p>
        </w:tc>
        <w:tc>
          <w:tcPr>
            <w:tcW w:w="3021" w:type="pct"/>
            <w:vMerge w:val="continue"/>
            <w:vAlign w:val="center"/>
          </w:tcPr>
          <w:p w14:paraId="56A9448B">
            <w:pPr>
              <w:pStyle w:val="69"/>
              <w:spacing w:before="65" w:after="65"/>
              <w:rPr>
                <w:rFonts w:cs="Times New Roman"/>
                <w:color w:val="auto"/>
                <w:highlight w:val="none"/>
              </w:rPr>
            </w:pPr>
          </w:p>
        </w:tc>
      </w:tr>
      <w:tr w14:paraId="7C65A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35" w:type="pct"/>
            <w:vAlign w:val="center"/>
          </w:tcPr>
          <w:p w14:paraId="387FFE29">
            <w:pPr>
              <w:pStyle w:val="69"/>
              <w:spacing w:before="65" w:after="65"/>
              <w:rPr>
                <w:rFonts w:cs="Times New Roman"/>
                <w:color w:val="auto"/>
                <w:highlight w:val="none"/>
              </w:rPr>
            </w:pPr>
            <w:r>
              <w:rPr>
                <w:rFonts w:cs="Times New Roman"/>
                <w:color w:val="auto"/>
                <w:highlight w:val="none"/>
              </w:rPr>
              <w:t>4</w:t>
            </w:r>
          </w:p>
        </w:tc>
        <w:tc>
          <w:tcPr>
            <w:tcW w:w="701" w:type="pct"/>
            <w:vAlign w:val="center"/>
          </w:tcPr>
          <w:p w14:paraId="2146312E">
            <w:pPr>
              <w:pStyle w:val="69"/>
              <w:spacing w:before="65" w:after="65"/>
              <w:rPr>
                <w:rFonts w:cs="Times New Roman"/>
                <w:color w:val="auto"/>
                <w:highlight w:val="none"/>
              </w:rPr>
            </w:pPr>
            <w:r>
              <w:rPr>
                <w:rFonts w:cs="Times New Roman"/>
                <w:color w:val="auto"/>
                <w:highlight w:val="none"/>
              </w:rPr>
              <w:t>氨氮</w:t>
            </w:r>
          </w:p>
        </w:tc>
        <w:tc>
          <w:tcPr>
            <w:tcW w:w="842" w:type="pct"/>
            <w:vAlign w:val="center"/>
          </w:tcPr>
          <w:p w14:paraId="1CD973BA">
            <w:pPr>
              <w:pStyle w:val="69"/>
              <w:spacing w:before="65" w:after="65"/>
              <w:rPr>
                <w:rFonts w:cs="Times New Roman"/>
                <w:color w:val="auto"/>
                <w:highlight w:val="none"/>
              </w:rPr>
            </w:pPr>
            <w:r>
              <w:rPr>
                <w:rFonts w:cs="Times New Roman"/>
                <w:color w:val="auto"/>
                <w:highlight w:val="none"/>
              </w:rPr>
              <w:t>37.7</w:t>
            </w:r>
          </w:p>
        </w:tc>
        <w:tc>
          <w:tcPr>
            <w:tcW w:w="3021" w:type="pct"/>
            <w:vMerge w:val="restart"/>
            <w:vAlign w:val="center"/>
          </w:tcPr>
          <w:p w14:paraId="5D395B05">
            <w:pPr>
              <w:pStyle w:val="69"/>
              <w:spacing w:before="65" w:after="65"/>
              <w:rPr>
                <w:rFonts w:cs="Times New Roman"/>
                <w:color w:val="auto"/>
                <w:highlight w:val="none"/>
              </w:rPr>
            </w:pPr>
            <w:r>
              <w:rPr>
                <w:rFonts w:cs="Times New Roman"/>
                <w:color w:val="auto"/>
                <w:highlight w:val="none"/>
              </w:rPr>
              <w:t>《排放源统计调查产排污核算方法和系数手册》（公告2021年第24号）中</w:t>
            </w:r>
            <w:r>
              <w:rPr>
                <w:rFonts w:hint="eastAsia" w:cs="Times New Roman"/>
                <w:color w:val="auto"/>
                <w:highlight w:val="none"/>
              </w:rPr>
              <w:t>“</w:t>
            </w:r>
            <w:r>
              <w:rPr>
                <w:rFonts w:cs="Times New Roman"/>
                <w:color w:val="auto"/>
                <w:highlight w:val="none"/>
              </w:rPr>
              <w:t>生活源产排污核算系数手册</w:t>
            </w:r>
            <w:r>
              <w:rPr>
                <w:rFonts w:hint="eastAsia" w:cs="Times New Roman"/>
                <w:color w:val="auto"/>
                <w:highlight w:val="none"/>
              </w:rPr>
              <w:t>”</w:t>
            </w:r>
          </w:p>
        </w:tc>
      </w:tr>
      <w:tr w14:paraId="7E78F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5" w:type="pct"/>
            <w:vAlign w:val="center"/>
          </w:tcPr>
          <w:p w14:paraId="63DE7CDF">
            <w:pPr>
              <w:pStyle w:val="69"/>
              <w:spacing w:before="65" w:after="65"/>
              <w:rPr>
                <w:rFonts w:cs="Times New Roman"/>
                <w:color w:val="auto"/>
                <w:highlight w:val="none"/>
              </w:rPr>
            </w:pPr>
            <w:r>
              <w:rPr>
                <w:rFonts w:cs="Times New Roman"/>
                <w:color w:val="auto"/>
                <w:highlight w:val="none"/>
              </w:rPr>
              <w:t>5</w:t>
            </w:r>
          </w:p>
        </w:tc>
        <w:tc>
          <w:tcPr>
            <w:tcW w:w="701" w:type="pct"/>
            <w:vAlign w:val="center"/>
          </w:tcPr>
          <w:p w14:paraId="6969709E">
            <w:pPr>
              <w:pStyle w:val="69"/>
              <w:spacing w:before="65" w:after="65"/>
              <w:rPr>
                <w:rFonts w:cs="Times New Roman"/>
                <w:color w:val="auto"/>
                <w:highlight w:val="none"/>
              </w:rPr>
            </w:pPr>
            <w:r>
              <w:rPr>
                <w:rFonts w:cs="Times New Roman"/>
                <w:color w:val="auto"/>
                <w:highlight w:val="none"/>
              </w:rPr>
              <w:t>总磷</w:t>
            </w:r>
          </w:p>
        </w:tc>
        <w:tc>
          <w:tcPr>
            <w:tcW w:w="842" w:type="pct"/>
            <w:vAlign w:val="center"/>
          </w:tcPr>
          <w:p w14:paraId="0D125609">
            <w:pPr>
              <w:pStyle w:val="69"/>
              <w:spacing w:before="65" w:after="65"/>
              <w:rPr>
                <w:rFonts w:cs="Times New Roman"/>
                <w:color w:val="auto"/>
                <w:highlight w:val="none"/>
              </w:rPr>
            </w:pPr>
            <w:r>
              <w:rPr>
                <w:rFonts w:cs="Times New Roman"/>
                <w:color w:val="auto"/>
                <w:highlight w:val="none"/>
              </w:rPr>
              <w:t>4.28</w:t>
            </w:r>
          </w:p>
        </w:tc>
        <w:tc>
          <w:tcPr>
            <w:tcW w:w="3021" w:type="pct"/>
            <w:vMerge w:val="continue"/>
            <w:vAlign w:val="center"/>
          </w:tcPr>
          <w:p w14:paraId="137B5BAF">
            <w:pPr>
              <w:pStyle w:val="69"/>
              <w:spacing w:before="65" w:after="65"/>
              <w:rPr>
                <w:rFonts w:cs="Times New Roman"/>
                <w:color w:val="auto"/>
                <w:highlight w:val="none"/>
              </w:rPr>
            </w:pPr>
          </w:p>
        </w:tc>
      </w:tr>
    </w:tbl>
    <w:p w14:paraId="017BBB22">
      <w:pPr>
        <w:overflowPunct w:val="0"/>
        <w:adjustRightInd w:val="0"/>
        <w:ind w:firstLine="482"/>
        <w:rPr>
          <w:rFonts w:cs="Times New Roman"/>
          <w:bCs/>
          <w:color w:val="auto"/>
          <w:kern w:val="21"/>
          <w:szCs w:val="22"/>
          <w:highlight w:val="none"/>
        </w:rPr>
      </w:pPr>
      <w:r>
        <w:rPr>
          <w:rFonts w:hint="eastAsia" w:cs="Times New Roman"/>
          <w:b/>
          <w:bCs/>
          <w:color w:val="auto"/>
          <w:kern w:val="21"/>
          <w:szCs w:val="22"/>
          <w:highlight w:val="none"/>
        </w:rPr>
        <w:t>治理措施：</w:t>
      </w:r>
      <w:r>
        <w:rPr>
          <w:rFonts w:cs="Times New Roman"/>
          <w:color w:val="auto"/>
          <w:kern w:val="21"/>
          <w:szCs w:val="22"/>
          <w:highlight w:val="none"/>
        </w:rPr>
        <w:t>本项目</w:t>
      </w:r>
      <w:r>
        <w:rPr>
          <w:rFonts w:hint="eastAsia" w:cs="Times New Roman"/>
          <w:color w:val="auto"/>
          <w:kern w:val="21"/>
          <w:szCs w:val="22"/>
          <w:highlight w:val="none"/>
        </w:rPr>
        <w:t>食堂废水经隔油池（1m</w:t>
      </w:r>
      <w:r>
        <w:rPr>
          <w:rFonts w:hint="eastAsia" w:cs="Times New Roman"/>
          <w:color w:val="auto"/>
          <w:kern w:val="21"/>
          <w:szCs w:val="22"/>
          <w:highlight w:val="none"/>
          <w:vertAlign w:val="superscript"/>
        </w:rPr>
        <w:t>3</w:t>
      </w:r>
      <w:r>
        <w:rPr>
          <w:rFonts w:hint="eastAsia" w:cs="Times New Roman"/>
          <w:color w:val="auto"/>
          <w:kern w:val="21"/>
          <w:szCs w:val="22"/>
          <w:highlight w:val="none"/>
        </w:rPr>
        <w:t>）处理后与生活污水一同</w:t>
      </w:r>
      <w:r>
        <w:rPr>
          <w:rFonts w:cs="Times New Roman"/>
          <w:color w:val="auto"/>
          <w:kern w:val="21"/>
          <w:highlight w:val="none"/>
        </w:rPr>
        <w:t>经</w:t>
      </w:r>
      <w:r>
        <w:rPr>
          <w:rFonts w:hint="eastAsia" w:cs="Times New Roman"/>
          <w:color w:val="auto"/>
          <w:kern w:val="21"/>
          <w:highlight w:val="none"/>
        </w:rPr>
        <w:t>依托的乐山市沙湾区豪沐科技有限公司</w:t>
      </w:r>
      <w:r>
        <w:rPr>
          <w:rFonts w:cs="Times New Roman"/>
          <w:color w:val="auto"/>
          <w:kern w:val="21"/>
          <w:highlight w:val="none"/>
        </w:rPr>
        <w:t>预处理池（</w:t>
      </w:r>
      <w:r>
        <w:rPr>
          <w:rFonts w:hint="eastAsia" w:cs="Times New Roman"/>
          <w:color w:val="auto"/>
          <w:kern w:val="21"/>
          <w:highlight w:val="none"/>
        </w:rPr>
        <w:t>2</w:t>
      </w:r>
      <w:r>
        <w:rPr>
          <w:rFonts w:cs="Times New Roman"/>
          <w:color w:val="auto"/>
          <w:kern w:val="21"/>
          <w:highlight w:val="none"/>
        </w:rPr>
        <w:t>0m</w:t>
      </w:r>
      <w:r>
        <w:rPr>
          <w:rFonts w:cs="Times New Roman"/>
          <w:color w:val="auto"/>
          <w:kern w:val="21"/>
          <w:highlight w:val="none"/>
          <w:vertAlign w:val="superscript"/>
        </w:rPr>
        <w:t>3</w:t>
      </w:r>
      <w:r>
        <w:rPr>
          <w:rFonts w:cs="Times New Roman"/>
          <w:color w:val="auto"/>
          <w:kern w:val="21"/>
          <w:highlight w:val="none"/>
        </w:rPr>
        <w:t>）处理达</w:t>
      </w:r>
      <w:r>
        <w:rPr>
          <w:rFonts w:hint="eastAsia" w:cs="Times New Roman"/>
          <w:color w:val="auto"/>
          <w:kern w:val="21"/>
          <w:highlight w:val="none"/>
        </w:rPr>
        <w:t>“</w:t>
      </w:r>
      <w:r>
        <w:rPr>
          <w:rFonts w:cs="Times New Roman"/>
          <w:color w:val="auto"/>
          <w:kern w:val="21"/>
          <w:highlight w:val="none"/>
        </w:rPr>
        <w:t>乐山沙湾经济开发区污水处理厂设计进水水质标准</w:t>
      </w:r>
      <w:r>
        <w:rPr>
          <w:rFonts w:hint="eastAsia" w:cs="Times New Roman"/>
          <w:color w:val="auto"/>
          <w:kern w:val="21"/>
          <w:highlight w:val="none"/>
        </w:rPr>
        <w:t>”</w:t>
      </w:r>
      <w:r>
        <w:rPr>
          <w:rFonts w:cs="Times New Roman"/>
          <w:color w:val="auto"/>
          <w:kern w:val="21"/>
          <w:highlight w:val="none"/>
        </w:rPr>
        <w:t>后依托园区污水管网排入乐山沙湾经济开发区污水处理厂处理</w:t>
      </w:r>
      <w:r>
        <w:rPr>
          <w:rFonts w:cs="Times New Roman"/>
          <w:bCs/>
          <w:color w:val="auto"/>
          <w:kern w:val="21"/>
          <w:szCs w:val="22"/>
          <w:highlight w:val="none"/>
        </w:rPr>
        <w:t>。</w:t>
      </w:r>
    </w:p>
    <w:p w14:paraId="02C6B73C">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17</w:t>
      </w:r>
      <w:r>
        <w:rPr>
          <w:rFonts w:cs="Times New Roman"/>
          <w:color w:val="auto"/>
          <w:highlight w:val="none"/>
        </w:rPr>
        <w:fldChar w:fldCharType="end"/>
      </w:r>
      <w:r>
        <w:rPr>
          <w:rFonts w:cs="Times New Roman"/>
          <w:bCs/>
          <w:color w:val="auto"/>
          <w:kern w:val="21"/>
          <w:szCs w:val="21"/>
          <w:highlight w:val="none"/>
        </w:rPr>
        <w:t>运营期废水污染物产生及排放情况</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6"/>
        <w:gridCol w:w="1077"/>
        <w:gridCol w:w="1555"/>
        <w:gridCol w:w="1068"/>
        <w:gridCol w:w="931"/>
        <w:gridCol w:w="898"/>
        <w:gridCol w:w="852"/>
        <w:gridCol w:w="852"/>
        <w:gridCol w:w="852"/>
      </w:tblGrid>
      <w:tr w14:paraId="24E730F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2" w:hRule="atLeast"/>
          <w:tblHeader/>
          <w:jc w:val="center"/>
        </w:trPr>
        <w:tc>
          <w:tcPr>
            <w:tcW w:w="1797" w:type="pct"/>
            <w:gridSpan w:val="3"/>
            <w:tcBorders>
              <w:bottom w:val="single" w:color="auto" w:sz="6" w:space="0"/>
              <w:right w:val="single" w:color="auto" w:sz="6" w:space="0"/>
            </w:tcBorders>
            <w:vAlign w:val="center"/>
          </w:tcPr>
          <w:p w14:paraId="1C702EE6">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废水性质</w:t>
            </w:r>
          </w:p>
        </w:tc>
        <w:tc>
          <w:tcPr>
            <w:tcW w:w="626" w:type="pct"/>
            <w:tcBorders>
              <w:left w:val="single" w:color="auto" w:sz="6" w:space="0"/>
              <w:bottom w:val="single" w:color="auto" w:sz="6" w:space="0"/>
              <w:right w:val="single" w:color="auto" w:sz="6" w:space="0"/>
            </w:tcBorders>
            <w:vAlign w:val="center"/>
          </w:tcPr>
          <w:p w14:paraId="16C3F214">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废水量（m</w:t>
            </w:r>
            <w:r>
              <w:rPr>
                <w:rFonts w:cs="Times New Roman"/>
                <w:b/>
                <w:color w:val="auto"/>
                <w:kern w:val="21"/>
                <w:sz w:val="21"/>
                <w:highlight w:val="none"/>
                <w:vertAlign w:val="superscript"/>
              </w:rPr>
              <w:t>3</w:t>
            </w:r>
            <w:r>
              <w:rPr>
                <w:rFonts w:cs="Times New Roman"/>
                <w:b/>
                <w:color w:val="auto"/>
                <w:kern w:val="21"/>
                <w:sz w:val="21"/>
                <w:highlight w:val="none"/>
              </w:rPr>
              <w:t>/a）</w:t>
            </w:r>
          </w:p>
        </w:tc>
        <w:tc>
          <w:tcPr>
            <w:tcW w:w="546" w:type="pct"/>
            <w:tcBorders>
              <w:left w:val="single" w:color="auto" w:sz="6" w:space="0"/>
              <w:bottom w:val="single" w:color="auto" w:sz="6" w:space="0"/>
              <w:right w:val="single" w:color="auto" w:sz="6" w:space="0"/>
            </w:tcBorders>
            <w:vAlign w:val="center"/>
          </w:tcPr>
          <w:p w14:paraId="762A9D27">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vertAlign w:val="subscript"/>
              </w:rPr>
            </w:pPr>
            <w:r>
              <w:rPr>
                <w:rFonts w:cs="Times New Roman"/>
                <w:b/>
                <w:color w:val="auto"/>
                <w:kern w:val="21"/>
                <w:sz w:val="21"/>
                <w:highlight w:val="none"/>
              </w:rPr>
              <w:t>COD</w:t>
            </w:r>
          </w:p>
        </w:tc>
        <w:tc>
          <w:tcPr>
            <w:tcW w:w="527" w:type="pct"/>
            <w:tcBorders>
              <w:left w:val="single" w:color="auto" w:sz="6" w:space="0"/>
              <w:bottom w:val="single" w:color="auto" w:sz="6" w:space="0"/>
              <w:right w:val="single" w:color="auto" w:sz="6" w:space="0"/>
            </w:tcBorders>
            <w:vAlign w:val="center"/>
          </w:tcPr>
          <w:p w14:paraId="5BDBC5FC">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vertAlign w:val="subscript"/>
              </w:rPr>
            </w:pPr>
            <w:r>
              <w:rPr>
                <w:rFonts w:cs="Times New Roman"/>
                <w:b/>
                <w:color w:val="auto"/>
                <w:kern w:val="21"/>
                <w:sz w:val="21"/>
                <w:highlight w:val="none"/>
              </w:rPr>
              <w:t>BOD</w:t>
            </w:r>
            <w:r>
              <w:rPr>
                <w:rFonts w:cs="Times New Roman"/>
                <w:b/>
                <w:color w:val="auto"/>
                <w:kern w:val="21"/>
                <w:sz w:val="21"/>
                <w:highlight w:val="none"/>
                <w:vertAlign w:val="subscript"/>
              </w:rPr>
              <w:t>5</w:t>
            </w:r>
          </w:p>
        </w:tc>
        <w:tc>
          <w:tcPr>
            <w:tcW w:w="500" w:type="pct"/>
            <w:tcBorders>
              <w:left w:val="single" w:color="auto" w:sz="6" w:space="0"/>
              <w:bottom w:val="single" w:color="auto" w:sz="6" w:space="0"/>
              <w:right w:val="single" w:color="auto" w:sz="6" w:space="0"/>
            </w:tcBorders>
            <w:vAlign w:val="center"/>
          </w:tcPr>
          <w:p w14:paraId="19472A7E">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SS</w:t>
            </w:r>
          </w:p>
        </w:tc>
        <w:tc>
          <w:tcPr>
            <w:tcW w:w="500" w:type="pct"/>
            <w:tcBorders>
              <w:left w:val="single" w:color="auto" w:sz="6" w:space="0"/>
              <w:bottom w:val="single" w:color="auto" w:sz="6" w:space="0"/>
              <w:right w:val="single" w:color="auto" w:sz="6" w:space="0"/>
            </w:tcBorders>
            <w:vAlign w:val="center"/>
          </w:tcPr>
          <w:p w14:paraId="5A35E45C">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氨氮</w:t>
            </w:r>
          </w:p>
        </w:tc>
        <w:tc>
          <w:tcPr>
            <w:tcW w:w="500" w:type="pct"/>
            <w:tcBorders>
              <w:left w:val="single" w:color="auto" w:sz="6" w:space="0"/>
              <w:bottom w:val="single" w:color="auto" w:sz="6" w:space="0"/>
            </w:tcBorders>
            <w:vAlign w:val="center"/>
          </w:tcPr>
          <w:p w14:paraId="60868D4A">
            <w:pPr>
              <w:widowControl/>
              <w:overflowPunct w:val="0"/>
              <w:adjustRightInd w:val="0"/>
              <w:spacing w:before="65" w:beforeLines="20" w:after="65"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总磷</w:t>
            </w:r>
          </w:p>
        </w:tc>
      </w:tr>
      <w:tr w14:paraId="0ED5BF6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55" w:hRule="atLeast"/>
          <w:jc w:val="center"/>
        </w:trPr>
        <w:tc>
          <w:tcPr>
            <w:tcW w:w="255" w:type="pct"/>
            <w:vMerge w:val="restart"/>
            <w:tcBorders>
              <w:top w:val="single" w:color="auto" w:sz="6" w:space="0"/>
              <w:bottom w:val="single" w:color="auto" w:sz="6" w:space="0"/>
              <w:right w:val="single" w:color="auto" w:sz="6" w:space="0"/>
            </w:tcBorders>
            <w:vAlign w:val="center"/>
          </w:tcPr>
          <w:p w14:paraId="544F435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生活污水</w:t>
            </w:r>
          </w:p>
        </w:tc>
        <w:tc>
          <w:tcPr>
            <w:tcW w:w="631" w:type="pct"/>
            <w:vMerge w:val="restart"/>
            <w:tcBorders>
              <w:top w:val="single" w:color="auto" w:sz="6" w:space="0"/>
              <w:left w:val="single" w:color="auto" w:sz="6" w:space="0"/>
              <w:bottom w:val="single" w:color="auto" w:sz="6" w:space="0"/>
              <w:right w:val="single" w:color="auto" w:sz="6" w:space="0"/>
            </w:tcBorders>
            <w:vAlign w:val="center"/>
          </w:tcPr>
          <w:p w14:paraId="7FD7038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预处理池处理前</w:t>
            </w:r>
          </w:p>
        </w:tc>
        <w:tc>
          <w:tcPr>
            <w:tcW w:w="910" w:type="pct"/>
            <w:tcBorders>
              <w:top w:val="single" w:color="auto" w:sz="6" w:space="0"/>
              <w:left w:val="single" w:color="auto" w:sz="6" w:space="0"/>
              <w:bottom w:val="single" w:color="auto" w:sz="6" w:space="0"/>
              <w:right w:val="single" w:color="auto" w:sz="6" w:space="0"/>
            </w:tcBorders>
            <w:vAlign w:val="center"/>
          </w:tcPr>
          <w:p w14:paraId="76AEF7E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浓度（mg/L）</w:t>
            </w:r>
          </w:p>
        </w:tc>
        <w:tc>
          <w:tcPr>
            <w:tcW w:w="626" w:type="pct"/>
            <w:vMerge w:val="restart"/>
            <w:tcBorders>
              <w:top w:val="single" w:color="auto" w:sz="6" w:space="0"/>
              <w:left w:val="single" w:color="auto" w:sz="6" w:space="0"/>
              <w:bottom w:val="single" w:color="auto" w:sz="6" w:space="0"/>
              <w:right w:val="single" w:color="auto" w:sz="6" w:space="0"/>
            </w:tcBorders>
            <w:vAlign w:val="center"/>
          </w:tcPr>
          <w:p w14:paraId="3168689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3141.6</w:t>
            </w:r>
          </w:p>
        </w:tc>
        <w:tc>
          <w:tcPr>
            <w:tcW w:w="546" w:type="pct"/>
            <w:tcBorders>
              <w:top w:val="single" w:color="auto" w:sz="6" w:space="0"/>
              <w:left w:val="single" w:color="auto" w:sz="6" w:space="0"/>
              <w:bottom w:val="single" w:color="auto" w:sz="6" w:space="0"/>
              <w:right w:val="single" w:color="auto" w:sz="6" w:space="0"/>
            </w:tcBorders>
            <w:vAlign w:val="center"/>
          </w:tcPr>
          <w:p w14:paraId="0D81AB2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325</w:t>
            </w:r>
          </w:p>
        </w:tc>
        <w:tc>
          <w:tcPr>
            <w:tcW w:w="527" w:type="pct"/>
            <w:tcBorders>
              <w:top w:val="single" w:color="auto" w:sz="6" w:space="0"/>
              <w:left w:val="single" w:color="auto" w:sz="6" w:space="0"/>
              <w:bottom w:val="single" w:color="auto" w:sz="6" w:space="0"/>
              <w:right w:val="single" w:color="auto" w:sz="6" w:space="0"/>
            </w:tcBorders>
            <w:vAlign w:val="center"/>
          </w:tcPr>
          <w:p w14:paraId="428F840E">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220</w:t>
            </w:r>
          </w:p>
        </w:tc>
        <w:tc>
          <w:tcPr>
            <w:tcW w:w="500" w:type="pct"/>
            <w:tcBorders>
              <w:top w:val="single" w:color="auto" w:sz="6" w:space="0"/>
              <w:left w:val="single" w:color="auto" w:sz="6" w:space="0"/>
              <w:bottom w:val="single" w:color="auto" w:sz="6" w:space="0"/>
              <w:right w:val="single" w:color="auto" w:sz="6" w:space="0"/>
            </w:tcBorders>
            <w:vAlign w:val="center"/>
          </w:tcPr>
          <w:p w14:paraId="16C9F038">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200</w:t>
            </w:r>
          </w:p>
        </w:tc>
        <w:tc>
          <w:tcPr>
            <w:tcW w:w="500" w:type="pct"/>
            <w:tcBorders>
              <w:top w:val="single" w:color="auto" w:sz="6" w:space="0"/>
              <w:left w:val="single" w:color="auto" w:sz="6" w:space="0"/>
              <w:bottom w:val="single" w:color="auto" w:sz="6" w:space="0"/>
              <w:right w:val="single" w:color="auto" w:sz="6" w:space="0"/>
            </w:tcBorders>
            <w:vAlign w:val="center"/>
          </w:tcPr>
          <w:p w14:paraId="5C1153B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37.7</w:t>
            </w:r>
          </w:p>
        </w:tc>
        <w:tc>
          <w:tcPr>
            <w:tcW w:w="500" w:type="pct"/>
            <w:tcBorders>
              <w:top w:val="single" w:color="auto" w:sz="6" w:space="0"/>
              <w:left w:val="single" w:color="auto" w:sz="6" w:space="0"/>
              <w:bottom w:val="single" w:color="auto" w:sz="6" w:space="0"/>
            </w:tcBorders>
            <w:vAlign w:val="center"/>
          </w:tcPr>
          <w:p w14:paraId="1FC6206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4.28</w:t>
            </w:r>
          </w:p>
        </w:tc>
      </w:tr>
      <w:tr w14:paraId="0DEF02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5" w:type="pct"/>
            <w:vMerge w:val="continue"/>
            <w:tcBorders>
              <w:top w:val="single" w:color="auto" w:sz="6" w:space="0"/>
              <w:bottom w:val="single" w:color="auto" w:sz="6" w:space="0"/>
              <w:right w:val="single" w:color="auto" w:sz="6" w:space="0"/>
            </w:tcBorders>
            <w:vAlign w:val="center"/>
          </w:tcPr>
          <w:p w14:paraId="391B82F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631" w:type="pct"/>
            <w:vMerge w:val="continue"/>
            <w:tcBorders>
              <w:top w:val="single" w:color="auto" w:sz="6" w:space="0"/>
              <w:left w:val="single" w:color="auto" w:sz="6" w:space="0"/>
              <w:bottom w:val="single" w:color="auto" w:sz="6" w:space="0"/>
              <w:right w:val="single" w:color="auto" w:sz="6" w:space="0"/>
            </w:tcBorders>
            <w:vAlign w:val="center"/>
          </w:tcPr>
          <w:p w14:paraId="6F7B32D0">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10" w:type="pct"/>
            <w:tcBorders>
              <w:top w:val="single" w:color="auto" w:sz="6" w:space="0"/>
              <w:left w:val="single" w:color="auto" w:sz="6" w:space="0"/>
              <w:bottom w:val="single" w:color="auto" w:sz="6" w:space="0"/>
              <w:right w:val="single" w:color="auto" w:sz="6" w:space="0"/>
            </w:tcBorders>
            <w:vAlign w:val="center"/>
          </w:tcPr>
          <w:p w14:paraId="6459388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产生量（t/a）</w:t>
            </w:r>
          </w:p>
        </w:tc>
        <w:tc>
          <w:tcPr>
            <w:tcW w:w="626" w:type="pct"/>
            <w:vMerge w:val="continue"/>
            <w:tcBorders>
              <w:top w:val="single" w:color="auto" w:sz="6" w:space="0"/>
              <w:left w:val="single" w:color="auto" w:sz="6" w:space="0"/>
              <w:bottom w:val="single" w:color="auto" w:sz="6" w:space="0"/>
              <w:right w:val="single" w:color="auto" w:sz="6" w:space="0"/>
            </w:tcBorders>
            <w:vAlign w:val="center"/>
          </w:tcPr>
          <w:p w14:paraId="4DDB0463">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31" w:type="dxa"/>
            <w:tcBorders>
              <w:top w:val="single" w:color="auto" w:sz="6" w:space="0"/>
              <w:left w:val="single" w:color="auto" w:sz="6" w:space="0"/>
              <w:bottom w:val="single" w:color="auto" w:sz="6" w:space="0"/>
              <w:right w:val="single" w:color="auto" w:sz="6" w:space="0"/>
            </w:tcBorders>
            <w:vAlign w:val="center"/>
          </w:tcPr>
          <w:p w14:paraId="66442646">
            <w:pPr>
              <w:pStyle w:val="69"/>
              <w:spacing w:before="65" w:after="65"/>
              <w:rPr>
                <w:color w:val="auto"/>
                <w:highlight w:val="none"/>
              </w:rPr>
            </w:pPr>
            <w:r>
              <w:rPr>
                <w:rFonts w:hint="eastAsia"/>
                <w:color w:val="auto"/>
                <w:highlight w:val="none"/>
              </w:rPr>
              <w:t>1.021</w:t>
            </w:r>
          </w:p>
        </w:tc>
        <w:tc>
          <w:tcPr>
            <w:tcW w:w="898" w:type="dxa"/>
            <w:tcBorders>
              <w:top w:val="single" w:color="auto" w:sz="6" w:space="0"/>
              <w:left w:val="single" w:color="auto" w:sz="6" w:space="0"/>
              <w:bottom w:val="single" w:color="auto" w:sz="6" w:space="0"/>
              <w:right w:val="single" w:color="auto" w:sz="6" w:space="0"/>
            </w:tcBorders>
            <w:vAlign w:val="center"/>
          </w:tcPr>
          <w:p w14:paraId="5F7D433D">
            <w:pPr>
              <w:pStyle w:val="69"/>
              <w:spacing w:before="65" w:after="65"/>
              <w:rPr>
                <w:color w:val="auto"/>
                <w:highlight w:val="none"/>
              </w:rPr>
            </w:pPr>
            <w:r>
              <w:rPr>
                <w:rFonts w:hint="eastAsia"/>
                <w:color w:val="auto"/>
                <w:highlight w:val="none"/>
              </w:rPr>
              <w:t>0.691</w:t>
            </w:r>
          </w:p>
        </w:tc>
        <w:tc>
          <w:tcPr>
            <w:tcW w:w="853" w:type="dxa"/>
            <w:tcBorders>
              <w:top w:val="single" w:color="auto" w:sz="6" w:space="0"/>
              <w:left w:val="single" w:color="auto" w:sz="6" w:space="0"/>
              <w:bottom w:val="single" w:color="auto" w:sz="6" w:space="0"/>
              <w:right w:val="single" w:color="auto" w:sz="6" w:space="0"/>
            </w:tcBorders>
            <w:vAlign w:val="center"/>
          </w:tcPr>
          <w:p w14:paraId="63896602">
            <w:pPr>
              <w:pStyle w:val="69"/>
              <w:spacing w:before="65" w:after="65"/>
              <w:rPr>
                <w:color w:val="auto"/>
                <w:highlight w:val="none"/>
              </w:rPr>
            </w:pPr>
            <w:r>
              <w:rPr>
                <w:rFonts w:hint="eastAsia"/>
                <w:color w:val="auto"/>
                <w:highlight w:val="none"/>
              </w:rPr>
              <w:t>0.628</w:t>
            </w:r>
          </w:p>
        </w:tc>
        <w:tc>
          <w:tcPr>
            <w:tcW w:w="853" w:type="dxa"/>
            <w:tcBorders>
              <w:top w:val="single" w:color="auto" w:sz="6" w:space="0"/>
              <w:left w:val="single" w:color="auto" w:sz="6" w:space="0"/>
              <w:bottom w:val="single" w:color="auto" w:sz="6" w:space="0"/>
              <w:right w:val="single" w:color="auto" w:sz="6" w:space="0"/>
            </w:tcBorders>
            <w:vAlign w:val="center"/>
          </w:tcPr>
          <w:p w14:paraId="291B3551">
            <w:pPr>
              <w:pStyle w:val="69"/>
              <w:spacing w:before="65" w:after="65"/>
              <w:rPr>
                <w:color w:val="auto"/>
                <w:highlight w:val="none"/>
              </w:rPr>
            </w:pPr>
            <w:r>
              <w:rPr>
                <w:rFonts w:hint="eastAsia"/>
                <w:color w:val="auto"/>
                <w:highlight w:val="none"/>
              </w:rPr>
              <w:t>0.118</w:t>
            </w:r>
          </w:p>
        </w:tc>
        <w:tc>
          <w:tcPr>
            <w:tcW w:w="853" w:type="dxa"/>
            <w:tcBorders>
              <w:top w:val="single" w:color="auto" w:sz="6" w:space="0"/>
              <w:left w:val="single" w:color="auto" w:sz="6" w:space="0"/>
              <w:bottom w:val="single" w:color="auto" w:sz="6" w:space="0"/>
            </w:tcBorders>
            <w:vAlign w:val="center"/>
          </w:tcPr>
          <w:p w14:paraId="13D92F0F">
            <w:pPr>
              <w:pStyle w:val="69"/>
              <w:spacing w:before="65" w:after="65"/>
              <w:rPr>
                <w:color w:val="auto"/>
                <w:highlight w:val="none"/>
              </w:rPr>
            </w:pPr>
            <w:r>
              <w:rPr>
                <w:rFonts w:hint="eastAsia"/>
                <w:color w:val="auto"/>
                <w:highlight w:val="none"/>
              </w:rPr>
              <w:t>0.013</w:t>
            </w:r>
          </w:p>
        </w:tc>
      </w:tr>
      <w:tr w14:paraId="3673128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5" w:type="pct"/>
            <w:vMerge w:val="continue"/>
            <w:tcBorders>
              <w:top w:val="single" w:color="auto" w:sz="6" w:space="0"/>
              <w:right w:val="single" w:color="auto" w:sz="6" w:space="0"/>
            </w:tcBorders>
            <w:vAlign w:val="center"/>
          </w:tcPr>
          <w:p w14:paraId="2544AC7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631" w:type="pct"/>
            <w:vMerge w:val="restart"/>
            <w:tcBorders>
              <w:top w:val="single" w:color="auto" w:sz="6" w:space="0"/>
              <w:left w:val="single" w:color="auto" w:sz="6" w:space="0"/>
              <w:right w:val="single" w:color="auto" w:sz="6" w:space="0"/>
            </w:tcBorders>
            <w:vAlign w:val="center"/>
          </w:tcPr>
          <w:p w14:paraId="5698F9C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预处理池处理后</w:t>
            </w:r>
          </w:p>
        </w:tc>
        <w:tc>
          <w:tcPr>
            <w:tcW w:w="910" w:type="pct"/>
            <w:tcBorders>
              <w:top w:val="single" w:color="auto" w:sz="6" w:space="0"/>
              <w:left w:val="single" w:color="auto" w:sz="6" w:space="0"/>
              <w:bottom w:val="single" w:color="auto" w:sz="6" w:space="0"/>
              <w:right w:val="single" w:color="auto" w:sz="6" w:space="0"/>
            </w:tcBorders>
            <w:vAlign w:val="center"/>
          </w:tcPr>
          <w:p w14:paraId="45B2B84F">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浓度（mg/L）</w:t>
            </w:r>
          </w:p>
        </w:tc>
        <w:tc>
          <w:tcPr>
            <w:tcW w:w="626" w:type="pct"/>
            <w:vMerge w:val="restart"/>
            <w:tcBorders>
              <w:top w:val="single" w:color="auto" w:sz="6" w:space="0"/>
              <w:left w:val="single" w:color="auto" w:sz="6" w:space="0"/>
              <w:right w:val="single" w:color="auto" w:sz="6" w:space="0"/>
            </w:tcBorders>
            <w:vAlign w:val="center"/>
          </w:tcPr>
          <w:p w14:paraId="74557BF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3141.6</w:t>
            </w:r>
          </w:p>
        </w:tc>
        <w:tc>
          <w:tcPr>
            <w:tcW w:w="546" w:type="pct"/>
            <w:tcBorders>
              <w:top w:val="single" w:color="auto" w:sz="6" w:space="0"/>
              <w:left w:val="single" w:color="auto" w:sz="6" w:space="0"/>
              <w:bottom w:val="single" w:color="auto" w:sz="6" w:space="0"/>
              <w:right w:val="single" w:color="auto" w:sz="6" w:space="0"/>
            </w:tcBorders>
            <w:vAlign w:val="center"/>
          </w:tcPr>
          <w:p w14:paraId="0E80FD89">
            <w:pPr>
              <w:pStyle w:val="69"/>
              <w:spacing w:before="65" w:after="65"/>
              <w:rPr>
                <w:rFonts w:cs="Times New Roman"/>
                <w:color w:val="auto"/>
                <w:highlight w:val="none"/>
              </w:rPr>
            </w:pPr>
            <w:r>
              <w:rPr>
                <w:rFonts w:cs="Times New Roman"/>
                <w:color w:val="auto"/>
                <w:highlight w:val="none"/>
              </w:rPr>
              <w:t>300</w:t>
            </w:r>
          </w:p>
        </w:tc>
        <w:tc>
          <w:tcPr>
            <w:tcW w:w="527" w:type="pct"/>
            <w:tcBorders>
              <w:top w:val="single" w:color="auto" w:sz="6" w:space="0"/>
              <w:left w:val="single" w:color="auto" w:sz="6" w:space="0"/>
              <w:bottom w:val="single" w:color="auto" w:sz="6" w:space="0"/>
              <w:right w:val="single" w:color="auto" w:sz="6" w:space="0"/>
            </w:tcBorders>
            <w:vAlign w:val="center"/>
          </w:tcPr>
          <w:p w14:paraId="058B25BF">
            <w:pPr>
              <w:pStyle w:val="69"/>
              <w:spacing w:before="65" w:after="65"/>
              <w:rPr>
                <w:rFonts w:cs="Times New Roman"/>
                <w:color w:val="auto"/>
                <w:highlight w:val="none"/>
              </w:rPr>
            </w:pPr>
            <w:r>
              <w:rPr>
                <w:rFonts w:cs="Times New Roman"/>
                <w:color w:val="auto"/>
                <w:highlight w:val="none"/>
              </w:rPr>
              <w:t>150</w:t>
            </w:r>
          </w:p>
        </w:tc>
        <w:tc>
          <w:tcPr>
            <w:tcW w:w="500" w:type="pct"/>
            <w:tcBorders>
              <w:top w:val="single" w:color="auto" w:sz="6" w:space="0"/>
              <w:left w:val="single" w:color="auto" w:sz="6" w:space="0"/>
              <w:bottom w:val="single" w:color="auto" w:sz="6" w:space="0"/>
              <w:right w:val="single" w:color="auto" w:sz="6" w:space="0"/>
            </w:tcBorders>
            <w:vAlign w:val="center"/>
          </w:tcPr>
          <w:p w14:paraId="4633D3F9">
            <w:pPr>
              <w:pStyle w:val="69"/>
              <w:spacing w:before="65" w:after="65"/>
              <w:rPr>
                <w:rFonts w:cs="Times New Roman"/>
                <w:color w:val="auto"/>
                <w:highlight w:val="none"/>
              </w:rPr>
            </w:pPr>
            <w:r>
              <w:rPr>
                <w:rFonts w:cs="Times New Roman"/>
                <w:color w:val="auto"/>
                <w:highlight w:val="none"/>
              </w:rPr>
              <w:t>200</w:t>
            </w:r>
          </w:p>
        </w:tc>
        <w:tc>
          <w:tcPr>
            <w:tcW w:w="500" w:type="pct"/>
            <w:tcBorders>
              <w:top w:val="single" w:color="auto" w:sz="6" w:space="0"/>
              <w:left w:val="single" w:color="auto" w:sz="6" w:space="0"/>
              <w:bottom w:val="single" w:color="auto" w:sz="6" w:space="0"/>
              <w:right w:val="single" w:color="auto" w:sz="6" w:space="0"/>
            </w:tcBorders>
            <w:vAlign w:val="center"/>
          </w:tcPr>
          <w:p w14:paraId="4D57CB27">
            <w:pPr>
              <w:pStyle w:val="69"/>
              <w:spacing w:before="65" w:after="65"/>
              <w:rPr>
                <w:rFonts w:cs="Times New Roman"/>
                <w:color w:val="auto"/>
                <w:highlight w:val="none"/>
              </w:rPr>
            </w:pPr>
            <w:r>
              <w:rPr>
                <w:rFonts w:cs="Times New Roman"/>
                <w:color w:val="auto"/>
                <w:highlight w:val="none"/>
              </w:rPr>
              <w:t>25</w:t>
            </w:r>
          </w:p>
        </w:tc>
        <w:tc>
          <w:tcPr>
            <w:tcW w:w="500" w:type="pct"/>
            <w:tcBorders>
              <w:top w:val="single" w:color="auto" w:sz="6" w:space="0"/>
              <w:left w:val="single" w:color="auto" w:sz="6" w:space="0"/>
              <w:bottom w:val="single" w:color="auto" w:sz="6" w:space="0"/>
            </w:tcBorders>
            <w:vAlign w:val="center"/>
          </w:tcPr>
          <w:p w14:paraId="3C196CE3">
            <w:pPr>
              <w:pStyle w:val="69"/>
              <w:spacing w:before="65" w:after="65"/>
              <w:rPr>
                <w:rFonts w:cs="Times New Roman"/>
                <w:color w:val="auto"/>
                <w:highlight w:val="none"/>
              </w:rPr>
            </w:pPr>
            <w:r>
              <w:rPr>
                <w:rFonts w:cs="Times New Roman"/>
                <w:color w:val="auto"/>
                <w:highlight w:val="none"/>
              </w:rPr>
              <w:t>3.5</w:t>
            </w:r>
          </w:p>
        </w:tc>
      </w:tr>
      <w:tr w14:paraId="210AC3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60" w:hRule="atLeast"/>
          <w:jc w:val="center"/>
        </w:trPr>
        <w:tc>
          <w:tcPr>
            <w:tcW w:w="255" w:type="pct"/>
            <w:vMerge w:val="continue"/>
            <w:tcBorders>
              <w:bottom w:val="single" w:color="auto" w:sz="6" w:space="0"/>
              <w:right w:val="single" w:color="auto" w:sz="6" w:space="0"/>
            </w:tcBorders>
            <w:vAlign w:val="center"/>
          </w:tcPr>
          <w:p w14:paraId="779A017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631" w:type="pct"/>
            <w:vMerge w:val="continue"/>
            <w:tcBorders>
              <w:left w:val="single" w:color="auto" w:sz="6" w:space="0"/>
              <w:bottom w:val="single" w:color="auto" w:sz="6" w:space="0"/>
              <w:right w:val="single" w:color="auto" w:sz="6" w:space="0"/>
            </w:tcBorders>
            <w:vAlign w:val="center"/>
          </w:tcPr>
          <w:p w14:paraId="6A36C57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10" w:type="pct"/>
            <w:tcBorders>
              <w:top w:val="single" w:color="auto" w:sz="6" w:space="0"/>
              <w:left w:val="single" w:color="auto" w:sz="6" w:space="0"/>
              <w:bottom w:val="single" w:color="auto" w:sz="6" w:space="0"/>
              <w:right w:val="single" w:color="auto" w:sz="6" w:space="0"/>
            </w:tcBorders>
            <w:vAlign w:val="center"/>
          </w:tcPr>
          <w:p w14:paraId="52431A1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排放量（t/a）</w:t>
            </w:r>
          </w:p>
        </w:tc>
        <w:tc>
          <w:tcPr>
            <w:tcW w:w="626" w:type="pct"/>
            <w:vMerge w:val="continue"/>
            <w:tcBorders>
              <w:left w:val="single" w:color="auto" w:sz="6" w:space="0"/>
              <w:bottom w:val="single" w:color="auto" w:sz="6" w:space="0"/>
              <w:right w:val="single" w:color="auto" w:sz="6" w:space="0"/>
            </w:tcBorders>
            <w:vAlign w:val="center"/>
          </w:tcPr>
          <w:p w14:paraId="734D8BDF">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31" w:type="dxa"/>
            <w:tcBorders>
              <w:top w:val="single" w:color="auto" w:sz="6" w:space="0"/>
              <w:left w:val="single" w:color="auto" w:sz="6" w:space="0"/>
              <w:bottom w:val="single" w:color="auto" w:sz="6" w:space="0"/>
              <w:right w:val="single" w:color="auto" w:sz="6" w:space="0"/>
            </w:tcBorders>
            <w:vAlign w:val="center"/>
          </w:tcPr>
          <w:p w14:paraId="00FBD2D7">
            <w:pPr>
              <w:pStyle w:val="69"/>
              <w:spacing w:before="65" w:after="65"/>
              <w:rPr>
                <w:color w:val="auto"/>
                <w:highlight w:val="none"/>
              </w:rPr>
            </w:pPr>
            <w:r>
              <w:rPr>
                <w:rFonts w:hint="eastAsia"/>
                <w:color w:val="auto"/>
                <w:highlight w:val="none"/>
              </w:rPr>
              <w:t>0.942</w:t>
            </w:r>
          </w:p>
        </w:tc>
        <w:tc>
          <w:tcPr>
            <w:tcW w:w="898" w:type="dxa"/>
            <w:tcBorders>
              <w:top w:val="single" w:color="auto" w:sz="6" w:space="0"/>
              <w:left w:val="single" w:color="auto" w:sz="6" w:space="0"/>
              <w:bottom w:val="single" w:color="auto" w:sz="6" w:space="0"/>
              <w:right w:val="single" w:color="auto" w:sz="6" w:space="0"/>
            </w:tcBorders>
            <w:vAlign w:val="center"/>
          </w:tcPr>
          <w:p w14:paraId="57D43A13">
            <w:pPr>
              <w:pStyle w:val="69"/>
              <w:spacing w:before="65" w:after="65"/>
              <w:rPr>
                <w:color w:val="auto"/>
                <w:highlight w:val="none"/>
              </w:rPr>
            </w:pPr>
            <w:r>
              <w:rPr>
                <w:rFonts w:hint="eastAsia"/>
                <w:color w:val="auto"/>
                <w:highlight w:val="none"/>
              </w:rPr>
              <w:t>0.471</w:t>
            </w:r>
          </w:p>
        </w:tc>
        <w:tc>
          <w:tcPr>
            <w:tcW w:w="853" w:type="dxa"/>
            <w:tcBorders>
              <w:top w:val="single" w:color="auto" w:sz="6" w:space="0"/>
              <w:left w:val="single" w:color="auto" w:sz="6" w:space="0"/>
              <w:bottom w:val="single" w:color="auto" w:sz="6" w:space="0"/>
              <w:right w:val="single" w:color="auto" w:sz="6" w:space="0"/>
            </w:tcBorders>
            <w:vAlign w:val="center"/>
          </w:tcPr>
          <w:p w14:paraId="03C4DF0C">
            <w:pPr>
              <w:pStyle w:val="69"/>
              <w:spacing w:before="65" w:after="65"/>
              <w:rPr>
                <w:color w:val="auto"/>
                <w:highlight w:val="none"/>
              </w:rPr>
            </w:pPr>
            <w:r>
              <w:rPr>
                <w:rFonts w:hint="eastAsia"/>
                <w:color w:val="auto"/>
                <w:highlight w:val="none"/>
              </w:rPr>
              <w:t>0.628</w:t>
            </w:r>
          </w:p>
        </w:tc>
        <w:tc>
          <w:tcPr>
            <w:tcW w:w="853" w:type="dxa"/>
            <w:tcBorders>
              <w:top w:val="single" w:color="auto" w:sz="6" w:space="0"/>
              <w:left w:val="single" w:color="auto" w:sz="6" w:space="0"/>
              <w:bottom w:val="single" w:color="auto" w:sz="6" w:space="0"/>
              <w:right w:val="single" w:color="auto" w:sz="6" w:space="0"/>
            </w:tcBorders>
            <w:vAlign w:val="center"/>
          </w:tcPr>
          <w:p w14:paraId="32AD7CC4">
            <w:pPr>
              <w:pStyle w:val="69"/>
              <w:spacing w:before="65" w:after="65"/>
              <w:rPr>
                <w:color w:val="auto"/>
                <w:highlight w:val="none"/>
              </w:rPr>
            </w:pPr>
            <w:r>
              <w:rPr>
                <w:rFonts w:hint="eastAsia"/>
                <w:color w:val="auto"/>
                <w:highlight w:val="none"/>
              </w:rPr>
              <w:t>0.079</w:t>
            </w:r>
          </w:p>
        </w:tc>
        <w:tc>
          <w:tcPr>
            <w:tcW w:w="853" w:type="dxa"/>
            <w:tcBorders>
              <w:top w:val="single" w:color="auto" w:sz="6" w:space="0"/>
              <w:left w:val="single" w:color="auto" w:sz="6" w:space="0"/>
              <w:bottom w:val="single" w:color="auto" w:sz="6" w:space="0"/>
            </w:tcBorders>
            <w:vAlign w:val="center"/>
          </w:tcPr>
          <w:p w14:paraId="449847E4">
            <w:pPr>
              <w:pStyle w:val="69"/>
              <w:spacing w:before="65" w:after="65"/>
              <w:rPr>
                <w:color w:val="auto"/>
                <w:highlight w:val="none"/>
              </w:rPr>
            </w:pPr>
            <w:r>
              <w:rPr>
                <w:rFonts w:hint="eastAsia"/>
                <w:color w:val="auto"/>
                <w:highlight w:val="none"/>
              </w:rPr>
              <w:t>0.011</w:t>
            </w:r>
          </w:p>
        </w:tc>
      </w:tr>
      <w:tr w14:paraId="125517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9" w:hRule="atLeast"/>
          <w:jc w:val="center"/>
        </w:trPr>
        <w:tc>
          <w:tcPr>
            <w:tcW w:w="886" w:type="pct"/>
            <w:gridSpan w:val="2"/>
            <w:vMerge w:val="restart"/>
            <w:tcBorders>
              <w:top w:val="single" w:color="auto" w:sz="6" w:space="0"/>
              <w:right w:val="single" w:color="auto" w:sz="6" w:space="0"/>
            </w:tcBorders>
            <w:vAlign w:val="center"/>
          </w:tcPr>
          <w:p w14:paraId="3504995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厂区总排口</w:t>
            </w:r>
          </w:p>
        </w:tc>
        <w:tc>
          <w:tcPr>
            <w:tcW w:w="910" w:type="pct"/>
            <w:tcBorders>
              <w:top w:val="single" w:color="auto" w:sz="6" w:space="0"/>
              <w:left w:val="single" w:color="auto" w:sz="6" w:space="0"/>
              <w:bottom w:val="single" w:color="auto" w:sz="6" w:space="0"/>
              <w:right w:val="single" w:color="auto" w:sz="6" w:space="0"/>
            </w:tcBorders>
            <w:vAlign w:val="center"/>
          </w:tcPr>
          <w:p w14:paraId="0C7C148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浓度（mg/L）</w:t>
            </w:r>
          </w:p>
        </w:tc>
        <w:tc>
          <w:tcPr>
            <w:tcW w:w="626" w:type="pct"/>
            <w:vMerge w:val="restart"/>
            <w:tcBorders>
              <w:top w:val="single" w:color="auto" w:sz="6" w:space="0"/>
              <w:left w:val="single" w:color="auto" w:sz="6" w:space="0"/>
              <w:right w:val="single" w:color="auto" w:sz="6" w:space="0"/>
            </w:tcBorders>
            <w:vAlign w:val="center"/>
          </w:tcPr>
          <w:p w14:paraId="0F2C11B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3141.6</w:t>
            </w:r>
          </w:p>
        </w:tc>
        <w:tc>
          <w:tcPr>
            <w:tcW w:w="546" w:type="pct"/>
            <w:tcBorders>
              <w:top w:val="single" w:color="auto" w:sz="6" w:space="0"/>
              <w:left w:val="single" w:color="auto" w:sz="6" w:space="0"/>
              <w:bottom w:val="single" w:color="auto" w:sz="6" w:space="0"/>
              <w:right w:val="single" w:color="auto" w:sz="6" w:space="0"/>
            </w:tcBorders>
            <w:vAlign w:val="center"/>
          </w:tcPr>
          <w:p w14:paraId="28AFE2A2">
            <w:pPr>
              <w:pStyle w:val="69"/>
              <w:spacing w:before="65" w:after="65"/>
              <w:rPr>
                <w:rFonts w:cs="Times New Roman"/>
                <w:color w:val="auto"/>
                <w:highlight w:val="none"/>
              </w:rPr>
            </w:pPr>
            <w:r>
              <w:rPr>
                <w:rFonts w:cs="Times New Roman"/>
                <w:color w:val="auto"/>
                <w:highlight w:val="none"/>
              </w:rPr>
              <w:t>300</w:t>
            </w:r>
          </w:p>
        </w:tc>
        <w:tc>
          <w:tcPr>
            <w:tcW w:w="527" w:type="pct"/>
            <w:tcBorders>
              <w:top w:val="single" w:color="auto" w:sz="6" w:space="0"/>
              <w:left w:val="single" w:color="auto" w:sz="6" w:space="0"/>
              <w:bottom w:val="single" w:color="auto" w:sz="6" w:space="0"/>
              <w:right w:val="single" w:color="auto" w:sz="6" w:space="0"/>
            </w:tcBorders>
            <w:vAlign w:val="center"/>
          </w:tcPr>
          <w:p w14:paraId="7E963C30">
            <w:pPr>
              <w:pStyle w:val="69"/>
              <w:spacing w:before="65" w:after="65"/>
              <w:rPr>
                <w:rFonts w:cs="Times New Roman"/>
                <w:color w:val="auto"/>
                <w:highlight w:val="none"/>
              </w:rPr>
            </w:pPr>
            <w:r>
              <w:rPr>
                <w:rFonts w:cs="Times New Roman"/>
                <w:color w:val="auto"/>
                <w:highlight w:val="none"/>
              </w:rPr>
              <w:t>150</w:t>
            </w:r>
          </w:p>
        </w:tc>
        <w:tc>
          <w:tcPr>
            <w:tcW w:w="500" w:type="pct"/>
            <w:tcBorders>
              <w:top w:val="single" w:color="auto" w:sz="6" w:space="0"/>
              <w:left w:val="single" w:color="auto" w:sz="6" w:space="0"/>
              <w:bottom w:val="single" w:color="auto" w:sz="6" w:space="0"/>
              <w:right w:val="single" w:color="auto" w:sz="6" w:space="0"/>
            </w:tcBorders>
            <w:vAlign w:val="center"/>
          </w:tcPr>
          <w:p w14:paraId="648FE762">
            <w:pPr>
              <w:pStyle w:val="69"/>
              <w:spacing w:before="65" w:after="65"/>
              <w:rPr>
                <w:rFonts w:cs="Times New Roman"/>
                <w:color w:val="auto"/>
                <w:highlight w:val="none"/>
              </w:rPr>
            </w:pPr>
            <w:r>
              <w:rPr>
                <w:rFonts w:cs="Times New Roman"/>
                <w:color w:val="auto"/>
                <w:highlight w:val="none"/>
              </w:rPr>
              <w:t>200</w:t>
            </w:r>
          </w:p>
        </w:tc>
        <w:tc>
          <w:tcPr>
            <w:tcW w:w="907" w:type="dxa"/>
            <w:tcBorders>
              <w:top w:val="single" w:color="auto" w:sz="6" w:space="0"/>
              <w:left w:val="single" w:color="auto" w:sz="6" w:space="0"/>
              <w:bottom w:val="single" w:color="auto" w:sz="6" w:space="0"/>
              <w:right w:val="single" w:color="auto" w:sz="6" w:space="0"/>
            </w:tcBorders>
            <w:vAlign w:val="center"/>
          </w:tcPr>
          <w:p w14:paraId="7FAC94CE">
            <w:pPr>
              <w:pStyle w:val="69"/>
              <w:spacing w:before="65" w:after="65"/>
              <w:rPr>
                <w:rFonts w:cs="Times New Roman"/>
                <w:color w:val="auto"/>
                <w:highlight w:val="none"/>
              </w:rPr>
            </w:pPr>
            <w:r>
              <w:rPr>
                <w:rFonts w:cs="Times New Roman"/>
                <w:color w:val="auto"/>
                <w:highlight w:val="none"/>
              </w:rPr>
              <w:t>25</w:t>
            </w:r>
          </w:p>
        </w:tc>
        <w:tc>
          <w:tcPr>
            <w:tcW w:w="500" w:type="pct"/>
            <w:tcBorders>
              <w:top w:val="single" w:color="auto" w:sz="6" w:space="0"/>
              <w:left w:val="single" w:color="auto" w:sz="6" w:space="0"/>
              <w:bottom w:val="single" w:color="auto" w:sz="6" w:space="0"/>
            </w:tcBorders>
            <w:vAlign w:val="center"/>
          </w:tcPr>
          <w:p w14:paraId="1AD5ACDB">
            <w:pPr>
              <w:pStyle w:val="69"/>
              <w:spacing w:before="65" w:after="65"/>
              <w:rPr>
                <w:rFonts w:cs="Times New Roman"/>
                <w:color w:val="auto"/>
                <w:highlight w:val="none"/>
              </w:rPr>
            </w:pPr>
            <w:r>
              <w:rPr>
                <w:rFonts w:cs="Times New Roman"/>
                <w:color w:val="auto"/>
                <w:highlight w:val="none"/>
              </w:rPr>
              <w:t>3.5</w:t>
            </w:r>
          </w:p>
        </w:tc>
      </w:tr>
      <w:tr w14:paraId="72F3CC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86" w:type="pct"/>
            <w:gridSpan w:val="2"/>
            <w:vMerge w:val="continue"/>
            <w:tcBorders>
              <w:bottom w:val="single" w:color="auto" w:sz="6" w:space="0"/>
              <w:right w:val="single" w:color="auto" w:sz="6" w:space="0"/>
            </w:tcBorders>
            <w:vAlign w:val="center"/>
          </w:tcPr>
          <w:p w14:paraId="6573E12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10" w:type="pct"/>
            <w:tcBorders>
              <w:top w:val="single" w:color="auto" w:sz="6" w:space="0"/>
              <w:left w:val="single" w:color="auto" w:sz="6" w:space="0"/>
              <w:bottom w:val="single" w:color="auto" w:sz="6" w:space="0"/>
              <w:right w:val="single" w:color="auto" w:sz="6" w:space="0"/>
            </w:tcBorders>
            <w:vAlign w:val="center"/>
          </w:tcPr>
          <w:p w14:paraId="2991192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排放量（t/a）</w:t>
            </w:r>
          </w:p>
        </w:tc>
        <w:tc>
          <w:tcPr>
            <w:tcW w:w="626" w:type="pct"/>
            <w:vMerge w:val="continue"/>
            <w:tcBorders>
              <w:left w:val="single" w:color="auto" w:sz="6" w:space="0"/>
              <w:bottom w:val="single" w:color="auto" w:sz="6" w:space="0"/>
              <w:right w:val="single" w:color="auto" w:sz="6" w:space="0"/>
            </w:tcBorders>
            <w:vAlign w:val="center"/>
          </w:tcPr>
          <w:p w14:paraId="3E7E459B">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31" w:type="dxa"/>
            <w:tcBorders>
              <w:top w:val="single" w:color="auto" w:sz="6" w:space="0"/>
              <w:left w:val="single" w:color="auto" w:sz="6" w:space="0"/>
              <w:bottom w:val="single" w:color="auto" w:sz="6" w:space="0"/>
              <w:right w:val="single" w:color="auto" w:sz="6" w:space="0"/>
            </w:tcBorders>
            <w:vAlign w:val="center"/>
          </w:tcPr>
          <w:p w14:paraId="0D4128BF">
            <w:pPr>
              <w:pStyle w:val="69"/>
              <w:spacing w:before="65" w:after="65"/>
              <w:rPr>
                <w:rFonts w:cs="Times New Roman"/>
                <w:color w:val="auto"/>
                <w:highlight w:val="none"/>
              </w:rPr>
            </w:pPr>
            <w:r>
              <w:rPr>
                <w:rFonts w:hint="eastAsia"/>
                <w:color w:val="auto"/>
                <w:highlight w:val="none"/>
              </w:rPr>
              <w:t>0.942</w:t>
            </w:r>
          </w:p>
        </w:tc>
        <w:tc>
          <w:tcPr>
            <w:tcW w:w="898" w:type="dxa"/>
            <w:tcBorders>
              <w:top w:val="single" w:color="auto" w:sz="6" w:space="0"/>
              <w:left w:val="single" w:color="auto" w:sz="6" w:space="0"/>
              <w:bottom w:val="single" w:color="auto" w:sz="6" w:space="0"/>
              <w:right w:val="single" w:color="auto" w:sz="6" w:space="0"/>
            </w:tcBorders>
            <w:vAlign w:val="center"/>
          </w:tcPr>
          <w:p w14:paraId="17C4EE46">
            <w:pPr>
              <w:pStyle w:val="69"/>
              <w:spacing w:before="65" w:after="65"/>
              <w:rPr>
                <w:rFonts w:cs="Times New Roman"/>
                <w:color w:val="auto"/>
                <w:highlight w:val="none"/>
              </w:rPr>
            </w:pPr>
            <w:r>
              <w:rPr>
                <w:rFonts w:hint="eastAsia"/>
                <w:color w:val="auto"/>
                <w:highlight w:val="none"/>
              </w:rPr>
              <w:t>0.471</w:t>
            </w:r>
          </w:p>
        </w:tc>
        <w:tc>
          <w:tcPr>
            <w:tcW w:w="853" w:type="dxa"/>
            <w:tcBorders>
              <w:top w:val="single" w:color="auto" w:sz="6" w:space="0"/>
              <w:left w:val="single" w:color="auto" w:sz="6" w:space="0"/>
              <w:bottom w:val="single" w:color="auto" w:sz="6" w:space="0"/>
              <w:right w:val="single" w:color="auto" w:sz="6" w:space="0"/>
            </w:tcBorders>
            <w:vAlign w:val="center"/>
          </w:tcPr>
          <w:p w14:paraId="78F5A075">
            <w:pPr>
              <w:pStyle w:val="69"/>
              <w:spacing w:before="65" w:after="65"/>
              <w:rPr>
                <w:rFonts w:cs="Times New Roman"/>
                <w:color w:val="auto"/>
                <w:highlight w:val="none"/>
              </w:rPr>
            </w:pPr>
            <w:r>
              <w:rPr>
                <w:rFonts w:hint="eastAsia"/>
                <w:color w:val="auto"/>
                <w:highlight w:val="none"/>
              </w:rPr>
              <w:t>0.628</w:t>
            </w:r>
          </w:p>
        </w:tc>
        <w:tc>
          <w:tcPr>
            <w:tcW w:w="907" w:type="dxa"/>
            <w:tcBorders>
              <w:top w:val="single" w:color="auto" w:sz="6" w:space="0"/>
              <w:left w:val="single" w:color="auto" w:sz="6" w:space="0"/>
              <w:bottom w:val="single" w:color="auto" w:sz="6" w:space="0"/>
              <w:right w:val="single" w:color="auto" w:sz="6" w:space="0"/>
            </w:tcBorders>
            <w:vAlign w:val="center"/>
          </w:tcPr>
          <w:p w14:paraId="0219AF14">
            <w:pPr>
              <w:pStyle w:val="69"/>
              <w:spacing w:before="65" w:after="65"/>
              <w:rPr>
                <w:rFonts w:cs="Times New Roman"/>
                <w:color w:val="auto"/>
                <w:highlight w:val="none"/>
              </w:rPr>
            </w:pPr>
            <w:r>
              <w:rPr>
                <w:rFonts w:hint="eastAsia"/>
                <w:color w:val="auto"/>
                <w:highlight w:val="none"/>
              </w:rPr>
              <w:t>0.079</w:t>
            </w:r>
          </w:p>
        </w:tc>
        <w:tc>
          <w:tcPr>
            <w:tcW w:w="853" w:type="dxa"/>
            <w:tcBorders>
              <w:top w:val="single" w:color="auto" w:sz="6" w:space="0"/>
              <w:left w:val="single" w:color="auto" w:sz="6" w:space="0"/>
              <w:bottom w:val="single" w:color="auto" w:sz="6" w:space="0"/>
            </w:tcBorders>
            <w:vAlign w:val="center"/>
          </w:tcPr>
          <w:p w14:paraId="2E5E4E6F">
            <w:pPr>
              <w:pStyle w:val="69"/>
              <w:spacing w:before="65" w:after="65"/>
              <w:rPr>
                <w:rFonts w:cs="Times New Roman"/>
                <w:color w:val="auto"/>
                <w:highlight w:val="none"/>
              </w:rPr>
            </w:pPr>
            <w:r>
              <w:rPr>
                <w:rFonts w:hint="eastAsia"/>
                <w:color w:val="auto"/>
                <w:highlight w:val="none"/>
              </w:rPr>
              <w:t>0.011</w:t>
            </w:r>
          </w:p>
        </w:tc>
      </w:tr>
      <w:tr w14:paraId="073580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58" w:hRule="atLeast"/>
          <w:jc w:val="center"/>
        </w:trPr>
        <w:tc>
          <w:tcPr>
            <w:tcW w:w="2424" w:type="pct"/>
            <w:gridSpan w:val="4"/>
            <w:tcBorders>
              <w:top w:val="single" w:color="auto" w:sz="6" w:space="0"/>
              <w:bottom w:val="single" w:color="auto" w:sz="6" w:space="0"/>
              <w:right w:val="single" w:color="auto" w:sz="6" w:space="0"/>
            </w:tcBorders>
            <w:vAlign w:val="center"/>
          </w:tcPr>
          <w:p w14:paraId="0E00A760">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乐山沙湾经济开发区污水处理厂设计进水水质标准</w:t>
            </w:r>
          </w:p>
        </w:tc>
        <w:tc>
          <w:tcPr>
            <w:tcW w:w="546" w:type="pct"/>
            <w:tcBorders>
              <w:top w:val="single" w:color="auto" w:sz="6" w:space="0"/>
              <w:left w:val="single" w:color="auto" w:sz="6" w:space="0"/>
              <w:bottom w:val="single" w:color="auto" w:sz="6" w:space="0"/>
              <w:right w:val="single" w:color="auto" w:sz="6" w:space="0"/>
            </w:tcBorders>
            <w:vAlign w:val="center"/>
          </w:tcPr>
          <w:p w14:paraId="4A21D821">
            <w:pPr>
              <w:pStyle w:val="69"/>
              <w:spacing w:before="65" w:after="65"/>
              <w:rPr>
                <w:rFonts w:cs="Times New Roman"/>
                <w:color w:val="auto"/>
                <w:highlight w:val="none"/>
              </w:rPr>
            </w:pPr>
            <w:r>
              <w:rPr>
                <w:rFonts w:cs="Times New Roman"/>
                <w:color w:val="auto"/>
                <w:highlight w:val="none"/>
              </w:rPr>
              <w:t>300</w:t>
            </w:r>
          </w:p>
        </w:tc>
        <w:tc>
          <w:tcPr>
            <w:tcW w:w="527" w:type="pct"/>
            <w:tcBorders>
              <w:top w:val="single" w:color="auto" w:sz="6" w:space="0"/>
              <w:left w:val="single" w:color="auto" w:sz="6" w:space="0"/>
              <w:bottom w:val="single" w:color="auto" w:sz="6" w:space="0"/>
              <w:right w:val="single" w:color="auto" w:sz="6" w:space="0"/>
            </w:tcBorders>
            <w:vAlign w:val="center"/>
          </w:tcPr>
          <w:p w14:paraId="0F6D440E">
            <w:pPr>
              <w:pStyle w:val="69"/>
              <w:spacing w:before="65" w:after="65"/>
              <w:rPr>
                <w:rFonts w:cs="Times New Roman"/>
                <w:color w:val="auto"/>
                <w:highlight w:val="none"/>
              </w:rPr>
            </w:pPr>
            <w:r>
              <w:rPr>
                <w:rFonts w:cs="Times New Roman"/>
                <w:color w:val="auto"/>
                <w:highlight w:val="none"/>
              </w:rPr>
              <w:t>150</w:t>
            </w:r>
          </w:p>
        </w:tc>
        <w:tc>
          <w:tcPr>
            <w:tcW w:w="500" w:type="pct"/>
            <w:tcBorders>
              <w:top w:val="single" w:color="auto" w:sz="6" w:space="0"/>
              <w:left w:val="single" w:color="auto" w:sz="6" w:space="0"/>
              <w:bottom w:val="single" w:color="auto" w:sz="6" w:space="0"/>
              <w:right w:val="single" w:color="auto" w:sz="6" w:space="0"/>
            </w:tcBorders>
            <w:vAlign w:val="center"/>
          </w:tcPr>
          <w:p w14:paraId="6DD88D4C">
            <w:pPr>
              <w:pStyle w:val="69"/>
              <w:spacing w:before="65" w:after="65"/>
              <w:rPr>
                <w:rFonts w:cs="Times New Roman"/>
                <w:color w:val="auto"/>
                <w:highlight w:val="none"/>
              </w:rPr>
            </w:pPr>
            <w:r>
              <w:rPr>
                <w:rFonts w:cs="Times New Roman"/>
                <w:color w:val="auto"/>
                <w:highlight w:val="none"/>
              </w:rPr>
              <w:t>200</w:t>
            </w:r>
          </w:p>
        </w:tc>
        <w:tc>
          <w:tcPr>
            <w:tcW w:w="500" w:type="pct"/>
            <w:tcBorders>
              <w:top w:val="single" w:color="auto" w:sz="6" w:space="0"/>
              <w:left w:val="single" w:color="auto" w:sz="6" w:space="0"/>
              <w:bottom w:val="single" w:color="auto" w:sz="6" w:space="0"/>
              <w:right w:val="single" w:color="auto" w:sz="6" w:space="0"/>
            </w:tcBorders>
            <w:vAlign w:val="center"/>
          </w:tcPr>
          <w:p w14:paraId="27B19000">
            <w:pPr>
              <w:pStyle w:val="69"/>
              <w:spacing w:before="65" w:after="65"/>
              <w:rPr>
                <w:rFonts w:cs="Times New Roman"/>
                <w:color w:val="auto"/>
                <w:highlight w:val="none"/>
              </w:rPr>
            </w:pPr>
            <w:r>
              <w:rPr>
                <w:rFonts w:cs="Times New Roman"/>
                <w:color w:val="auto"/>
                <w:highlight w:val="none"/>
              </w:rPr>
              <w:t>25</w:t>
            </w:r>
          </w:p>
        </w:tc>
        <w:tc>
          <w:tcPr>
            <w:tcW w:w="500" w:type="pct"/>
            <w:tcBorders>
              <w:top w:val="single" w:color="auto" w:sz="6" w:space="0"/>
              <w:left w:val="single" w:color="auto" w:sz="6" w:space="0"/>
              <w:bottom w:val="single" w:color="auto" w:sz="6" w:space="0"/>
            </w:tcBorders>
            <w:vAlign w:val="center"/>
          </w:tcPr>
          <w:p w14:paraId="61EE1F59">
            <w:pPr>
              <w:pStyle w:val="69"/>
              <w:spacing w:before="65" w:after="65"/>
              <w:rPr>
                <w:rFonts w:cs="Times New Roman"/>
                <w:color w:val="auto"/>
                <w:highlight w:val="none"/>
              </w:rPr>
            </w:pPr>
            <w:r>
              <w:rPr>
                <w:rFonts w:cs="Times New Roman"/>
                <w:color w:val="auto"/>
                <w:highlight w:val="none"/>
              </w:rPr>
              <w:t>3.5</w:t>
            </w:r>
          </w:p>
        </w:tc>
      </w:tr>
      <w:tr w14:paraId="319CDC2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86" w:type="pct"/>
            <w:gridSpan w:val="2"/>
            <w:vMerge w:val="restart"/>
            <w:tcBorders>
              <w:top w:val="single" w:color="auto" w:sz="6" w:space="0"/>
              <w:bottom w:val="single" w:color="auto" w:sz="6" w:space="0"/>
              <w:right w:val="single" w:color="auto" w:sz="6" w:space="0"/>
            </w:tcBorders>
            <w:vAlign w:val="center"/>
          </w:tcPr>
          <w:p w14:paraId="2A9E38FE">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污水处理厂出水水质</w:t>
            </w:r>
          </w:p>
        </w:tc>
        <w:tc>
          <w:tcPr>
            <w:tcW w:w="910" w:type="pct"/>
            <w:tcBorders>
              <w:top w:val="single" w:color="auto" w:sz="6" w:space="0"/>
              <w:bottom w:val="single" w:color="auto" w:sz="6" w:space="0"/>
              <w:right w:val="single" w:color="auto" w:sz="6" w:space="0"/>
            </w:tcBorders>
            <w:vAlign w:val="center"/>
          </w:tcPr>
          <w:p w14:paraId="12FD286A">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浓度（mg/L）</w:t>
            </w:r>
          </w:p>
        </w:tc>
        <w:tc>
          <w:tcPr>
            <w:tcW w:w="626" w:type="pct"/>
            <w:vMerge w:val="restart"/>
            <w:tcBorders>
              <w:top w:val="single" w:color="auto" w:sz="6" w:space="0"/>
              <w:bottom w:val="single" w:color="auto" w:sz="6" w:space="0"/>
              <w:right w:val="single" w:color="auto" w:sz="6" w:space="0"/>
            </w:tcBorders>
            <w:vAlign w:val="center"/>
          </w:tcPr>
          <w:p w14:paraId="15043092">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3141.6</w:t>
            </w:r>
          </w:p>
        </w:tc>
        <w:tc>
          <w:tcPr>
            <w:tcW w:w="546" w:type="pct"/>
            <w:tcBorders>
              <w:top w:val="single" w:color="auto" w:sz="6" w:space="0"/>
              <w:left w:val="single" w:color="auto" w:sz="6" w:space="0"/>
              <w:bottom w:val="single" w:color="auto" w:sz="6" w:space="0"/>
              <w:right w:val="single" w:color="auto" w:sz="6" w:space="0"/>
            </w:tcBorders>
            <w:vAlign w:val="center"/>
          </w:tcPr>
          <w:p w14:paraId="5CC7FE25">
            <w:pPr>
              <w:pStyle w:val="69"/>
              <w:spacing w:before="65" w:after="65"/>
              <w:rPr>
                <w:rFonts w:cs="Times New Roman"/>
                <w:color w:val="auto"/>
                <w:highlight w:val="none"/>
              </w:rPr>
            </w:pPr>
            <w:r>
              <w:rPr>
                <w:rFonts w:cs="Times New Roman"/>
                <w:color w:val="auto"/>
                <w:highlight w:val="none"/>
              </w:rPr>
              <w:t>40</w:t>
            </w:r>
          </w:p>
        </w:tc>
        <w:tc>
          <w:tcPr>
            <w:tcW w:w="527" w:type="pct"/>
            <w:tcBorders>
              <w:top w:val="single" w:color="auto" w:sz="6" w:space="0"/>
              <w:left w:val="single" w:color="auto" w:sz="6" w:space="0"/>
              <w:bottom w:val="single" w:color="auto" w:sz="6" w:space="0"/>
              <w:right w:val="single" w:color="auto" w:sz="6" w:space="0"/>
            </w:tcBorders>
            <w:vAlign w:val="center"/>
          </w:tcPr>
          <w:p w14:paraId="7F6DB89D">
            <w:pPr>
              <w:pStyle w:val="69"/>
              <w:spacing w:before="65" w:after="65"/>
              <w:rPr>
                <w:rFonts w:cs="Times New Roman"/>
                <w:color w:val="auto"/>
                <w:highlight w:val="none"/>
              </w:rPr>
            </w:pPr>
            <w:r>
              <w:rPr>
                <w:rFonts w:cs="Times New Roman"/>
                <w:color w:val="auto"/>
                <w:highlight w:val="none"/>
              </w:rPr>
              <w:t>10</w:t>
            </w:r>
          </w:p>
        </w:tc>
        <w:tc>
          <w:tcPr>
            <w:tcW w:w="500" w:type="pct"/>
            <w:tcBorders>
              <w:top w:val="single" w:color="auto" w:sz="6" w:space="0"/>
              <w:left w:val="single" w:color="auto" w:sz="6" w:space="0"/>
              <w:bottom w:val="single" w:color="auto" w:sz="6" w:space="0"/>
              <w:right w:val="single" w:color="auto" w:sz="6" w:space="0"/>
            </w:tcBorders>
            <w:vAlign w:val="center"/>
          </w:tcPr>
          <w:p w14:paraId="2F5063CF">
            <w:pPr>
              <w:pStyle w:val="69"/>
              <w:spacing w:before="65" w:after="65"/>
              <w:rPr>
                <w:rFonts w:cs="Times New Roman"/>
                <w:color w:val="auto"/>
                <w:highlight w:val="none"/>
              </w:rPr>
            </w:pPr>
            <w:r>
              <w:rPr>
                <w:rFonts w:cs="Times New Roman"/>
                <w:color w:val="auto"/>
                <w:highlight w:val="none"/>
              </w:rPr>
              <w:t>10</w:t>
            </w:r>
          </w:p>
        </w:tc>
        <w:tc>
          <w:tcPr>
            <w:tcW w:w="500" w:type="pct"/>
            <w:tcBorders>
              <w:top w:val="single" w:color="auto" w:sz="6" w:space="0"/>
              <w:left w:val="single" w:color="auto" w:sz="6" w:space="0"/>
              <w:bottom w:val="single" w:color="auto" w:sz="6" w:space="0"/>
              <w:right w:val="single" w:color="auto" w:sz="6" w:space="0"/>
            </w:tcBorders>
            <w:vAlign w:val="center"/>
          </w:tcPr>
          <w:p w14:paraId="3A11D0F2">
            <w:pPr>
              <w:pStyle w:val="69"/>
              <w:spacing w:before="65" w:after="65"/>
              <w:rPr>
                <w:rFonts w:cs="Times New Roman"/>
                <w:color w:val="auto"/>
                <w:highlight w:val="none"/>
              </w:rPr>
            </w:pPr>
            <w:r>
              <w:rPr>
                <w:rFonts w:cs="Times New Roman"/>
                <w:color w:val="auto"/>
                <w:highlight w:val="none"/>
              </w:rPr>
              <w:t>3</w:t>
            </w:r>
          </w:p>
        </w:tc>
        <w:tc>
          <w:tcPr>
            <w:tcW w:w="500" w:type="pct"/>
            <w:tcBorders>
              <w:top w:val="single" w:color="auto" w:sz="6" w:space="0"/>
              <w:left w:val="single" w:color="auto" w:sz="6" w:space="0"/>
              <w:bottom w:val="single" w:color="auto" w:sz="6" w:space="0"/>
            </w:tcBorders>
            <w:vAlign w:val="center"/>
          </w:tcPr>
          <w:p w14:paraId="58899819">
            <w:pPr>
              <w:pStyle w:val="69"/>
              <w:spacing w:before="65" w:after="65"/>
              <w:rPr>
                <w:rFonts w:cs="Times New Roman"/>
                <w:color w:val="auto"/>
                <w:highlight w:val="none"/>
              </w:rPr>
            </w:pPr>
            <w:r>
              <w:rPr>
                <w:rFonts w:cs="Times New Roman"/>
                <w:color w:val="auto"/>
                <w:highlight w:val="none"/>
              </w:rPr>
              <w:t>0.5</w:t>
            </w:r>
          </w:p>
        </w:tc>
      </w:tr>
      <w:tr w14:paraId="322E757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86" w:type="pct"/>
            <w:gridSpan w:val="2"/>
            <w:vMerge w:val="continue"/>
            <w:tcBorders>
              <w:top w:val="single" w:color="auto" w:sz="6" w:space="0"/>
              <w:bottom w:val="single" w:color="auto" w:sz="6" w:space="0"/>
              <w:right w:val="single" w:color="auto" w:sz="6" w:space="0"/>
            </w:tcBorders>
            <w:vAlign w:val="center"/>
          </w:tcPr>
          <w:p w14:paraId="69B6EC0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10" w:type="pct"/>
            <w:tcBorders>
              <w:top w:val="single" w:color="auto" w:sz="6" w:space="0"/>
              <w:bottom w:val="single" w:color="auto" w:sz="6" w:space="0"/>
              <w:right w:val="single" w:color="auto" w:sz="6" w:space="0"/>
            </w:tcBorders>
            <w:vAlign w:val="center"/>
          </w:tcPr>
          <w:p w14:paraId="2988DDC6">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产生量（t/a）</w:t>
            </w:r>
          </w:p>
        </w:tc>
        <w:tc>
          <w:tcPr>
            <w:tcW w:w="626" w:type="pct"/>
            <w:vMerge w:val="continue"/>
            <w:tcBorders>
              <w:top w:val="single" w:color="auto" w:sz="6" w:space="0"/>
              <w:bottom w:val="single" w:color="auto" w:sz="6" w:space="0"/>
              <w:right w:val="single" w:color="auto" w:sz="6" w:space="0"/>
            </w:tcBorders>
            <w:vAlign w:val="center"/>
          </w:tcPr>
          <w:p w14:paraId="02B0AEA1">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931" w:type="dxa"/>
            <w:tcBorders>
              <w:top w:val="single" w:color="auto" w:sz="6" w:space="0"/>
              <w:left w:val="single" w:color="auto" w:sz="6" w:space="0"/>
              <w:bottom w:val="single" w:color="auto" w:sz="6" w:space="0"/>
              <w:right w:val="single" w:color="auto" w:sz="6" w:space="0"/>
            </w:tcBorders>
            <w:vAlign w:val="center"/>
          </w:tcPr>
          <w:p w14:paraId="4F2804B8">
            <w:pPr>
              <w:pStyle w:val="69"/>
              <w:spacing w:before="65" w:after="65"/>
              <w:rPr>
                <w:color w:val="auto"/>
                <w:highlight w:val="none"/>
              </w:rPr>
            </w:pPr>
            <w:r>
              <w:rPr>
                <w:rFonts w:hint="eastAsia"/>
                <w:color w:val="auto"/>
                <w:highlight w:val="none"/>
              </w:rPr>
              <w:t>0.126</w:t>
            </w:r>
          </w:p>
        </w:tc>
        <w:tc>
          <w:tcPr>
            <w:tcW w:w="898" w:type="dxa"/>
            <w:tcBorders>
              <w:top w:val="single" w:color="auto" w:sz="6" w:space="0"/>
              <w:left w:val="single" w:color="auto" w:sz="6" w:space="0"/>
              <w:bottom w:val="single" w:color="auto" w:sz="6" w:space="0"/>
              <w:right w:val="single" w:color="auto" w:sz="6" w:space="0"/>
            </w:tcBorders>
            <w:vAlign w:val="center"/>
          </w:tcPr>
          <w:p w14:paraId="4D49E375">
            <w:pPr>
              <w:pStyle w:val="69"/>
              <w:spacing w:before="65" w:after="65"/>
              <w:rPr>
                <w:color w:val="auto"/>
                <w:highlight w:val="none"/>
              </w:rPr>
            </w:pPr>
            <w:r>
              <w:rPr>
                <w:rFonts w:hint="eastAsia"/>
                <w:color w:val="auto"/>
                <w:highlight w:val="none"/>
              </w:rPr>
              <w:t>0.031</w:t>
            </w:r>
          </w:p>
        </w:tc>
        <w:tc>
          <w:tcPr>
            <w:tcW w:w="853" w:type="dxa"/>
            <w:tcBorders>
              <w:top w:val="single" w:color="auto" w:sz="6" w:space="0"/>
              <w:left w:val="single" w:color="auto" w:sz="6" w:space="0"/>
              <w:bottom w:val="single" w:color="auto" w:sz="6" w:space="0"/>
              <w:right w:val="single" w:color="auto" w:sz="6" w:space="0"/>
            </w:tcBorders>
            <w:vAlign w:val="center"/>
          </w:tcPr>
          <w:p w14:paraId="26A7DD77">
            <w:pPr>
              <w:pStyle w:val="69"/>
              <w:spacing w:before="65" w:after="65"/>
              <w:rPr>
                <w:color w:val="auto"/>
                <w:highlight w:val="none"/>
              </w:rPr>
            </w:pPr>
            <w:r>
              <w:rPr>
                <w:rFonts w:hint="eastAsia"/>
                <w:color w:val="auto"/>
                <w:highlight w:val="none"/>
              </w:rPr>
              <w:t>0.031</w:t>
            </w:r>
          </w:p>
        </w:tc>
        <w:tc>
          <w:tcPr>
            <w:tcW w:w="853" w:type="dxa"/>
            <w:tcBorders>
              <w:top w:val="single" w:color="auto" w:sz="6" w:space="0"/>
              <w:left w:val="single" w:color="auto" w:sz="6" w:space="0"/>
              <w:bottom w:val="single" w:color="auto" w:sz="6" w:space="0"/>
              <w:right w:val="single" w:color="auto" w:sz="6" w:space="0"/>
            </w:tcBorders>
            <w:vAlign w:val="center"/>
          </w:tcPr>
          <w:p w14:paraId="10E7EF88">
            <w:pPr>
              <w:pStyle w:val="69"/>
              <w:spacing w:before="65" w:after="65"/>
              <w:rPr>
                <w:color w:val="auto"/>
                <w:highlight w:val="none"/>
              </w:rPr>
            </w:pPr>
            <w:r>
              <w:rPr>
                <w:rFonts w:hint="eastAsia"/>
                <w:color w:val="auto"/>
                <w:highlight w:val="none"/>
              </w:rPr>
              <w:t>0.009</w:t>
            </w:r>
          </w:p>
        </w:tc>
        <w:tc>
          <w:tcPr>
            <w:tcW w:w="853" w:type="dxa"/>
            <w:tcBorders>
              <w:top w:val="single" w:color="auto" w:sz="6" w:space="0"/>
              <w:left w:val="single" w:color="auto" w:sz="6" w:space="0"/>
              <w:bottom w:val="single" w:color="auto" w:sz="6" w:space="0"/>
            </w:tcBorders>
            <w:vAlign w:val="center"/>
          </w:tcPr>
          <w:p w14:paraId="2CDCEAF5">
            <w:pPr>
              <w:pStyle w:val="69"/>
              <w:spacing w:before="65" w:after="65"/>
              <w:rPr>
                <w:color w:val="auto"/>
                <w:highlight w:val="none"/>
              </w:rPr>
            </w:pPr>
            <w:r>
              <w:rPr>
                <w:rFonts w:hint="eastAsia"/>
                <w:color w:val="auto"/>
                <w:highlight w:val="none"/>
              </w:rPr>
              <w:t>0.002</w:t>
            </w:r>
          </w:p>
        </w:tc>
      </w:tr>
      <w:tr w14:paraId="6B12174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424" w:type="pct"/>
            <w:gridSpan w:val="4"/>
            <w:tcBorders>
              <w:top w:val="single" w:color="auto" w:sz="6" w:space="0"/>
              <w:bottom w:val="single" w:color="auto" w:sz="6" w:space="0"/>
              <w:right w:val="single" w:color="auto" w:sz="6" w:space="0"/>
            </w:tcBorders>
            <w:vAlign w:val="center"/>
          </w:tcPr>
          <w:p w14:paraId="3B5D6CD6">
            <w:pPr>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《四川省岷江、沱江流域水污染物排放标准》（DB51/2311-2016）中</w:t>
            </w:r>
            <w:r>
              <w:rPr>
                <w:rFonts w:hint="eastAsia" w:cs="Times New Roman"/>
                <w:color w:val="auto"/>
                <w:kern w:val="21"/>
                <w:sz w:val="21"/>
                <w:highlight w:val="none"/>
              </w:rPr>
              <w:t>“</w:t>
            </w:r>
            <w:r>
              <w:rPr>
                <w:rFonts w:cs="Times New Roman"/>
                <w:color w:val="auto"/>
                <w:kern w:val="21"/>
                <w:sz w:val="21"/>
                <w:highlight w:val="none"/>
              </w:rPr>
              <w:t>工业园区集中式污水处理厂</w:t>
            </w:r>
            <w:r>
              <w:rPr>
                <w:rFonts w:hint="eastAsia" w:cs="Times New Roman"/>
                <w:color w:val="auto"/>
                <w:kern w:val="21"/>
                <w:sz w:val="21"/>
                <w:highlight w:val="none"/>
              </w:rPr>
              <w:t>”</w:t>
            </w:r>
            <w:r>
              <w:rPr>
                <w:rFonts w:cs="Times New Roman"/>
                <w:color w:val="auto"/>
                <w:kern w:val="21"/>
                <w:sz w:val="21"/>
                <w:highlight w:val="none"/>
              </w:rPr>
              <w:t>排放标准</w:t>
            </w:r>
          </w:p>
        </w:tc>
        <w:tc>
          <w:tcPr>
            <w:tcW w:w="546" w:type="pct"/>
            <w:tcBorders>
              <w:top w:val="single" w:color="auto" w:sz="6" w:space="0"/>
              <w:left w:val="single" w:color="auto" w:sz="6" w:space="0"/>
              <w:bottom w:val="single" w:color="auto" w:sz="6" w:space="0"/>
              <w:right w:val="single" w:color="auto" w:sz="6" w:space="0"/>
            </w:tcBorders>
            <w:vAlign w:val="center"/>
          </w:tcPr>
          <w:p w14:paraId="0A252B5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40</w:t>
            </w:r>
          </w:p>
        </w:tc>
        <w:tc>
          <w:tcPr>
            <w:tcW w:w="527" w:type="pct"/>
            <w:tcBorders>
              <w:top w:val="single" w:color="auto" w:sz="6" w:space="0"/>
              <w:left w:val="single" w:color="auto" w:sz="6" w:space="0"/>
              <w:bottom w:val="single" w:color="auto" w:sz="6" w:space="0"/>
              <w:right w:val="single" w:color="auto" w:sz="6" w:space="0"/>
            </w:tcBorders>
            <w:vAlign w:val="center"/>
          </w:tcPr>
          <w:p w14:paraId="4EFC0A5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10</w:t>
            </w:r>
          </w:p>
        </w:tc>
        <w:tc>
          <w:tcPr>
            <w:tcW w:w="500" w:type="pct"/>
            <w:tcBorders>
              <w:top w:val="single" w:color="auto" w:sz="6" w:space="0"/>
              <w:left w:val="single" w:color="auto" w:sz="6" w:space="0"/>
              <w:bottom w:val="single" w:color="auto" w:sz="6" w:space="0"/>
              <w:right w:val="single" w:color="auto" w:sz="6" w:space="0"/>
            </w:tcBorders>
            <w:vAlign w:val="center"/>
          </w:tcPr>
          <w:p w14:paraId="36255065">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10</w:t>
            </w:r>
          </w:p>
        </w:tc>
        <w:tc>
          <w:tcPr>
            <w:tcW w:w="500" w:type="pct"/>
            <w:tcBorders>
              <w:top w:val="single" w:color="auto" w:sz="6" w:space="0"/>
              <w:left w:val="single" w:color="auto" w:sz="6" w:space="0"/>
              <w:bottom w:val="single" w:color="auto" w:sz="6" w:space="0"/>
              <w:right w:val="single" w:color="auto" w:sz="6" w:space="0"/>
            </w:tcBorders>
            <w:vAlign w:val="center"/>
          </w:tcPr>
          <w:p w14:paraId="508A13A6">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3</w:t>
            </w:r>
          </w:p>
        </w:tc>
        <w:tc>
          <w:tcPr>
            <w:tcW w:w="500" w:type="pct"/>
            <w:tcBorders>
              <w:top w:val="single" w:color="auto" w:sz="6" w:space="0"/>
              <w:left w:val="single" w:color="auto" w:sz="6" w:space="0"/>
              <w:bottom w:val="single" w:color="auto" w:sz="6" w:space="0"/>
            </w:tcBorders>
            <w:vAlign w:val="center"/>
          </w:tcPr>
          <w:p w14:paraId="5C20A2C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lang w:bidi="ar"/>
              </w:rPr>
              <w:t>0.5</w:t>
            </w:r>
          </w:p>
        </w:tc>
      </w:tr>
    </w:tbl>
    <w:p w14:paraId="30137D85">
      <w:pPr>
        <w:overflowPunct w:val="0"/>
        <w:adjustRightInd w:val="0"/>
        <w:spacing w:before="65" w:beforeLines="20" w:after="65" w:afterLines="20" w:line="240" w:lineRule="auto"/>
        <w:ind w:firstLine="0" w:firstLineChars="0"/>
        <w:rPr>
          <w:rFonts w:cs="Times New Roman"/>
          <w:color w:val="auto"/>
          <w:kern w:val="21"/>
          <w:szCs w:val="24"/>
          <w:highlight w:val="none"/>
        </w:rPr>
      </w:pPr>
      <w:r>
        <w:rPr>
          <w:rFonts w:cs="Times New Roman"/>
          <w:b/>
          <w:color w:val="auto"/>
          <w:kern w:val="21"/>
          <w:sz w:val="21"/>
          <w:highlight w:val="none"/>
        </w:rPr>
        <w:t>注：</w:t>
      </w:r>
      <w:r>
        <w:rPr>
          <w:rFonts w:cs="Times New Roman"/>
          <w:bCs/>
          <w:color w:val="auto"/>
          <w:kern w:val="21"/>
          <w:sz w:val="21"/>
          <w:highlight w:val="none"/>
        </w:rPr>
        <w:t>年产生天数以3</w:t>
      </w:r>
      <w:r>
        <w:rPr>
          <w:rFonts w:hint="eastAsia" w:cs="Times New Roman"/>
          <w:bCs/>
          <w:color w:val="auto"/>
          <w:kern w:val="21"/>
          <w:sz w:val="21"/>
          <w:highlight w:val="none"/>
        </w:rPr>
        <w:t>3</w:t>
      </w:r>
      <w:r>
        <w:rPr>
          <w:rFonts w:cs="Times New Roman"/>
          <w:bCs/>
          <w:color w:val="auto"/>
          <w:kern w:val="21"/>
          <w:sz w:val="21"/>
          <w:highlight w:val="none"/>
        </w:rPr>
        <w:t>0d进行计算。SS在《四川省岷江、沱江流域水污染物排放标准》（DB51/2311-2016）中</w:t>
      </w:r>
      <w:r>
        <w:rPr>
          <w:rFonts w:hint="eastAsia" w:cs="Times New Roman"/>
          <w:bCs/>
          <w:color w:val="auto"/>
          <w:kern w:val="21"/>
          <w:sz w:val="21"/>
          <w:highlight w:val="none"/>
        </w:rPr>
        <w:t>“</w:t>
      </w:r>
      <w:r>
        <w:rPr>
          <w:rFonts w:cs="Times New Roman"/>
          <w:bCs/>
          <w:color w:val="auto"/>
          <w:kern w:val="21"/>
          <w:sz w:val="21"/>
          <w:highlight w:val="none"/>
        </w:rPr>
        <w:t>工业园区集中式污水处理厂</w:t>
      </w:r>
      <w:r>
        <w:rPr>
          <w:rFonts w:hint="eastAsia" w:cs="Times New Roman"/>
          <w:bCs/>
          <w:color w:val="auto"/>
          <w:kern w:val="21"/>
          <w:sz w:val="21"/>
          <w:highlight w:val="none"/>
        </w:rPr>
        <w:t>”</w:t>
      </w:r>
      <w:r>
        <w:rPr>
          <w:rFonts w:cs="Times New Roman"/>
          <w:bCs/>
          <w:color w:val="auto"/>
          <w:kern w:val="21"/>
          <w:sz w:val="21"/>
          <w:highlight w:val="none"/>
        </w:rPr>
        <w:t>排放标准中未作规定，参照执行城镇污水处理厂污染物排放标准（GB18918-2002）表1一级A标准、表2、表3标准。</w:t>
      </w:r>
    </w:p>
    <w:p w14:paraId="76C32DDB">
      <w:pPr>
        <w:adjustRightInd w:val="0"/>
        <w:ind w:firstLine="480"/>
        <w:rPr>
          <w:rFonts w:cs="Times New Roman"/>
          <w:color w:val="auto"/>
          <w:highlight w:val="none"/>
        </w:rPr>
      </w:pPr>
      <w:r>
        <w:rPr>
          <w:rFonts w:cs="Times New Roman"/>
          <w:color w:val="auto"/>
          <w:highlight w:val="none"/>
        </w:rPr>
        <w:t>综上所述，本项目生活污水</w:t>
      </w:r>
      <w:r>
        <w:rPr>
          <w:rFonts w:hint="eastAsia" w:cs="Times New Roman"/>
          <w:color w:val="auto"/>
          <w:highlight w:val="none"/>
        </w:rPr>
        <w:t>（含食堂废水）</w:t>
      </w:r>
      <w:r>
        <w:rPr>
          <w:rFonts w:cs="Times New Roman"/>
          <w:color w:val="auto"/>
          <w:highlight w:val="none"/>
        </w:rPr>
        <w:t>排放可满足</w:t>
      </w:r>
      <w:r>
        <w:rPr>
          <w:rFonts w:hint="eastAsia" w:cs="Times New Roman"/>
          <w:color w:val="auto"/>
          <w:highlight w:val="none"/>
        </w:rPr>
        <w:t>“</w:t>
      </w:r>
      <w:r>
        <w:rPr>
          <w:rFonts w:cs="Times New Roman"/>
          <w:color w:val="auto"/>
          <w:highlight w:val="none"/>
        </w:rPr>
        <w:t>乐山沙湾经济开发区污水处理厂进水水质要求</w:t>
      </w:r>
      <w:r>
        <w:rPr>
          <w:rFonts w:hint="eastAsia" w:cs="Times New Roman"/>
          <w:color w:val="auto"/>
          <w:highlight w:val="none"/>
        </w:rPr>
        <w:t>”</w:t>
      </w:r>
      <w:r>
        <w:rPr>
          <w:rFonts w:cs="Times New Roman"/>
          <w:color w:val="auto"/>
          <w:highlight w:val="none"/>
        </w:rPr>
        <w:t>。</w:t>
      </w:r>
    </w:p>
    <w:p w14:paraId="38C322E5">
      <w:pPr>
        <w:adjustRightInd w:val="0"/>
        <w:ind w:firstLine="480"/>
        <w:rPr>
          <w:rFonts w:cs="Times New Roman"/>
          <w:color w:val="auto"/>
          <w:highlight w:val="none"/>
        </w:rPr>
      </w:pPr>
      <w:r>
        <w:rPr>
          <w:rFonts w:cs="Times New Roman"/>
          <w:color w:val="auto"/>
          <w:highlight w:val="none"/>
        </w:rPr>
        <w:t>本项目废水污染物排放信息表如下。</w:t>
      </w:r>
    </w:p>
    <w:p w14:paraId="311E7A3E">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18</w:t>
      </w:r>
      <w:r>
        <w:rPr>
          <w:rFonts w:cs="Times New Roman"/>
          <w:color w:val="auto"/>
          <w:highlight w:val="none"/>
        </w:rPr>
        <w:fldChar w:fldCharType="end"/>
      </w:r>
      <w:r>
        <w:rPr>
          <w:rFonts w:cs="Times New Roman"/>
          <w:color w:val="auto"/>
          <w:highlight w:val="none"/>
        </w:rPr>
        <w:t>废水污染物排放信息表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8"/>
        <w:gridCol w:w="1409"/>
        <w:gridCol w:w="426"/>
        <w:gridCol w:w="1252"/>
        <w:gridCol w:w="1804"/>
        <w:gridCol w:w="1425"/>
        <w:gridCol w:w="1418"/>
      </w:tblGrid>
      <w:tr w14:paraId="664E2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63" w:type="pct"/>
            <w:vAlign w:val="center"/>
          </w:tcPr>
          <w:p w14:paraId="79446833">
            <w:pPr>
              <w:pStyle w:val="69"/>
              <w:spacing w:before="65" w:after="65"/>
              <w:rPr>
                <w:rFonts w:cs="Times New Roman"/>
                <w:b/>
                <w:bCs w:val="0"/>
                <w:color w:val="auto"/>
                <w:highlight w:val="none"/>
              </w:rPr>
            </w:pPr>
            <w:r>
              <w:rPr>
                <w:rFonts w:cs="Times New Roman"/>
                <w:b/>
                <w:bCs w:val="0"/>
                <w:color w:val="auto"/>
                <w:highlight w:val="none"/>
              </w:rPr>
              <w:t>序号</w:t>
            </w:r>
          </w:p>
        </w:tc>
        <w:tc>
          <w:tcPr>
            <w:tcW w:w="827" w:type="pct"/>
            <w:vAlign w:val="center"/>
          </w:tcPr>
          <w:p w14:paraId="505E57E6">
            <w:pPr>
              <w:pStyle w:val="69"/>
              <w:spacing w:before="65" w:after="65"/>
              <w:rPr>
                <w:rFonts w:cs="Times New Roman"/>
                <w:b/>
                <w:bCs w:val="0"/>
                <w:color w:val="auto"/>
                <w:highlight w:val="none"/>
              </w:rPr>
            </w:pPr>
            <w:r>
              <w:rPr>
                <w:rFonts w:cs="Times New Roman"/>
                <w:b/>
                <w:bCs w:val="0"/>
                <w:color w:val="auto"/>
                <w:highlight w:val="none"/>
              </w:rPr>
              <w:t>排放口编号</w:t>
            </w:r>
          </w:p>
        </w:tc>
        <w:tc>
          <w:tcPr>
            <w:tcW w:w="982" w:type="pct"/>
            <w:gridSpan w:val="2"/>
            <w:vAlign w:val="center"/>
          </w:tcPr>
          <w:p w14:paraId="4E5EF7A2">
            <w:pPr>
              <w:pStyle w:val="69"/>
              <w:spacing w:before="65" w:after="65"/>
              <w:rPr>
                <w:rFonts w:cs="Times New Roman"/>
                <w:b/>
                <w:bCs w:val="0"/>
                <w:color w:val="auto"/>
                <w:highlight w:val="none"/>
              </w:rPr>
            </w:pPr>
            <w:r>
              <w:rPr>
                <w:rFonts w:cs="Times New Roman"/>
                <w:b/>
                <w:bCs w:val="0"/>
                <w:color w:val="auto"/>
                <w:highlight w:val="none"/>
              </w:rPr>
              <w:t>污染物种类</w:t>
            </w:r>
          </w:p>
        </w:tc>
        <w:tc>
          <w:tcPr>
            <w:tcW w:w="1059" w:type="pct"/>
            <w:vAlign w:val="center"/>
          </w:tcPr>
          <w:p w14:paraId="2C4EDCF7">
            <w:pPr>
              <w:pStyle w:val="69"/>
              <w:spacing w:before="65" w:after="65"/>
              <w:rPr>
                <w:rFonts w:cs="Times New Roman"/>
                <w:b/>
                <w:bCs w:val="0"/>
                <w:color w:val="auto"/>
                <w:highlight w:val="none"/>
              </w:rPr>
            </w:pPr>
            <w:r>
              <w:rPr>
                <w:rFonts w:cs="Times New Roman"/>
                <w:b/>
                <w:bCs w:val="0"/>
                <w:color w:val="auto"/>
                <w:highlight w:val="none"/>
              </w:rPr>
              <w:t>排放浓度（mg/L）</w:t>
            </w:r>
          </w:p>
        </w:tc>
        <w:tc>
          <w:tcPr>
            <w:tcW w:w="836" w:type="pct"/>
            <w:vAlign w:val="center"/>
          </w:tcPr>
          <w:p w14:paraId="687FC4C6">
            <w:pPr>
              <w:pStyle w:val="69"/>
              <w:spacing w:before="65" w:after="65"/>
              <w:rPr>
                <w:rFonts w:cs="Times New Roman"/>
                <w:b/>
                <w:bCs w:val="0"/>
                <w:color w:val="auto"/>
                <w:highlight w:val="none"/>
              </w:rPr>
            </w:pPr>
            <w:r>
              <w:rPr>
                <w:rFonts w:cs="Times New Roman"/>
                <w:b/>
                <w:bCs w:val="0"/>
                <w:color w:val="auto"/>
                <w:highlight w:val="none"/>
              </w:rPr>
              <w:t>日排放量（t/d）</w:t>
            </w:r>
          </w:p>
        </w:tc>
        <w:tc>
          <w:tcPr>
            <w:tcW w:w="832" w:type="pct"/>
            <w:vAlign w:val="center"/>
          </w:tcPr>
          <w:p w14:paraId="08ACBFFE">
            <w:pPr>
              <w:pStyle w:val="69"/>
              <w:spacing w:before="65" w:after="65"/>
              <w:rPr>
                <w:rFonts w:cs="Times New Roman"/>
                <w:b/>
                <w:bCs w:val="0"/>
                <w:color w:val="auto"/>
                <w:highlight w:val="none"/>
              </w:rPr>
            </w:pPr>
            <w:r>
              <w:rPr>
                <w:rFonts w:cs="Times New Roman"/>
                <w:b/>
                <w:bCs w:val="0"/>
                <w:color w:val="auto"/>
                <w:highlight w:val="none"/>
              </w:rPr>
              <w:t>年排放量（t/a）</w:t>
            </w:r>
          </w:p>
        </w:tc>
      </w:tr>
      <w:tr w14:paraId="36CF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vAlign w:val="center"/>
          </w:tcPr>
          <w:p w14:paraId="5E682E79">
            <w:pPr>
              <w:pStyle w:val="69"/>
              <w:spacing w:before="65" w:after="65"/>
              <w:rPr>
                <w:rFonts w:cs="Times New Roman"/>
                <w:color w:val="auto"/>
                <w:highlight w:val="none"/>
              </w:rPr>
            </w:pPr>
            <w:r>
              <w:rPr>
                <w:rFonts w:cs="Times New Roman"/>
                <w:color w:val="auto"/>
                <w:highlight w:val="none"/>
              </w:rPr>
              <w:t>1</w:t>
            </w:r>
          </w:p>
        </w:tc>
        <w:tc>
          <w:tcPr>
            <w:tcW w:w="827" w:type="pct"/>
            <w:vMerge w:val="restart"/>
            <w:vAlign w:val="center"/>
          </w:tcPr>
          <w:p w14:paraId="5DCBC547">
            <w:pPr>
              <w:pStyle w:val="69"/>
              <w:spacing w:before="65" w:after="65"/>
              <w:rPr>
                <w:rFonts w:cs="Times New Roman"/>
                <w:color w:val="auto"/>
                <w:highlight w:val="none"/>
              </w:rPr>
            </w:pPr>
            <w:r>
              <w:rPr>
                <w:rFonts w:cs="Times New Roman"/>
                <w:color w:val="auto"/>
                <w:highlight w:val="none"/>
              </w:rPr>
              <w:t>DW001</w:t>
            </w:r>
          </w:p>
        </w:tc>
        <w:tc>
          <w:tcPr>
            <w:tcW w:w="247" w:type="pct"/>
            <w:vMerge w:val="restart"/>
            <w:vAlign w:val="center"/>
          </w:tcPr>
          <w:p w14:paraId="6D5C0F27">
            <w:pPr>
              <w:pStyle w:val="69"/>
              <w:spacing w:before="65" w:after="65"/>
              <w:rPr>
                <w:rFonts w:cs="Times New Roman"/>
                <w:color w:val="auto"/>
                <w:highlight w:val="none"/>
              </w:rPr>
            </w:pPr>
            <w:r>
              <w:rPr>
                <w:rFonts w:cs="Times New Roman"/>
                <w:color w:val="auto"/>
                <w:highlight w:val="none"/>
              </w:rPr>
              <w:t>生活污水</w:t>
            </w:r>
          </w:p>
        </w:tc>
        <w:tc>
          <w:tcPr>
            <w:tcW w:w="735" w:type="pct"/>
            <w:vAlign w:val="center"/>
          </w:tcPr>
          <w:p w14:paraId="7FBE4D9D">
            <w:pPr>
              <w:pStyle w:val="69"/>
              <w:spacing w:before="65" w:after="65"/>
              <w:rPr>
                <w:rFonts w:cs="Times New Roman"/>
                <w:color w:val="auto"/>
                <w:highlight w:val="none"/>
              </w:rPr>
            </w:pPr>
            <w:r>
              <w:rPr>
                <w:rFonts w:cs="Times New Roman"/>
                <w:color w:val="auto"/>
                <w:highlight w:val="none"/>
              </w:rPr>
              <w:t>COD</w:t>
            </w:r>
          </w:p>
        </w:tc>
        <w:tc>
          <w:tcPr>
            <w:tcW w:w="1059" w:type="pct"/>
            <w:vAlign w:val="center"/>
          </w:tcPr>
          <w:p w14:paraId="42B48961">
            <w:pPr>
              <w:pStyle w:val="69"/>
              <w:spacing w:before="65" w:after="65"/>
              <w:rPr>
                <w:rFonts w:cs="Times New Roman"/>
                <w:color w:val="auto"/>
                <w:highlight w:val="none"/>
              </w:rPr>
            </w:pPr>
            <w:r>
              <w:rPr>
                <w:rFonts w:cs="Times New Roman"/>
                <w:color w:val="auto"/>
                <w:highlight w:val="none"/>
              </w:rPr>
              <w:t>300</w:t>
            </w:r>
          </w:p>
        </w:tc>
        <w:tc>
          <w:tcPr>
            <w:tcW w:w="1425" w:type="dxa"/>
            <w:vAlign w:val="center"/>
          </w:tcPr>
          <w:p w14:paraId="23072622">
            <w:pPr>
              <w:pStyle w:val="69"/>
              <w:spacing w:before="65" w:after="65"/>
              <w:rPr>
                <w:rFonts w:cs="Times New Roman"/>
                <w:color w:val="auto"/>
                <w:highlight w:val="none"/>
              </w:rPr>
            </w:pPr>
            <w:r>
              <w:rPr>
                <w:rFonts w:cs="Times New Roman"/>
                <w:color w:val="auto"/>
                <w:highlight w:val="none"/>
              </w:rPr>
              <w:t>0.00286</w:t>
            </w:r>
          </w:p>
        </w:tc>
        <w:tc>
          <w:tcPr>
            <w:tcW w:w="1418" w:type="dxa"/>
            <w:vAlign w:val="center"/>
          </w:tcPr>
          <w:p w14:paraId="644E9C4C">
            <w:pPr>
              <w:pStyle w:val="69"/>
              <w:spacing w:before="65" w:after="65"/>
              <w:rPr>
                <w:rFonts w:cs="Times New Roman"/>
                <w:color w:val="auto"/>
                <w:highlight w:val="none"/>
              </w:rPr>
            </w:pPr>
            <w:r>
              <w:rPr>
                <w:rFonts w:cs="Times New Roman"/>
                <w:color w:val="auto"/>
                <w:highlight w:val="none"/>
              </w:rPr>
              <w:t>0.942</w:t>
            </w:r>
          </w:p>
        </w:tc>
      </w:tr>
      <w:tr w14:paraId="2246A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vAlign w:val="center"/>
          </w:tcPr>
          <w:p w14:paraId="3F5C7EB8">
            <w:pPr>
              <w:pStyle w:val="69"/>
              <w:spacing w:before="65" w:after="65"/>
              <w:rPr>
                <w:rFonts w:cs="Times New Roman"/>
                <w:color w:val="auto"/>
                <w:highlight w:val="none"/>
              </w:rPr>
            </w:pPr>
            <w:r>
              <w:rPr>
                <w:rFonts w:cs="Times New Roman"/>
                <w:color w:val="auto"/>
                <w:highlight w:val="none"/>
              </w:rPr>
              <w:t>2</w:t>
            </w:r>
          </w:p>
        </w:tc>
        <w:tc>
          <w:tcPr>
            <w:tcW w:w="827" w:type="pct"/>
            <w:vMerge w:val="continue"/>
            <w:vAlign w:val="center"/>
          </w:tcPr>
          <w:p w14:paraId="5A76336E">
            <w:pPr>
              <w:pStyle w:val="69"/>
              <w:spacing w:before="65" w:after="65"/>
              <w:rPr>
                <w:rFonts w:cs="Times New Roman"/>
                <w:color w:val="auto"/>
                <w:highlight w:val="none"/>
              </w:rPr>
            </w:pPr>
          </w:p>
        </w:tc>
        <w:tc>
          <w:tcPr>
            <w:tcW w:w="247" w:type="pct"/>
            <w:vMerge w:val="continue"/>
            <w:vAlign w:val="center"/>
          </w:tcPr>
          <w:p w14:paraId="039FF3F5">
            <w:pPr>
              <w:pStyle w:val="69"/>
              <w:spacing w:before="65" w:after="65"/>
              <w:rPr>
                <w:rFonts w:cs="Times New Roman"/>
                <w:color w:val="auto"/>
                <w:highlight w:val="none"/>
              </w:rPr>
            </w:pPr>
          </w:p>
        </w:tc>
        <w:tc>
          <w:tcPr>
            <w:tcW w:w="735" w:type="pct"/>
            <w:vAlign w:val="center"/>
          </w:tcPr>
          <w:p w14:paraId="2A5EAE2F">
            <w:pPr>
              <w:pStyle w:val="69"/>
              <w:spacing w:before="65" w:after="65"/>
              <w:rPr>
                <w:rFonts w:cs="Times New Roman"/>
                <w:color w:val="auto"/>
                <w:highlight w:val="none"/>
              </w:rPr>
            </w:pPr>
            <w:r>
              <w:rPr>
                <w:rFonts w:cs="Times New Roman"/>
                <w:color w:val="auto"/>
                <w:highlight w:val="none"/>
              </w:rPr>
              <w:t>BOD</w:t>
            </w:r>
            <w:r>
              <w:rPr>
                <w:rFonts w:cs="Times New Roman"/>
                <w:color w:val="auto"/>
                <w:highlight w:val="none"/>
                <w:vertAlign w:val="subscript"/>
              </w:rPr>
              <w:t>5</w:t>
            </w:r>
          </w:p>
        </w:tc>
        <w:tc>
          <w:tcPr>
            <w:tcW w:w="1059" w:type="pct"/>
            <w:vAlign w:val="center"/>
          </w:tcPr>
          <w:p w14:paraId="0D4D130D">
            <w:pPr>
              <w:pStyle w:val="69"/>
              <w:spacing w:before="65" w:after="65"/>
              <w:rPr>
                <w:rFonts w:cs="Times New Roman"/>
                <w:color w:val="auto"/>
                <w:highlight w:val="none"/>
              </w:rPr>
            </w:pPr>
            <w:r>
              <w:rPr>
                <w:rFonts w:cs="Times New Roman"/>
                <w:color w:val="auto"/>
                <w:highlight w:val="none"/>
              </w:rPr>
              <w:t>150</w:t>
            </w:r>
          </w:p>
        </w:tc>
        <w:tc>
          <w:tcPr>
            <w:tcW w:w="1425" w:type="dxa"/>
            <w:vAlign w:val="center"/>
          </w:tcPr>
          <w:p w14:paraId="60E08242">
            <w:pPr>
              <w:pStyle w:val="69"/>
              <w:spacing w:before="65" w:after="65"/>
              <w:rPr>
                <w:rFonts w:cs="Times New Roman"/>
                <w:color w:val="auto"/>
                <w:highlight w:val="none"/>
              </w:rPr>
            </w:pPr>
            <w:r>
              <w:rPr>
                <w:rFonts w:cs="Times New Roman"/>
                <w:color w:val="auto"/>
                <w:highlight w:val="none"/>
              </w:rPr>
              <w:t>0.00143</w:t>
            </w:r>
          </w:p>
        </w:tc>
        <w:tc>
          <w:tcPr>
            <w:tcW w:w="1418" w:type="dxa"/>
            <w:vAlign w:val="center"/>
          </w:tcPr>
          <w:p w14:paraId="1FF20215">
            <w:pPr>
              <w:pStyle w:val="69"/>
              <w:spacing w:before="65" w:after="65"/>
              <w:rPr>
                <w:rFonts w:cs="Times New Roman"/>
                <w:color w:val="auto"/>
                <w:highlight w:val="none"/>
              </w:rPr>
            </w:pPr>
            <w:r>
              <w:rPr>
                <w:rFonts w:cs="Times New Roman"/>
                <w:color w:val="auto"/>
                <w:highlight w:val="none"/>
              </w:rPr>
              <w:t>0.471</w:t>
            </w:r>
          </w:p>
        </w:tc>
      </w:tr>
      <w:tr w14:paraId="2EC3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vAlign w:val="center"/>
          </w:tcPr>
          <w:p w14:paraId="0C6317FF">
            <w:pPr>
              <w:pStyle w:val="69"/>
              <w:spacing w:before="65" w:after="65"/>
              <w:rPr>
                <w:rFonts w:cs="Times New Roman"/>
                <w:color w:val="auto"/>
                <w:highlight w:val="none"/>
              </w:rPr>
            </w:pPr>
            <w:r>
              <w:rPr>
                <w:rFonts w:cs="Times New Roman"/>
                <w:color w:val="auto"/>
                <w:highlight w:val="none"/>
              </w:rPr>
              <w:t>3</w:t>
            </w:r>
          </w:p>
        </w:tc>
        <w:tc>
          <w:tcPr>
            <w:tcW w:w="827" w:type="pct"/>
            <w:vMerge w:val="continue"/>
            <w:vAlign w:val="center"/>
          </w:tcPr>
          <w:p w14:paraId="509C4676">
            <w:pPr>
              <w:pStyle w:val="69"/>
              <w:spacing w:before="65" w:after="65"/>
              <w:rPr>
                <w:rFonts w:cs="Times New Roman"/>
                <w:color w:val="auto"/>
                <w:highlight w:val="none"/>
              </w:rPr>
            </w:pPr>
          </w:p>
        </w:tc>
        <w:tc>
          <w:tcPr>
            <w:tcW w:w="247" w:type="pct"/>
            <w:vMerge w:val="continue"/>
            <w:vAlign w:val="center"/>
          </w:tcPr>
          <w:p w14:paraId="1647F8E2">
            <w:pPr>
              <w:pStyle w:val="69"/>
              <w:spacing w:before="65" w:after="65"/>
              <w:rPr>
                <w:rFonts w:cs="Times New Roman"/>
                <w:color w:val="auto"/>
                <w:highlight w:val="none"/>
              </w:rPr>
            </w:pPr>
          </w:p>
        </w:tc>
        <w:tc>
          <w:tcPr>
            <w:tcW w:w="735" w:type="pct"/>
            <w:vAlign w:val="center"/>
          </w:tcPr>
          <w:p w14:paraId="6223ABAC">
            <w:pPr>
              <w:pStyle w:val="69"/>
              <w:spacing w:before="65" w:after="65"/>
              <w:rPr>
                <w:rFonts w:cs="Times New Roman"/>
                <w:color w:val="auto"/>
                <w:highlight w:val="none"/>
              </w:rPr>
            </w:pPr>
            <w:r>
              <w:rPr>
                <w:rFonts w:cs="Times New Roman"/>
                <w:color w:val="auto"/>
                <w:highlight w:val="none"/>
              </w:rPr>
              <w:t>TP</w:t>
            </w:r>
          </w:p>
        </w:tc>
        <w:tc>
          <w:tcPr>
            <w:tcW w:w="1059" w:type="pct"/>
            <w:vAlign w:val="center"/>
          </w:tcPr>
          <w:p w14:paraId="0D7DE0D2">
            <w:pPr>
              <w:pStyle w:val="69"/>
              <w:spacing w:before="65" w:after="65"/>
              <w:rPr>
                <w:rFonts w:cs="Times New Roman"/>
                <w:color w:val="auto"/>
                <w:highlight w:val="none"/>
              </w:rPr>
            </w:pPr>
            <w:r>
              <w:rPr>
                <w:rFonts w:cs="Times New Roman"/>
                <w:color w:val="auto"/>
                <w:highlight w:val="none"/>
              </w:rPr>
              <w:t>3.5</w:t>
            </w:r>
          </w:p>
        </w:tc>
        <w:tc>
          <w:tcPr>
            <w:tcW w:w="1425" w:type="dxa"/>
            <w:vAlign w:val="center"/>
          </w:tcPr>
          <w:p w14:paraId="31268B04">
            <w:pPr>
              <w:pStyle w:val="69"/>
              <w:spacing w:before="65" w:after="65"/>
              <w:rPr>
                <w:rFonts w:cs="Times New Roman"/>
                <w:color w:val="auto"/>
                <w:highlight w:val="none"/>
              </w:rPr>
            </w:pPr>
            <w:r>
              <w:rPr>
                <w:rFonts w:cs="Times New Roman"/>
                <w:color w:val="auto"/>
                <w:highlight w:val="none"/>
              </w:rPr>
              <w:t>0.00003</w:t>
            </w:r>
          </w:p>
        </w:tc>
        <w:tc>
          <w:tcPr>
            <w:tcW w:w="1418" w:type="dxa"/>
            <w:vAlign w:val="center"/>
          </w:tcPr>
          <w:p w14:paraId="2EAFF12B">
            <w:pPr>
              <w:pStyle w:val="69"/>
              <w:spacing w:before="65" w:after="65"/>
              <w:rPr>
                <w:rFonts w:cs="Times New Roman"/>
                <w:color w:val="auto"/>
                <w:highlight w:val="none"/>
              </w:rPr>
            </w:pPr>
            <w:r>
              <w:rPr>
                <w:rFonts w:cs="Times New Roman"/>
                <w:color w:val="auto"/>
                <w:highlight w:val="none"/>
              </w:rPr>
              <w:t>0.011</w:t>
            </w:r>
          </w:p>
        </w:tc>
      </w:tr>
      <w:tr w14:paraId="2C7C3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vAlign w:val="center"/>
          </w:tcPr>
          <w:p w14:paraId="2AAFF467">
            <w:pPr>
              <w:pStyle w:val="69"/>
              <w:spacing w:before="65" w:after="65"/>
              <w:rPr>
                <w:rFonts w:cs="Times New Roman"/>
                <w:color w:val="auto"/>
                <w:highlight w:val="none"/>
              </w:rPr>
            </w:pPr>
            <w:r>
              <w:rPr>
                <w:rFonts w:cs="Times New Roman"/>
                <w:color w:val="auto"/>
                <w:highlight w:val="none"/>
              </w:rPr>
              <w:t>4</w:t>
            </w:r>
          </w:p>
        </w:tc>
        <w:tc>
          <w:tcPr>
            <w:tcW w:w="827" w:type="pct"/>
            <w:vMerge w:val="continue"/>
            <w:vAlign w:val="center"/>
          </w:tcPr>
          <w:p w14:paraId="3B3FDC06">
            <w:pPr>
              <w:pStyle w:val="69"/>
              <w:spacing w:before="65" w:after="65"/>
              <w:rPr>
                <w:rFonts w:cs="Times New Roman"/>
                <w:color w:val="auto"/>
                <w:highlight w:val="none"/>
              </w:rPr>
            </w:pPr>
          </w:p>
        </w:tc>
        <w:tc>
          <w:tcPr>
            <w:tcW w:w="247" w:type="pct"/>
            <w:vMerge w:val="continue"/>
            <w:vAlign w:val="center"/>
          </w:tcPr>
          <w:p w14:paraId="1BE8AC65">
            <w:pPr>
              <w:pStyle w:val="69"/>
              <w:spacing w:before="65" w:after="65"/>
              <w:rPr>
                <w:rFonts w:cs="Times New Roman"/>
                <w:color w:val="auto"/>
                <w:highlight w:val="none"/>
              </w:rPr>
            </w:pPr>
          </w:p>
        </w:tc>
        <w:tc>
          <w:tcPr>
            <w:tcW w:w="735" w:type="pct"/>
            <w:vAlign w:val="center"/>
          </w:tcPr>
          <w:p w14:paraId="482A6CD7">
            <w:pPr>
              <w:pStyle w:val="69"/>
              <w:spacing w:before="65" w:after="65"/>
              <w:rPr>
                <w:rFonts w:cs="Times New Roman"/>
                <w:color w:val="auto"/>
                <w:highlight w:val="none"/>
              </w:rPr>
            </w:pPr>
            <w:r>
              <w:rPr>
                <w:rFonts w:cs="Times New Roman"/>
                <w:color w:val="auto"/>
                <w:highlight w:val="none"/>
              </w:rPr>
              <w:t>SS</w:t>
            </w:r>
          </w:p>
        </w:tc>
        <w:tc>
          <w:tcPr>
            <w:tcW w:w="1059" w:type="pct"/>
            <w:vAlign w:val="center"/>
          </w:tcPr>
          <w:p w14:paraId="1E9E5F41">
            <w:pPr>
              <w:pStyle w:val="69"/>
              <w:spacing w:before="65" w:after="65"/>
              <w:rPr>
                <w:rFonts w:cs="Times New Roman"/>
                <w:color w:val="auto"/>
                <w:highlight w:val="none"/>
              </w:rPr>
            </w:pPr>
            <w:r>
              <w:rPr>
                <w:rFonts w:cs="Times New Roman"/>
                <w:color w:val="auto"/>
                <w:highlight w:val="none"/>
              </w:rPr>
              <w:t>200</w:t>
            </w:r>
          </w:p>
        </w:tc>
        <w:tc>
          <w:tcPr>
            <w:tcW w:w="1425" w:type="dxa"/>
            <w:vAlign w:val="center"/>
          </w:tcPr>
          <w:p w14:paraId="3CB910B6">
            <w:pPr>
              <w:pStyle w:val="69"/>
              <w:spacing w:before="65" w:after="65"/>
              <w:rPr>
                <w:rFonts w:cs="Times New Roman"/>
                <w:color w:val="auto"/>
                <w:highlight w:val="none"/>
              </w:rPr>
            </w:pPr>
            <w:r>
              <w:rPr>
                <w:rFonts w:cs="Times New Roman"/>
                <w:color w:val="auto"/>
                <w:highlight w:val="none"/>
              </w:rPr>
              <w:t>0.00190</w:t>
            </w:r>
          </w:p>
        </w:tc>
        <w:tc>
          <w:tcPr>
            <w:tcW w:w="1418" w:type="dxa"/>
            <w:vAlign w:val="center"/>
          </w:tcPr>
          <w:p w14:paraId="22C2F6A0">
            <w:pPr>
              <w:pStyle w:val="69"/>
              <w:spacing w:before="65" w:after="65"/>
              <w:rPr>
                <w:rFonts w:cs="Times New Roman"/>
                <w:color w:val="auto"/>
                <w:highlight w:val="none"/>
              </w:rPr>
            </w:pPr>
            <w:r>
              <w:rPr>
                <w:rFonts w:cs="Times New Roman"/>
                <w:color w:val="auto"/>
                <w:highlight w:val="none"/>
              </w:rPr>
              <w:t>0.628</w:t>
            </w:r>
          </w:p>
        </w:tc>
      </w:tr>
      <w:tr w14:paraId="3178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3" w:type="pct"/>
            <w:vAlign w:val="center"/>
          </w:tcPr>
          <w:p w14:paraId="3350A582">
            <w:pPr>
              <w:pStyle w:val="69"/>
              <w:spacing w:before="65" w:after="65"/>
              <w:rPr>
                <w:rFonts w:cs="Times New Roman"/>
                <w:color w:val="auto"/>
                <w:highlight w:val="none"/>
              </w:rPr>
            </w:pPr>
            <w:r>
              <w:rPr>
                <w:rFonts w:cs="Times New Roman"/>
                <w:color w:val="auto"/>
                <w:highlight w:val="none"/>
              </w:rPr>
              <w:t>5</w:t>
            </w:r>
          </w:p>
        </w:tc>
        <w:tc>
          <w:tcPr>
            <w:tcW w:w="827" w:type="pct"/>
            <w:vMerge w:val="continue"/>
            <w:vAlign w:val="center"/>
          </w:tcPr>
          <w:p w14:paraId="37EA356F">
            <w:pPr>
              <w:pStyle w:val="69"/>
              <w:spacing w:before="65" w:after="65"/>
              <w:rPr>
                <w:rFonts w:cs="Times New Roman"/>
                <w:color w:val="auto"/>
                <w:highlight w:val="none"/>
              </w:rPr>
            </w:pPr>
          </w:p>
        </w:tc>
        <w:tc>
          <w:tcPr>
            <w:tcW w:w="247" w:type="pct"/>
            <w:vMerge w:val="continue"/>
            <w:vAlign w:val="center"/>
          </w:tcPr>
          <w:p w14:paraId="2F10A88F">
            <w:pPr>
              <w:pStyle w:val="69"/>
              <w:spacing w:before="65" w:after="65"/>
              <w:rPr>
                <w:rFonts w:cs="Times New Roman"/>
                <w:color w:val="auto"/>
                <w:highlight w:val="none"/>
              </w:rPr>
            </w:pPr>
          </w:p>
        </w:tc>
        <w:tc>
          <w:tcPr>
            <w:tcW w:w="735" w:type="pct"/>
            <w:vAlign w:val="center"/>
          </w:tcPr>
          <w:p w14:paraId="2D1F497F">
            <w:pPr>
              <w:pStyle w:val="69"/>
              <w:spacing w:before="65" w:after="65"/>
              <w:rPr>
                <w:rFonts w:cs="Times New Roman"/>
                <w:color w:val="auto"/>
                <w:highlight w:val="none"/>
              </w:rPr>
            </w:pPr>
            <w:r>
              <w:rPr>
                <w:rFonts w:cs="Times New Roman"/>
                <w:color w:val="auto"/>
                <w:highlight w:val="none"/>
              </w:rPr>
              <w:t>氨氮</w:t>
            </w:r>
          </w:p>
        </w:tc>
        <w:tc>
          <w:tcPr>
            <w:tcW w:w="1059" w:type="pct"/>
            <w:vAlign w:val="center"/>
          </w:tcPr>
          <w:p w14:paraId="245354EC">
            <w:pPr>
              <w:pStyle w:val="69"/>
              <w:spacing w:before="65" w:after="65"/>
              <w:rPr>
                <w:rFonts w:cs="Times New Roman"/>
                <w:color w:val="auto"/>
                <w:highlight w:val="none"/>
              </w:rPr>
            </w:pPr>
            <w:r>
              <w:rPr>
                <w:rFonts w:cs="Times New Roman"/>
                <w:color w:val="auto"/>
                <w:highlight w:val="none"/>
              </w:rPr>
              <w:t>25</w:t>
            </w:r>
          </w:p>
        </w:tc>
        <w:tc>
          <w:tcPr>
            <w:tcW w:w="1425" w:type="dxa"/>
            <w:vAlign w:val="center"/>
          </w:tcPr>
          <w:p w14:paraId="2BED95A9">
            <w:pPr>
              <w:pStyle w:val="69"/>
              <w:spacing w:before="65" w:after="65"/>
              <w:rPr>
                <w:rFonts w:cs="Times New Roman"/>
                <w:color w:val="auto"/>
                <w:highlight w:val="none"/>
              </w:rPr>
            </w:pPr>
            <w:r>
              <w:rPr>
                <w:rFonts w:cs="Times New Roman"/>
                <w:color w:val="auto"/>
                <w:highlight w:val="none"/>
              </w:rPr>
              <w:t>0.00024</w:t>
            </w:r>
          </w:p>
        </w:tc>
        <w:tc>
          <w:tcPr>
            <w:tcW w:w="1418" w:type="dxa"/>
            <w:vAlign w:val="center"/>
          </w:tcPr>
          <w:p w14:paraId="54934983">
            <w:pPr>
              <w:pStyle w:val="69"/>
              <w:spacing w:before="65" w:after="65"/>
              <w:rPr>
                <w:rFonts w:cs="Times New Roman"/>
                <w:color w:val="auto"/>
                <w:highlight w:val="none"/>
              </w:rPr>
            </w:pPr>
            <w:r>
              <w:rPr>
                <w:rFonts w:hint="eastAsia" w:cs="Times New Roman"/>
                <w:color w:val="auto"/>
                <w:highlight w:val="none"/>
              </w:rPr>
              <w:t>0.079</w:t>
            </w:r>
          </w:p>
        </w:tc>
      </w:tr>
      <w:tr w14:paraId="6ECCF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pct"/>
            <w:gridSpan w:val="2"/>
            <w:vMerge w:val="restart"/>
            <w:vAlign w:val="center"/>
          </w:tcPr>
          <w:p w14:paraId="65AF36DF">
            <w:pPr>
              <w:pStyle w:val="69"/>
              <w:spacing w:before="65" w:after="65"/>
              <w:rPr>
                <w:rFonts w:cs="Times New Roman"/>
                <w:color w:val="auto"/>
                <w:highlight w:val="none"/>
              </w:rPr>
            </w:pPr>
            <w:r>
              <w:rPr>
                <w:rFonts w:cs="Times New Roman"/>
                <w:color w:val="auto"/>
                <w:highlight w:val="none"/>
              </w:rPr>
              <w:t>全厂排放口合计</w:t>
            </w:r>
          </w:p>
        </w:tc>
        <w:tc>
          <w:tcPr>
            <w:tcW w:w="2877" w:type="pct"/>
            <w:gridSpan w:val="4"/>
            <w:vAlign w:val="center"/>
          </w:tcPr>
          <w:p w14:paraId="0DD8E600">
            <w:pPr>
              <w:pStyle w:val="69"/>
              <w:spacing w:before="65" w:after="65"/>
              <w:rPr>
                <w:rFonts w:cs="Times New Roman"/>
                <w:color w:val="auto"/>
                <w:highlight w:val="none"/>
              </w:rPr>
            </w:pPr>
            <w:r>
              <w:rPr>
                <w:rFonts w:cs="Times New Roman"/>
                <w:color w:val="auto"/>
                <w:highlight w:val="none"/>
              </w:rPr>
              <w:t>COD</w:t>
            </w:r>
          </w:p>
        </w:tc>
        <w:tc>
          <w:tcPr>
            <w:tcW w:w="1508" w:type="dxa"/>
            <w:vAlign w:val="center"/>
          </w:tcPr>
          <w:p w14:paraId="54FC516F">
            <w:pPr>
              <w:pStyle w:val="69"/>
              <w:spacing w:before="65" w:after="65"/>
              <w:rPr>
                <w:rFonts w:cs="Times New Roman"/>
                <w:color w:val="auto"/>
                <w:highlight w:val="none"/>
              </w:rPr>
            </w:pPr>
            <w:r>
              <w:rPr>
                <w:rFonts w:cs="Times New Roman"/>
                <w:color w:val="auto"/>
                <w:highlight w:val="none"/>
              </w:rPr>
              <w:t>0.942</w:t>
            </w:r>
          </w:p>
        </w:tc>
      </w:tr>
      <w:tr w14:paraId="5F88A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pct"/>
            <w:gridSpan w:val="2"/>
            <w:vMerge w:val="continue"/>
            <w:vAlign w:val="center"/>
          </w:tcPr>
          <w:p w14:paraId="48D72260">
            <w:pPr>
              <w:pStyle w:val="69"/>
              <w:spacing w:before="65" w:after="65"/>
              <w:rPr>
                <w:rFonts w:cs="Times New Roman"/>
                <w:color w:val="auto"/>
                <w:highlight w:val="none"/>
              </w:rPr>
            </w:pPr>
          </w:p>
        </w:tc>
        <w:tc>
          <w:tcPr>
            <w:tcW w:w="2877" w:type="pct"/>
            <w:gridSpan w:val="4"/>
            <w:vAlign w:val="center"/>
          </w:tcPr>
          <w:p w14:paraId="004E8E54">
            <w:pPr>
              <w:pStyle w:val="69"/>
              <w:spacing w:before="65" w:after="65"/>
              <w:rPr>
                <w:rFonts w:cs="Times New Roman"/>
                <w:color w:val="auto"/>
                <w:highlight w:val="none"/>
              </w:rPr>
            </w:pPr>
            <w:r>
              <w:rPr>
                <w:rFonts w:cs="Times New Roman"/>
                <w:color w:val="auto"/>
                <w:highlight w:val="none"/>
              </w:rPr>
              <w:t>BOD</w:t>
            </w:r>
            <w:r>
              <w:rPr>
                <w:rFonts w:cs="Times New Roman"/>
                <w:color w:val="auto"/>
                <w:highlight w:val="none"/>
                <w:vertAlign w:val="subscript"/>
              </w:rPr>
              <w:t>5</w:t>
            </w:r>
          </w:p>
        </w:tc>
        <w:tc>
          <w:tcPr>
            <w:tcW w:w="1508" w:type="dxa"/>
            <w:vAlign w:val="center"/>
          </w:tcPr>
          <w:p w14:paraId="60B6CAA3">
            <w:pPr>
              <w:pStyle w:val="69"/>
              <w:spacing w:before="65" w:after="65"/>
              <w:rPr>
                <w:rFonts w:cs="Times New Roman"/>
                <w:color w:val="auto"/>
                <w:highlight w:val="none"/>
              </w:rPr>
            </w:pPr>
            <w:r>
              <w:rPr>
                <w:rFonts w:cs="Times New Roman"/>
                <w:color w:val="auto"/>
                <w:highlight w:val="none"/>
              </w:rPr>
              <w:t>0.471</w:t>
            </w:r>
          </w:p>
        </w:tc>
      </w:tr>
      <w:tr w14:paraId="4F2F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pct"/>
            <w:gridSpan w:val="2"/>
            <w:vMerge w:val="continue"/>
            <w:vAlign w:val="center"/>
          </w:tcPr>
          <w:p w14:paraId="18E71CDA">
            <w:pPr>
              <w:pStyle w:val="69"/>
              <w:spacing w:before="65" w:after="65"/>
              <w:rPr>
                <w:rFonts w:cs="Times New Roman"/>
                <w:color w:val="auto"/>
                <w:highlight w:val="none"/>
              </w:rPr>
            </w:pPr>
          </w:p>
        </w:tc>
        <w:tc>
          <w:tcPr>
            <w:tcW w:w="2877" w:type="pct"/>
            <w:gridSpan w:val="4"/>
            <w:vAlign w:val="center"/>
          </w:tcPr>
          <w:p w14:paraId="754AA8F0">
            <w:pPr>
              <w:pStyle w:val="69"/>
              <w:spacing w:before="65" w:after="65"/>
              <w:rPr>
                <w:rFonts w:cs="Times New Roman"/>
                <w:color w:val="auto"/>
                <w:highlight w:val="none"/>
              </w:rPr>
            </w:pPr>
            <w:r>
              <w:rPr>
                <w:rFonts w:cs="Times New Roman"/>
                <w:color w:val="auto"/>
                <w:highlight w:val="none"/>
              </w:rPr>
              <w:t>TP</w:t>
            </w:r>
          </w:p>
        </w:tc>
        <w:tc>
          <w:tcPr>
            <w:tcW w:w="1508" w:type="dxa"/>
            <w:vAlign w:val="center"/>
          </w:tcPr>
          <w:p w14:paraId="4C4005E8">
            <w:pPr>
              <w:pStyle w:val="69"/>
              <w:spacing w:before="65" w:after="65"/>
              <w:rPr>
                <w:rFonts w:cs="Times New Roman"/>
                <w:color w:val="auto"/>
                <w:highlight w:val="none"/>
              </w:rPr>
            </w:pPr>
            <w:r>
              <w:rPr>
                <w:rFonts w:cs="Times New Roman"/>
                <w:color w:val="auto"/>
                <w:highlight w:val="none"/>
              </w:rPr>
              <w:t>0.011</w:t>
            </w:r>
          </w:p>
        </w:tc>
      </w:tr>
      <w:tr w14:paraId="1626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1290" w:type="pct"/>
            <w:gridSpan w:val="2"/>
            <w:vMerge w:val="continue"/>
            <w:vAlign w:val="center"/>
          </w:tcPr>
          <w:p w14:paraId="6D30A29E">
            <w:pPr>
              <w:pStyle w:val="69"/>
              <w:spacing w:before="65" w:after="65"/>
              <w:rPr>
                <w:rFonts w:cs="Times New Roman"/>
                <w:color w:val="auto"/>
                <w:highlight w:val="none"/>
              </w:rPr>
            </w:pPr>
          </w:p>
        </w:tc>
        <w:tc>
          <w:tcPr>
            <w:tcW w:w="2877" w:type="pct"/>
            <w:gridSpan w:val="4"/>
            <w:vAlign w:val="center"/>
          </w:tcPr>
          <w:p w14:paraId="7DDB6DF9">
            <w:pPr>
              <w:pStyle w:val="69"/>
              <w:spacing w:before="65" w:after="65"/>
              <w:rPr>
                <w:rFonts w:cs="Times New Roman"/>
                <w:color w:val="auto"/>
                <w:highlight w:val="none"/>
              </w:rPr>
            </w:pPr>
            <w:r>
              <w:rPr>
                <w:rFonts w:cs="Times New Roman"/>
                <w:color w:val="auto"/>
                <w:highlight w:val="none"/>
              </w:rPr>
              <w:t>SS</w:t>
            </w:r>
          </w:p>
        </w:tc>
        <w:tc>
          <w:tcPr>
            <w:tcW w:w="1508" w:type="dxa"/>
            <w:vAlign w:val="center"/>
          </w:tcPr>
          <w:p w14:paraId="6616DCEB">
            <w:pPr>
              <w:pStyle w:val="69"/>
              <w:spacing w:before="65" w:after="65"/>
              <w:rPr>
                <w:rFonts w:cs="Times New Roman"/>
                <w:color w:val="auto"/>
                <w:highlight w:val="none"/>
              </w:rPr>
            </w:pPr>
            <w:r>
              <w:rPr>
                <w:rFonts w:cs="Times New Roman"/>
                <w:color w:val="auto"/>
                <w:highlight w:val="none"/>
              </w:rPr>
              <w:t>0.628</w:t>
            </w:r>
          </w:p>
        </w:tc>
      </w:tr>
      <w:tr w14:paraId="60C0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90" w:type="pct"/>
            <w:gridSpan w:val="2"/>
            <w:vMerge w:val="continue"/>
            <w:vAlign w:val="center"/>
          </w:tcPr>
          <w:p w14:paraId="4FAB5606">
            <w:pPr>
              <w:pStyle w:val="69"/>
              <w:spacing w:before="65" w:after="65"/>
              <w:rPr>
                <w:rFonts w:cs="Times New Roman"/>
                <w:color w:val="auto"/>
                <w:highlight w:val="none"/>
              </w:rPr>
            </w:pPr>
          </w:p>
        </w:tc>
        <w:tc>
          <w:tcPr>
            <w:tcW w:w="2877" w:type="pct"/>
            <w:gridSpan w:val="4"/>
            <w:vAlign w:val="center"/>
          </w:tcPr>
          <w:p w14:paraId="7B0FFB51">
            <w:pPr>
              <w:pStyle w:val="69"/>
              <w:spacing w:before="65" w:after="65"/>
              <w:rPr>
                <w:rFonts w:cs="Times New Roman"/>
                <w:color w:val="auto"/>
                <w:highlight w:val="none"/>
              </w:rPr>
            </w:pPr>
            <w:r>
              <w:rPr>
                <w:rFonts w:cs="Times New Roman"/>
                <w:color w:val="auto"/>
                <w:highlight w:val="none"/>
              </w:rPr>
              <w:t>氨氮</w:t>
            </w:r>
          </w:p>
        </w:tc>
        <w:tc>
          <w:tcPr>
            <w:tcW w:w="1508" w:type="dxa"/>
            <w:vAlign w:val="center"/>
          </w:tcPr>
          <w:p w14:paraId="2F295C25">
            <w:pPr>
              <w:pStyle w:val="69"/>
              <w:spacing w:before="65" w:after="65"/>
              <w:rPr>
                <w:rFonts w:cs="Times New Roman"/>
                <w:color w:val="auto"/>
                <w:highlight w:val="none"/>
              </w:rPr>
            </w:pPr>
            <w:r>
              <w:rPr>
                <w:rFonts w:hint="eastAsia" w:cs="Times New Roman"/>
                <w:color w:val="auto"/>
                <w:highlight w:val="none"/>
              </w:rPr>
              <w:t>0.079</w:t>
            </w:r>
          </w:p>
        </w:tc>
      </w:tr>
    </w:tbl>
    <w:p w14:paraId="5F5A9223">
      <w:pPr>
        <w:pStyle w:val="5"/>
        <w:adjustRightInd w:val="0"/>
        <w:rPr>
          <w:rFonts w:cs="Times New Roman"/>
          <w:color w:val="auto"/>
          <w:highlight w:val="none"/>
        </w:rPr>
      </w:pPr>
      <w:r>
        <w:rPr>
          <w:rFonts w:cs="Times New Roman"/>
          <w:color w:val="auto"/>
          <w:highlight w:val="none"/>
        </w:rPr>
        <w:t>噪声污染物产生及治理措施</w:t>
      </w:r>
    </w:p>
    <w:p w14:paraId="30A53E47">
      <w:pPr>
        <w:adjustRightInd w:val="0"/>
        <w:ind w:firstLine="480"/>
        <w:rPr>
          <w:rFonts w:cs="Times New Roman"/>
          <w:color w:val="auto"/>
          <w:highlight w:val="none"/>
        </w:rPr>
      </w:pPr>
      <w:r>
        <w:rPr>
          <w:rFonts w:cs="Times New Roman"/>
          <w:color w:val="auto"/>
          <w:highlight w:val="none"/>
        </w:rPr>
        <w:t>本项目运营期噪声主要为设备（给料机、颚式破碎机、圆锥破碎机、立轴式冲击破、圆振动筛、溢流型球磨机、磨矿分级旋流器组、磁选机、脱泥旋流器组、浮选机、罗茨鼓风机、磁选机、浓密机、隔膜厢式自动压滤机、带式真空过滤机、永磁螺杆空压机、永磁螺杆空压机）噪声、风机噪声等，根据类比调查，其源强为70~95dB（A）。具体见</w:t>
      </w:r>
      <w:r>
        <w:rPr>
          <w:rFonts w:hint="eastAsia" w:cs="Times New Roman"/>
          <w:color w:val="auto"/>
          <w:highlight w:val="none"/>
        </w:rPr>
        <w:t>“5</w:t>
      </w:r>
      <w:r>
        <w:rPr>
          <w:rFonts w:cs="Times New Roman"/>
          <w:color w:val="auto"/>
          <w:highlight w:val="none"/>
        </w:rPr>
        <w:t>.2.3噪声源调查与分析</w:t>
      </w:r>
      <w:r>
        <w:rPr>
          <w:rFonts w:hint="eastAsia" w:cs="Times New Roman"/>
          <w:color w:val="auto"/>
          <w:highlight w:val="none"/>
        </w:rPr>
        <w:t>”</w:t>
      </w:r>
      <w:r>
        <w:rPr>
          <w:rFonts w:cs="Times New Roman"/>
          <w:color w:val="auto"/>
          <w:highlight w:val="none"/>
        </w:rPr>
        <w:t>。</w:t>
      </w:r>
    </w:p>
    <w:p w14:paraId="4E530368">
      <w:pPr>
        <w:adjustRightInd w:val="0"/>
        <w:ind w:firstLine="480"/>
        <w:rPr>
          <w:rFonts w:cs="Times New Roman"/>
          <w:color w:val="auto"/>
          <w:highlight w:val="none"/>
        </w:rPr>
      </w:pPr>
      <w:r>
        <w:rPr>
          <w:rFonts w:cs="Times New Roman"/>
          <w:color w:val="auto"/>
          <w:highlight w:val="none"/>
        </w:rPr>
        <w:t>本次评价对项目噪声治理提出以下</w:t>
      </w:r>
      <w:r>
        <w:rPr>
          <w:rFonts w:hint="eastAsia" w:cs="Times New Roman"/>
          <w:color w:val="auto"/>
          <w:highlight w:val="none"/>
        </w:rPr>
        <w:t>整改</w:t>
      </w:r>
      <w:r>
        <w:rPr>
          <w:rFonts w:cs="Times New Roman"/>
          <w:color w:val="auto"/>
          <w:highlight w:val="none"/>
        </w:rPr>
        <w:t>措施：</w:t>
      </w:r>
    </w:p>
    <w:p w14:paraId="61B68FE9">
      <w:pPr>
        <w:adjustRightInd w:val="0"/>
        <w:ind w:firstLine="480"/>
        <w:rPr>
          <w:rFonts w:cs="Times New Roman"/>
          <w:color w:val="auto"/>
          <w:highlight w:val="none"/>
        </w:rPr>
      </w:pPr>
      <w:r>
        <w:rPr>
          <w:rFonts w:cs="Times New Roman"/>
          <w:color w:val="auto"/>
          <w:highlight w:val="none"/>
        </w:rPr>
        <w:t>（1）合理布置噪声源，优化总图布置，将高噪声设备（破碎机、筛分机和球磨机等）布置于生产车间内部，尽可能远离厂界，以减轻对厂界外的声环境影响。</w:t>
      </w:r>
    </w:p>
    <w:p w14:paraId="33BBC366">
      <w:pPr>
        <w:adjustRightInd w:val="0"/>
        <w:ind w:firstLine="480"/>
        <w:rPr>
          <w:rFonts w:cs="Times New Roman"/>
          <w:color w:val="auto"/>
          <w:highlight w:val="none"/>
        </w:rPr>
      </w:pPr>
      <w:r>
        <w:rPr>
          <w:rFonts w:cs="Times New Roman"/>
          <w:color w:val="auto"/>
          <w:highlight w:val="none"/>
        </w:rPr>
        <w:t>（2）设备选型上使用国内先进的低噪声设备，对大功率设备及高噪声设备采用隔离布置，并采取减振、隔声等降噪措施，如厂房墙壁设吸声材料，设备安装时采取基座减振、橡胶减振接头及减振垫等措施。</w:t>
      </w:r>
    </w:p>
    <w:p w14:paraId="4543ED28">
      <w:pPr>
        <w:adjustRightInd w:val="0"/>
        <w:ind w:firstLine="480"/>
        <w:rPr>
          <w:rFonts w:cs="Times New Roman"/>
          <w:color w:val="auto"/>
          <w:highlight w:val="none"/>
        </w:rPr>
      </w:pPr>
      <w:r>
        <w:rPr>
          <w:rFonts w:cs="Times New Roman"/>
          <w:color w:val="auto"/>
          <w:highlight w:val="none"/>
        </w:rPr>
        <w:t>（3）风机采取消声措施，风机管道进出口加柔性软接，风机机壳和输气管道采取阻尼措施或包裹吸声材料。</w:t>
      </w:r>
    </w:p>
    <w:p w14:paraId="59EDEDD9">
      <w:pPr>
        <w:adjustRightInd w:val="0"/>
        <w:ind w:firstLine="480"/>
        <w:rPr>
          <w:rFonts w:cs="Times New Roman"/>
          <w:color w:val="auto"/>
          <w:highlight w:val="none"/>
        </w:rPr>
      </w:pPr>
      <w:r>
        <w:rPr>
          <w:rFonts w:cs="Times New Roman"/>
          <w:color w:val="auto"/>
          <w:highlight w:val="none"/>
        </w:rPr>
        <w:t>（4）厂房的门窗均使用隔声门窗，厂房墙壁设吸声材料，临厂界一侧禁止开窗。</w:t>
      </w:r>
    </w:p>
    <w:p w14:paraId="17CA8144">
      <w:pPr>
        <w:adjustRightInd w:val="0"/>
        <w:ind w:firstLine="480"/>
        <w:rPr>
          <w:rFonts w:cs="Times New Roman"/>
          <w:color w:val="auto"/>
          <w:highlight w:val="none"/>
        </w:rPr>
      </w:pPr>
      <w:r>
        <w:rPr>
          <w:rFonts w:cs="Times New Roman"/>
          <w:color w:val="auto"/>
          <w:highlight w:val="none"/>
        </w:rPr>
        <w:t>（5）在装卸方式上，由叉车等工具妥善装卸，不得野蛮操作；产品由料</w:t>
      </w:r>
      <w:r>
        <w:rPr>
          <w:rFonts w:hint="eastAsia" w:cs="Times New Roman"/>
          <w:color w:val="auto"/>
          <w:highlight w:val="none"/>
        </w:rPr>
        <w:t>筐</w:t>
      </w:r>
      <w:r>
        <w:rPr>
          <w:rFonts w:cs="Times New Roman"/>
          <w:color w:val="auto"/>
          <w:highlight w:val="none"/>
        </w:rPr>
        <w:t>进行包装，以方便运输和降低装卸噪声。</w:t>
      </w:r>
    </w:p>
    <w:p w14:paraId="4ECDC29A">
      <w:pPr>
        <w:adjustRightInd w:val="0"/>
        <w:ind w:firstLine="480"/>
        <w:rPr>
          <w:rFonts w:cs="Times New Roman"/>
          <w:color w:val="auto"/>
          <w:highlight w:val="none"/>
        </w:rPr>
      </w:pPr>
      <w:r>
        <w:rPr>
          <w:rFonts w:cs="Times New Roman"/>
          <w:color w:val="auto"/>
          <w:highlight w:val="none"/>
        </w:rPr>
        <w:t>（6）建立设备定期维护，保养的管理制度，以防止设备故障形成的非正常生产噪声，同时确保环保措施发挥</w:t>
      </w:r>
      <w:r>
        <w:rPr>
          <w:rFonts w:hint="eastAsia" w:cs="Times New Roman"/>
          <w:color w:val="auto"/>
          <w:highlight w:val="none"/>
        </w:rPr>
        <w:t>最</w:t>
      </w:r>
      <w:r>
        <w:rPr>
          <w:rFonts w:cs="Times New Roman"/>
          <w:color w:val="auto"/>
          <w:highlight w:val="none"/>
        </w:rPr>
        <w:t>有效的功能；加强职工环保意识教育，提倡文明生产，防止人为噪声。</w:t>
      </w:r>
    </w:p>
    <w:p w14:paraId="46AF70ED">
      <w:pPr>
        <w:adjustRightInd w:val="0"/>
        <w:ind w:firstLine="480"/>
        <w:rPr>
          <w:rFonts w:cs="Times New Roman"/>
          <w:color w:val="auto"/>
          <w:highlight w:val="none"/>
        </w:rPr>
      </w:pPr>
      <w:r>
        <w:rPr>
          <w:rFonts w:cs="Times New Roman"/>
          <w:color w:val="auto"/>
          <w:highlight w:val="none"/>
        </w:rPr>
        <w:t>采取以上措施后本项目产生的噪声能满足《工业企业厂界环境噪声排放标准》（GB12348-2008）中的3类标准要求。</w:t>
      </w:r>
    </w:p>
    <w:p w14:paraId="538C0BEA">
      <w:pPr>
        <w:pStyle w:val="5"/>
        <w:adjustRightInd w:val="0"/>
        <w:rPr>
          <w:rFonts w:cs="Times New Roman"/>
          <w:color w:val="auto"/>
          <w:highlight w:val="none"/>
        </w:rPr>
      </w:pPr>
      <w:r>
        <w:rPr>
          <w:rFonts w:cs="Times New Roman"/>
          <w:color w:val="auto"/>
          <w:highlight w:val="none"/>
        </w:rPr>
        <w:t>固体废物产生及治理措施</w:t>
      </w:r>
    </w:p>
    <w:p w14:paraId="3EB1E55A">
      <w:pPr>
        <w:adjustRightInd w:val="0"/>
        <w:ind w:firstLine="480"/>
        <w:rPr>
          <w:rFonts w:cs="Times New Roman"/>
          <w:color w:val="auto"/>
          <w:highlight w:val="none"/>
        </w:rPr>
      </w:pPr>
      <w:r>
        <w:rPr>
          <w:rFonts w:cs="Times New Roman"/>
          <w:color w:val="auto"/>
          <w:highlight w:val="none"/>
        </w:rPr>
        <w:t>根据工艺流程和产污环节分析结果，本项目运营期产生的固体废物分为一般固废、危险废物，其中一般固废主要为沉淀池沉渣、废滤袋、废布袋、</w:t>
      </w:r>
      <w:r>
        <w:rPr>
          <w:rFonts w:hint="eastAsia" w:cs="Times New Roman"/>
          <w:color w:val="auto"/>
          <w:highlight w:val="none"/>
        </w:rPr>
        <w:t>布袋收尘灰、废捕收剂桶</w:t>
      </w:r>
      <w:r>
        <w:rPr>
          <w:rFonts w:cs="Times New Roman"/>
          <w:color w:val="auto"/>
          <w:highlight w:val="none"/>
        </w:rPr>
        <w:t>、废碳酸钠包装袋、废氯化镁包装袋</w:t>
      </w:r>
      <w:r>
        <w:rPr>
          <w:rFonts w:hint="eastAsia" w:cs="Times New Roman"/>
          <w:color w:val="auto"/>
          <w:highlight w:val="none"/>
        </w:rPr>
        <w:t>、</w:t>
      </w:r>
      <w:r>
        <w:rPr>
          <w:rFonts w:cs="Times New Roman"/>
          <w:color w:val="auto"/>
          <w:highlight w:val="none"/>
        </w:rPr>
        <w:t>生活垃圾</w:t>
      </w:r>
      <w:r>
        <w:rPr>
          <w:rFonts w:hint="eastAsia" w:cs="Times New Roman"/>
          <w:color w:val="auto"/>
          <w:highlight w:val="none"/>
        </w:rPr>
        <w:t>、餐厨垃圾和隔油池废油</w:t>
      </w:r>
      <w:r>
        <w:rPr>
          <w:rFonts w:cs="Times New Roman"/>
          <w:color w:val="auto"/>
          <w:highlight w:val="none"/>
        </w:rPr>
        <w:t>；危险废物主要为废机油、废机油桶、含油抹布及手套、废氢氧化钠包装袋</w:t>
      </w:r>
      <w:r>
        <w:rPr>
          <w:rFonts w:hint="eastAsia" w:cs="Times New Roman"/>
          <w:color w:val="auto"/>
          <w:highlight w:val="none"/>
        </w:rPr>
        <w:t>。</w:t>
      </w:r>
    </w:p>
    <w:p w14:paraId="49B88343">
      <w:pPr>
        <w:adjustRightInd w:val="0"/>
        <w:ind w:firstLine="482"/>
        <w:rPr>
          <w:rFonts w:cs="Times New Roman"/>
          <w:b/>
          <w:bCs/>
          <w:color w:val="auto"/>
          <w:highlight w:val="none"/>
        </w:rPr>
      </w:pPr>
      <w:r>
        <w:rPr>
          <w:rFonts w:cs="Times New Roman"/>
          <w:b/>
          <w:bCs/>
          <w:color w:val="auto"/>
          <w:highlight w:val="none"/>
        </w:rPr>
        <w:t>（1）一般固废</w:t>
      </w:r>
    </w:p>
    <w:p w14:paraId="46908BD0">
      <w:pPr>
        <w:adjustRightInd w:val="0"/>
        <w:ind w:firstLine="482"/>
        <w:rPr>
          <w:rFonts w:cs="Times New Roman"/>
          <w:b/>
          <w:bCs/>
          <w:color w:val="auto"/>
          <w:highlight w:val="none"/>
        </w:rPr>
      </w:pPr>
      <w:r>
        <w:rPr>
          <w:rFonts w:hint="eastAsia" w:cs="Times New Roman"/>
          <w:b/>
          <w:bCs/>
          <w:color w:val="auto"/>
          <w:highlight w:val="none"/>
        </w:rPr>
        <w:t>1</w:t>
      </w:r>
      <w:r>
        <w:rPr>
          <w:rFonts w:cs="Times New Roman"/>
          <w:b/>
          <w:bCs/>
          <w:color w:val="auto"/>
          <w:highlight w:val="none"/>
        </w:rPr>
        <w:t>）废滤袋</w:t>
      </w:r>
    </w:p>
    <w:p w14:paraId="325088AC">
      <w:pPr>
        <w:adjustRightInd w:val="0"/>
        <w:ind w:firstLine="480"/>
        <w:rPr>
          <w:rFonts w:cs="Times New Roman"/>
          <w:color w:val="auto"/>
          <w:highlight w:val="none"/>
        </w:rPr>
      </w:pPr>
      <w:r>
        <w:rPr>
          <w:rFonts w:cs="Times New Roman"/>
          <w:color w:val="auto"/>
          <w:highlight w:val="none"/>
        </w:rPr>
        <w:t>压滤机滤袋使用寿命平均约为1年，每套滤袋重量约为0.12t。本项目共设置4套板框压滤机、1套带式真空过滤机，因此产生废滤袋为0.6t/a，暂存于一般工业固废暂存间，定期由滤袋供货商回收处理。</w:t>
      </w:r>
    </w:p>
    <w:p w14:paraId="56980DB8">
      <w:pPr>
        <w:adjustRightInd w:val="0"/>
        <w:ind w:firstLine="482"/>
        <w:rPr>
          <w:rFonts w:cs="Times New Roman"/>
          <w:b/>
          <w:bCs/>
          <w:color w:val="auto"/>
          <w:highlight w:val="none"/>
        </w:rPr>
      </w:pPr>
      <w:r>
        <w:rPr>
          <w:rFonts w:hint="eastAsia" w:cs="Times New Roman"/>
          <w:b/>
          <w:bCs/>
          <w:color w:val="auto"/>
          <w:highlight w:val="none"/>
        </w:rPr>
        <w:t>2</w:t>
      </w:r>
      <w:r>
        <w:rPr>
          <w:rFonts w:cs="Times New Roman"/>
          <w:b/>
          <w:bCs/>
          <w:color w:val="auto"/>
          <w:highlight w:val="none"/>
        </w:rPr>
        <w:t>）废布袋</w:t>
      </w:r>
    </w:p>
    <w:p w14:paraId="22532084">
      <w:pPr>
        <w:adjustRightInd w:val="0"/>
        <w:ind w:firstLine="480"/>
        <w:rPr>
          <w:rFonts w:cs="Times New Roman"/>
          <w:color w:val="auto"/>
          <w:highlight w:val="none"/>
        </w:rPr>
      </w:pPr>
      <w:r>
        <w:rPr>
          <w:rFonts w:cs="Times New Roman"/>
          <w:color w:val="auto"/>
          <w:highlight w:val="none"/>
        </w:rPr>
        <w:t>本项目布袋约每年更换一次，以保证除尘效率。本项目设置</w:t>
      </w:r>
      <w:r>
        <w:rPr>
          <w:rFonts w:hint="eastAsia" w:cs="Times New Roman"/>
          <w:color w:val="auto"/>
          <w:highlight w:val="none"/>
        </w:rPr>
        <w:t>2</w:t>
      </w:r>
      <w:r>
        <w:rPr>
          <w:rFonts w:cs="Times New Roman"/>
          <w:color w:val="auto"/>
          <w:highlight w:val="none"/>
        </w:rPr>
        <w:t>套布袋除尘器，布袋比表面积为980m</w:t>
      </w:r>
      <w:r>
        <w:rPr>
          <w:rFonts w:cs="Times New Roman"/>
          <w:color w:val="auto"/>
          <w:highlight w:val="none"/>
          <w:vertAlign w:val="superscript"/>
        </w:rPr>
        <w:t>2</w:t>
      </w:r>
      <w:r>
        <w:rPr>
          <w:rFonts w:cs="Times New Roman"/>
          <w:color w:val="auto"/>
          <w:highlight w:val="none"/>
        </w:rPr>
        <w:t>，布袋重量约为0.1t，因此，本项目废布袋产生量约0.1t/a，暂存于一般工业固废暂存间，定期由布袋供货公司回收处理。</w:t>
      </w:r>
    </w:p>
    <w:p w14:paraId="6A13252B">
      <w:pPr>
        <w:adjustRightInd w:val="0"/>
        <w:ind w:firstLine="482"/>
        <w:rPr>
          <w:rFonts w:cs="Times New Roman"/>
          <w:b/>
          <w:bCs/>
          <w:color w:val="auto"/>
          <w:highlight w:val="none"/>
        </w:rPr>
      </w:pPr>
      <w:r>
        <w:rPr>
          <w:rFonts w:hint="eastAsia" w:cs="Times New Roman"/>
          <w:b/>
          <w:bCs/>
          <w:color w:val="auto"/>
          <w:highlight w:val="none"/>
        </w:rPr>
        <w:t>3</w:t>
      </w:r>
      <w:r>
        <w:rPr>
          <w:rFonts w:cs="Times New Roman"/>
          <w:b/>
          <w:bCs/>
          <w:color w:val="auto"/>
          <w:highlight w:val="none"/>
        </w:rPr>
        <w:t>）除尘器收集的粉尘</w:t>
      </w:r>
    </w:p>
    <w:p w14:paraId="7B85CBD1">
      <w:pPr>
        <w:adjustRightInd w:val="0"/>
        <w:ind w:firstLine="480"/>
        <w:rPr>
          <w:rFonts w:cs="Times New Roman"/>
          <w:color w:val="auto"/>
          <w:highlight w:val="none"/>
        </w:rPr>
      </w:pPr>
      <w:r>
        <w:rPr>
          <w:rFonts w:cs="Times New Roman"/>
          <w:color w:val="auto"/>
          <w:highlight w:val="none"/>
        </w:rPr>
        <w:t>根据工程分析，本项目</w:t>
      </w:r>
      <w:r>
        <w:rPr>
          <w:rFonts w:hint="eastAsia" w:cs="Times New Roman"/>
          <w:color w:val="auto"/>
          <w:highlight w:val="none"/>
        </w:rPr>
        <w:t>投料、</w:t>
      </w:r>
      <w:r>
        <w:rPr>
          <w:rFonts w:cs="Times New Roman"/>
          <w:color w:val="auto"/>
          <w:highlight w:val="none"/>
        </w:rPr>
        <w:t>破碎筛分粉尘产生量为</w:t>
      </w:r>
      <w:r>
        <w:rPr>
          <w:rFonts w:hint="eastAsia" w:cs="Times New Roman"/>
          <w:color w:val="auto"/>
          <w:highlight w:val="none"/>
        </w:rPr>
        <w:t>190.77</w:t>
      </w:r>
      <w:r>
        <w:rPr>
          <w:rFonts w:cs="Times New Roman"/>
          <w:color w:val="auto"/>
          <w:highlight w:val="none"/>
        </w:rPr>
        <w:t>t/a，集气罩收集效率为80%，布袋除尘器净化效率为99%，因此除尘器收集的粉尘量为</w:t>
      </w:r>
      <w:r>
        <w:rPr>
          <w:rFonts w:hint="eastAsia" w:cs="Times New Roman"/>
          <w:color w:val="auto"/>
          <w:highlight w:val="none"/>
        </w:rPr>
        <w:t>151.09</w:t>
      </w:r>
      <w:r>
        <w:rPr>
          <w:rFonts w:cs="Times New Roman"/>
          <w:color w:val="auto"/>
          <w:highlight w:val="none"/>
        </w:rPr>
        <w:t>t/a。</w:t>
      </w:r>
    </w:p>
    <w:p w14:paraId="56E91207">
      <w:pPr>
        <w:adjustRightInd w:val="0"/>
        <w:ind w:firstLine="480"/>
        <w:rPr>
          <w:rFonts w:cs="Times New Roman"/>
          <w:color w:val="auto"/>
          <w:highlight w:val="none"/>
        </w:rPr>
      </w:pPr>
      <w:r>
        <w:rPr>
          <w:rFonts w:cs="Times New Roman"/>
          <w:color w:val="auto"/>
          <w:highlight w:val="none"/>
        </w:rPr>
        <w:t>本项目除尘器收集的粉尘，主要为锂辉石颗粒，暂存于一般工业固废暂存间，定期回用于湿式磨矿生产工序</w:t>
      </w:r>
      <w:r>
        <w:rPr>
          <w:rFonts w:hint="eastAsia" w:cs="Times New Roman"/>
          <w:color w:val="auto"/>
          <w:highlight w:val="none"/>
        </w:rPr>
        <w:t>。</w:t>
      </w:r>
    </w:p>
    <w:p w14:paraId="46656F2F">
      <w:pPr>
        <w:adjustRightInd w:val="0"/>
        <w:ind w:firstLine="482"/>
        <w:rPr>
          <w:rFonts w:cs="Times New Roman"/>
          <w:b/>
          <w:bCs/>
          <w:color w:val="auto"/>
          <w:highlight w:val="none"/>
        </w:rPr>
      </w:pPr>
      <w:r>
        <w:rPr>
          <w:rFonts w:hint="eastAsia" w:cs="Times New Roman"/>
          <w:b/>
          <w:bCs/>
          <w:color w:val="auto"/>
          <w:highlight w:val="none"/>
        </w:rPr>
        <w:t>4</w:t>
      </w:r>
      <w:r>
        <w:rPr>
          <w:rFonts w:cs="Times New Roman"/>
          <w:b/>
          <w:bCs/>
          <w:color w:val="auto"/>
          <w:highlight w:val="none"/>
        </w:rPr>
        <w:t>）沉淀池沉砂</w:t>
      </w:r>
    </w:p>
    <w:p w14:paraId="3C673358">
      <w:pPr>
        <w:adjustRightInd w:val="0"/>
        <w:ind w:firstLine="480"/>
        <w:rPr>
          <w:rFonts w:cs="Times New Roman"/>
          <w:color w:val="auto"/>
          <w:highlight w:val="none"/>
        </w:rPr>
      </w:pPr>
      <w:r>
        <w:rPr>
          <w:rFonts w:cs="Times New Roman"/>
          <w:color w:val="auto"/>
          <w:highlight w:val="none"/>
        </w:rPr>
        <w:t>本项目三级沉淀池将产生一定量的沉砂，</w:t>
      </w:r>
      <w:r>
        <w:rPr>
          <w:rFonts w:hint="eastAsia" w:cs="Times New Roman"/>
          <w:color w:val="auto"/>
          <w:highlight w:val="none"/>
        </w:rPr>
        <w:t>主要成分为</w:t>
      </w:r>
      <w:r>
        <w:rPr>
          <w:rFonts w:cs="Times New Roman"/>
          <w:color w:val="auto"/>
          <w:highlight w:val="none"/>
        </w:rPr>
        <w:t>锂辉石矿粉，根据物料平衡，因此沉淀池沉</w:t>
      </w:r>
      <w:r>
        <w:rPr>
          <w:rFonts w:hint="eastAsia" w:cs="Times New Roman"/>
          <w:color w:val="auto"/>
          <w:highlight w:val="none"/>
        </w:rPr>
        <w:t>砂</w:t>
      </w:r>
      <w:r>
        <w:rPr>
          <w:rFonts w:cs="Times New Roman"/>
          <w:color w:val="auto"/>
          <w:highlight w:val="none"/>
        </w:rPr>
        <w:t>产生量约为</w:t>
      </w:r>
      <w:r>
        <w:rPr>
          <w:rFonts w:hint="eastAsia" w:cs="Times New Roman"/>
          <w:color w:val="auto"/>
          <w:highlight w:val="none"/>
        </w:rPr>
        <w:t>1259.6414</w:t>
      </w:r>
      <w:r>
        <w:rPr>
          <w:rFonts w:cs="Times New Roman"/>
          <w:color w:val="auto"/>
          <w:highlight w:val="none"/>
        </w:rPr>
        <w:t>t/a。</w:t>
      </w:r>
    </w:p>
    <w:p w14:paraId="5E298591">
      <w:pPr>
        <w:adjustRightInd w:val="0"/>
        <w:ind w:firstLine="480"/>
        <w:rPr>
          <w:rFonts w:cs="Times New Roman"/>
          <w:color w:val="auto"/>
          <w:highlight w:val="none"/>
        </w:rPr>
      </w:pPr>
      <w:r>
        <w:rPr>
          <w:rFonts w:cs="Times New Roman"/>
          <w:color w:val="auto"/>
          <w:highlight w:val="none"/>
        </w:rPr>
        <w:t>本项目沉淀池沉砂暂存于一般工业固废暂存间，定期回用于生产工序。</w:t>
      </w:r>
    </w:p>
    <w:p w14:paraId="79F5FA44">
      <w:pPr>
        <w:adjustRightInd w:val="0"/>
        <w:ind w:firstLine="482"/>
        <w:rPr>
          <w:rFonts w:cs="Times New Roman"/>
          <w:b/>
          <w:bCs/>
          <w:color w:val="auto"/>
          <w:highlight w:val="none"/>
        </w:rPr>
      </w:pPr>
      <w:r>
        <w:rPr>
          <w:rFonts w:hint="eastAsia" w:cs="Times New Roman"/>
          <w:b/>
          <w:bCs/>
          <w:color w:val="auto"/>
          <w:highlight w:val="none"/>
        </w:rPr>
        <w:t>5</w:t>
      </w:r>
      <w:r>
        <w:rPr>
          <w:rFonts w:cs="Times New Roman"/>
          <w:b/>
          <w:bCs/>
          <w:color w:val="auto"/>
          <w:highlight w:val="none"/>
        </w:rPr>
        <w:t>）废</w:t>
      </w:r>
      <w:r>
        <w:rPr>
          <w:rFonts w:hint="eastAsia" w:cs="Times New Roman"/>
          <w:b/>
          <w:bCs/>
          <w:color w:val="auto"/>
          <w:highlight w:val="none"/>
        </w:rPr>
        <w:t>聚丙烯酰胺包装袋、废聚合氯化铝包装袋</w:t>
      </w:r>
    </w:p>
    <w:p w14:paraId="6C8F06CD">
      <w:pPr>
        <w:adjustRightInd w:val="0"/>
        <w:ind w:firstLine="480"/>
        <w:rPr>
          <w:rFonts w:cs="Times New Roman"/>
          <w:color w:val="auto"/>
          <w:highlight w:val="none"/>
        </w:rPr>
      </w:pPr>
      <w:r>
        <w:rPr>
          <w:rFonts w:hint="eastAsia" w:cs="Times New Roman"/>
          <w:color w:val="auto"/>
          <w:highlight w:val="none"/>
        </w:rPr>
        <w:t>本项目使用的絮凝剂（聚丙烯酰胺）和聚凝剂（聚合氯化铝）为袋装（25kg/袋），使用量为絮凝剂4.698t/a、聚凝剂1346.76t/a，因此，废聚丙烯酰胺包装袋约188个/a（约0.0094t/a），废聚合氯化铝包装袋约53871个/a（约2.69t/a）。</w:t>
      </w:r>
    </w:p>
    <w:p w14:paraId="4604C94E">
      <w:pPr>
        <w:adjustRightInd w:val="0"/>
        <w:ind w:firstLine="480"/>
        <w:rPr>
          <w:rFonts w:cs="Times New Roman"/>
          <w:color w:val="auto"/>
          <w:highlight w:val="none"/>
        </w:rPr>
      </w:pPr>
      <w:r>
        <w:rPr>
          <w:rFonts w:hint="eastAsia" w:cs="Times New Roman"/>
          <w:color w:val="auto"/>
          <w:highlight w:val="none"/>
        </w:rPr>
        <w:t>本项目废聚丙烯酰胺包装袋、废聚合氯化铝包装袋暂存于一般工业固废暂存间，定期外售废品回收站处理。</w:t>
      </w:r>
    </w:p>
    <w:p w14:paraId="40AB7F4A">
      <w:pPr>
        <w:adjustRightInd w:val="0"/>
        <w:ind w:firstLine="482"/>
        <w:rPr>
          <w:rFonts w:cs="Times New Roman"/>
          <w:b/>
          <w:bCs/>
          <w:color w:val="auto"/>
          <w:highlight w:val="none"/>
        </w:rPr>
      </w:pPr>
      <w:r>
        <w:rPr>
          <w:rFonts w:hint="eastAsia" w:cs="Times New Roman"/>
          <w:b/>
          <w:bCs/>
          <w:color w:val="auto"/>
          <w:highlight w:val="none"/>
        </w:rPr>
        <w:t>6）废捕收剂桶、废碳酸钠包装袋、废氯化镁包装袋</w:t>
      </w:r>
    </w:p>
    <w:p w14:paraId="0E3F1E71">
      <w:pPr>
        <w:adjustRightInd w:val="0"/>
        <w:ind w:firstLine="480"/>
        <w:rPr>
          <w:rFonts w:cs="Times New Roman"/>
          <w:color w:val="auto"/>
          <w:highlight w:val="none"/>
        </w:rPr>
      </w:pPr>
      <w:r>
        <w:rPr>
          <w:rFonts w:cs="Times New Roman"/>
          <w:color w:val="auto"/>
          <w:highlight w:val="none"/>
        </w:rPr>
        <w:t>本项目捕收剂年使用量为</w:t>
      </w:r>
      <w:r>
        <w:rPr>
          <w:rFonts w:hint="eastAsia" w:cs="Times New Roman"/>
          <w:color w:val="auto"/>
          <w:highlight w:val="none"/>
        </w:rPr>
        <w:t>532.44</w:t>
      </w:r>
      <w:r>
        <w:rPr>
          <w:rFonts w:cs="Times New Roman"/>
          <w:color w:val="auto"/>
          <w:highlight w:val="none"/>
        </w:rPr>
        <w:t>t（50kg/桶），废捕收剂桶产生量约为</w:t>
      </w:r>
      <w:r>
        <w:rPr>
          <w:rFonts w:hint="eastAsia" w:cs="Times New Roman"/>
          <w:color w:val="auto"/>
          <w:highlight w:val="none"/>
        </w:rPr>
        <w:t>10649</w:t>
      </w:r>
      <w:r>
        <w:rPr>
          <w:rFonts w:cs="Times New Roman"/>
          <w:color w:val="auto"/>
          <w:highlight w:val="none"/>
        </w:rPr>
        <w:t>个/a，平均每个重量约为0.2kg，废捕收剂包装桶产生量约</w:t>
      </w:r>
      <w:r>
        <w:rPr>
          <w:rFonts w:hint="eastAsia" w:cs="Times New Roman"/>
          <w:color w:val="auto"/>
          <w:highlight w:val="none"/>
        </w:rPr>
        <w:t>2.13</w:t>
      </w:r>
      <w:r>
        <w:rPr>
          <w:rFonts w:cs="Times New Roman"/>
          <w:color w:val="auto"/>
          <w:highlight w:val="none"/>
        </w:rPr>
        <w:t>t/a</w:t>
      </w:r>
      <w:r>
        <w:rPr>
          <w:rFonts w:hint="eastAsia" w:cs="Times New Roman"/>
          <w:color w:val="auto"/>
          <w:highlight w:val="none"/>
        </w:rPr>
        <w:t>；碳酸钠年使用量为563.76t（50kg/袋），废碳酸钠包装袋产生量约为11276个/a，平均每个重量约为0.05kg，碳酸钠包装袋产生量约0.56t/a；氯化镁年使用量为156.6t（50kg/袋），废氯化镁包装袋产生量约为3132个/a，平均每个重量约为0.05kg，废氯化镁包装袋产生量约0.16t/a。</w:t>
      </w:r>
    </w:p>
    <w:p w14:paraId="267F7F63">
      <w:pPr>
        <w:adjustRightInd w:val="0"/>
        <w:ind w:firstLine="480"/>
        <w:rPr>
          <w:rFonts w:cs="Times New Roman"/>
          <w:color w:val="auto"/>
          <w:highlight w:val="none"/>
        </w:rPr>
      </w:pPr>
      <w:r>
        <w:rPr>
          <w:rFonts w:hint="eastAsia" w:cs="Times New Roman"/>
          <w:color w:val="auto"/>
          <w:highlight w:val="none"/>
        </w:rPr>
        <w:t>本项目废捕收剂桶、废碳酸钠包装袋、废氯化镁包装袋暂存于一般工业固废暂存间，定期外售废品回收站处理。</w:t>
      </w:r>
    </w:p>
    <w:p w14:paraId="0446C47F">
      <w:pPr>
        <w:adjustRightInd w:val="0"/>
        <w:ind w:firstLine="482"/>
        <w:rPr>
          <w:rFonts w:cs="Times New Roman"/>
          <w:b/>
          <w:bCs/>
          <w:color w:val="auto"/>
          <w:highlight w:val="none"/>
        </w:rPr>
      </w:pPr>
      <w:r>
        <w:rPr>
          <w:rFonts w:hint="eastAsia" w:cs="Times New Roman"/>
          <w:b/>
          <w:bCs/>
          <w:color w:val="auto"/>
          <w:highlight w:val="none"/>
        </w:rPr>
        <w:t>7）尾矿、黑砂</w:t>
      </w:r>
    </w:p>
    <w:p w14:paraId="29ECF336">
      <w:pPr>
        <w:adjustRightInd w:val="0"/>
        <w:ind w:firstLine="480"/>
        <w:rPr>
          <w:rFonts w:cs="Times New Roman"/>
          <w:color w:val="auto"/>
          <w:highlight w:val="none"/>
        </w:rPr>
      </w:pPr>
      <w:r>
        <w:rPr>
          <w:rFonts w:cs="Times New Roman"/>
          <w:color w:val="auto"/>
          <w:highlight w:val="none"/>
        </w:rPr>
        <w:t>根据物料平衡分析，本项目尾矿产生量约为</w:t>
      </w:r>
      <w:r>
        <w:rPr>
          <w:rFonts w:hint="eastAsia" w:cs="Times New Roman"/>
          <w:color w:val="auto"/>
          <w:highlight w:val="none"/>
        </w:rPr>
        <w:t>247448.28</w:t>
      </w:r>
      <w:r>
        <w:rPr>
          <w:rFonts w:cs="Times New Roman"/>
          <w:color w:val="auto"/>
          <w:highlight w:val="none"/>
        </w:rPr>
        <w:t>t/a</w:t>
      </w:r>
      <w:r>
        <w:rPr>
          <w:rFonts w:hint="eastAsia" w:cs="Times New Roman"/>
          <w:color w:val="auto"/>
          <w:highlight w:val="none"/>
        </w:rPr>
        <w:t>、</w:t>
      </w:r>
      <w:r>
        <w:rPr>
          <w:rFonts w:cs="Times New Roman"/>
          <w:color w:val="auto"/>
          <w:highlight w:val="none"/>
        </w:rPr>
        <w:t>黑砂产生量约为</w:t>
      </w:r>
      <w:r>
        <w:rPr>
          <w:rFonts w:hint="eastAsia" w:cs="Times New Roman"/>
          <w:color w:val="auto"/>
          <w:highlight w:val="none"/>
        </w:rPr>
        <w:t>19034.48</w:t>
      </w:r>
      <w:r>
        <w:rPr>
          <w:rFonts w:cs="Times New Roman"/>
          <w:color w:val="auto"/>
          <w:highlight w:val="none"/>
        </w:rPr>
        <w:t>t/a。本项目</w:t>
      </w:r>
      <w:r>
        <w:rPr>
          <w:rFonts w:hint="eastAsia" w:cs="Times New Roman"/>
          <w:color w:val="auto"/>
          <w:highlight w:val="none"/>
        </w:rPr>
        <w:t>尾矿、</w:t>
      </w:r>
      <w:r>
        <w:rPr>
          <w:rFonts w:cs="Times New Roman"/>
          <w:color w:val="auto"/>
          <w:highlight w:val="none"/>
        </w:rPr>
        <w:t>黑砂暂存于</w:t>
      </w:r>
      <w:r>
        <w:rPr>
          <w:rFonts w:hint="eastAsia" w:cs="Times New Roman"/>
          <w:color w:val="auto"/>
          <w:highlight w:val="none"/>
        </w:rPr>
        <w:t>尾矿仓库</w:t>
      </w:r>
      <w:r>
        <w:rPr>
          <w:rFonts w:cs="Times New Roman"/>
          <w:color w:val="auto"/>
          <w:highlight w:val="none"/>
        </w:rPr>
        <w:t>，外售陶瓷生产厂家综合利用。</w:t>
      </w:r>
    </w:p>
    <w:p w14:paraId="023B2581">
      <w:pPr>
        <w:adjustRightInd w:val="0"/>
        <w:ind w:firstLine="480"/>
        <w:rPr>
          <w:rFonts w:cs="Times New Roman"/>
          <w:color w:val="auto"/>
          <w:highlight w:val="none"/>
        </w:rPr>
      </w:pPr>
      <w:r>
        <w:rPr>
          <w:rFonts w:cs="Times New Roman"/>
          <w:color w:val="auto"/>
          <w:highlight w:val="none"/>
        </w:rPr>
        <w:t>本项目设置1处</w:t>
      </w:r>
      <w:r>
        <w:rPr>
          <w:rFonts w:hint="eastAsia" w:cs="Times New Roman"/>
          <w:color w:val="auto"/>
          <w:highlight w:val="none"/>
        </w:rPr>
        <w:t>105</w:t>
      </w:r>
      <w:r>
        <w:rPr>
          <w:rFonts w:cs="Times New Roman"/>
          <w:color w:val="auto"/>
          <w:highlight w:val="none"/>
        </w:rPr>
        <w:t>0m</w:t>
      </w:r>
      <w:r>
        <w:rPr>
          <w:rFonts w:cs="Times New Roman"/>
          <w:color w:val="auto"/>
          <w:highlight w:val="none"/>
          <w:vertAlign w:val="superscript"/>
        </w:rPr>
        <w:t>2</w:t>
      </w:r>
      <w:r>
        <w:rPr>
          <w:rFonts w:hint="eastAsia" w:cs="Times New Roman"/>
          <w:color w:val="auto"/>
          <w:highlight w:val="none"/>
        </w:rPr>
        <w:t>尾矿仓库</w:t>
      </w:r>
      <w:r>
        <w:rPr>
          <w:rFonts w:cs="Times New Roman"/>
          <w:color w:val="auto"/>
          <w:highlight w:val="none"/>
        </w:rPr>
        <w:t>（三围一盖），设计</w:t>
      </w:r>
      <w:r>
        <w:rPr>
          <w:rFonts w:hint="eastAsia" w:cs="Times New Roman"/>
          <w:color w:val="auto"/>
          <w:highlight w:val="none"/>
        </w:rPr>
        <w:t>堆高9m，尾矿密度约为2.7t/m</w:t>
      </w:r>
      <w:r>
        <w:rPr>
          <w:rFonts w:hint="eastAsia" w:cs="Times New Roman"/>
          <w:color w:val="auto"/>
          <w:highlight w:val="none"/>
          <w:vertAlign w:val="superscript"/>
        </w:rPr>
        <w:t>3</w:t>
      </w:r>
      <w:r>
        <w:rPr>
          <w:rFonts w:hint="eastAsia" w:cs="Times New Roman"/>
          <w:color w:val="auto"/>
          <w:highlight w:val="none"/>
        </w:rPr>
        <w:t>，设计</w:t>
      </w:r>
      <w:r>
        <w:rPr>
          <w:rFonts w:cs="Times New Roman"/>
          <w:color w:val="auto"/>
          <w:highlight w:val="none"/>
        </w:rPr>
        <w:t>最大暂存量为</w:t>
      </w:r>
      <w:r>
        <w:rPr>
          <w:rFonts w:hint="eastAsia" w:cs="Times New Roman"/>
          <w:color w:val="auto"/>
          <w:highlight w:val="none"/>
        </w:rPr>
        <w:t>1050×9×0.5×2.7=12757.5</w:t>
      </w:r>
      <w:r>
        <w:rPr>
          <w:rFonts w:cs="Times New Roman"/>
          <w:color w:val="auto"/>
          <w:highlight w:val="none"/>
        </w:rPr>
        <w:t>t，本项目</w:t>
      </w:r>
      <w:r>
        <w:rPr>
          <w:rFonts w:hint="eastAsia" w:cs="Times New Roman"/>
          <w:color w:val="auto"/>
          <w:highlight w:val="none"/>
        </w:rPr>
        <w:t>尾矿、</w:t>
      </w:r>
      <w:r>
        <w:rPr>
          <w:rFonts w:cs="Times New Roman"/>
          <w:color w:val="auto"/>
          <w:highlight w:val="none"/>
        </w:rPr>
        <w:t>黑砂日产生量约为</w:t>
      </w:r>
      <w:r>
        <w:rPr>
          <w:rFonts w:hint="eastAsia" w:cs="Times New Roman"/>
          <w:color w:val="auto"/>
          <w:highlight w:val="none"/>
        </w:rPr>
        <w:t>807.52</w:t>
      </w:r>
      <w:r>
        <w:rPr>
          <w:rFonts w:cs="Times New Roman"/>
          <w:color w:val="auto"/>
          <w:highlight w:val="none"/>
        </w:rPr>
        <w:t>t，最大储存周期为</w:t>
      </w:r>
      <w:r>
        <w:rPr>
          <w:rFonts w:hint="eastAsia" w:cs="Times New Roman"/>
          <w:color w:val="auto"/>
          <w:highlight w:val="none"/>
        </w:rPr>
        <w:t>15</w:t>
      </w:r>
      <w:r>
        <w:rPr>
          <w:rFonts w:cs="Times New Roman"/>
          <w:color w:val="auto"/>
          <w:highlight w:val="none"/>
        </w:rPr>
        <w:t>天，最大储存量为</w:t>
      </w:r>
      <w:r>
        <w:rPr>
          <w:rFonts w:hint="eastAsia" w:cs="Times New Roman"/>
          <w:color w:val="auto"/>
          <w:highlight w:val="none"/>
        </w:rPr>
        <w:t>12112.8</w:t>
      </w:r>
      <w:r>
        <w:rPr>
          <w:rFonts w:cs="Times New Roman"/>
          <w:color w:val="auto"/>
          <w:highlight w:val="none"/>
        </w:rPr>
        <w:t>t。因此，本项目尾矿仓库设计最大暂存量满足项目</w:t>
      </w:r>
      <w:r>
        <w:rPr>
          <w:rFonts w:hint="eastAsia" w:cs="Times New Roman"/>
          <w:color w:val="auto"/>
          <w:highlight w:val="none"/>
        </w:rPr>
        <w:t>、尾矿</w:t>
      </w:r>
      <w:r>
        <w:rPr>
          <w:rFonts w:cs="Times New Roman"/>
          <w:color w:val="auto"/>
          <w:highlight w:val="none"/>
        </w:rPr>
        <w:t>黑砂储存的要求。同时，本项目</w:t>
      </w:r>
      <w:r>
        <w:rPr>
          <w:rFonts w:hint="eastAsia" w:cs="Times New Roman"/>
          <w:color w:val="auto"/>
          <w:highlight w:val="none"/>
        </w:rPr>
        <w:t>尾矿、</w:t>
      </w:r>
      <w:r>
        <w:rPr>
          <w:rFonts w:cs="Times New Roman"/>
          <w:color w:val="auto"/>
          <w:highlight w:val="none"/>
        </w:rPr>
        <w:t>黑砂外售给陶瓷生产企业，可以做到</w:t>
      </w:r>
      <w:r>
        <w:rPr>
          <w:rFonts w:hint="eastAsia" w:cs="Times New Roman"/>
          <w:color w:val="auto"/>
          <w:highlight w:val="none"/>
        </w:rPr>
        <w:t>尾矿、</w:t>
      </w:r>
      <w:r>
        <w:rPr>
          <w:rFonts w:cs="Times New Roman"/>
          <w:color w:val="auto"/>
          <w:highlight w:val="none"/>
        </w:rPr>
        <w:t>黑砂日产日清。</w:t>
      </w:r>
    </w:p>
    <w:p w14:paraId="321A72E5">
      <w:pPr>
        <w:adjustRightInd w:val="0"/>
        <w:ind w:firstLine="480"/>
        <w:rPr>
          <w:rFonts w:cs="Times New Roman"/>
          <w:color w:val="auto"/>
          <w:highlight w:val="none"/>
        </w:rPr>
      </w:pPr>
      <w:r>
        <w:rPr>
          <w:rFonts w:cs="Times New Roman"/>
          <w:color w:val="auto"/>
          <w:highlight w:val="none"/>
        </w:rPr>
        <w:t>目前，本项目已与</w:t>
      </w:r>
      <w:r>
        <w:rPr>
          <w:rFonts w:hint="eastAsia" w:cs="Times New Roman"/>
          <w:color w:val="auto"/>
          <w:highlight w:val="none"/>
        </w:rPr>
        <w:t>四川省米兰诺陶瓷有限公司、四川香莱尔陶瓷有限公司</w:t>
      </w:r>
      <w:r>
        <w:rPr>
          <w:rFonts w:cs="Times New Roman"/>
          <w:color w:val="auto"/>
          <w:highlight w:val="none"/>
        </w:rPr>
        <w:t>签订了尾矿</w:t>
      </w:r>
      <w:r>
        <w:rPr>
          <w:rFonts w:hint="eastAsia" w:cs="Times New Roman"/>
          <w:color w:val="auto"/>
          <w:highlight w:val="none"/>
        </w:rPr>
        <w:t>、黑砂</w:t>
      </w:r>
      <w:r>
        <w:rPr>
          <w:rFonts w:cs="Times New Roman"/>
          <w:color w:val="auto"/>
          <w:highlight w:val="none"/>
        </w:rPr>
        <w:t>的《购销意向协议》。尾矿、黑砂消纳可行性分析如下：</w:t>
      </w:r>
    </w:p>
    <w:p w14:paraId="3BB69B67">
      <w:pPr>
        <w:adjustRightInd w:val="0"/>
        <w:ind w:firstLine="480"/>
        <w:rPr>
          <w:rFonts w:cs="Times New Roman"/>
          <w:color w:val="auto"/>
          <w:highlight w:val="none"/>
        </w:rPr>
      </w:pPr>
      <w:r>
        <w:rPr>
          <w:rFonts w:cs="Times New Roman"/>
          <w:color w:val="auto"/>
          <w:highlight w:val="none"/>
        </w:rPr>
        <w:t>①消纳企业的合法环保手续</w:t>
      </w:r>
    </w:p>
    <w:p w14:paraId="67749196">
      <w:pPr>
        <w:adjustRightInd w:val="0"/>
        <w:ind w:firstLine="480"/>
        <w:rPr>
          <w:rFonts w:cs="Times New Roman"/>
          <w:color w:val="auto"/>
          <w:highlight w:val="none"/>
        </w:rPr>
      </w:pPr>
      <w:r>
        <w:rPr>
          <w:rFonts w:cs="Times New Roman"/>
          <w:color w:val="auto"/>
          <w:highlight w:val="none"/>
        </w:rPr>
        <w:t>根据调查，</w:t>
      </w:r>
      <w:r>
        <w:rPr>
          <w:rFonts w:hint="eastAsia" w:cs="Times New Roman"/>
          <w:color w:val="auto"/>
          <w:highlight w:val="none"/>
        </w:rPr>
        <w:t>四川省米兰诺陶瓷有限公司、四川香莱尔陶瓷有限公司</w:t>
      </w:r>
      <w:r>
        <w:rPr>
          <w:rFonts w:cs="Times New Roman"/>
          <w:color w:val="auto"/>
          <w:highlight w:val="none"/>
        </w:rPr>
        <w:t>已取得合法的环保手续，具体如下：</w:t>
      </w:r>
    </w:p>
    <w:p w14:paraId="7E021928">
      <w:pPr>
        <w:adjustRightInd w:val="0"/>
        <w:ind w:firstLine="480"/>
        <w:rPr>
          <w:rFonts w:cs="Times New Roman"/>
          <w:color w:val="auto"/>
          <w:highlight w:val="none"/>
        </w:rPr>
      </w:pPr>
      <w:r>
        <w:rPr>
          <w:rFonts w:hint="eastAsia" w:cs="Times New Roman"/>
          <w:color w:val="auto"/>
          <w:highlight w:val="none"/>
        </w:rPr>
        <w:t>四川省米兰诺陶瓷有限公司：2022年12月17日，取得了《乐山市生态环境局关于四川省米兰诺陶瓷有限公司&lt;年产1200万平方米高档陶瓷砖生产线改建项目环境影响报告表&gt;的审批意见》（乐市环审夹字〔2022〕10号），2023年12月进行环保自主验收。2025年4月30日变更了《排污许可证》（91511126708923476E001C）</w:t>
      </w:r>
      <w:r>
        <w:rPr>
          <w:rFonts w:cs="Times New Roman"/>
          <w:color w:val="auto"/>
          <w:highlight w:val="none"/>
        </w:rPr>
        <w:t>。</w:t>
      </w:r>
    </w:p>
    <w:p w14:paraId="318C026D">
      <w:pPr>
        <w:adjustRightInd w:val="0"/>
        <w:ind w:firstLine="480"/>
        <w:rPr>
          <w:rFonts w:cs="Times New Roman"/>
          <w:color w:val="auto"/>
          <w:highlight w:val="none"/>
        </w:rPr>
      </w:pPr>
      <w:r>
        <w:rPr>
          <w:rFonts w:hint="eastAsia" w:cs="Times New Roman"/>
          <w:color w:val="auto"/>
          <w:highlight w:val="none"/>
        </w:rPr>
        <w:t>四川香莱尔陶瓷有限公司</w:t>
      </w:r>
      <w:r>
        <w:rPr>
          <w:rFonts w:cs="Times New Roman"/>
          <w:color w:val="auto"/>
          <w:highlight w:val="none"/>
        </w:rPr>
        <w:t>：201</w:t>
      </w:r>
      <w:r>
        <w:rPr>
          <w:rFonts w:hint="eastAsia" w:cs="Times New Roman"/>
          <w:color w:val="auto"/>
          <w:highlight w:val="none"/>
        </w:rPr>
        <w:t>5</w:t>
      </w:r>
      <w:r>
        <w:rPr>
          <w:rFonts w:cs="Times New Roman"/>
          <w:color w:val="auto"/>
          <w:highlight w:val="none"/>
        </w:rPr>
        <w:t>年</w:t>
      </w:r>
      <w:r>
        <w:rPr>
          <w:rFonts w:hint="eastAsia" w:cs="Times New Roman"/>
          <w:color w:val="auto"/>
          <w:highlight w:val="none"/>
        </w:rPr>
        <w:t>7</w:t>
      </w:r>
      <w:r>
        <w:rPr>
          <w:rFonts w:cs="Times New Roman"/>
          <w:color w:val="auto"/>
          <w:highlight w:val="none"/>
        </w:rPr>
        <w:t>月</w:t>
      </w:r>
      <w:r>
        <w:rPr>
          <w:rFonts w:hint="eastAsia" w:cs="Times New Roman"/>
          <w:color w:val="auto"/>
          <w:highlight w:val="none"/>
        </w:rPr>
        <w:t>28</w:t>
      </w:r>
      <w:r>
        <w:rPr>
          <w:rFonts w:cs="Times New Roman"/>
          <w:color w:val="auto"/>
          <w:highlight w:val="none"/>
        </w:rPr>
        <w:t>日，取得了《</w:t>
      </w:r>
      <w:r>
        <w:rPr>
          <w:rFonts w:hint="eastAsia" w:cs="Times New Roman"/>
          <w:color w:val="auto"/>
          <w:highlight w:val="none"/>
        </w:rPr>
        <w:t>夹江县环境保护局关于新建年产2300万平方米墙地砖生产线及φ4.2两段式冷净化煤气站（一期）项目环境影响报告书的批复</w:t>
      </w:r>
      <w:r>
        <w:rPr>
          <w:rFonts w:cs="Times New Roman"/>
          <w:color w:val="auto"/>
          <w:highlight w:val="none"/>
        </w:rPr>
        <w:t>》（</w:t>
      </w:r>
      <w:r>
        <w:rPr>
          <w:rFonts w:hint="eastAsia" w:cs="Times New Roman"/>
          <w:color w:val="auto"/>
          <w:highlight w:val="none"/>
        </w:rPr>
        <w:t>夹环审批</w:t>
      </w:r>
      <w:r>
        <w:rPr>
          <w:rFonts w:cs="Times New Roman"/>
          <w:color w:val="auto"/>
          <w:highlight w:val="none"/>
        </w:rPr>
        <w:t>〔201</w:t>
      </w:r>
      <w:r>
        <w:rPr>
          <w:rFonts w:hint="eastAsia" w:cs="Times New Roman"/>
          <w:color w:val="auto"/>
          <w:highlight w:val="none"/>
        </w:rPr>
        <w:t>5</w:t>
      </w:r>
      <w:r>
        <w:rPr>
          <w:rFonts w:cs="Times New Roman"/>
          <w:color w:val="auto"/>
          <w:highlight w:val="none"/>
        </w:rPr>
        <w:t>〕</w:t>
      </w:r>
      <w:r>
        <w:rPr>
          <w:rFonts w:hint="eastAsia" w:cs="Times New Roman"/>
          <w:color w:val="auto"/>
          <w:highlight w:val="none"/>
        </w:rPr>
        <w:t>051</w:t>
      </w:r>
      <w:r>
        <w:rPr>
          <w:rFonts w:cs="Times New Roman"/>
          <w:color w:val="auto"/>
          <w:highlight w:val="none"/>
        </w:rPr>
        <w:t>号）。201</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9</w:t>
      </w:r>
      <w:r>
        <w:rPr>
          <w:rFonts w:cs="Times New Roman"/>
          <w:color w:val="auto"/>
          <w:highlight w:val="none"/>
        </w:rPr>
        <w:t>月</w:t>
      </w:r>
      <w:r>
        <w:rPr>
          <w:rFonts w:hint="eastAsia" w:cs="Times New Roman"/>
          <w:color w:val="auto"/>
          <w:highlight w:val="none"/>
        </w:rPr>
        <w:t>2</w:t>
      </w:r>
      <w:r>
        <w:rPr>
          <w:rFonts w:cs="Times New Roman"/>
          <w:color w:val="auto"/>
          <w:highlight w:val="none"/>
        </w:rPr>
        <w:t>日取得了环保验收意见（</w:t>
      </w:r>
      <w:r>
        <w:rPr>
          <w:rFonts w:hint="eastAsia" w:cs="Times New Roman"/>
          <w:color w:val="auto"/>
          <w:highlight w:val="none"/>
        </w:rPr>
        <w:t>夹</w:t>
      </w:r>
      <w:r>
        <w:rPr>
          <w:rFonts w:cs="Times New Roman"/>
          <w:color w:val="auto"/>
          <w:highlight w:val="none"/>
        </w:rPr>
        <w:t>环验〔201</w:t>
      </w:r>
      <w:r>
        <w:rPr>
          <w:rFonts w:hint="eastAsia" w:cs="Times New Roman"/>
          <w:color w:val="auto"/>
          <w:highlight w:val="none"/>
        </w:rPr>
        <w:t>6</w:t>
      </w:r>
      <w:r>
        <w:rPr>
          <w:rFonts w:cs="Times New Roman"/>
          <w:color w:val="auto"/>
          <w:highlight w:val="none"/>
        </w:rPr>
        <w:t>〕13号），20</w:t>
      </w:r>
      <w:r>
        <w:rPr>
          <w:rFonts w:hint="eastAsia" w:cs="Times New Roman"/>
          <w:color w:val="auto"/>
          <w:highlight w:val="none"/>
        </w:rPr>
        <w:t>24</w:t>
      </w:r>
      <w:r>
        <w:rPr>
          <w:rFonts w:cs="Times New Roman"/>
          <w:color w:val="auto"/>
          <w:highlight w:val="none"/>
        </w:rPr>
        <w:t>年</w:t>
      </w:r>
      <w:r>
        <w:rPr>
          <w:rFonts w:hint="eastAsia" w:cs="Times New Roman"/>
          <w:color w:val="auto"/>
          <w:highlight w:val="none"/>
        </w:rPr>
        <w:t>1</w:t>
      </w:r>
      <w:r>
        <w:rPr>
          <w:rFonts w:cs="Times New Roman"/>
          <w:color w:val="auto"/>
          <w:highlight w:val="none"/>
        </w:rPr>
        <w:t>月</w:t>
      </w:r>
      <w:r>
        <w:rPr>
          <w:rFonts w:hint="eastAsia" w:cs="Times New Roman"/>
          <w:color w:val="auto"/>
          <w:highlight w:val="none"/>
        </w:rPr>
        <w:t>18</w:t>
      </w:r>
      <w:r>
        <w:rPr>
          <w:rFonts w:cs="Times New Roman"/>
          <w:color w:val="auto"/>
          <w:highlight w:val="none"/>
        </w:rPr>
        <w:t>日</w:t>
      </w:r>
      <w:r>
        <w:rPr>
          <w:rFonts w:hint="eastAsia" w:cs="Times New Roman"/>
          <w:color w:val="auto"/>
          <w:highlight w:val="none"/>
        </w:rPr>
        <w:t>重新申请</w:t>
      </w:r>
      <w:r>
        <w:rPr>
          <w:rFonts w:cs="Times New Roman"/>
          <w:color w:val="auto"/>
          <w:highlight w:val="none"/>
        </w:rPr>
        <w:t>了《排污许可证》（</w:t>
      </w:r>
      <w:r>
        <w:rPr>
          <w:rFonts w:hint="eastAsia" w:cs="Times New Roman"/>
          <w:color w:val="auto"/>
          <w:highlight w:val="none"/>
        </w:rPr>
        <w:t>91511126085844295L001V</w:t>
      </w:r>
      <w:r>
        <w:rPr>
          <w:rFonts w:cs="Times New Roman"/>
          <w:color w:val="auto"/>
          <w:highlight w:val="none"/>
        </w:rPr>
        <w:t>）。</w:t>
      </w:r>
    </w:p>
    <w:p w14:paraId="6345E2D7">
      <w:pPr>
        <w:adjustRightInd w:val="0"/>
        <w:ind w:firstLine="480"/>
        <w:rPr>
          <w:rFonts w:cs="Times New Roman"/>
          <w:color w:val="auto"/>
          <w:highlight w:val="none"/>
        </w:rPr>
      </w:pPr>
      <w:r>
        <w:rPr>
          <w:rFonts w:cs="Times New Roman"/>
          <w:color w:val="auto"/>
          <w:highlight w:val="none"/>
        </w:rPr>
        <w:t>②生产工艺及原料要求</w:t>
      </w:r>
    </w:p>
    <w:p w14:paraId="0B1C4ABE">
      <w:pPr>
        <w:adjustRightInd w:val="0"/>
        <w:ind w:firstLine="480"/>
        <w:rPr>
          <w:rFonts w:cs="Times New Roman"/>
          <w:color w:val="auto"/>
          <w:highlight w:val="none"/>
        </w:rPr>
      </w:pPr>
      <w:r>
        <w:rPr>
          <w:rFonts w:cs="Times New Roman"/>
          <w:color w:val="auto"/>
          <w:highlight w:val="none"/>
        </w:rPr>
        <w:t>根据</w:t>
      </w:r>
      <w:r>
        <w:rPr>
          <w:rFonts w:hint="eastAsia" w:cs="Times New Roman"/>
          <w:color w:val="auto"/>
          <w:highlight w:val="none"/>
        </w:rPr>
        <w:t>四川省米兰诺陶瓷有限公司、四川香莱尔陶瓷有限公司</w:t>
      </w:r>
      <w:r>
        <w:rPr>
          <w:rFonts w:cs="Times New Roman"/>
          <w:color w:val="auto"/>
          <w:highlight w:val="none"/>
        </w:rPr>
        <w:t>环评报告和实际生产工艺数据，原料中</w:t>
      </w:r>
      <w:r>
        <w:rPr>
          <w:rFonts w:hint="eastAsia" w:cs="Times New Roman"/>
          <w:color w:val="auto"/>
          <w:highlight w:val="none"/>
        </w:rPr>
        <w:t>Si</w:t>
      </w:r>
      <w:r>
        <w:rPr>
          <w:rFonts w:cs="Times New Roman"/>
          <w:color w:val="auto"/>
          <w:highlight w:val="none"/>
        </w:rPr>
        <w:t>O</w:t>
      </w:r>
      <w:r>
        <w:rPr>
          <w:rFonts w:hint="eastAsia" w:cs="Times New Roman"/>
          <w:color w:val="auto"/>
          <w:highlight w:val="none"/>
          <w:vertAlign w:val="subscript"/>
        </w:rPr>
        <w:t>2</w:t>
      </w:r>
      <w:r>
        <w:rPr>
          <w:rFonts w:hint="eastAsia" w:cs="Times New Roman"/>
          <w:color w:val="auto"/>
          <w:highlight w:val="none"/>
        </w:rPr>
        <w:t>≥5</w:t>
      </w:r>
      <w:r>
        <w:rPr>
          <w:rFonts w:cs="Times New Roman"/>
          <w:color w:val="auto"/>
          <w:highlight w:val="none"/>
        </w:rPr>
        <w:t>0%</w:t>
      </w:r>
      <w:r>
        <w:rPr>
          <w:rFonts w:hint="eastAsia" w:cs="Times New Roman"/>
          <w:color w:val="auto"/>
          <w:highlight w:val="none"/>
        </w:rPr>
        <w:t>、Al</w:t>
      </w:r>
      <w:r>
        <w:rPr>
          <w:rFonts w:hint="eastAsia" w:cs="Times New Roman"/>
          <w:color w:val="auto"/>
          <w:highlight w:val="none"/>
          <w:vertAlign w:val="subscript"/>
        </w:rPr>
        <w:t>2</w:t>
      </w:r>
      <w:r>
        <w:rPr>
          <w:rFonts w:hint="eastAsia" w:cs="Times New Roman"/>
          <w:color w:val="auto"/>
          <w:highlight w:val="none"/>
        </w:rPr>
        <w:t>O</w:t>
      </w:r>
      <w:r>
        <w:rPr>
          <w:rFonts w:hint="eastAsia" w:cs="Times New Roman"/>
          <w:color w:val="auto"/>
          <w:highlight w:val="none"/>
          <w:vertAlign w:val="subscript"/>
        </w:rPr>
        <w:t>3</w:t>
      </w:r>
      <w:r>
        <w:rPr>
          <w:rFonts w:hint="eastAsia" w:cs="Times New Roman"/>
          <w:color w:val="auto"/>
          <w:highlight w:val="none"/>
        </w:rPr>
        <w:t>≥10%、TiO</w:t>
      </w:r>
      <w:r>
        <w:rPr>
          <w:rFonts w:hint="eastAsia" w:cs="Times New Roman"/>
          <w:color w:val="auto"/>
          <w:highlight w:val="none"/>
          <w:vertAlign w:val="subscript"/>
        </w:rPr>
        <w:t>2</w:t>
      </w:r>
      <w:r>
        <w:rPr>
          <w:rFonts w:hint="eastAsia" w:cs="Times New Roman"/>
          <w:color w:val="auto"/>
          <w:highlight w:val="none"/>
        </w:rPr>
        <w:t>≤2%、CaO≤1%、MgO≤2%、Fe</w:t>
      </w:r>
      <w:r>
        <w:rPr>
          <w:rFonts w:hint="eastAsia" w:cs="Times New Roman"/>
          <w:color w:val="auto"/>
          <w:highlight w:val="none"/>
          <w:vertAlign w:val="subscript"/>
        </w:rPr>
        <w:t>2</w:t>
      </w:r>
      <w:r>
        <w:rPr>
          <w:rFonts w:hint="eastAsia" w:cs="Times New Roman"/>
          <w:color w:val="auto"/>
          <w:highlight w:val="none"/>
        </w:rPr>
        <w:t>O</w:t>
      </w:r>
      <w:r>
        <w:rPr>
          <w:rFonts w:hint="eastAsia" w:cs="Times New Roman"/>
          <w:color w:val="auto"/>
          <w:highlight w:val="none"/>
          <w:vertAlign w:val="subscript"/>
        </w:rPr>
        <w:t>3</w:t>
      </w:r>
      <w:r>
        <w:rPr>
          <w:rFonts w:hint="eastAsia" w:cs="Times New Roman"/>
          <w:color w:val="auto"/>
          <w:highlight w:val="none"/>
        </w:rPr>
        <w:t>≤1%、K</w:t>
      </w:r>
      <w:r>
        <w:rPr>
          <w:rFonts w:hint="eastAsia" w:cs="Times New Roman"/>
          <w:color w:val="auto"/>
          <w:highlight w:val="none"/>
          <w:vertAlign w:val="subscript"/>
        </w:rPr>
        <w:t>2</w:t>
      </w:r>
      <w:r>
        <w:rPr>
          <w:rFonts w:hint="eastAsia" w:cs="Times New Roman"/>
          <w:color w:val="auto"/>
          <w:highlight w:val="none"/>
        </w:rPr>
        <w:t>O≥2%、Na</w:t>
      </w:r>
      <w:r>
        <w:rPr>
          <w:rFonts w:hint="eastAsia" w:cs="Times New Roman"/>
          <w:color w:val="auto"/>
          <w:highlight w:val="none"/>
          <w:vertAlign w:val="subscript"/>
        </w:rPr>
        <w:t>2</w:t>
      </w:r>
      <w:r>
        <w:rPr>
          <w:rFonts w:hint="eastAsia" w:cs="Times New Roman"/>
          <w:color w:val="auto"/>
          <w:highlight w:val="none"/>
        </w:rPr>
        <w:t>O≥3%</w:t>
      </w:r>
      <w:r>
        <w:rPr>
          <w:rFonts w:cs="Times New Roman"/>
          <w:color w:val="auto"/>
          <w:highlight w:val="none"/>
        </w:rPr>
        <w:t>即可使用。根据本项目《锂</w:t>
      </w:r>
      <w:r>
        <w:rPr>
          <w:rFonts w:hint="eastAsia" w:cs="Times New Roman"/>
          <w:color w:val="auto"/>
          <w:highlight w:val="none"/>
        </w:rPr>
        <w:t>尾</w:t>
      </w:r>
      <w:r>
        <w:rPr>
          <w:rFonts w:cs="Times New Roman"/>
          <w:color w:val="auto"/>
          <w:highlight w:val="none"/>
        </w:rPr>
        <w:t>矿检测报告》，本项目</w:t>
      </w:r>
      <w:r>
        <w:rPr>
          <w:rFonts w:hint="eastAsia" w:cs="Times New Roman"/>
          <w:color w:val="auto"/>
          <w:highlight w:val="none"/>
        </w:rPr>
        <w:t>尾</w:t>
      </w:r>
      <w:r>
        <w:rPr>
          <w:rFonts w:cs="Times New Roman"/>
          <w:color w:val="auto"/>
          <w:highlight w:val="none"/>
        </w:rPr>
        <w:t>矿中</w:t>
      </w:r>
      <w:r>
        <w:rPr>
          <w:rFonts w:hint="eastAsia" w:cs="Times New Roman"/>
          <w:color w:val="auto"/>
          <w:highlight w:val="none"/>
        </w:rPr>
        <w:t>SiO</w:t>
      </w:r>
      <w:r>
        <w:rPr>
          <w:rFonts w:hint="eastAsia" w:cs="Times New Roman"/>
          <w:color w:val="auto"/>
          <w:highlight w:val="none"/>
          <w:vertAlign w:val="subscript"/>
        </w:rPr>
        <w:t>2</w:t>
      </w:r>
      <w:r>
        <w:rPr>
          <w:rFonts w:hint="eastAsia" w:cs="Times New Roman"/>
          <w:color w:val="auto"/>
          <w:highlight w:val="none"/>
        </w:rPr>
        <w:t>：72.71%、Al</w:t>
      </w:r>
      <w:r>
        <w:rPr>
          <w:rFonts w:hint="eastAsia" w:cs="Times New Roman"/>
          <w:color w:val="auto"/>
          <w:highlight w:val="none"/>
          <w:vertAlign w:val="subscript"/>
        </w:rPr>
        <w:t>2</w:t>
      </w:r>
      <w:r>
        <w:rPr>
          <w:rFonts w:hint="eastAsia" w:cs="Times New Roman"/>
          <w:color w:val="auto"/>
          <w:highlight w:val="none"/>
        </w:rPr>
        <w:t>O</w:t>
      </w:r>
      <w:r>
        <w:rPr>
          <w:rFonts w:hint="eastAsia" w:cs="Times New Roman"/>
          <w:color w:val="auto"/>
          <w:highlight w:val="none"/>
          <w:vertAlign w:val="subscript"/>
        </w:rPr>
        <w:t>3</w:t>
      </w:r>
      <w:r>
        <w:rPr>
          <w:rFonts w:hint="eastAsia" w:cs="Times New Roman"/>
          <w:color w:val="auto"/>
          <w:highlight w:val="none"/>
        </w:rPr>
        <w:t>：13.42%、TiO</w:t>
      </w:r>
      <w:r>
        <w:rPr>
          <w:rFonts w:hint="eastAsia" w:cs="Times New Roman"/>
          <w:color w:val="auto"/>
          <w:highlight w:val="none"/>
          <w:vertAlign w:val="subscript"/>
        </w:rPr>
        <w:t>2</w:t>
      </w:r>
      <w:r>
        <w:rPr>
          <w:rFonts w:hint="eastAsia" w:cs="Times New Roman"/>
          <w:color w:val="auto"/>
          <w:highlight w:val="none"/>
        </w:rPr>
        <w:t>：1.31%、CaO：0.26%、MgO：0.12%、Fe</w:t>
      </w:r>
      <w:r>
        <w:rPr>
          <w:rFonts w:hint="eastAsia" w:cs="Times New Roman"/>
          <w:color w:val="auto"/>
          <w:highlight w:val="none"/>
          <w:vertAlign w:val="subscript"/>
        </w:rPr>
        <w:t>2</w:t>
      </w:r>
      <w:r>
        <w:rPr>
          <w:rFonts w:hint="eastAsia" w:cs="Times New Roman"/>
          <w:color w:val="auto"/>
          <w:highlight w:val="none"/>
        </w:rPr>
        <w:t>O</w:t>
      </w:r>
      <w:r>
        <w:rPr>
          <w:rFonts w:hint="eastAsia" w:cs="Times New Roman"/>
          <w:color w:val="auto"/>
          <w:highlight w:val="none"/>
          <w:vertAlign w:val="subscript"/>
        </w:rPr>
        <w:t>3</w:t>
      </w:r>
      <w:r>
        <w:rPr>
          <w:rFonts w:hint="eastAsia" w:cs="Times New Roman"/>
          <w:color w:val="auto"/>
          <w:highlight w:val="none"/>
        </w:rPr>
        <w:t>：0.41%、K</w:t>
      </w:r>
      <w:r>
        <w:rPr>
          <w:rFonts w:hint="eastAsia" w:cs="Times New Roman"/>
          <w:color w:val="auto"/>
          <w:highlight w:val="none"/>
          <w:vertAlign w:val="subscript"/>
        </w:rPr>
        <w:t>2</w:t>
      </w:r>
      <w:r>
        <w:rPr>
          <w:rFonts w:hint="eastAsia" w:cs="Times New Roman"/>
          <w:color w:val="auto"/>
          <w:highlight w:val="none"/>
        </w:rPr>
        <w:t>O：2.04%、Na</w:t>
      </w:r>
      <w:r>
        <w:rPr>
          <w:rFonts w:hint="eastAsia" w:cs="Times New Roman"/>
          <w:color w:val="auto"/>
          <w:highlight w:val="none"/>
          <w:vertAlign w:val="subscript"/>
        </w:rPr>
        <w:t>2</w:t>
      </w:r>
      <w:r>
        <w:rPr>
          <w:rFonts w:hint="eastAsia" w:cs="Times New Roman"/>
          <w:color w:val="auto"/>
          <w:highlight w:val="none"/>
        </w:rPr>
        <w:t>O：4.88%</w:t>
      </w:r>
      <w:r>
        <w:rPr>
          <w:rFonts w:cs="Times New Roman"/>
          <w:color w:val="auto"/>
          <w:highlight w:val="none"/>
        </w:rPr>
        <w:t>，因此</w:t>
      </w:r>
      <w:r>
        <w:rPr>
          <w:rFonts w:hint="eastAsia" w:cs="Times New Roman"/>
          <w:color w:val="auto"/>
          <w:highlight w:val="none"/>
        </w:rPr>
        <w:t>本项目尾矿、黑砂</w:t>
      </w:r>
      <w:r>
        <w:rPr>
          <w:rFonts w:cs="Times New Roman"/>
          <w:color w:val="auto"/>
          <w:highlight w:val="none"/>
        </w:rPr>
        <w:t>可满足陶瓷生产使用要求</w:t>
      </w:r>
      <w:r>
        <w:rPr>
          <w:rFonts w:hint="eastAsia" w:cs="Times New Roman"/>
          <w:color w:val="auto"/>
          <w:highlight w:val="none"/>
        </w:rPr>
        <w:t>，本项目尾矿和黑砂主要用来代替四川省米兰诺陶瓷有限公司、四川香莱尔陶瓷有限公司的长石、粘土、石英、页岩、白云石等原料</w:t>
      </w:r>
      <w:r>
        <w:rPr>
          <w:rFonts w:cs="Times New Roman"/>
          <w:color w:val="auto"/>
          <w:highlight w:val="none"/>
        </w:rPr>
        <w:t>。同时，眉山市已有大量陶瓷生产企业使用锂辉石</w:t>
      </w:r>
      <w:r>
        <w:rPr>
          <w:rFonts w:hint="eastAsia" w:cs="Times New Roman"/>
          <w:color w:val="auto"/>
          <w:highlight w:val="none"/>
        </w:rPr>
        <w:t>尾矿、</w:t>
      </w:r>
      <w:r>
        <w:rPr>
          <w:rFonts w:cs="Times New Roman"/>
          <w:color w:val="auto"/>
          <w:highlight w:val="none"/>
        </w:rPr>
        <w:t>黑砂作为原料的案例，因此本项目尾矿、黑砂可作为陶瓷生产企业的原料使用。</w:t>
      </w:r>
    </w:p>
    <w:p w14:paraId="576C1F6F">
      <w:pPr>
        <w:adjustRightInd w:val="0"/>
        <w:ind w:firstLine="480"/>
        <w:rPr>
          <w:rFonts w:cs="Times New Roman"/>
          <w:color w:val="auto"/>
          <w:highlight w:val="none"/>
        </w:rPr>
      </w:pPr>
      <w:r>
        <w:rPr>
          <w:rFonts w:hint="eastAsia" w:cs="Times New Roman"/>
          <w:color w:val="auto"/>
          <w:highlight w:val="none"/>
        </w:rPr>
        <w:t>四川省米兰诺陶瓷有限公司、四川香莱尔陶瓷有限公司对原料的要求及本项目尾矿检测结果见下表。</w:t>
      </w:r>
    </w:p>
    <w:p w14:paraId="69FEB8F1">
      <w:pPr>
        <w:pStyle w:val="12"/>
        <w:adjustRightInd w:val="0"/>
        <w:ind w:firstLine="480"/>
        <w:rPr>
          <w:rFonts w:cs="Times New Roman"/>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3</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19</w:t>
      </w:r>
      <w:r>
        <w:rPr>
          <w:color w:val="auto"/>
          <w:highlight w:val="none"/>
        </w:rPr>
        <w:fldChar w:fldCharType="end"/>
      </w:r>
      <w:r>
        <w:rPr>
          <w:rFonts w:hint="eastAsia"/>
          <w:color w:val="auto"/>
          <w:highlight w:val="none"/>
        </w:rPr>
        <w:t>四川省米兰诺陶瓷有限公司、四川香莱尔陶瓷有限公司对原料的要求及本项目尾矿检测结果表</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6C583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40" w:type="dxa"/>
            <w:vAlign w:val="center"/>
          </w:tcPr>
          <w:p w14:paraId="6C09EAA9">
            <w:pPr>
              <w:pStyle w:val="37"/>
              <w:rPr>
                <w:b/>
                <w:bCs/>
                <w:color w:val="auto"/>
                <w:highlight w:val="none"/>
              </w:rPr>
            </w:pPr>
            <w:r>
              <w:rPr>
                <w:rFonts w:hint="eastAsia"/>
                <w:b/>
                <w:bCs/>
                <w:color w:val="auto"/>
                <w:highlight w:val="none"/>
              </w:rPr>
              <w:t>项目</w:t>
            </w:r>
          </w:p>
        </w:tc>
        <w:tc>
          <w:tcPr>
            <w:tcW w:w="2841" w:type="dxa"/>
            <w:vAlign w:val="center"/>
          </w:tcPr>
          <w:p w14:paraId="537C51ED">
            <w:pPr>
              <w:pStyle w:val="37"/>
              <w:rPr>
                <w:b/>
                <w:bCs/>
                <w:color w:val="auto"/>
                <w:highlight w:val="none"/>
              </w:rPr>
            </w:pPr>
            <w:r>
              <w:rPr>
                <w:rFonts w:hint="eastAsia"/>
                <w:b/>
                <w:bCs/>
                <w:color w:val="auto"/>
                <w:highlight w:val="none"/>
              </w:rPr>
              <w:t>原料要求</w:t>
            </w:r>
          </w:p>
        </w:tc>
        <w:tc>
          <w:tcPr>
            <w:tcW w:w="2841" w:type="dxa"/>
            <w:vAlign w:val="center"/>
          </w:tcPr>
          <w:p w14:paraId="635FC6BD">
            <w:pPr>
              <w:pStyle w:val="37"/>
              <w:rPr>
                <w:b/>
                <w:bCs/>
                <w:color w:val="auto"/>
                <w:highlight w:val="none"/>
              </w:rPr>
            </w:pPr>
            <w:r>
              <w:rPr>
                <w:rFonts w:hint="eastAsia"/>
                <w:b/>
                <w:bCs/>
                <w:color w:val="auto"/>
                <w:highlight w:val="none"/>
              </w:rPr>
              <w:t>本项目尾矿检测结果</w:t>
            </w:r>
          </w:p>
        </w:tc>
      </w:tr>
      <w:tr w14:paraId="2D1AD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0E86E970">
            <w:pPr>
              <w:pStyle w:val="37"/>
              <w:rPr>
                <w:color w:val="auto"/>
                <w:highlight w:val="none"/>
              </w:rPr>
            </w:pPr>
            <w:r>
              <w:rPr>
                <w:color w:val="auto"/>
                <w:highlight w:val="none"/>
              </w:rPr>
              <w:t>SiO</w:t>
            </w:r>
            <w:r>
              <w:rPr>
                <w:color w:val="auto"/>
                <w:highlight w:val="none"/>
                <w:vertAlign w:val="subscript"/>
              </w:rPr>
              <w:t>2</w:t>
            </w:r>
          </w:p>
        </w:tc>
        <w:tc>
          <w:tcPr>
            <w:tcW w:w="2841" w:type="dxa"/>
            <w:vAlign w:val="center"/>
          </w:tcPr>
          <w:p w14:paraId="68B62701">
            <w:pPr>
              <w:pStyle w:val="37"/>
              <w:rPr>
                <w:color w:val="auto"/>
                <w:highlight w:val="none"/>
              </w:rPr>
            </w:pPr>
            <w:r>
              <w:rPr>
                <w:color w:val="auto"/>
                <w:highlight w:val="none"/>
              </w:rPr>
              <w:t>≥50%</w:t>
            </w:r>
          </w:p>
        </w:tc>
        <w:tc>
          <w:tcPr>
            <w:tcW w:w="2841" w:type="dxa"/>
            <w:vAlign w:val="center"/>
          </w:tcPr>
          <w:p w14:paraId="2F034FD8">
            <w:pPr>
              <w:pStyle w:val="37"/>
              <w:rPr>
                <w:color w:val="auto"/>
                <w:highlight w:val="none"/>
              </w:rPr>
            </w:pPr>
            <w:r>
              <w:rPr>
                <w:color w:val="auto"/>
                <w:highlight w:val="none"/>
              </w:rPr>
              <w:t>72.71%</w:t>
            </w:r>
          </w:p>
        </w:tc>
      </w:tr>
      <w:tr w14:paraId="13B5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7A83213C">
            <w:pPr>
              <w:pStyle w:val="37"/>
              <w:rPr>
                <w:color w:val="auto"/>
                <w:highlight w:val="none"/>
              </w:rPr>
            </w:pPr>
            <w:r>
              <w:rPr>
                <w:color w:val="auto"/>
                <w:highlight w:val="none"/>
              </w:rPr>
              <w:t>Al</w:t>
            </w:r>
            <w:r>
              <w:rPr>
                <w:color w:val="auto"/>
                <w:highlight w:val="none"/>
                <w:vertAlign w:val="subscript"/>
              </w:rPr>
              <w:t>2</w:t>
            </w:r>
            <w:r>
              <w:rPr>
                <w:color w:val="auto"/>
                <w:highlight w:val="none"/>
              </w:rPr>
              <w:t>O</w:t>
            </w:r>
            <w:r>
              <w:rPr>
                <w:color w:val="auto"/>
                <w:highlight w:val="none"/>
                <w:vertAlign w:val="subscript"/>
              </w:rPr>
              <w:t>3</w:t>
            </w:r>
          </w:p>
        </w:tc>
        <w:tc>
          <w:tcPr>
            <w:tcW w:w="2841" w:type="dxa"/>
            <w:vAlign w:val="center"/>
          </w:tcPr>
          <w:p w14:paraId="139EE6C6">
            <w:pPr>
              <w:pStyle w:val="37"/>
              <w:rPr>
                <w:color w:val="auto"/>
                <w:highlight w:val="none"/>
              </w:rPr>
            </w:pPr>
            <w:r>
              <w:rPr>
                <w:color w:val="auto"/>
                <w:highlight w:val="none"/>
              </w:rPr>
              <w:t>≥10%</w:t>
            </w:r>
          </w:p>
        </w:tc>
        <w:tc>
          <w:tcPr>
            <w:tcW w:w="2841" w:type="dxa"/>
            <w:vAlign w:val="center"/>
          </w:tcPr>
          <w:p w14:paraId="5207E3AA">
            <w:pPr>
              <w:pStyle w:val="37"/>
              <w:rPr>
                <w:color w:val="auto"/>
                <w:highlight w:val="none"/>
              </w:rPr>
            </w:pPr>
            <w:r>
              <w:rPr>
                <w:color w:val="auto"/>
                <w:highlight w:val="none"/>
              </w:rPr>
              <w:t>13.42%</w:t>
            </w:r>
          </w:p>
        </w:tc>
      </w:tr>
      <w:tr w14:paraId="21CD2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4129F5BE">
            <w:pPr>
              <w:pStyle w:val="37"/>
              <w:rPr>
                <w:color w:val="auto"/>
                <w:highlight w:val="none"/>
              </w:rPr>
            </w:pPr>
            <w:r>
              <w:rPr>
                <w:color w:val="auto"/>
                <w:highlight w:val="none"/>
              </w:rPr>
              <w:t>TiO</w:t>
            </w:r>
            <w:r>
              <w:rPr>
                <w:color w:val="auto"/>
                <w:highlight w:val="none"/>
                <w:vertAlign w:val="subscript"/>
              </w:rPr>
              <w:t>2</w:t>
            </w:r>
          </w:p>
        </w:tc>
        <w:tc>
          <w:tcPr>
            <w:tcW w:w="2841" w:type="dxa"/>
            <w:vAlign w:val="center"/>
          </w:tcPr>
          <w:p w14:paraId="01C56447">
            <w:pPr>
              <w:pStyle w:val="37"/>
              <w:rPr>
                <w:color w:val="auto"/>
                <w:highlight w:val="none"/>
              </w:rPr>
            </w:pPr>
            <w:r>
              <w:rPr>
                <w:color w:val="auto"/>
                <w:highlight w:val="none"/>
              </w:rPr>
              <w:t>≤2%</w:t>
            </w:r>
          </w:p>
        </w:tc>
        <w:tc>
          <w:tcPr>
            <w:tcW w:w="2841" w:type="dxa"/>
            <w:vAlign w:val="center"/>
          </w:tcPr>
          <w:p w14:paraId="0CA49AA3">
            <w:pPr>
              <w:pStyle w:val="37"/>
              <w:rPr>
                <w:color w:val="auto"/>
                <w:highlight w:val="none"/>
              </w:rPr>
            </w:pPr>
            <w:r>
              <w:rPr>
                <w:color w:val="auto"/>
                <w:highlight w:val="none"/>
              </w:rPr>
              <w:t>1.31%</w:t>
            </w:r>
          </w:p>
        </w:tc>
      </w:tr>
      <w:tr w14:paraId="56AF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55FC3A51">
            <w:pPr>
              <w:pStyle w:val="37"/>
              <w:rPr>
                <w:color w:val="auto"/>
                <w:highlight w:val="none"/>
              </w:rPr>
            </w:pPr>
            <w:r>
              <w:rPr>
                <w:color w:val="auto"/>
                <w:highlight w:val="none"/>
              </w:rPr>
              <w:t>CaO</w:t>
            </w:r>
          </w:p>
        </w:tc>
        <w:tc>
          <w:tcPr>
            <w:tcW w:w="2841" w:type="dxa"/>
            <w:vAlign w:val="center"/>
          </w:tcPr>
          <w:p w14:paraId="48560B42">
            <w:pPr>
              <w:pStyle w:val="37"/>
              <w:rPr>
                <w:color w:val="auto"/>
                <w:highlight w:val="none"/>
              </w:rPr>
            </w:pPr>
            <w:r>
              <w:rPr>
                <w:color w:val="auto"/>
                <w:highlight w:val="none"/>
              </w:rPr>
              <w:t>≤1%</w:t>
            </w:r>
          </w:p>
        </w:tc>
        <w:tc>
          <w:tcPr>
            <w:tcW w:w="2841" w:type="dxa"/>
            <w:vAlign w:val="center"/>
          </w:tcPr>
          <w:p w14:paraId="27FAAC42">
            <w:pPr>
              <w:pStyle w:val="37"/>
              <w:rPr>
                <w:color w:val="auto"/>
                <w:highlight w:val="none"/>
              </w:rPr>
            </w:pPr>
            <w:r>
              <w:rPr>
                <w:color w:val="auto"/>
                <w:highlight w:val="none"/>
              </w:rPr>
              <w:t>0.26%</w:t>
            </w:r>
          </w:p>
        </w:tc>
      </w:tr>
      <w:tr w14:paraId="69EC7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193EB023">
            <w:pPr>
              <w:pStyle w:val="37"/>
              <w:rPr>
                <w:color w:val="auto"/>
                <w:highlight w:val="none"/>
              </w:rPr>
            </w:pPr>
            <w:r>
              <w:rPr>
                <w:color w:val="auto"/>
                <w:highlight w:val="none"/>
              </w:rPr>
              <w:t>MgO</w:t>
            </w:r>
          </w:p>
        </w:tc>
        <w:tc>
          <w:tcPr>
            <w:tcW w:w="2841" w:type="dxa"/>
            <w:vAlign w:val="center"/>
          </w:tcPr>
          <w:p w14:paraId="14F7F6E0">
            <w:pPr>
              <w:pStyle w:val="37"/>
              <w:rPr>
                <w:color w:val="auto"/>
                <w:highlight w:val="none"/>
              </w:rPr>
            </w:pPr>
            <w:r>
              <w:rPr>
                <w:color w:val="auto"/>
                <w:highlight w:val="none"/>
              </w:rPr>
              <w:t>≤2%</w:t>
            </w:r>
          </w:p>
        </w:tc>
        <w:tc>
          <w:tcPr>
            <w:tcW w:w="2841" w:type="dxa"/>
            <w:vAlign w:val="center"/>
          </w:tcPr>
          <w:p w14:paraId="07C69FC8">
            <w:pPr>
              <w:pStyle w:val="37"/>
              <w:rPr>
                <w:color w:val="auto"/>
                <w:highlight w:val="none"/>
              </w:rPr>
            </w:pPr>
            <w:r>
              <w:rPr>
                <w:color w:val="auto"/>
                <w:highlight w:val="none"/>
              </w:rPr>
              <w:t>0.12%</w:t>
            </w:r>
          </w:p>
        </w:tc>
      </w:tr>
      <w:tr w14:paraId="61A4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30646686">
            <w:pPr>
              <w:pStyle w:val="37"/>
              <w:rPr>
                <w:color w:val="auto"/>
                <w:highlight w:val="none"/>
              </w:rPr>
            </w:pPr>
            <w:r>
              <w:rPr>
                <w:color w:val="auto"/>
                <w:highlight w:val="none"/>
              </w:rPr>
              <w:t>Fe</w:t>
            </w:r>
            <w:r>
              <w:rPr>
                <w:color w:val="auto"/>
                <w:highlight w:val="none"/>
                <w:vertAlign w:val="subscript"/>
              </w:rPr>
              <w:t>2</w:t>
            </w:r>
            <w:r>
              <w:rPr>
                <w:color w:val="auto"/>
                <w:highlight w:val="none"/>
              </w:rPr>
              <w:t>O</w:t>
            </w:r>
            <w:r>
              <w:rPr>
                <w:color w:val="auto"/>
                <w:highlight w:val="none"/>
                <w:vertAlign w:val="subscript"/>
              </w:rPr>
              <w:t>3</w:t>
            </w:r>
          </w:p>
        </w:tc>
        <w:tc>
          <w:tcPr>
            <w:tcW w:w="2841" w:type="dxa"/>
            <w:vAlign w:val="center"/>
          </w:tcPr>
          <w:p w14:paraId="16BDE18C">
            <w:pPr>
              <w:pStyle w:val="37"/>
              <w:rPr>
                <w:color w:val="auto"/>
                <w:highlight w:val="none"/>
              </w:rPr>
            </w:pPr>
            <w:r>
              <w:rPr>
                <w:color w:val="auto"/>
                <w:highlight w:val="none"/>
              </w:rPr>
              <w:t>≤1%</w:t>
            </w:r>
          </w:p>
        </w:tc>
        <w:tc>
          <w:tcPr>
            <w:tcW w:w="2841" w:type="dxa"/>
            <w:vAlign w:val="center"/>
          </w:tcPr>
          <w:p w14:paraId="0D827A8D">
            <w:pPr>
              <w:pStyle w:val="37"/>
              <w:rPr>
                <w:color w:val="auto"/>
                <w:highlight w:val="none"/>
              </w:rPr>
            </w:pPr>
            <w:r>
              <w:rPr>
                <w:color w:val="auto"/>
                <w:highlight w:val="none"/>
              </w:rPr>
              <w:t>0.41%</w:t>
            </w:r>
          </w:p>
        </w:tc>
      </w:tr>
      <w:tr w14:paraId="597A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6F794933">
            <w:pPr>
              <w:pStyle w:val="37"/>
              <w:rPr>
                <w:color w:val="auto"/>
                <w:highlight w:val="none"/>
              </w:rPr>
            </w:pPr>
            <w:r>
              <w:rPr>
                <w:color w:val="auto"/>
                <w:highlight w:val="none"/>
              </w:rPr>
              <w:t>K</w:t>
            </w:r>
            <w:r>
              <w:rPr>
                <w:color w:val="auto"/>
                <w:highlight w:val="none"/>
                <w:vertAlign w:val="subscript"/>
              </w:rPr>
              <w:t>2</w:t>
            </w:r>
            <w:r>
              <w:rPr>
                <w:color w:val="auto"/>
                <w:highlight w:val="none"/>
              </w:rPr>
              <w:t>O</w:t>
            </w:r>
          </w:p>
        </w:tc>
        <w:tc>
          <w:tcPr>
            <w:tcW w:w="2841" w:type="dxa"/>
            <w:vAlign w:val="center"/>
          </w:tcPr>
          <w:p w14:paraId="1AFA1D72">
            <w:pPr>
              <w:pStyle w:val="37"/>
              <w:rPr>
                <w:color w:val="auto"/>
                <w:highlight w:val="none"/>
              </w:rPr>
            </w:pPr>
            <w:r>
              <w:rPr>
                <w:color w:val="auto"/>
                <w:highlight w:val="none"/>
              </w:rPr>
              <w:t>≥2%</w:t>
            </w:r>
          </w:p>
        </w:tc>
        <w:tc>
          <w:tcPr>
            <w:tcW w:w="2841" w:type="dxa"/>
            <w:vAlign w:val="center"/>
          </w:tcPr>
          <w:p w14:paraId="084851E5">
            <w:pPr>
              <w:pStyle w:val="37"/>
              <w:rPr>
                <w:color w:val="auto"/>
                <w:highlight w:val="none"/>
              </w:rPr>
            </w:pPr>
            <w:r>
              <w:rPr>
                <w:color w:val="auto"/>
                <w:highlight w:val="none"/>
              </w:rPr>
              <w:t>2.04%</w:t>
            </w:r>
          </w:p>
        </w:tc>
      </w:tr>
      <w:tr w14:paraId="316B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vAlign w:val="center"/>
          </w:tcPr>
          <w:p w14:paraId="482E2CE4">
            <w:pPr>
              <w:pStyle w:val="37"/>
              <w:rPr>
                <w:color w:val="auto"/>
                <w:highlight w:val="none"/>
              </w:rPr>
            </w:pPr>
            <w:r>
              <w:rPr>
                <w:color w:val="auto"/>
                <w:highlight w:val="none"/>
              </w:rPr>
              <w:t>Na</w:t>
            </w:r>
            <w:r>
              <w:rPr>
                <w:color w:val="auto"/>
                <w:highlight w:val="none"/>
                <w:vertAlign w:val="subscript"/>
              </w:rPr>
              <w:t>2</w:t>
            </w:r>
            <w:r>
              <w:rPr>
                <w:color w:val="auto"/>
                <w:highlight w:val="none"/>
              </w:rPr>
              <w:t>O</w:t>
            </w:r>
          </w:p>
        </w:tc>
        <w:tc>
          <w:tcPr>
            <w:tcW w:w="2841" w:type="dxa"/>
            <w:vAlign w:val="center"/>
          </w:tcPr>
          <w:p w14:paraId="2E7CF50E">
            <w:pPr>
              <w:pStyle w:val="37"/>
              <w:rPr>
                <w:color w:val="auto"/>
                <w:highlight w:val="none"/>
              </w:rPr>
            </w:pPr>
            <w:r>
              <w:rPr>
                <w:color w:val="auto"/>
                <w:highlight w:val="none"/>
              </w:rPr>
              <w:t>≥3%</w:t>
            </w:r>
          </w:p>
        </w:tc>
        <w:tc>
          <w:tcPr>
            <w:tcW w:w="2841" w:type="dxa"/>
            <w:vAlign w:val="center"/>
          </w:tcPr>
          <w:p w14:paraId="0AD1E5D8">
            <w:pPr>
              <w:pStyle w:val="37"/>
              <w:rPr>
                <w:color w:val="auto"/>
                <w:highlight w:val="none"/>
              </w:rPr>
            </w:pPr>
            <w:r>
              <w:rPr>
                <w:color w:val="auto"/>
                <w:highlight w:val="none"/>
              </w:rPr>
              <w:t>4.88%</w:t>
            </w:r>
          </w:p>
        </w:tc>
      </w:tr>
    </w:tbl>
    <w:p w14:paraId="78E04782">
      <w:pPr>
        <w:adjustRightInd w:val="0"/>
        <w:ind w:firstLine="480"/>
        <w:rPr>
          <w:rFonts w:cs="Times New Roman"/>
          <w:color w:val="auto"/>
          <w:highlight w:val="none"/>
        </w:rPr>
      </w:pPr>
      <w:r>
        <w:rPr>
          <w:rFonts w:hint="eastAsia" w:cs="Times New Roman"/>
          <w:color w:val="auto"/>
          <w:highlight w:val="none"/>
        </w:rPr>
        <w:t>本项目尾矿、黑砂满足四川省米兰诺陶瓷有限公司、四川香莱尔陶瓷有限公司的原矿标准。</w:t>
      </w:r>
    </w:p>
    <w:p w14:paraId="4F24411C">
      <w:pPr>
        <w:adjustRightInd w:val="0"/>
        <w:ind w:firstLine="480"/>
        <w:rPr>
          <w:rFonts w:cs="Times New Roman"/>
          <w:color w:val="auto"/>
          <w:highlight w:val="none"/>
        </w:rPr>
      </w:pPr>
      <w:r>
        <w:rPr>
          <w:rFonts w:cs="Times New Roman"/>
          <w:color w:val="auto"/>
          <w:highlight w:val="none"/>
        </w:rPr>
        <w:t>③消纳企业需求量分析</w:t>
      </w:r>
    </w:p>
    <w:p w14:paraId="3CE2A4D1">
      <w:pPr>
        <w:adjustRightInd w:val="0"/>
        <w:ind w:firstLine="480"/>
        <w:rPr>
          <w:color w:val="auto"/>
          <w:highlight w:val="none"/>
        </w:rPr>
      </w:pPr>
      <w:r>
        <w:rPr>
          <w:rFonts w:cs="Times New Roman"/>
          <w:color w:val="auto"/>
          <w:highlight w:val="none"/>
        </w:rPr>
        <w:t>根据</w:t>
      </w:r>
      <w:r>
        <w:rPr>
          <w:rFonts w:hint="eastAsia" w:cs="Times New Roman"/>
          <w:color w:val="auto"/>
          <w:highlight w:val="none"/>
        </w:rPr>
        <w:t>四川省米兰诺陶瓷有限公司、四川香莱尔陶瓷有限公司</w:t>
      </w:r>
      <w:r>
        <w:rPr>
          <w:rFonts w:cs="Times New Roman"/>
          <w:color w:val="auto"/>
          <w:highlight w:val="none"/>
        </w:rPr>
        <w:t>的环评报告和生产数据资料，</w:t>
      </w:r>
      <w:r>
        <w:rPr>
          <w:rFonts w:hint="eastAsia" w:cs="Times New Roman"/>
          <w:color w:val="auto"/>
          <w:highlight w:val="none"/>
        </w:rPr>
        <w:t>四川省米兰诺陶瓷有限公司</w:t>
      </w:r>
      <w:r>
        <w:rPr>
          <w:rFonts w:cs="Times New Roman"/>
          <w:color w:val="auto"/>
          <w:highlight w:val="none"/>
        </w:rPr>
        <w:t>可消纳尾矿、黑砂约2</w:t>
      </w:r>
      <w:r>
        <w:rPr>
          <w:rFonts w:hint="eastAsia" w:cs="Times New Roman"/>
          <w:color w:val="auto"/>
          <w:highlight w:val="none"/>
        </w:rPr>
        <w:t>3</w:t>
      </w:r>
      <w:r>
        <w:rPr>
          <w:rFonts w:cs="Times New Roman"/>
          <w:color w:val="auto"/>
          <w:highlight w:val="none"/>
        </w:rPr>
        <w:t>万t/a，</w:t>
      </w:r>
      <w:r>
        <w:rPr>
          <w:rFonts w:hint="eastAsia" w:cs="Times New Roman"/>
          <w:color w:val="auto"/>
          <w:highlight w:val="none"/>
        </w:rPr>
        <w:t>四川香莱尔陶瓷有限公司</w:t>
      </w:r>
      <w:r>
        <w:rPr>
          <w:rFonts w:cs="Times New Roman"/>
          <w:color w:val="auto"/>
          <w:highlight w:val="none"/>
        </w:rPr>
        <w:t>可消纳尾矿</w:t>
      </w:r>
      <w:r>
        <w:rPr>
          <w:rFonts w:hint="eastAsia" w:cs="Times New Roman"/>
          <w:color w:val="auto"/>
          <w:highlight w:val="none"/>
        </w:rPr>
        <w:t>、黑砂</w:t>
      </w:r>
      <w:r>
        <w:rPr>
          <w:rFonts w:cs="Times New Roman"/>
          <w:color w:val="auto"/>
          <w:highlight w:val="none"/>
        </w:rPr>
        <w:t>约2</w:t>
      </w:r>
      <w:r>
        <w:rPr>
          <w:rFonts w:hint="eastAsia" w:cs="Times New Roman"/>
          <w:color w:val="auto"/>
          <w:highlight w:val="none"/>
        </w:rPr>
        <w:t>2</w:t>
      </w:r>
      <w:r>
        <w:rPr>
          <w:rFonts w:cs="Times New Roman"/>
          <w:color w:val="auto"/>
          <w:highlight w:val="none"/>
        </w:rPr>
        <w:t>万t/a，满足本项目尾矿</w:t>
      </w:r>
      <w:r>
        <w:rPr>
          <w:rFonts w:hint="eastAsia" w:cs="Times New Roman"/>
          <w:color w:val="auto"/>
          <w:highlight w:val="none"/>
        </w:rPr>
        <w:t>、黑砂</w:t>
      </w:r>
      <w:r>
        <w:rPr>
          <w:rFonts w:cs="Times New Roman"/>
          <w:color w:val="auto"/>
          <w:highlight w:val="none"/>
        </w:rPr>
        <w:t>消纳需求（</w:t>
      </w:r>
      <w:r>
        <w:rPr>
          <w:rFonts w:hint="eastAsia" w:cs="Times New Roman"/>
          <w:color w:val="auto"/>
          <w:highlight w:val="none"/>
        </w:rPr>
        <w:t>266482.76</w:t>
      </w:r>
      <w:r>
        <w:rPr>
          <w:rFonts w:cs="Times New Roman"/>
          <w:color w:val="auto"/>
          <w:highlight w:val="none"/>
        </w:rPr>
        <w:t>t/a）。因此本项目尾矿</w:t>
      </w:r>
      <w:r>
        <w:rPr>
          <w:rFonts w:hint="eastAsia" w:cs="Times New Roman"/>
          <w:color w:val="auto"/>
          <w:highlight w:val="none"/>
        </w:rPr>
        <w:t>、黑砂</w:t>
      </w:r>
      <w:r>
        <w:rPr>
          <w:rFonts w:cs="Times New Roman"/>
          <w:color w:val="auto"/>
          <w:highlight w:val="none"/>
        </w:rPr>
        <w:t>送至以上两家陶瓷企业进行综合利用可行。</w:t>
      </w:r>
      <w:r>
        <w:rPr>
          <w:rFonts w:hint="eastAsia"/>
          <w:color w:val="auto"/>
          <w:highlight w:val="none"/>
        </w:rPr>
        <w:t>类比乐山市全沫矿产品有限公司，其尾矿、黑砂产生量为240598.7t/a，外售至四川省米兰诺陶瓷有限公司、夹江县华兴陶瓷有限公司和丹棱县华鑫陶瓷有限公司，三家公司均能正常使用锂辉石选矿产生的尾矿和黑砂。类比乐山市全志矿产品有限公司，其尾矿、黑砂产生量为240598.7t/a，外售至夹江县华宏瓷业有限公司和夹江县广乐陶瓷有限公司，两家公司均能正常使用锂辉石选矿产生的尾矿和黑砂。</w:t>
      </w:r>
    </w:p>
    <w:p w14:paraId="5DD9B101">
      <w:pPr>
        <w:adjustRightInd w:val="0"/>
        <w:ind w:firstLine="480"/>
        <w:rPr>
          <w:color w:val="auto"/>
          <w:highlight w:val="none"/>
        </w:rPr>
      </w:pPr>
      <w:r>
        <w:rPr>
          <w:rFonts w:hint="eastAsia"/>
          <w:color w:val="auto"/>
          <w:highlight w:val="none"/>
        </w:rPr>
        <w:t>④尾矿、黑砂堆存管理应急措施</w:t>
      </w:r>
    </w:p>
    <w:p w14:paraId="03684D5B">
      <w:pPr>
        <w:adjustRightInd w:val="0"/>
        <w:ind w:firstLine="480"/>
        <w:rPr>
          <w:color w:val="auto"/>
          <w:highlight w:val="none"/>
        </w:rPr>
      </w:pPr>
      <w:r>
        <w:rPr>
          <w:rFonts w:hint="eastAsia"/>
          <w:color w:val="auto"/>
          <w:highlight w:val="none"/>
        </w:rPr>
        <w:t>若遇四川省米兰诺陶瓷有限公司、四川香莱尔陶瓷有限公司综合利用受阻，无法消纳，企业立即将尾矿和黑砂运至夹江县索菲亚新型建材有限公司、夹江县广乐陶瓷有限公司进行消纳，确保尾矿和黑砂及时处理，目前，本项目已与夹江县索菲亚新型建材有限公司、夹江县广乐陶瓷有限公司签订了尾矿、黑砂的《购销意向协议》。夹江县索菲亚新型建材有限公司、夹江县广乐陶瓷有限公司尾矿、黑砂消纳可行性分析如下：</w:t>
      </w:r>
    </w:p>
    <w:p w14:paraId="536C554E">
      <w:pPr>
        <w:adjustRightInd w:val="0"/>
        <w:ind w:firstLine="480"/>
        <w:rPr>
          <w:color w:val="auto"/>
          <w:highlight w:val="none"/>
        </w:rPr>
      </w:pPr>
      <w:r>
        <w:rPr>
          <w:rFonts w:hint="eastAsia"/>
          <w:color w:val="auto"/>
          <w:highlight w:val="none"/>
        </w:rPr>
        <w:t>夹江县索菲亚新型建材有限公司</w:t>
      </w:r>
      <w:r>
        <w:rPr>
          <w:color w:val="auto"/>
          <w:highlight w:val="none"/>
        </w:rPr>
        <w:t>：20</w:t>
      </w:r>
      <w:r>
        <w:rPr>
          <w:rFonts w:hint="eastAsia"/>
          <w:color w:val="auto"/>
          <w:highlight w:val="none"/>
        </w:rPr>
        <w:t>15</w:t>
      </w:r>
      <w:r>
        <w:rPr>
          <w:color w:val="auto"/>
          <w:highlight w:val="none"/>
        </w:rPr>
        <w:t>年</w:t>
      </w:r>
      <w:r>
        <w:rPr>
          <w:rFonts w:hint="eastAsia"/>
          <w:color w:val="auto"/>
          <w:highlight w:val="none"/>
        </w:rPr>
        <w:t>7</w:t>
      </w:r>
      <w:r>
        <w:rPr>
          <w:color w:val="auto"/>
          <w:highlight w:val="none"/>
        </w:rPr>
        <w:t>月</w:t>
      </w:r>
      <w:r>
        <w:rPr>
          <w:rFonts w:hint="eastAsia"/>
          <w:color w:val="auto"/>
          <w:highlight w:val="none"/>
        </w:rPr>
        <w:t>10</w:t>
      </w:r>
      <w:r>
        <w:rPr>
          <w:color w:val="auto"/>
          <w:highlight w:val="none"/>
        </w:rPr>
        <w:t>日，取得了《</w:t>
      </w:r>
      <w:r>
        <w:rPr>
          <w:rFonts w:hint="eastAsia"/>
          <w:color w:val="auto"/>
          <w:highlight w:val="none"/>
        </w:rPr>
        <w:t>夹江县环境保护局关于新建年产2612万平方米全抛釉砖、仿古砖生产线项目环境影响报告书的批复》（夹环审批〔2015〕052号），2016年8月25日取得了环保验收意见（夹环验〔2016〕10号）。2026年4月1日重新申请</w:t>
      </w:r>
      <w:r>
        <w:rPr>
          <w:color w:val="auto"/>
          <w:highlight w:val="none"/>
        </w:rPr>
        <w:t>了《排污许可证》（</w:t>
      </w:r>
      <w:r>
        <w:rPr>
          <w:rFonts w:hint="eastAsia"/>
          <w:color w:val="auto"/>
          <w:highlight w:val="none"/>
        </w:rPr>
        <w:t>91511126345671950Y001V</w:t>
      </w:r>
      <w:r>
        <w:rPr>
          <w:color w:val="auto"/>
          <w:highlight w:val="none"/>
        </w:rPr>
        <w:t>）。</w:t>
      </w:r>
    </w:p>
    <w:p w14:paraId="7E11627B">
      <w:pPr>
        <w:adjustRightInd w:val="0"/>
        <w:ind w:firstLine="480"/>
        <w:rPr>
          <w:color w:val="auto"/>
          <w:highlight w:val="none"/>
        </w:rPr>
      </w:pPr>
      <w:r>
        <w:rPr>
          <w:rFonts w:hint="eastAsia"/>
          <w:color w:val="auto"/>
          <w:highlight w:val="none"/>
        </w:rPr>
        <w:t>夹江县广乐陶瓷有限公司</w:t>
      </w:r>
      <w:r>
        <w:rPr>
          <w:color w:val="auto"/>
          <w:highlight w:val="none"/>
        </w:rPr>
        <w:t>：20</w:t>
      </w:r>
      <w:r>
        <w:rPr>
          <w:rFonts w:hint="eastAsia"/>
          <w:color w:val="auto"/>
          <w:highlight w:val="none"/>
        </w:rPr>
        <w:t>17</w:t>
      </w:r>
      <w:r>
        <w:rPr>
          <w:color w:val="auto"/>
          <w:highlight w:val="none"/>
        </w:rPr>
        <w:t>年</w:t>
      </w:r>
      <w:r>
        <w:rPr>
          <w:rFonts w:hint="eastAsia"/>
          <w:color w:val="auto"/>
          <w:highlight w:val="none"/>
        </w:rPr>
        <w:t>6</w:t>
      </w:r>
      <w:r>
        <w:rPr>
          <w:color w:val="auto"/>
          <w:highlight w:val="none"/>
        </w:rPr>
        <w:t>月</w:t>
      </w:r>
      <w:r>
        <w:rPr>
          <w:rFonts w:hint="eastAsia"/>
          <w:color w:val="auto"/>
          <w:highlight w:val="none"/>
        </w:rPr>
        <w:t>9</w:t>
      </w:r>
      <w:r>
        <w:rPr>
          <w:color w:val="auto"/>
          <w:highlight w:val="none"/>
        </w:rPr>
        <w:t>日，取得了《</w:t>
      </w:r>
      <w:r>
        <w:rPr>
          <w:rFonts w:hint="eastAsia"/>
          <w:color w:val="auto"/>
          <w:highlight w:val="none"/>
        </w:rPr>
        <w:t>关于&lt;夹江县广乐陶瓷有限公司改建1条年产800万平方米高档抛釉砖生产线及配套设施项目环境影响报告书&gt;的审批意见</w:t>
      </w:r>
      <w:r>
        <w:rPr>
          <w:color w:val="auto"/>
          <w:highlight w:val="none"/>
        </w:rPr>
        <w:t>》（</w:t>
      </w:r>
      <w:r>
        <w:rPr>
          <w:rFonts w:hint="eastAsia"/>
          <w:color w:val="auto"/>
          <w:highlight w:val="none"/>
        </w:rPr>
        <w:t>乐市环审</w:t>
      </w:r>
      <w:r>
        <w:rPr>
          <w:color w:val="auto"/>
          <w:highlight w:val="none"/>
        </w:rPr>
        <w:t>〔20</w:t>
      </w:r>
      <w:r>
        <w:rPr>
          <w:rFonts w:hint="eastAsia"/>
          <w:color w:val="auto"/>
          <w:highlight w:val="none"/>
        </w:rPr>
        <w:t>17</w:t>
      </w:r>
      <w:r>
        <w:rPr>
          <w:color w:val="auto"/>
          <w:highlight w:val="none"/>
        </w:rPr>
        <w:t>〕</w:t>
      </w:r>
      <w:r>
        <w:rPr>
          <w:rFonts w:hint="eastAsia"/>
          <w:color w:val="auto"/>
          <w:highlight w:val="none"/>
        </w:rPr>
        <w:t>41</w:t>
      </w:r>
      <w:r>
        <w:rPr>
          <w:color w:val="auto"/>
          <w:highlight w:val="none"/>
        </w:rPr>
        <w:t>号），20</w:t>
      </w:r>
      <w:r>
        <w:rPr>
          <w:rFonts w:hint="eastAsia"/>
          <w:color w:val="auto"/>
          <w:highlight w:val="none"/>
        </w:rPr>
        <w:t>18</w:t>
      </w:r>
      <w:r>
        <w:rPr>
          <w:color w:val="auto"/>
          <w:highlight w:val="none"/>
        </w:rPr>
        <w:t>年</w:t>
      </w:r>
      <w:r>
        <w:rPr>
          <w:rFonts w:hint="eastAsia"/>
          <w:color w:val="auto"/>
          <w:highlight w:val="none"/>
        </w:rPr>
        <w:t>3</w:t>
      </w:r>
      <w:r>
        <w:rPr>
          <w:color w:val="auto"/>
          <w:highlight w:val="none"/>
        </w:rPr>
        <w:t>月</w:t>
      </w:r>
      <w:r>
        <w:rPr>
          <w:rFonts w:hint="eastAsia"/>
          <w:color w:val="auto"/>
          <w:highlight w:val="none"/>
        </w:rPr>
        <w:t>15日</w:t>
      </w:r>
      <w:r>
        <w:rPr>
          <w:color w:val="auto"/>
          <w:highlight w:val="none"/>
        </w:rPr>
        <w:t>进行环保自主验收</w:t>
      </w:r>
      <w:r>
        <w:rPr>
          <w:rFonts w:hint="eastAsia"/>
          <w:color w:val="auto"/>
          <w:highlight w:val="none"/>
        </w:rPr>
        <w:t>并取得验收意见</w:t>
      </w:r>
      <w:r>
        <w:rPr>
          <w:color w:val="auto"/>
          <w:highlight w:val="none"/>
        </w:rPr>
        <w:t>。</w:t>
      </w:r>
      <w:r>
        <w:rPr>
          <w:rFonts w:hint="eastAsia"/>
          <w:color w:val="auto"/>
          <w:highlight w:val="none"/>
        </w:rPr>
        <w:t>2024年1月18日重新申请</w:t>
      </w:r>
      <w:r>
        <w:rPr>
          <w:color w:val="auto"/>
          <w:highlight w:val="none"/>
        </w:rPr>
        <w:t>了《排污许可证》（</w:t>
      </w:r>
      <w:r>
        <w:rPr>
          <w:rFonts w:hint="eastAsia"/>
          <w:color w:val="auto"/>
          <w:highlight w:val="none"/>
        </w:rPr>
        <w:t>91511126729825779Y001V</w:t>
      </w:r>
      <w:r>
        <w:rPr>
          <w:color w:val="auto"/>
          <w:highlight w:val="none"/>
        </w:rPr>
        <w:t>）。</w:t>
      </w:r>
    </w:p>
    <w:p w14:paraId="7BFBFE05">
      <w:pPr>
        <w:adjustRightInd w:val="0"/>
        <w:ind w:firstLine="480"/>
        <w:rPr>
          <w:color w:val="auto"/>
          <w:highlight w:val="none"/>
        </w:rPr>
      </w:pPr>
      <w:r>
        <w:rPr>
          <w:color w:val="auto"/>
          <w:highlight w:val="none"/>
        </w:rPr>
        <w:t>根据</w:t>
      </w:r>
      <w:r>
        <w:rPr>
          <w:rFonts w:hint="eastAsia"/>
          <w:color w:val="auto"/>
          <w:highlight w:val="none"/>
        </w:rPr>
        <w:t>夹江县索菲亚新型建材有限公司、夹江县广乐陶瓷有限公司</w:t>
      </w:r>
      <w:r>
        <w:rPr>
          <w:color w:val="auto"/>
          <w:highlight w:val="none"/>
        </w:rPr>
        <w:t>的环评报告和生产数据资料，</w:t>
      </w:r>
      <w:r>
        <w:rPr>
          <w:rFonts w:hint="eastAsia"/>
          <w:color w:val="auto"/>
          <w:highlight w:val="none"/>
        </w:rPr>
        <w:t>夹江县索菲亚新型建材有限公司</w:t>
      </w:r>
      <w:r>
        <w:rPr>
          <w:color w:val="auto"/>
          <w:highlight w:val="none"/>
        </w:rPr>
        <w:t>可消纳尾矿、黑砂约</w:t>
      </w:r>
      <w:r>
        <w:rPr>
          <w:rFonts w:hint="eastAsia"/>
          <w:color w:val="auto"/>
          <w:highlight w:val="none"/>
        </w:rPr>
        <w:t>17</w:t>
      </w:r>
      <w:r>
        <w:rPr>
          <w:color w:val="auto"/>
          <w:highlight w:val="none"/>
        </w:rPr>
        <w:t>万t/a，</w:t>
      </w:r>
      <w:r>
        <w:rPr>
          <w:rFonts w:hint="eastAsia"/>
          <w:color w:val="auto"/>
          <w:highlight w:val="none"/>
        </w:rPr>
        <w:t>夹江县广乐陶瓷有限公司</w:t>
      </w:r>
      <w:r>
        <w:rPr>
          <w:color w:val="auto"/>
          <w:highlight w:val="none"/>
        </w:rPr>
        <w:t>可消纳尾矿、黑砂约</w:t>
      </w:r>
      <w:r>
        <w:rPr>
          <w:rFonts w:hint="eastAsia"/>
          <w:color w:val="auto"/>
          <w:highlight w:val="none"/>
        </w:rPr>
        <w:t>22</w:t>
      </w:r>
      <w:r>
        <w:rPr>
          <w:color w:val="auto"/>
          <w:highlight w:val="none"/>
        </w:rPr>
        <w:t>万t/a，满足本项目尾矿、黑砂消纳需求（</w:t>
      </w:r>
      <w:r>
        <w:rPr>
          <w:rFonts w:hint="eastAsia"/>
          <w:color w:val="auto"/>
          <w:highlight w:val="none"/>
        </w:rPr>
        <w:t>266482.76</w:t>
      </w:r>
      <w:r>
        <w:rPr>
          <w:color w:val="auto"/>
          <w:highlight w:val="none"/>
        </w:rPr>
        <w:t>t/a）。因此本项目尾矿、黑砂送至以上两家陶瓷企业进行综合利用可行。</w:t>
      </w:r>
    </w:p>
    <w:p w14:paraId="0D4CF10B">
      <w:pPr>
        <w:adjustRightInd w:val="0"/>
        <w:ind w:firstLine="480"/>
        <w:rPr>
          <w:rFonts w:cs="Times New Roman"/>
          <w:color w:val="auto"/>
          <w:highlight w:val="none"/>
        </w:rPr>
      </w:pPr>
      <w:r>
        <w:rPr>
          <w:color w:val="auto"/>
          <w:highlight w:val="none"/>
        </w:rPr>
        <w:t>若遇上述四家尾矿、黑砂消纳企业</w:t>
      </w:r>
      <w:r>
        <w:rPr>
          <w:rFonts w:hint="eastAsia"/>
          <w:color w:val="auto"/>
          <w:highlight w:val="none"/>
        </w:rPr>
        <w:t>综合利用受阻，无法消纳</w:t>
      </w:r>
      <w:r>
        <w:rPr>
          <w:color w:val="auto"/>
          <w:highlight w:val="none"/>
        </w:rPr>
        <w:t>，</w:t>
      </w:r>
      <w:r>
        <w:rPr>
          <w:rFonts w:hint="eastAsia"/>
          <w:color w:val="auto"/>
          <w:highlight w:val="none"/>
        </w:rPr>
        <w:t>各消纳方将首先启用其原矿仓进行堆存</w:t>
      </w:r>
      <w:r>
        <w:rPr>
          <w:color w:val="auto"/>
          <w:highlight w:val="none"/>
        </w:rPr>
        <w:t>。</w:t>
      </w:r>
      <w:r>
        <w:rPr>
          <w:rFonts w:hint="eastAsia"/>
          <w:color w:val="auto"/>
          <w:highlight w:val="none"/>
        </w:rPr>
        <w:t>若各消纳方堆存满后，尾矿、黑砂无法及时外运，本项目尾矿仓库也无空间堆放时，本项目将立即启动停产程序</w:t>
      </w:r>
      <w:r>
        <w:rPr>
          <w:color w:val="auto"/>
          <w:highlight w:val="none"/>
        </w:rPr>
        <w:t>，不得露天堆放尾矿、黑砂，不得乱堆乱放尾矿、黑砂，保证尾矿、黑砂规范堆放至尾矿仓库。</w:t>
      </w:r>
    </w:p>
    <w:p w14:paraId="5BC7E3C6">
      <w:pPr>
        <w:adjustRightInd w:val="0"/>
        <w:ind w:firstLine="482"/>
        <w:rPr>
          <w:rFonts w:cs="Times New Roman"/>
          <w:b/>
          <w:bCs/>
          <w:color w:val="auto"/>
          <w:highlight w:val="none"/>
        </w:rPr>
      </w:pPr>
      <w:r>
        <w:rPr>
          <w:rFonts w:hint="eastAsia" w:cs="Times New Roman"/>
          <w:b/>
          <w:bCs/>
          <w:color w:val="auto"/>
          <w:highlight w:val="none"/>
        </w:rPr>
        <w:t>8</w:t>
      </w:r>
      <w:r>
        <w:rPr>
          <w:rFonts w:cs="Times New Roman"/>
          <w:b/>
          <w:bCs/>
          <w:color w:val="auto"/>
          <w:highlight w:val="none"/>
        </w:rPr>
        <w:t>）生活垃圾</w:t>
      </w:r>
    </w:p>
    <w:p w14:paraId="1E7A0649">
      <w:pPr>
        <w:adjustRightInd w:val="0"/>
        <w:ind w:firstLine="480"/>
        <w:rPr>
          <w:rFonts w:cs="Times New Roman"/>
          <w:color w:val="auto"/>
          <w:highlight w:val="none"/>
        </w:rPr>
      </w:pPr>
      <w:r>
        <w:rPr>
          <w:rFonts w:cs="Times New Roman"/>
          <w:color w:val="auto"/>
          <w:highlight w:val="none"/>
        </w:rPr>
        <w:t>本项目劳动定员70人，参照《第一次全国污染源普查城镇生活源产排污系数手册》，乐山市沙湾区属于4区3类，生活垃圾量0.48kg/人·d计算，项目生活垃圾产生量约为</w:t>
      </w:r>
      <w:r>
        <w:rPr>
          <w:rFonts w:hint="eastAsia" w:cs="Times New Roman"/>
          <w:color w:val="auto"/>
          <w:highlight w:val="none"/>
        </w:rPr>
        <w:t>11.09</w:t>
      </w:r>
      <w:r>
        <w:rPr>
          <w:rFonts w:cs="Times New Roman"/>
          <w:color w:val="auto"/>
          <w:highlight w:val="none"/>
        </w:rPr>
        <w:t>t/a。</w:t>
      </w:r>
    </w:p>
    <w:p w14:paraId="4A4FF2D0">
      <w:pPr>
        <w:adjustRightInd w:val="0"/>
        <w:ind w:firstLine="480"/>
        <w:rPr>
          <w:rFonts w:cs="Times New Roman"/>
          <w:color w:val="auto"/>
          <w:highlight w:val="none"/>
        </w:rPr>
      </w:pPr>
      <w:r>
        <w:rPr>
          <w:rFonts w:cs="Times New Roman"/>
          <w:color w:val="auto"/>
          <w:highlight w:val="none"/>
        </w:rPr>
        <w:t>本项生活垃圾由当地环卫部门统一清运（其中餐厨垃圾由相应资质单位处置）。</w:t>
      </w:r>
    </w:p>
    <w:p w14:paraId="7822FCA9">
      <w:pPr>
        <w:adjustRightInd w:val="0"/>
        <w:ind w:firstLine="482"/>
        <w:rPr>
          <w:rFonts w:cs="Times New Roman"/>
          <w:b/>
          <w:bCs/>
          <w:color w:val="auto"/>
          <w:highlight w:val="none"/>
        </w:rPr>
      </w:pPr>
      <w:r>
        <w:rPr>
          <w:rFonts w:hint="eastAsia" w:cs="Times New Roman"/>
          <w:b/>
          <w:bCs/>
          <w:color w:val="auto"/>
          <w:highlight w:val="none"/>
        </w:rPr>
        <w:t>9）餐厨垃圾</w:t>
      </w:r>
    </w:p>
    <w:p w14:paraId="7143DD32">
      <w:pPr>
        <w:ind w:firstLine="480"/>
        <w:rPr>
          <w:color w:val="auto"/>
          <w:highlight w:val="none"/>
        </w:rPr>
      </w:pPr>
      <w:r>
        <w:rPr>
          <w:rFonts w:hint="eastAsia"/>
          <w:color w:val="auto"/>
          <w:highlight w:val="none"/>
        </w:rPr>
        <w:t>本项目设有员工食堂，会产生餐厨垃圾。本项目餐厨垃圾产生量约为2.5t/a。</w:t>
      </w:r>
    </w:p>
    <w:p w14:paraId="5389C677">
      <w:pPr>
        <w:adjustRightInd w:val="0"/>
        <w:ind w:firstLine="480"/>
        <w:rPr>
          <w:rFonts w:cs="Times New Roman"/>
          <w:color w:val="auto"/>
          <w:highlight w:val="none"/>
        </w:rPr>
      </w:pPr>
      <w:r>
        <w:rPr>
          <w:rFonts w:hint="eastAsia" w:cs="Times New Roman"/>
          <w:color w:val="auto"/>
          <w:highlight w:val="none"/>
        </w:rPr>
        <w:t>餐厨垃圾定期交由有资质的单位进行处置。</w:t>
      </w:r>
    </w:p>
    <w:p w14:paraId="678FB472">
      <w:pPr>
        <w:adjustRightInd w:val="0"/>
        <w:ind w:firstLine="482"/>
        <w:rPr>
          <w:rFonts w:cs="Times New Roman"/>
          <w:b/>
          <w:bCs/>
          <w:color w:val="auto"/>
          <w:highlight w:val="none"/>
        </w:rPr>
      </w:pPr>
      <w:r>
        <w:rPr>
          <w:rFonts w:hint="eastAsia" w:cs="Times New Roman"/>
          <w:b/>
          <w:bCs/>
          <w:color w:val="auto"/>
          <w:highlight w:val="none"/>
        </w:rPr>
        <w:t>10）隔油池废油</w:t>
      </w:r>
    </w:p>
    <w:p w14:paraId="0F0A64DD">
      <w:pPr>
        <w:adjustRightInd w:val="0"/>
        <w:ind w:firstLine="480"/>
        <w:rPr>
          <w:rFonts w:cs="Times New Roman"/>
          <w:color w:val="auto"/>
          <w:highlight w:val="none"/>
        </w:rPr>
      </w:pPr>
      <w:r>
        <w:rPr>
          <w:rFonts w:cs="Times New Roman"/>
          <w:color w:val="auto"/>
          <w:highlight w:val="none"/>
        </w:rPr>
        <w:t>本项目设有员工食堂，食堂废水经隔油池隔油后再进入预处理池进行预处理，因此隔油池会产生废油。本项目隔油池废油产生量约为0.5t/a。</w:t>
      </w:r>
    </w:p>
    <w:p w14:paraId="1CCC37E5">
      <w:pPr>
        <w:adjustRightInd w:val="0"/>
        <w:ind w:firstLine="480"/>
        <w:rPr>
          <w:rFonts w:cs="Times New Roman"/>
          <w:color w:val="auto"/>
          <w:highlight w:val="none"/>
        </w:rPr>
      </w:pPr>
      <w:r>
        <w:rPr>
          <w:rFonts w:cs="Times New Roman"/>
          <w:color w:val="auto"/>
          <w:highlight w:val="none"/>
        </w:rPr>
        <w:t>隔油池废油定期交由有资质的单位进行处置</w:t>
      </w:r>
      <w:r>
        <w:rPr>
          <w:rFonts w:hint="eastAsia" w:cs="Times New Roman"/>
          <w:color w:val="auto"/>
          <w:highlight w:val="none"/>
        </w:rPr>
        <w:t>。</w:t>
      </w:r>
    </w:p>
    <w:p w14:paraId="61891C37">
      <w:pPr>
        <w:adjustRightInd w:val="0"/>
        <w:ind w:firstLine="482"/>
        <w:rPr>
          <w:rFonts w:cs="Times New Roman"/>
          <w:b/>
          <w:bCs/>
          <w:color w:val="auto"/>
          <w:highlight w:val="none"/>
        </w:rPr>
      </w:pPr>
      <w:r>
        <w:rPr>
          <w:rFonts w:cs="Times New Roman"/>
          <w:b/>
          <w:bCs/>
          <w:color w:val="auto"/>
          <w:highlight w:val="none"/>
        </w:rPr>
        <w:t>（2）危险废物</w:t>
      </w:r>
    </w:p>
    <w:p w14:paraId="640C4385">
      <w:pPr>
        <w:adjustRightInd w:val="0"/>
        <w:ind w:firstLine="482"/>
        <w:rPr>
          <w:rFonts w:cs="Times New Roman"/>
          <w:b/>
          <w:bCs/>
          <w:color w:val="auto"/>
          <w:highlight w:val="none"/>
        </w:rPr>
      </w:pPr>
      <w:r>
        <w:rPr>
          <w:rFonts w:cs="Times New Roman"/>
          <w:b/>
          <w:bCs/>
          <w:color w:val="auto"/>
          <w:highlight w:val="none"/>
        </w:rPr>
        <w:t>1）废机油、废机油桶、含油抹布及手套</w:t>
      </w:r>
    </w:p>
    <w:p w14:paraId="4587217A">
      <w:pPr>
        <w:adjustRightInd w:val="0"/>
        <w:ind w:firstLine="480"/>
        <w:rPr>
          <w:rFonts w:cs="Times New Roman"/>
          <w:color w:val="auto"/>
          <w:highlight w:val="none"/>
        </w:rPr>
      </w:pPr>
      <w:r>
        <w:rPr>
          <w:rFonts w:cs="Times New Roman"/>
          <w:color w:val="auto"/>
          <w:highlight w:val="none"/>
        </w:rPr>
        <w:t>在正常运行过程中为了维持工况良好、正常，本项目需定期检修、维护，此过程会产生废机油、含油抹布及手套等。本项目在设备维护、检修时产生废机油约0.1t/a，属危险废物，废物类别HW08，废物代码900-214-08；废机油桶0.5t/a，属危险废物，废物类别HW08，废物代码900-249-08；含油抹布及手套约0.02t/a，属危险废物，废物类别HW49，废物代码900-041-49，暂存于</w:t>
      </w:r>
      <w:r>
        <w:rPr>
          <w:rFonts w:hint="eastAsia" w:cs="Times New Roman"/>
          <w:color w:val="auto"/>
          <w:highlight w:val="none"/>
        </w:rPr>
        <w:t>危废暂存间</w:t>
      </w:r>
      <w:r>
        <w:rPr>
          <w:rFonts w:cs="Times New Roman"/>
          <w:color w:val="auto"/>
          <w:highlight w:val="none"/>
        </w:rPr>
        <w:t>，定期交由有资质单位处置。</w:t>
      </w:r>
    </w:p>
    <w:p w14:paraId="6C1C2F31">
      <w:pPr>
        <w:adjustRightInd w:val="0"/>
        <w:ind w:firstLine="482"/>
        <w:rPr>
          <w:rFonts w:cs="Times New Roman"/>
          <w:color w:val="auto"/>
          <w:highlight w:val="none"/>
        </w:rPr>
      </w:pPr>
      <w:r>
        <w:rPr>
          <w:rFonts w:cs="Times New Roman"/>
          <w:b/>
          <w:bCs/>
          <w:color w:val="auto"/>
          <w:highlight w:val="none"/>
        </w:rPr>
        <w:t>2）废氢氧化钠包装袋</w:t>
      </w:r>
    </w:p>
    <w:p w14:paraId="104B5DE5">
      <w:pPr>
        <w:adjustRightInd w:val="0"/>
        <w:ind w:firstLine="480"/>
        <w:rPr>
          <w:rFonts w:cs="Times New Roman"/>
          <w:color w:val="auto"/>
          <w:highlight w:val="none"/>
        </w:rPr>
      </w:pPr>
      <w:r>
        <w:rPr>
          <w:rFonts w:cs="Times New Roman"/>
          <w:color w:val="auto"/>
          <w:highlight w:val="none"/>
        </w:rPr>
        <w:t>本项目氢氧化钠年使用量为</w:t>
      </w:r>
      <w:r>
        <w:rPr>
          <w:rFonts w:hint="eastAsia" w:cs="Times New Roman"/>
          <w:color w:val="auto"/>
          <w:highlight w:val="none"/>
        </w:rPr>
        <w:t>7.83</w:t>
      </w:r>
      <w:r>
        <w:rPr>
          <w:rFonts w:cs="Times New Roman"/>
          <w:color w:val="auto"/>
          <w:highlight w:val="none"/>
        </w:rPr>
        <w:t>t（25kg/袋），废氢氧化钠包装袋产生量约为</w:t>
      </w:r>
      <w:r>
        <w:rPr>
          <w:rFonts w:hint="eastAsia" w:cs="Times New Roman"/>
          <w:color w:val="auto"/>
          <w:highlight w:val="none"/>
        </w:rPr>
        <w:t>314</w:t>
      </w:r>
      <w:r>
        <w:rPr>
          <w:rFonts w:cs="Times New Roman"/>
          <w:color w:val="auto"/>
          <w:highlight w:val="none"/>
        </w:rPr>
        <w:t>个/a，平均每个重量约为0.05kg，废氢氧化钠包装袋产生量约0.0</w:t>
      </w:r>
      <w:r>
        <w:rPr>
          <w:rFonts w:hint="eastAsia" w:cs="Times New Roman"/>
          <w:color w:val="auto"/>
          <w:highlight w:val="none"/>
        </w:rPr>
        <w:t>16</w:t>
      </w:r>
      <w:r>
        <w:rPr>
          <w:rFonts w:cs="Times New Roman"/>
          <w:color w:val="auto"/>
          <w:highlight w:val="none"/>
        </w:rPr>
        <w:t>t/a。废氢氧化钠包装袋属于《国家危险废物名录（2025年版）》中的</w:t>
      </w:r>
      <w:r>
        <w:rPr>
          <w:rFonts w:hint="eastAsia" w:cs="Times New Roman"/>
          <w:color w:val="auto"/>
          <w:highlight w:val="none"/>
        </w:rPr>
        <w:t>“</w:t>
      </w:r>
      <w:r>
        <w:rPr>
          <w:rFonts w:cs="Times New Roman"/>
          <w:color w:val="auto"/>
          <w:highlight w:val="none"/>
        </w:rPr>
        <w:t>含有或沾染毒性、感染性危险废物的废弃包装物、容器、过滤吸附介质</w:t>
      </w:r>
      <w:r>
        <w:rPr>
          <w:rFonts w:hint="eastAsia" w:cs="Times New Roman"/>
          <w:color w:val="auto"/>
          <w:highlight w:val="none"/>
        </w:rPr>
        <w:t>”</w:t>
      </w:r>
      <w:r>
        <w:rPr>
          <w:rFonts w:cs="Times New Roman"/>
          <w:color w:val="auto"/>
          <w:highlight w:val="none"/>
        </w:rPr>
        <w:t>，废物类别HW49，废物代码900-041-49。</w:t>
      </w:r>
    </w:p>
    <w:p w14:paraId="365DCDAB">
      <w:pPr>
        <w:adjustRightInd w:val="0"/>
        <w:ind w:firstLine="480"/>
        <w:rPr>
          <w:rFonts w:cs="Times New Roman"/>
          <w:color w:val="auto"/>
          <w:highlight w:val="none"/>
        </w:rPr>
      </w:pPr>
      <w:r>
        <w:rPr>
          <w:rFonts w:cs="Times New Roman"/>
          <w:color w:val="auto"/>
          <w:highlight w:val="none"/>
        </w:rPr>
        <w:t>综上，本项目固体废物均在厂内暂存后转运处置，固体废物的产生、排放量及处置措施见下表。</w:t>
      </w:r>
    </w:p>
    <w:p w14:paraId="47A7EACB">
      <w:pPr>
        <w:keepNext/>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b/>
          <w:bCs/>
          <w:color w:val="auto"/>
          <w:kern w:val="21"/>
          <w:sz w:val="21"/>
          <w:highlight w:val="none"/>
        </w:rPr>
        <w:t>表3-4固体废弃物产生及处置一览表</w:t>
      </w:r>
    </w:p>
    <w:tbl>
      <w:tblPr>
        <w:tblStyle w:val="3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
        <w:gridCol w:w="837"/>
        <w:gridCol w:w="847"/>
        <w:gridCol w:w="847"/>
        <w:gridCol w:w="1313"/>
        <w:gridCol w:w="658"/>
        <w:gridCol w:w="655"/>
        <w:gridCol w:w="1110"/>
        <w:gridCol w:w="684"/>
        <w:gridCol w:w="1112"/>
      </w:tblGrid>
      <w:tr w14:paraId="2CE1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1" w:type="pct"/>
            <w:vAlign w:val="center"/>
          </w:tcPr>
          <w:p w14:paraId="0FE74724">
            <w:pPr>
              <w:pStyle w:val="69"/>
              <w:spacing w:before="65" w:after="65"/>
              <w:rPr>
                <w:rFonts w:cs="Times New Roman"/>
                <w:b/>
                <w:bCs w:val="0"/>
                <w:color w:val="auto"/>
                <w:highlight w:val="none"/>
              </w:rPr>
            </w:pPr>
            <w:r>
              <w:rPr>
                <w:rFonts w:cs="Times New Roman"/>
                <w:b/>
                <w:bCs w:val="0"/>
                <w:color w:val="auto"/>
                <w:highlight w:val="none"/>
              </w:rPr>
              <w:t>序号</w:t>
            </w:r>
          </w:p>
        </w:tc>
        <w:tc>
          <w:tcPr>
            <w:tcW w:w="518" w:type="pct"/>
            <w:vAlign w:val="center"/>
          </w:tcPr>
          <w:p w14:paraId="36A0D7F1">
            <w:pPr>
              <w:pStyle w:val="69"/>
              <w:spacing w:before="65" w:after="65"/>
              <w:rPr>
                <w:rFonts w:cs="Times New Roman"/>
                <w:b/>
                <w:bCs w:val="0"/>
                <w:color w:val="auto"/>
                <w:highlight w:val="none"/>
              </w:rPr>
            </w:pPr>
            <w:r>
              <w:rPr>
                <w:rFonts w:cs="Times New Roman"/>
                <w:b/>
                <w:bCs w:val="0"/>
                <w:color w:val="auto"/>
                <w:highlight w:val="none"/>
              </w:rPr>
              <w:t>名称</w:t>
            </w:r>
          </w:p>
        </w:tc>
        <w:tc>
          <w:tcPr>
            <w:tcW w:w="524" w:type="pct"/>
            <w:vAlign w:val="center"/>
          </w:tcPr>
          <w:p w14:paraId="5389044D">
            <w:pPr>
              <w:pStyle w:val="69"/>
              <w:spacing w:before="65" w:after="65"/>
              <w:rPr>
                <w:rFonts w:cs="Times New Roman"/>
                <w:b/>
                <w:bCs w:val="0"/>
                <w:color w:val="auto"/>
                <w:highlight w:val="none"/>
              </w:rPr>
            </w:pPr>
            <w:r>
              <w:rPr>
                <w:rFonts w:hint="eastAsia" w:cs="Times New Roman"/>
                <w:b/>
                <w:bCs w:val="0"/>
                <w:color w:val="auto"/>
                <w:highlight w:val="none"/>
              </w:rPr>
              <w:t>废物属性</w:t>
            </w:r>
          </w:p>
        </w:tc>
        <w:tc>
          <w:tcPr>
            <w:tcW w:w="524" w:type="pct"/>
            <w:vAlign w:val="center"/>
          </w:tcPr>
          <w:p w14:paraId="4A76F050">
            <w:pPr>
              <w:pStyle w:val="69"/>
              <w:spacing w:before="65" w:after="65"/>
              <w:rPr>
                <w:rFonts w:cs="Times New Roman"/>
                <w:b/>
                <w:bCs w:val="0"/>
                <w:color w:val="auto"/>
                <w:highlight w:val="none"/>
              </w:rPr>
            </w:pPr>
            <w:r>
              <w:rPr>
                <w:rFonts w:cs="Times New Roman"/>
                <w:b/>
                <w:bCs w:val="0"/>
                <w:color w:val="auto"/>
                <w:highlight w:val="none"/>
              </w:rPr>
              <w:t>废物类别</w:t>
            </w:r>
          </w:p>
        </w:tc>
        <w:tc>
          <w:tcPr>
            <w:tcW w:w="629" w:type="pct"/>
            <w:vAlign w:val="center"/>
          </w:tcPr>
          <w:p w14:paraId="4FEE0DF2">
            <w:pPr>
              <w:pStyle w:val="69"/>
              <w:spacing w:before="65" w:after="65"/>
              <w:rPr>
                <w:rFonts w:cs="Times New Roman"/>
                <w:b/>
                <w:bCs w:val="0"/>
                <w:color w:val="auto"/>
                <w:highlight w:val="none"/>
              </w:rPr>
            </w:pPr>
            <w:r>
              <w:rPr>
                <w:rFonts w:cs="Times New Roman"/>
                <w:b/>
                <w:bCs w:val="0"/>
                <w:color w:val="auto"/>
                <w:highlight w:val="none"/>
              </w:rPr>
              <w:t>代码</w:t>
            </w:r>
          </w:p>
        </w:tc>
        <w:tc>
          <w:tcPr>
            <w:tcW w:w="413" w:type="pct"/>
            <w:vAlign w:val="center"/>
          </w:tcPr>
          <w:p w14:paraId="7A99D16E">
            <w:pPr>
              <w:pStyle w:val="69"/>
              <w:spacing w:before="65" w:after="65"/>
              <w:rPr>
                <w:rFonts w:cs="Times New Roman"/>
                <w:b/>
                <w:bCs w:val="0"/>
                <w:color w:val="auto"/>
                <w:highlight w:val="none"/>
              </w:rPr>
            </w:pPr>
            <w:r>
              <w:rPr>
                <w:rFonts w:cs="Times New Roman"/>
                <w:b/>
                <w:bCs w:val="0"/>
                <w:color w:val="auto"/>
                <w:highlight w:val="none"/>
              </w:rPr>
              <w:t>主要成分</w:t>
            </w:r>
          </w:p>
        </w:tc>
        <w:tc>
          <w:tcPr>
            <w:tcW w:w="411" w:type="pct"/>
            <w:vAlign w:val="center"/>
          </w:tcPr>
          <w:p w14:paraId="7A0464F7">
            <w:pPr>
              <w:pStyle w:val="69"/>
              <w:spacing w:before="65" w:after="65"/>
              <w:rPr>
                <w:rFonts w:cs="Times New Roman"/>
                <w:b/>
                <w:bCs w:val="0"/>
                <w:color w:val="auto"/>
                <w:highlight w:val="none"/>
              </w:rPr>
            </w:pPr>
            <w:r>
              <w:rPr>
                <w:rFonts w:cs="Times New Roman"/>
                <w:b/>
                <w:bCs w:val="0"/>
                <w:color w:val="auto"/>
                <w:highlight w:val="none"/>
              </w:rPr>
              <w:t>性状</w:t>
            </w:r>
          </w:p>
        </w:tc>
        <w:tc>
          <w:tcPr>
            <w:tcW w:w="578" w:type="pct"/>
            <w:vAlign w:val="center"/>
          </w:tcPr>
          <w:p w14:paraId="15A24940">
            <w:pPr>
              <w:pStyle w:val="69"/>
              <w:spacing w:before="65" w:after="65"/>
              <w:rPr>
                <w:rFonts w:cs="Times New Roman"/>
                <w:b/>
                <w:bCs w:val="0"/>
                <w:color w:val="auto"/>
                <w:highlight w:val="none"/>
              </w:rPr>
            </w:pPr>
            <w:r>
              <w:rPr>
                <w:rFonts w:cs="Times New Roman"/>
                <w:b/>
                <w:bCs w:val="0"/>
                <w:color w:val="auto"/>
                <w:highlight w:val="none"/>
              </w:rPr>
              <w:t>产生数量（t/a）</w:t>
            </w:r>
          </w:p>
        </w:tc>
        <w:tc>
          <w:tcPr>
            <w:tcW w:w="428" w:type="pct"/>
            <w:vAlign w:val="center"/>
          </w:tcPr>
          <w:p w14:paraId="0DE0D6EC">
            <w:pPr>
              <w:pStyle w:val="69"/>
              <w:spacing w:before="65" w:after="65"/>
              <w:rPr>
                <w:rFonts w:cs="Times New Roman"/>
                <w:b/>
                <w:bCs w:val="0"/>
                <w:color w:val="auto"/>
                <w:highlight w:val="none"/>
              </w:rPr>
            </w:pPr>
            <w:r>
              <w:rPr>
                <w:rFonts w:cs="Times New Roman"/>
                <w:b/>
                <w:bCs w:val="0"/>
                <w:color w:val="auto"/>
                <w:highlight w:val="none"/>
              </w:rPr>
              <w:t>产生源</w:t>
            </w:r>
          </w:p>
        </w:tc>
        <w:tc>
          <w:tcPr>
            <w:tcW w:w="679" w:type="pct"/>
            <w:vAlign w:val="center"/>
          </w:tcPr>
          <w:p w14:paraId="05A1D7D5">
            <w:pPr>
              <w:pStyle w:val="69"/>
              <w:spacing w:before="65" w:after="65"/>
              <w:rPr>
                <w:rFonts w:cs="Times New Roman"/>
                <w:b/>
                <w:bCs w:val="0"/>
                <w:color w:val="auto"/>
                <w:highlight w:val="none"/>
              </w:rPr>
            </w:pPr>
            <w:r>
              <w:rPr>
                <w:rFonts w:cs="Times New Roman"/>
                <w:b/>
                <w:bCs w:val="0"/>
                <w:color w:val="auto"/>
                <w:highlight w:val="none"/>
              </w:rPr>
              <w:t>处置方式</w:t>
            </w:r>
          </w:p>
        </w:tc>
      </w:tr>
      <w:tr w14:paraId="65E2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68C6ADB2">
            <w:pPr>
              <w:pStyle w:val="69"/>
              <w:spacing w:before="65" w:after="65"/>
              <w:rPr>
                <w:rFonts w:cs="Times New Roman"/>
                <w:color w:val="auto"/>
                <w:highlight w:val="none"/>
              </w:rPr>
            </w:pPr>
            <w:r>
              <w:rPr>
                <w:rFonts w:cs="Times New Roman"/>
                <w:color w:val="auto"/>
                <w:highlight w:val="none"/>
              </w:rPr>
              <w:t>1</w:t>
            </w:r>
          </w:p>
        </w:tc>
        <w:tc>
          <w:tcPr>
            <w:tcW w:w="518" w:type="pct"/>
            <w:vAlign w:val="center"/>
          </w:tcPr>
          <w:p w14:paraId="29027EFA">
            <w:pPr>
              <w:pStyle w:val="69"/>
              <w:spacing w:before="65" w:after="65"/>
              <w:rPr>
                <w:rFonts w:cs="Times New Roman"/>
                <w:color w:val="auto"/>
                <w:highlight w:val="none"/>
              </w:rPr>
            </w:pPr>
            <w:r>
              <w:rPr>
                <w:rFonts w:cs="Times New Roman"/>
                <w:color w:val="auto"/>
                <w:highlight w:val="none"/>
              </w:rPr>
              <w:t>废机油</w:t>
            </w:r>
          </w:p>
        </w:tc>
        <w:tc>
          <w:tcPr>
            <w:tcW w:w="524" w:type="pct"/>
            <w:vMerge w:val="restart"/>
            <w:vAlign w:val="center"/>
          </w:tcPr>
          <w:p w14:paraId="5FCDF337">
            <w:pPr>
              <w:pStyle w:val="69"/>
              <w:spacing w:before="65" w:after="65"/>
              <w:rPr>
                <w:rFonts w:cs="Times New Roman"/>
                <w:color w:val="auto"/>
                <w:highlight w:val="none"/>
              </w:rPr>
            </w:pPr>
            <w:r>
              <w:rPr>
                <w:rFonts w:hint="eastAsia" w:cs="Times New Roman"/>
                <w:color w:val="auto"/>
                <w:highlight w:val="none"/>
              </w:rPr>
              <w:t>危险废物</w:t>
            </w:r>
          </w:p>
        </w:tc>
        <w:tc>
          <w:tcPr>
            <w:tcW w:w="524" w:type="pct"/>
            <w:vAlign w:val="center"/>
          </w:tcPr>
          <w:p w14:paraId="7AF8803C">
            <w:pPr>
              <w:pStyle w:val="69"/>
              <w:spacing w:before="65" w:after="65"/>
              <w:rPr>
                <w:rFonts w:cs="Times New Roman"/>
                <w:color w:val="auto"/>
                <w:highlight w:val="none"/>
              </w:rPr>
            </w:pPr>
            <w:r>
              <w:rPr>
                <w:rFonts w:cs="Times New Roman"/>
                <w:color w:val="auto"/>
                <w:highlight w:val="none"/>
              </w:rPr>
              <w:t>HW08</w:t>
            </w:r>
          </w:p>
        </w:tc>
        <w:tc>
          <w:tcPr>
            <w:tcW w:w="629" w:type="pct"/>
            <w:vAlign w:val="center"/>
          </w:tcPr>
          <w:p w14:paraId="2A5C7649">
            <w:pPr>
              <w:pStyle w:val="69"/>
              <w:spacing w:before="65" w:after="65"/>
              <w:rPr>
                <w:rFonts w:cs="Times New Roman"/>
                <w:color w:val="auto"/>
                <w:highlight w:val="none"/>
              </w:rPr>
            </w:pPr>
            <w:r>
              <w:rPr>
                <w:rFonts w:cs="Times New Roman"/>
                <w:color w:val="auto"/>
                <w:highlight w:val="none"/>
              </w:rPr>
              <w:t>900-214-08</w:t>
            </w:r>
          </w:p>
        </w:tc>
        <w:tc>
          <w:tcPr>
            <w:tcW w:w="413" w:type="pct"/>
            <w:vAlign w:val="center"/>
          </w:tcPr>
          <w:p w14:paraId="383284FE">
            <w:pPr>
              <w:pStyle w:val="69"/>
              <w:spacing w:before="65" w:after="65"/>
              <w:rPr>
                <w:rFonts w:cs="Times New Roman"/>
                <w:color w:val="auto"/>
                <w:highlight w:val="none"/>
              </w:rPr>
            </w:pPr>
            <w:r>
              <w:rPr>
                <w:rFonts w:cs="Times New Roman"/>
                <w:color w:val="auto"/>
                <w:highlight w:val="none"/>
              </w:rPr>
              <w:t>矿物油</w:t>
            </w:r>
          </w:p>
        </w:tc>
        <w:tc>
          <w:tcPr>
            <w:tcW w:w="411" w:type="pct"/>
            <w:vAlign w:val="center"/>
          </w:tcPr>
          <w:p w14:paraId="0524E024">
            <w:pPr>
              <w:pStyle w:val="69"/>
              <w:spacing w:before="65" w:after="65"/>
              <w:rPr>
                <w:rFonts w:cs="Times New Roman"/>
                <w:color w:val="auto"/>
                <w:highlight w:val="none"/>
              </w:rPr>
            </w:pPr>
            <w:r>
              <w:rPr>
                <w:rFonts w:cs="Times New Roman"/>
                <w:color w:val="auto"/>
                <w:highlight w:val="none"/>
              </w:rPr>
              <w:t>液态</w:t>
            </w:r>
          </w:p>
        </w:tc>
        <w:tc>
          <w:tcPr>
            <w:tcW w:w="578" w:type="pct"/>
            <w:vAlign w:val="center"/>
          </w:tcPr>
          <w:p w14:paraId="72B76CB6">
            <w:pPr>
              <w:pStyle w:val="69"/>
              <w:spacing w:before="65" w:after="65"/>
              <w:rPr>
                <w:rFonts w:cs="Times New Roman"/>
                <w:color w:val="auto"/>
                <w:highlight w:val="none"/>
              </w:rPr>
            </w:pPr>
            <w:r>
              <w:rPr>
                <w:rFonts w:cs="Times New Roman"/>
                <w:color w:val="auto"/>
                <w:highlight w:val="none"/>
              </w:rPr>
              <w:t>0.1</w:t>
            </w:r>
          </w:p>
        </w:tc>
        <w:tc>
          <w:tcPr>
            <w:tcW w:w="428" w:type="pct"/>
            <w:vAlign w:val="center"/>
          </w:tcPr>
          <w:p w14:paraId="01D285B2">
            <w:pPr>
              <w:pStyle w:val="69"/>
              <w:spacing w:before="65" w:after="65"/>
              <w:rPr>
                <w:rFonts w:cs="Times New Roman"/>
                <w:color w:val="auto"/>
                <w:highlight w:val="none"/>
              </w:rPr>
            </w:pPr>
            <w:r>
              <w:rPr>
                <w:rFonts w:cs="Times New Roman"/>
                <w:color w:val="auto"/>
                <w:highlight w:val="none"/>
              </w:rPr>
              <w:t>设备检修</w:t>
            </w:r>
          </w:p>
        </w:tc>
        <w:tc>
          <w:tcPr>
            <w:tcW w:w="679" w:type="pct"/>
            <w:vMerge w:val="restart"/>
            <w:vAlign w:val="center"/>
          </w:tcPr>
          <w:p w14:paraId="045FAFA5">
            <w:pPr>
              <w:pStyle w:val="69"/>
              <w:spacing w:before="65" w:after="65"/>
              <w:rPr>
                <w:rFonts w:cs="Times New Roman"/>
                <w:color w:val="auto"/>
                <w:highlight w:val="none"/>
              </w:rPr>
            </w:pPr>
            <w:r>
              <w:rPr>
                <w:rFonts w:cs="Times New Roman"/>
                <w:color w:val="auto"/>
                <w:highlight w:val="none"/>
              </w:rPr>
              <w:t>暂存于</w:t>
            </w:r>
            <w:r>
              <w:rPr>
                <w:rFonts w:hint="eastAsia" w:cs="Times New Roman"/>
                <w:color w:val="auto"/>
                <w:highlight w:val="none"/>
              </w:rPr>
              <w:t>危废暂存间</w:t>
            </w:r>
            <w:r>
              <w:rPr>
                <w:rFonts w:cs="Times New Roman"/>
                <w:color w:val="auto"/>
                <w:highlight w:val="none"/>
              </w:rPr>
              <w:t>，委托有资质单位处理</w:t>
            </w:r>
          </w:p>
        </w:tc>
      </w:tr>
      <w:tr w14:paraId="6F3E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2B1A0752">
            <w:pPr>
              <w:pStyle w:val="69"/>
              <w:spacing w:before="65" w:after="65"/>
              <w:rPr>
                <w:rFonts w:cs="Times New Roman"/>
                <w:color w:val="auto"/>
                <w:highlight w:val="none"/>
              </w:rPr>
            </w:pPr>
            <w:r>
              <w:rPr>
                <w:rFonts w:cs="Times New Roman"/>
                <w:color w:val="auto"/>
                <w:highlight w:val="none"/>
              </w:rPr>
              <w:t>2</w:t>
            </w:r>
          </w:p>
        </w:tc>
        <w:tc>
          <w:tcPr>
            <w:tcW w:w="518" w:type="pct"/>
            <w:vAlign w:val="center"/>
          </w:tcPr>
          <w:p w14:paraId="2097A989">
            <w:pPr>
              <w:pStyle w:val="69"/>
              <w:spacing w:before="65" w:after="65"/>
              <w:rPr>
                <w:rFonts w:cs="Times New Roman"/>
                <w:color w:val="auto"/>
                <w:highlight w:val="none"/>
              </w:rPr>
            </w:pPr>
            <w:r>
              <w:rPr>
                <w:rFonts w:cs="Times New Roman"/>
                <w:color w:val="auto"/>
                <w:highlight w:val="none"/>
              </w:rPr>
              <w:t>废机油桶</w:t>
            </w:r>
          </w:p>
        </w:tc>
        <w:tc>
          <w:tcPr>
            <w:tcW w:w="524" w:type="pct"/>
            <w:vMerge w:val="continue"/>
            <w:vAlign w:val="center"/>
          </w:tcPr>
          <w:p w14:paraId="754FB0F4">
            <w:pPr>
              <w:pStyle w:val="69"/>
              <w:spacing w:before="65" w:after="65"/>
              <w:rPr>
                <w:rFonts w:cs="Times New Roman"/>
                <w:color w:val="auto"/>
                <w:highlight w:val="none"/>
              </w:rPr>
            </w:pPr>
          </w:p>
        </w:tc>
        <w:tc>
          <w:tcPr>
            <w:tcW w:w="524" w:type="pct"/>
            <w:vAlign w:val="center"/>
          </w:tcPr>
          <w:p w14:paraId="0D4465B9">
            <w:pPr>
              <w:pStyle w:val="69"/>
              <w:spacing w:before="65" w:after="65"/>
              <w:rPr>
                <w:rFonts w:cs="Times New Roman"/>
                <w:color w:val="auto"/>
                <w:highlight w:val="none"/>
              </w:rPr>
            </w:pPr>
            <w:r>
              <w:rPr>
                <w:rFonts w:cs="Times New Roman"/>
                <w:color w:val="auto"/>
                <w:highlight w:val="none"/>
              </w:rPr>
              <w:t>HW08</w:t>
            </w:r>
          </w:p>
        </w:tc>
        <w:tc>
          <w:tcPr>
            <w:tcW w:w="629" w:type="pct"/>
            <w:vAlign w:val="center"/>
          </w:tcPr>
          <w:p w14:paraId="13FF1F09">
            <w:pPr>
              <w:pStyle w:val="69"/>
              <w:spacing w:before="65" w:after="65"/>
              <w:rPr>
                <w:rFonts w:cs="Times New Roman"/>
                <w:color w:val="auto"/>
                <w:highlight w:val="none"/>
              </w:rPr>
            </w:pPr>
            <w:r>
              <w:rPr>
                <w:rFonts w:cs="Times New Roman"/>
                <w:color w:val="auto"/>
                <w:highlight w:val="none"/>
              </w:rPr>
              <w:t>900-249-08</w:t>
            </w:r>
          </w:p>
        </w:tc>
        <w:tc>
          <w:tcPr>
            <w:tcW w:w="413" w:type="pct"/>
            <w:vAlign w:val="center"/>
          </w:tcPr>
          <w:p w14:paraId="3D5651EB">
            <w:pPr>
              <w:pStyle w:val="69"/>
              <w:spacing w:before="65" w:after="65"/>
              <w:rPr>
                <w:rFonts w:cs="Times New Roman"/>
                <w:color w:val="auto"/>
                <w:highlight w:val="none"/>
              </w:rPr>
            </w:pPr>
            <w:r>
              <w:rPr>
                <w:rFonts w:cs="Times New Roman"/>
                <w:color w:val="auto"/>
                <w:highlight w:val="none"/>
              </w:rPr>
              <w:t>矿物油</w:t>
            </w:r>
          </w:p>
        </w:tc>
        <w:tc>
          <w:tcPr>
            <w:tcW w:w="411" w:type="pct"/>
            <w:vAlign w:val="center"/>
          </w:tcPr>
          <w:p w14:paraId="3391804F">
            <w:pPr>
              <w:pStyle w:val="69"/>
              <w:spacing w:before="65" w:after="65"/>
              <w:rPr>
                <w:rFonts w:cs="Times New Roman"/>
                <w:color w:val="auto"/>
                <w:highlight w:val="none"/>
              </w:rPr>
            </w:pPr>
            <w:r>
              <w:rPr>
                <w:rFonts w:cs="Times New Roman"/>
                <w:color w:val="auto"/>
                <w:highlight w:val="none"/>
              </w:rPr>
              <w:t>液态</w:t>
            </w:r>
          </w:p>
        </w:tc>
        <w:tc>
          <w:tcPr>
            <w:tcW w:w="578" w:type="pct"/>
            <w:vAlign w:val="center"/>
          </w:tcPr>
          <w:p w14:paraId="6FF42BAA">
            <w:pPr>
              <w:pStyle w:val="69"/>
              <w:spacing w:before="65" w:after="65"/>
              <w:rPr>
                <w:rFonts w:cs="Times New Roman"/>
                <w:color w:val="auto"/>
                <w:highlight w:val="none"/>
              </w:rPr>
            </w:pPr>
            <w:r>
              <w:rPr>
                <w:rFonts w:cs="Times New Roman"/>
                <w:color w:val="auto"/>
                <w:highlight w:val="none"/>
              </w:rPr>
              <w:t>0.5</w:t>
            </w:r>
          </w:p>
        </w:tc>
        <w:tc>
          <w:tcPr>
            <w:tcW w:w="428" w:type="pct"/>
            <w:vAlign w:val="center"/>
          </w:tcPr>
          <w:p w14:paraId="053C1837">
            <w:pPr>
              <w:pStyle w:val="69"/>
              <w:spacing w:before="65" w:after="65"/>
              <w:rPr>
                <w:rFonts w:cs="Times New Roman"/>
                <w:color w:val="auto"/>
                <w:highlight w:val="none"/>
              </w:rPr>
            </w:pPr>
            <w:r>
              <w:rPr>
                <w:rFonts w:cs="Times New Roman"/>
                <w:color w:val="auto"/>
                <w:highlight w:val="none"/>
              </w:rPr>
              <w:t>设备检修</w:t>
            </w:r>
          </w:p>
        </w:tc>
        <w:tc>
          <w:tcPr>
            <w:tcW w:w="679" w:type="pct"/>
            <w:vMerge w:val="continue"/>
            <w:vAlign w:val="center"/>
          </w:tcPr>
          <w:p w14:paraId="6D79A868">
            <w:pPr>
              <w:pStyle w:val="69"/>
              <w:spacing w:before="65" w:after="65"/>
              <w:rPr>
                <w:rFonts w:cs="Times New Roman"/>
                <w:color w:val="auto"/>
                <w:highlight w:val="none"/>
              </w:rPr>
            </w:pPr>
          </w:p>
        </w:tc>
      </w:tr>
      <w:tr w14:paraId="62B6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4BE73044">
            <w:pPr>
              <w:pStyle w:val="69"/>
              <w:spacing w:before="65" w:after="65"/>
              <w:rPr>
                <w:rFonts w:cs="Times New Roman"/>
                <w:color w:val="auto"/>
                <w:highlight w:val="none"/>
              </w:rPr>
            </w:pPr>
            <w:r>
              <w:rPr>
                <w:rFonts w:cs="Times New Roman"/>
                <w:color w:val="auto"/>
                <w:highlight w:val="none"/>
              </w:rPr>
              <w:t>3</w:t>
            </w:r>
          </w:p>
        </w:tc>
        <w:tc>
          <w:tcPr>
            <w:tcW w:w="518" w:type="pct"/>
            <w:vAlign w:val="center"/>
          </w:tcPr>
          <w:p w14:paraId="7F33901E">
            <w:pPr>
              <w:pStyle w:val="69"/>
              <w:spacing w:before="65" w:after="65"/>
              <w:rPr>
                <w:rFonts w:cs="Times New Roman"/>
                <w:color w:val="auto"/>
                <w:highlight w:val="none"/>
              </w:rPr>
            </w:pPr>
            <w:r>
              <w:rPr>
                <w:rFonts w:cs="Times New Roman"/>
                <w:color w:val="auto"/>
                <w:highlight w:val="none"/>
              </w:rPr>
              <w:t>含油抹布及手套</w:t>
            </w:r>
          </w:p>
        </w:tc>
        <w:tc>
          <w:tcPr>
            <w:tcW w:w="524" w:type="pct"/>
            <w:vMerge w:val="continue"/>
            <w:vAlign w:val="center"/>
          </w:tcPr>
          <w:p w14:paraId="782CD2EB">
            <w:pPr>
              <w:pStyle w:val="69"/>
              <w:spacing w:before="65" w:after="65"/>
              <w:rPr>
                <w:rFonts w:cs="Times New Roman"/>
                <w:color w:val="auto"/>
                <w:highlight w:val="none"/>
              </w:rPr>
            </w:pPr>
          </w:p>
        </w:tc>
        <w:tc>
          <w:tcPr>
            <w:tcW w:w="524" w:type="pct"/>
            <w:vAlign w:val="center"/>
          </w:tcPr>
          <w:p w14:paraId="6AA483AB">
            <w:pPr>
              <w:pStyle w:val="69"/>
              <w:spacing w:before="65" w:after="65"/>
              <w:rPr>
                <w:rFonts w:cs="Times New Roman"/>
                <w:color w:val="auto"/>
                <w:highlight w:val="none"/>
              </w:rPr>
            </w:pPr>
            <w:r>
              <w:rPr>
                <w:rFonts w:cs="Times New Roman"/>
                <w:color w:val="auto"/>
                <w:highlight w:val="none"/>
              </w:rPr>
              <w:t>HW49</w:t>
            </w:r>
          </w:p>
        </w:tc>
        <w:tc>
          <w:tcPr>
            <w:tcW w:w="629" w:type="pct"/>
            <w:vAlign w:val="center"/>
          </w:tcPr>
          <w:p w14:paraId="445C3287">
            <w:pPr>
              <w:pStyle w:val="69"/>
              <w:spacing w:before="65" w:after="65"/>
              <w:rPr>
                <w:rFonts w:cs="Times New Roman"/>
                <w:color w:val="auto"/>
                <w:highlight w:val="none"/>
              </w:rPr>
            </w:pPr>
            <w:r>
              <w:rPr>
                <w:rFonts w:cs="Times New Roman"/>
                <w:color w:val="auto"/>
                <w:highlight w:val="none"/>
              </w:rPr>
              <w:t>900-041-49</w:t>
            </w:r>
          </w:p>
        </w:tc>
        <w:tc>
          <w:tcPr>
            <w:tcW w:w="413" w:type="pct"/>
            <w:vAlign w:val="center"/>
          </w:tcPr>
          <w:p w14:paraId="200B451A">
            <w:pPr>
              <w:pStyle w:val="69"/>
              <w:spacing w:before="65" w:after="65"/>
              <w:rPr>
                <w:rFonts w:cs="Times New Roman"/>
                <w:color w:val="auto"/>
                <w:highlight w:val="none"/>
              </w:rPr>
            </w:pPr>
            <w:r>
              <w:rPr>
                <w:rFonts w:cs="Times New Roman"/>
                <w:color w:val="auto"/>
                <w:highlight w:val="none"/>
              </w:rPr>
              <w:t>矿物油</w:t>
            </w:r>
          </w:p>
        </w:tc>
        <w:tc>
          <w:tcPr>
            <w:tcW w:w="411" w:type="pct"/>
            <w:vAlign w:val="center"/>
          </w:tcPr>
          <w:p w14:paraId="6B66CB09">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61881B3E">
            <w:pPr>
              <w:pStyle w:val="69"/>
              <w:spacing w:before="65" w:after="65"/>
              <w:rPr>
                <w:rFonts w:cs="Times New Roman"/>
                <w:color w:val="auto"/>
                <w:highlight w:val="none"/>
              </w:rPr>
            </w:pPr>
            <w:r>
              <w:rPr>
                <w:rFonts w:cs="Times New Roman"/>
                <w:color w:val="auto"/>
                <w:highlight w:val="none"/>
              </w:rPr>
              <w:t>0.02</w:t>
            </w:r>
          </w:p>
        </w:tc>
        <w:tc>
          <w:tcPr>
            <w:tcW w:w="428" w:type="pct"/>
            <w:vAlign w:val="center"/>
          </w:tcPr>
          <w:p w14:paraId="3D8A06D8">
            <w:pPr>
              <w:pStyle w:val="69"/>
              <w:spacing w:before="65" w:after="65"/>
              <w:rPr>
                <w:rFonts w:cs="Times New Roman"/>
                <w:color w:val="auto"/>
                <w:highlight w:val="none"/>
              </w:rPr>
            </w:pPr>
            <w:r>
              <w:rPr>
                <w:rFonts w:cs="Times New Roman"/>
                <w:color w:val="auto"/>
                <w:highlight w:val="none"/>
              </w:rPr>
              <w:t>设备检修</w:t>
            </w:r>
          </w:p>
        </w:tc>
        <w:tc>
          <w:tcPr>
            <w:tcW w:w="679" w:type="pct"/>
            <w:vMerge w:val="continue"/>
            <w:vAlign w:val="center"/>
          </w:tcPr>
          <w:p w14:paraId="733566D4">
            <w:pPr>
              <w:pStyle w:val="69"/>
              <w:spacing w:before="65" w:after="65"/>
              <w:rPr>
                <w:rFonts w:cs="Times New Roman"/>
                <w:color w:val="auto"/>
                <w:highlight w:val="none"/>
              </w:rPr>
            </w:pPr>
          </w:p>
        </w:tc>
      </w:tr>
      <w:tr w14:paraId="698B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B281937">
            <w:pPr>
              <w:pStyle w:val="69"/>
              <w:spacing w:before="65" w:after="65"/>
              <w:rPr>
                <w:rFonts w:cs="Times New Roman"/>
                <w:color w:val="auto"/>
                <w:highlight w:val="none"/>
              </w:rPr>
            </w:pPr>
            <w:r>
              <w:rPr>
                <w:rFonts w:cs="Times New Roman"/>
                <w:color w:val="auto"/>
                <w:highlight w:val="none"/>
              </w:rPr>
              <w:t>4</w:t>
            </w:r>
          </w:p>
        </w:tc>
        <w:tc>
          <w:tcPr>
            <w:tcW w:w="518" w:type="pct"/>
            <w:vAlign w:val="center"/>
          </w:tcPr>
          <w:p w14:paraId="6C5C046E">
            <w:pPr>
              <w:pStyle w:val="69"/>
              <w:spacing w:before="65" w:after="65"/>
              <w:rPr>
                <w:rFonts w:cs="Times New Roman"/>
                <w:color w:val="auto"/>
                <w:highlight w:val="none"/>
              </w:rPr>
            </w:pPr>
            <w:r>
              <w:rPr>
                <w:rFonts w:cs="Times New Roman"/>
                <w:color w:val="auto"/>
                <w:highlight w:val="none"/>
              </w:rPr>
              <w:t>废氢氧化钠包装袋</w:t>
            </w:r>
          </w:p>
        </w:tc>
        <w:tc>
          <w:tcPr>
            <w:tcW w:w="524" w:type="pct"/>
            <w:vMerge w:val="continue"/>
            <w:vAlign w:val="center"/>
          </w:tcPr>
          <w:p w14:paraId="2122EBAB">
            <w:pPr>
              <w:pStyle w:val="69"/>
              <w:spacing w:before="65" w:after="65"/>
              <w:rPr>
                <w:rFonts w:cs="Times New Roman"/>
                <w:color w:val="auto"/>
                <w:highlight w:val="none"/>
              </w:rPr>
            </w:pPr>
          </w:p>
        </w:tc>
        <w:tc>
          <w:tcPr>
            <w:tcW w:w="524" w:type="pct"/>
            <w:vAlign w:val="center"/>
          </w:tcPr>
          <w:p w14:paraId="53B7D4C3">
            <w:pPr>
              <w:pStyle w:val="69"/>
              <w:spacing w:before="65" w:after="65"/>
              <w:rPr>
                <w:rFonts w:cs="Times New Roman"/>
                <w:color w:val="auto"/>
                <w:highlight w:val="none"/>
              </w:rPr>
            </w:pPr>
            <w:r>
              <w:rPr>
                <w:rFonts w:cs="Times New Roman"/>
                <w:color w:val="auto"/>
                <w:highlight w:val="none"/>
              </w:rPr>
              <w:t>HW49</w:t>
            </w:r>
          </w:p>
        </w:tc>
        <w:tc>
          <w:tcPr>
            <w:tcW w:w="629" w:type="pct"/>
            <w:vAlign w:val="center"/>
          </w:tcPr>
          <w:p w14:paraId="4E6A2E48">
            <w:pPr>
              <w:pStyle w:val="69"/>
              <w:spacing w:before="65" w:after="65"/>
              <w:rPr>
                <w:rFonts w:cs="Times New Roman"/>
                <w:color w:val="auto"/>
                <w:highlight w:val="none"/>
              </w:rPr>
            </w:pPr>
            <w:r>
              <w:rPr>
                <w:rFonts w:cs="Times New Roman"/>
                <w:color w:val="auto"/>
                <w:highlight w:val="none"/>
              </w:rPr>
              <w:t>900-041-49</w:t>
            </w:r>
          </w:p>
        </w:tc>
        <w:tc>
          <w:tcPr>
            <w:tcW w:w="413" w:type="pct"/>
            <w:vAlign w:val="center"/>
          </w:tcPr>
          <w:p w14:paraId="5A7E5A25">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3C551D0D">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28484CDF">
            <w:pPr>
              <w:pStyle w:val="69"/>
              <w:spacing w:before="65" w:after="65"/>
              <w:rPr>
                <w:rFonts w:cs="Times New Roman"/>
                <w:color w:val="auto"/>
                <w:highlight w:val="none"/>
              </w:rPr>
            </w:pPr>
            <w:r>
              <w:rPr>
                <w:rFonts w:hint="eastAsia" w:cs="Times New Roman"/>
                <w:color w:val="auto"/>
                <w:highlight w:val="none"/>
              </w:rPr>
              <w:t>0.016</w:t>
            </w:r>
          </w:p>
        </w:tc>
        <w:tc>
          <w:tcPr>
            <w:tcW w:w="428" w:type="pct"/>
            <w:vAlign w:val="center"/>
          </w:tcPr>
          <w:p w14:paraId="78B9D5FC">
            <w:pPr>
              <w:pStyle w:val="69"/>
              <w:spacing w:before="65" w:after="65"/>
              <w:rPr>
                <w:rFonts w:cs="Times New Roman"/>
                <w:color w:val="auto"/>
                <w:highlight w:val="none"/>
              </w:rPr>
            </w:pPr>
            <w:r>
              <w:rPr>
                <w:rFonts w:cs="Times New Roman"/>
                <w:color w:val="auto"/>
                <w:highlight w:val="none"/>
              </w:rPr>
              <w:t>浮选</w:t>
            </w:r>
          </w:p>
        </w:tc>
        <w:tc>
          <w:tcPr>
            <w:tcW w:w="679" w:type="pct"/>
            <w:vMerge w:val="continue"/>
            <w:vAlign w:val="center"/>
          </w:tcPr>
          <w:p w14:paraId="0C530F9F">
            <w:pPr>
              <w:pStyle w:val="69"/>
              <w:spacing w:before="65" w:after="65"/>
              <w:rPr>
                <w:rFonts w:cs="Times New Roman"/>
                <w:color w:val="auto"/>
                <w:highlight w:val="none"/>
              </w:rPr>
            </w:pPr>
          </w:p>
        </w:tc>
      </w:tr>
      <w:tr w14:paraId="6780F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6F06255">
            <w:pPr>
              <w:pStyle w:val="69"/>
              <w:spacing w:before="65" w:after="65"/>
              <w:rPr>
                <w:rFonts w:cs="Times New Roman"/>
                <w:color w:val="auto"/>
                <w:highlight w:val="none"/>
              </w:rPr>
            </w:pPr>
            <w:r>
              <w:rPr>
                <w:rFonts w:cs="Times New Roman"/>
                <w:color w:val="auto"/>
                <w:highlight w:val="none"/>
              </w:rPr>
              <w:t>5</w:t>
            </w:r>
          </w:p>
        </w:tc>
        <w:tc>
          <w:tcPr>
            <w:tcW w:w="518" w:type="pct"/>
            <w:vAlign w:val="center"/>
          </w:tcPr>
          <w:p w14:paraId="1EF90410">
            <w:pPr>
              <w:pStyle w:val="69"/>
              <w:spacing w:before="65" w:after="65"/>
              <w:rPr>
                <w:rFonts w:cs="Times New Roman"/>
                <w:color w:val="auto"/>
                <w:highlight w:val="none"/>
              </w:rPr>
            </w:pPr>
            <w:r>
              <w:rPr>
                <w:rFonts w:cs="Times New Roman"/>
                <w:color w:val="auto"/>
                <w:highlight w:val="none"/>
              </w:rPr>
              <w:t>废碳酸钠包装袋</w:t>
            </w:r>
          </w:p>
        </w:tc>
        <w:tc>
          <w:tcPr>
            <w:tcW w:w="524" w:type="pct"/>
            <w:vMerge w:val="restart"/>
            <w:vAlign w:val="center"/>
          </w:tcPr>
          <w:p w14:paraId="521DA198">
            <w:pPr>
              <w:pStyle w:val="69"/>
              <w:spacing w:before="65" w:after="65"/>
              <w:rPr>
                <w:rFonts w:cs="Times New Roman"/>
                <w:color w:val="auto"/>
                <w:highlight w:val="none"/>
              </w:rPr>
            </w:pPr>
            <w:r>
              <w:rPr>
                <w:rFonts w:hint="eastAsia" w:cs="Times New Roman"/>
                <w:color w:val="auto"/>
                <w:highlight w:val="none"/>
              </w:rPr>
              <w:t>一般固废</w:t>
            </w:r>
          </w:p>
        </w:tc>
        <w:tc>
          <w:tcPr>
            <w:tcW w:w="524" w:type="pct"/>
            <w:vAlign w:val="center"/>
          </w:tcPr>
          <w:p w14:paraId="55CD1E82">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39183659">
            <w:pPr>
              <w:pStyle w:val="69"/>
              <w:spacing w:before="65" w:after="65"/>
              <w:rPr>
                <w:rFonts w:cs="Times New Roman"/>
                <w:color w:val="auto"/>
                <w:highlight w:val="none"/>
              </w:rPr>
            </w:pPr>
            <w:r>
              <w:rPr>
                <w:rFonts w:hint="eastAsia"/>
                <w:color w:val="auto"/>
                <w:highlight w:val="none"/>
              </w:rPr>
              <w:t>900-099-S59</w:t>
            </w:r>
          </w:p>
        </w:tc>
        <w:tc>
          <w:tcPr>
            <w:tcW w:w="413" w:type="pct"/>
            <w:vAlign w:val="center"/>
          </w:tcPr>
          <w:p w14:paraId="70E9B4FE">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50D16B1C">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0D06EE50">
            <w:pPr>
              <w:pStyle w:val="69"/>
              <w:spacing w:before="65" w:after="65"/>
              <w:rPr>
                <w:rFonts w:cs="Times New Roman"/>
                <w:color w:val="auto"/>
                <w:highlight w:val="none"/>
              </w:rPr>
            </w:pPr>
            <w:r>
              <w:rPr>
                <w:rFonts w:hint="eastAsia" w:cs="Times New Roman"/>
                <w:color w:val="auto"/>
                <w:highlight w:val="none"/>
              </w:rPr>
              <w:t>0.56</w:t>
            </w:r>
          </w:p>
        </w:tc>
        <w:tc>
          <w:tcPr>
            <w:tcW w:w="428" w:type="pct"/>
            <w:vAlign w:val="center"/>
          </w:tcPr>
          <w:p w14:paraId="5DF11E12">
            <w:pPr>
              <w:pStyle w:val="69"/>
              <w:spacing w:before="65" w:after="65"/>
              <w:rPr>
                <w:rFonts w:cs="Times New Roman"/>
                <w:color w:val="auto"/>
                <w:highlight w:val="none"/>
              </w:rPr>
            </w:pPr>
            <w:r>
              <w:rPr>
                <w:rFonts w:cs="Times New Roman"/>
                <w:color w:val="auto"/>
                <w:highlight w:val="none"/>
              </w:rPr>
              <w:t>浮选</w:t>
            </w:r>
          </w:p>
        </w:tc>
        <w:tc>
          <w:tcPr>
            <w:tcW w:w="679" w:type="pct"/>
            <w:vAlign w:val="center"/>
          </w:tcPr>
          <w:p w14:paraId="061B7C6C">
            <w:pPr>
              <w:pStyle w:val="69"/>
              <w:spacing w:before="65" w:after="65"/>
              <w:rPr>
                <w:rFonts w:cs="Times New Roman"/>
                <w:color w:val="auto"/>
                <w:highlight w:val="none"/>
              </w:rPr>
            </w:pPr>
            <w:r>
              <w:rPr>
                <w:rFonts w:cs="Times New Roman"/>
                <w:color w:val="auto"/>
                <w:highlight w:val="none"/>
              </w:rPr>
              <w:t>外售废品回收站</w:t>
            </w:r>
          </w:p>
        </w:tc>
      </w:tr>
      <w:tr w14:paraId="55C7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590D6562">
            <w:pPr>
              <w:pStyle w:val="69"/>
              <w:spacing w:before="65" w:after="65"/>
              <w:rPr>
                <w:rFonts w:cs="Times New Roman"/>
                <w:color w:val="auto"/>
                <w:highlight w:val="none"/>
              </w:rPr>
            </w:pPr>
            <w:r>
              <w:rPr>
                <w:rFonts w:cs="Times New Roman"/>
                <w:color w:val="auto"/>
                <w:highlight w:val="none"/>
              </w:rPr>
              <w:t>6</w:t>
            </w:r>
          </w:p>
        </w:tc>
        <w:tc>
          <w:tcPr>
            <w:tcW w:w="518" w:type="pct"/>
            <w:vAlign w:val="center"/>
          </w:tcPr>
          <w:p w14:paraId="71F73AAA">
            <w:pPr>
              <w:pStyle w:val="69"/>
              <w:spacing w:before="65" w:after="65"/>
              <w:rPr>
                <w:rFonts w:cs="Times New Roman"/>
                <w:color w:val="auto"/>
                <w:highlight w:val="none"/>
              </w:rPr>
            </w:pPr>
            <w:r>
              <w:rPr>
                <w:rFonts w:cs="Times New Roman"/>
                <w:color w:val="auto"/>
                <w:highlight w:val="none"/>
              </w:rPr>
              <w:t>废氯化镁包装袋</w:t>
            </w:r>
          </w:p>
        </w:tc>
        <w:tc>
          <w:tcPr>
            <w:tcW w:w="524" w:type="pct"/>
            <w:vMerge w:val="continue"/>
            <w:vAlign w:val="center"/>
          </w:tcPr>
          <w:p w14:paraId="34927256">
            <w:pPr>
              <w:pStyle w:val="69"/>
              <w:spacing w:before="65" w:after="65"/>
              <w:rPr>
                <w:rFonts w:cs="Times New Roman"/>
                <w:color w:val="auto"/>
                <w:highlight w:val="none"/>
              </w:rPr>
            </w:pPr>
          </w:p>
        </w:tc>
        <w:tc>
          <w:tcPr>
            <w:tcW w:w="524" w:type="pct"/>
            <w:vAlign w:val="center"/>
          </w:tcPr>
          <w:p w14:paraId="71391A57">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36B47849">
            <w:pPr>
              <w:pStyle w:val="69"/>
              <w:spacing w:before="65" w:after="65"/>
              <w:rPr>
                <w:rFonts w:cs="Times New Roman"/>
                <w:color w:val="auto"/>
                <w:highlight w:val="none"/>
              </w:rPr>
            </w:pPr>
            <w:r>
              <w:rPr>
                <w:rFonts w:cs="Times New Roman"/>
                <w:color w:val="auto"/>
                <w:highlight w:val="none"/>
              </w:rPr>
              <w:t>900-099-S59</w:t>
            </w:r>
          </w:p>
        </w:tc>
        <w:tc>
          <w:tcPr>
            <w:tcW w:w="413" w:type="pct"/>
            <w:vAlign w:val="center"/>
          </w:tcPr>
          <w:p w14:paraId="44776BF3">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3475248B">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0D07A51E">
            <w:pPr>
              <w:pStyle w:val="69"/>
              <w:spacing w:before="65" w:after="65"/>
              <w:rPr>
                <w:rFonts w:cs="Times New Roman"/>
                <w:color w:val="auto"/>
                <w:highlight w:val="none"/>
              </w:rPr>
            </w:pPr>
            <w:r>
              <w:rPr>
                <w:rFonts w:hint="eastAsia" w:cs="Times New Roman"/>
                <w:color w:val="auto"/>
                <w:highlight w:val="none"/>
              </w:rPr>
              <w:t>0.16</w:t>
            </w:r>
          </w:p>
        </w:tc>
        <w:tc>
          <w:tcPr>
            <w:tcW w:w="428" w:type="pct"/>
            <w:vAlign w:val="center"/>
          </w:tcPr>
          <w:p w14:paraId="79562159">
            <w:pPr>
              <w:pStyle w:val="69"/>
              <w:spacing w:before="65" w:after="65"/>
              <w:rPr>
                <w:rFonts w:cs="Times New Roman"/>
                <w:color w:val="auto"/>
                <w:highlight w:val="none"/>
              </w:rPr>
            </w:pPr>
            <w:r>
              <w:rPr>
                <w:rFonts w:cs="Times New Roman"/>
                <w:color w:val="auto"/>
                <w:highlight w:val="none"/>
              </w:rPr>
              <w:t>浮选</w:t>
            </w:r>
          </w:p>
        </w:tc>
        <w:tc>
          <w:tcPr>
            <w:tcW w:w="679" w:type="pct"/>
            <w:vAlign w:val="center"/>
          </w:tcPr>
          <w:p w14:paraId="784A4F09">
            <w:pPr>
              <w:pStyle w:val="69"/>
              <w:spacing w:before="65" w:after="65"/>
              <w:rPr>
                <w:rFonts w:cs="Times New Roman"/>
                <w:color w:val="auto"/>
                <w:highlight w:val="none"/>
              </w:rPr>
            </w:pPr>
            <w:r>
              <w:rPr>
                <w:rFonts w:cs="Times New Roman"/>
                <w:color w:val="auto"/>
                <w:highlight w:val="none"/>
              </w:rPr>
              <w:t>外售废品回收站</w:t>
            </w:r>
          </w:p>
        </w:tc>
      </w:tr>
      <w:tr w14:paraId="29EF4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1" w:type="pct"/>
            <w:vAlign w:val="center"/>
          </w:tcPr>
          <w:p w14:paraId="4F9556F2">
            <w:pPr>
              <w:pStyle w:val="69"/>
              <w:spacing w:before="65" w:after="65"/>
              <w:rPr>
                <w:rFonts w:cs="Times New Roman"/>
                <w:color w:val="auto"/>
                <w:highlight w:val="none"/>
              </w:rPr>
            </w:pPr>
            <w:r>
              <w:rPr>
                <w:rFonts w:cs="Times New Roman"/>
                <w:color w:val="auto"/>
                <w:highlight w:val="none"/>
              </w:rPr>
              <w:t>7</w:t>
            </w:r>
          </w:p>
        </w:tc>
        <w:tc>
          <w:tcPr>
            <w:tcW w:w="518" w:type="pct"/>
            <w:vAlign w:val="center"/>
          </w:tcPr>
          <w:p w14:paraId="2F3562DF">
            <w:pPr>
              <w:pStyle w:val="69"/>
              <w:spacing w:before="65" w:after="65"/>
              <w:rPr>
                <w:rFonts w:cs="Times New Roman"/>
                <w:color w:val="auto"/>
                <w:highlight w:val="none"/>
              </w:rPr>
            </w:pPr>
            <w:r>
              <w:rPr>
                <w:rFonts w:cs="Times New Roman"/>
                <w:color w:val="auto"/>
                <w:highlight w:val="none"/>
              </w:rPr>
              <w:t>废捕收剂桶</w:t>
            </w:r>
          </w:p>
        </w:tc>
        <w:tc>
          <w:tcPr>
            <w:tcW w:w="524" w:type="pct"/>
            <w:vMerge w:val="continue"/>
            <w:vAlign w:val="center"/>
          </w:tcPr>
          <w:p w14:paraId="2E1EE080">
            <w:pPr>
              <w:pStyle w:val="69"/>
              <w:spacing w:before="65" w:after="65"/>
              <w:rPr>
                <w:rFonts w:cs="Times New Roman"/>
                <w:color w:val="auto"/>
                <w:highlight w:val="none"/>
              </w:rPr>
            </w:pPr>
          </w:p>
        </w:tc>
        <w:tc>
          <w:tcPr>
            <w:tcW w:w="524" w:type="pct"/>
            <w:vAlign w:val="center"/>
          </w:tcPr>
          <w:p w14:paraId="71976005">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574B91A2">
            <w:pPr>
              <w:pStyle w:val="69"/>
              <w:spacing w:before="65" w:after="65"/>
              <w:rPr>
                <w:rFonts w:cs="Times New Roman"/>
                <w:color w:val="auto"/>
                <w:highlight w:val="none"/>
              </w:rPr>
            </w:pPr>
            <w:r>
              <w:rPr>
                <w:rFonts w:cs="Times New Roman"/>
                <w:color w:val="auto"/>
                <w:highlight w:val="none"/>
              </w:rPr>
              <w:t>900-099-S59</w:t>
            </w:r>
          </w:p>
        </w:tc>
        <w:tc>
          <w:tcPr>
            <w:tcW w:w="413" w:type="pct"/>
            <w:vAlign w:val="center"/>
          </w:tcPr>
          <w:p w14:paraId="091ECA66">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7D4756A9">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34D486A9">
            <w:pPr>
              <w:pStyle w:val="69"/>
              <w:spacing w:before="65" w:after="65"/>
              <w:rPr>
                <w:rFonts w:cs="Times New Roman"/>
                <w:color w:val="auto"/>
                <w:highlight w:val="none"/>
              </w:rPr>
            </w:pPr>
            <w:r>
              <w:rPr>
                <w:rFonts w:hint="eastAsia" w:cs="Times New Roman"/>
                <w:color w:val="auto"/>
                <w:highlight w:val="none"/>
              </w:rPr>
              <w:t>2.13</w:t>
            </w:r>
          </w:p>
        </w:tc>
        <w:tc>
          <w:tcPr>
            <w:tcW w:w="428" w:type="pct"/>
            <w:vAlign w:val="center"/>
          </w:tcPr>
          <w:p w14:paraId="583EBF36">
            <w:pPr>
              <w:pStyle w:val="69"/>
              <w:spacing w:before="65" w:after="65"/>
              <w:rPr>
                <w:rFonts w:cs="Times New Roman"/>
                <w:color w:val="auto"/>
                <w:highlight w:val="none"/>
              </w:rPr>
            </w:pPr>
            <w:r>
              <w:rPr>
                <w:rFonts w:cs="Times New Roman"/>
                <w:color w:val="auto"/>
                <w:highlight w:val="none"/>
              </w:rPr>
              <w:t>浮选</w:t>
            </w:r>
          </w:p>
        </w:tc>
        <w:tc>
          <w:tcPr>
            <w:tcW w:w="679" w:type="pct"/>
            <w:vAlign w:val="center"/>
          </w:tcPr>
          <w:p w14:paraId="7A3A4ED5">
            <w:pPr>
              <w:pStyle w:val="69"/>
              <w:spacing w:before="65" w:after="65"/>
              <w:rPr>
                <w:rFonts w:cs="Times New Roman"/>
                <w:color w:val="auto"/>
                <w:highlight w:val="none"/>
              </w:rPr>
            </w:pPr>
            <w:r>
              <w:rPr>
                <w:rFonts w:cs="Times New Roman"/>
                <w:color w:val="auto"/>
                <w:highlight w:val="none"/>
              </w:rPr>
              <w:t>外售废品回收站</w:t>
            </w:r>
          </w:p>
        </w:tc>
      </w:tr>
      <w:tr w14:paraId="3F64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5BA53803">
            <w:pPr>
              <w:pStyle w:val="69"/>
              <w:spacing w:before="65" w:after="65"/>
              <w:rPr>
                <w:rFonts w:cs="Times New Roman"/>
                <w:color w:val="auto"/>
                <w:highlight w:val="none"/>
              </w:rPr>
            </w:pPr>
            <w:r>
              <w:rPr>
                <w:rFonts w:cs="Times New Roman"/>
                <w:color w:val="auto"/>
                <w:highlight w:val="none"/>
              </w:rPr>
              <w:t>8</w:t>
            </w:r>
          </w:p>
        </w:tc>
        <w:tc>
          <w:tcPr>
            <w:tcW w:w="518" w:type="pct"/>
            <w:vAlign w:val="center"/>
          </w:tcPr>
          <w:p w14:paraId="6C62AA8C">
            <w:pPr>
              <w:pStyle w:val="69"/>
              <w:spacing w:before="65" w:after="65"/>
              <w:rPr>
                <w:rFonts w:cs="Times New Roman"/>
                <w:color w:val="auto"/>
                <w:highlight w:val="none"/>
              </w:rPr>
            </w:pPr>
            <w:r>
              <w:rPr>
                <w:rFonts w:cs="Times New Roman"/>
                <w:color w:val="auto"/>
                <w:highlight w:val="none"/>
              </w:rPr>
              <w:t>沉淀池沉渣</w:t>
            </w:r>
          </w:p>
        </w:tc>
        <w:tc>
          <w:tcPr>
            <w:tcW w:w="524" w:type="pct"/>
            <w:vMerge w:val="continue"/>
            <w:vAlign w:val="center"/>
          </w:tcPr>
          <w:p w14:paraId="2035A670">
            <w:pPr>
              <w:pStyle w:val="69"/>
              <w:spacing w:before="65" w:after="65"/>
              <w:rPr>
                <w:rFonts w:cs="Times New Roman"/>
                <w:color w:val="auto"/>
                <w:highlight w:val="none"/>
              </w:rPr>
            </w:pPr>
          </w:p>
        </w:tc>
        <w:tc>
          <w:tcPr>
            <w:tcW w:w="524" w:type="pct"/>
            <w:vAlign w:val="center"/>
          </w:tcPr>
          <w:p w14:paraId="453EC79E">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147CC354">
            <w:pPr>
              <w:pStyle w:val="69"/>
              <w:spacing w:before="65" w:after="65"/>
              <w:rPr>
                <w:rFonts w:cs="Times New Roman"/>
                <w:color w:val="auto"/>
                <w:highlight w:val="none"/>
              </w:rPr>
            </w:pPr>
            <w:r>
              <w:rPr>
                <w:rFonts w:cs="Times New Roman"/>
                <w:color w:val="auto"/>
                <w:highlight w:val="none"/>
              </w:rPr>
              <w:t>900-099-S59</w:t>
            </w:r>
          </w:p>
        </w:tc>
        <w:tc>
          <w:tcPr>
            <w:tcW w:w="413" w:type="pct"/>
            <w:vAlign w:val="center"/>
          </w:tcPr>
          <w:p w14:paraId="115E3992">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66D35786">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54D1A671">
            <w:pPr>
              <w:pStyle w:val="69"/>
              <w:spacing w:before="65" w:after="65"/>
              <w:rPr>
                <w:rFonts w:cs="Times New Roman"/>
                <w:color w:val="auto"/>
                <w:highlight w:val="none"/>
              </w:rPr>
            </w:pPr>
            <w:r>
              <w:rPr>
                <w:rFonts w:hint="eastAsia" w:cs="Times New Roman"/>
                <w:color w:val="auto"/>
                <w:highlight w:val="none"/>
              </w:rPr>
              <w:t>1259.6414</w:t>
            </w:r>
          </w:p>
        </w:tc>
        <w:tc>
          <w:tcPr>
            <w:tcW w:w="428" w:type="pct"/>
            <w:vAlign w:val="center"/>
          </w:tcPr>
          <w:p w14:paraId="09EB1312">
            <w:pPr>
              <w:pStyle w:val="69"/>
              <w:spacing w:before="65" w:after="65"/>
              <w:rPr>
                <w:rFonts w:cs="Times New Roman"/>
                <w:color w:val="auto"/>
                <w:highlight w:val="none"/>
              </w:rPr>
            </w:pPr>
            <w:r>
              <w:rPr>
                <w:rFonts w:cs="Times New Roman"/>
                <w:color w:val="auto"/>
                <w:highlight w:val="none"/>
              </w:rPr>
              <w:t>废水处理</w:t>
            </w:r>
          </w:p>
        </w:tc>
        <w:tc>
          <w:tcPr>
            <w:tcW w:w="679" w:type="pct"/>
            <w:vAlign w:val="center"/>
          </w:tcPr>
          <w:p w14:paraId="1A476119">
            <w:pPr>
              <w:pStyle w:val="69"/>
              <w:spacing w:before="65" w:after="65"/>
              <w:rPr>
                <w:rFonts w:cs="Times New Roman"/>
                <w:color w:val="auto"/>
                <w:highlight w:val="none"/>
              </w:rPr>
            </w:pPr>
            <w:r>
              <w:rPr>
                <w:rFonts w:cs="Times New Roman"/>
                <w:color w:val="auto"/>
                <w:highlight w:val="none"/>
              </w:rPr>
              <w:t>回用于生产</w:t>
            </w:r>
          </w:p>
        </w:tc>
      </w:tr>
      <w:tr w14:paraId="155F8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75ED3B7">
            <w:pPr>
              <w:pStyle w:val="69"/>
              <w:spacing w:before="65" w:after="65"/>
              <w:rPr>
                <w:rFonts w:cs="Times New Roman"/>
                <w:color w:val="auto"/>
                <w:highlight w:val="none"/>
              </w:rPr>
            </w:pPr>
            <w:r>
              <w:rPr>
                <w:rFonts w:hint="eastAsia" w:cs="Times New Roman"/>
                <w:color w:val="auto"/>
                <w:highlight w:val="none"/>
              </w:rPr>
              <w:t>9</w:t>
            </w:r>
          </w:p>
        </w:tc>
        <w:tc>
          <w:tcPr>
            <w:tcW w:w="518" w:type="pct"/>
            <w:vAlign w:val="center"/>
          </w:tcPr>
          <w:p w14:paraId="2BECD305">
            <w:pPr>
              <w:pStyle w:val="69"/>
              <w:spacing w:before="65" w:after="65"/>
              <w:rPr>
                <w:rFonts w:cs="Times New Roman"/>
                <w:color w:val="auto"/>
                <w:highlight w:val="none"/>
              </w:rPr>
            </w:pPr>
            <w:r>
              <w:rPr>
                <w:rFonts w:cs="Times New Roman"/>
                <w:color w:val="auto"/>
                <w:highlight w:val="none"/>
              </w:rPr>
              <w:t>废滤袋</w:t>
            </w:r>
          </w:p>
        </w:tc>
        <w:tc>
          <w:tcPr>
            <w:tcW w:w="524" w:type="pct"/>
            <w:vMerge w:val="continue"/>
            <w:vAlign w:val="center"/>
          </w:tcPr>
          <w:p w14:paraId="376841DB">
            <w:pPr>
              <w:pStyle w:val="69"/>
              <w:spacing w:before="65" w:after="65"/>
              <w:rPr>
                <w:rFonts w:cs="Times New Roman"/>
                <w:color w:val="auto"/>
                <w:highlight w:val="none"/>
              </w:rPr>
            </w:pPr>
          </w:p>
        </w:tc>
        <w:tc>
          <w:tcPr>
            <w:tcW w:w="524" w:type="pct"/>
            <w:vAlign w:val="center"/>
          </w:tcPr>
          <w:p w14:paraId="35B33CA3">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3829F708">
            <w:pPr>
              <w:pStyle w:val="69"/>
              <w:spacing w:before="65" w:after="65"/>
              <w:rPr>
                <w:rFonts w:cs="Times New Roman"/>
                <w:color w:val="auto"/>
                <w:highlight w:val="none"/>
              </w:rPr>
            </w:pPr>
            <w:r>
              <w:rPr>
                <w:rFonts w:cs="Times New Roman"/>
                <w:color w:val="auto"/>
                <w:highlight w:val="none"/>
              </w:rPr>
              <w:t>900-009-S59</w:t>
            </w:r>
          </w:p>
        </w:tc>
        <w:tc>
          <w:tcPr>
            <w:tcW w:w="413" w:type="pct"/>
            <w:vAlign w:val="center"/>
          </w:tcPr>
          <w:p w14:paraId="3CF6C220">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618225C2">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58EF5F0A">
            <w:pPr>
              <w:pStyle w:val="69"/>
              <w:spacing w:before="65" w:after="65"/>
              <w:rPr>
                <w:rFonts w:cs="Times New Roman"/>
                <w:color w:val="auto"/>
                <w:highlight w:val="none"/>
              </w:rPr>
            </w:pPr>
            <w:r>
              <w:rPr>
                <w:rFonts w:cs="Times New Roman"/>
                <w:color w:val="auto"/>
                <w:highlight w:val="none"/>
              </w:rPr>
              <w:t>0.6</w:t>
            </w:r>
          </w:p>
        </w:tc>
        <w:tc>
          <w:tcPr>
            <w:tcW w:w="428" w:type="pct"/>
            <w:vAlign w:val="center"/>
          </w:tcPr>
          <w:p w14:paraId="721DDB1F">
            <w:pPr>
              <w:pStyle w:val="69"/>
              <w:spacing w:before="65" w:after="65"/>
              <w:rPr>
                <w:rFonts w:cs="Times New Roman"/>
                <w:color w:val="auto"/>
                <w:highlight w:val="none"/>
              </w:rPr>
            </w:pPr>
            <w:r>
              <w:rPr>
                <w:rFonts w:cs="Times New Roman"/>
                <w:color w:val="auto"/>
                <w:highlight w:val="none"/>
              </w:rPr>
              <w:t>脱水</w:t>
            </w:r>
          </w:p>
        </w:tc>
        <w:tc>
          <w:tcPr>
            <w:tcW w:w="679" w:type="pct"/>
            <w:vAlign w:val="center"/>
          </w:tcPr>
          <w:p w14:paraId="7E6C21F4">
            <w:pPr>
              <w:pStyle w:val="69"/>
              <w:spacing w:before="65" w:after="65"/>
              <w:rPr>
                <w:rFonts w:cs="Times New Roman"/>
                <w:color w:val="auto"/>
                <w:highlight w:val="none"/>
              </w:rPr>
            </w:pPr>
            <w:r>
              <w:rPr>
                <w:rFonts w:cs="Times New Roman"/>
                <w:color w:val="auto"/>
                <w:highlight w:val="none"/>
              </w:rPr>
              <w:t>由厂家更换时回收</w:t>
            </w:r>
          </w:p>
        </w:tc>
      </w:tr>
      <w:tr w14:paraId="54C82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0D5E6E64">
            <w:pPr>
              <w:pStyle w:val="69"/>
              <w:spacing w:before="65" w:after="65"/>
              <w:rPr>
                <w:rFonts w:cs="Times New Roman"/>
                <w:color w:val="auto"/>
                <w:highlight w:val="none"/>
              </w:rPr>
            </w:pPr>
            <w:r>
              <w:rPr>
                <w:rFonts w:cs="Times New Roman"/>
                <w:color w:val="auto"/>
                <w:highlight w:val="none"/>
              </w:rPr>
              <w:t>1</w:t>
            </w:r>
            <w:r>
              <w:rPr>
                <w:rFonts w:hint="eastAsia" w:cs="Times New Roman"/>
                <w:color w:val="auto"/>
                <w:highlight w:val="none"/>
              </w:rPr>
              <w:t>0</w:t>
            </w:r>
          </w:p>
        </w:tc>
        <w:tc>
          <w:tcPr>
            <w:tcW w:w="518" w:type="pct"/>
            <w:vAlign w:val="center"/>
          </w:tcPr>
          <w:p w14:paraId="7ABDB7B5">
            <w:pPr>
              <w:pStyle w:val="69"/>
              <w:spacing w:before="65" w:after="65"/>
              <w:rPr>
                <w:rFonts w:cs="Times New Roman"/>
                <w:color w:val="auto"/>
                <w:highlight w:val="none"/>
              </w:rPr>
            </w:pPr>
            <w:r>
              <w:rPr>
                <w:rFonts w:hint="eastAsia" w:cs="Times New Roman"/>
                <w:color w:val="auto"/>
                <w:highlight w:val="none"/>
              </w:rPr>
              <w:t>布袋收尘灰</w:t>
            </w:r>
          </w:p>
        </w:tc>
        <w:tc>
          <w:tcPr>
            <w:tcW w:w="524" w:type="pct"/>
            <w:vMerge w:val="continue"/>
            <w:vAlign w:val="center"/>
          </w:tcPr>
          <w:p w14:paraId="5B3DA299">
            <w:pPr>
              <w:pStyle w:val="69"/>
              <w:spacing w:before="65" w:after="65"/>
              <w:rPr>
                <w:rFonts w:cs="Times New Roman"/>
                <w:color w:val="auto"/>
                <w:highlight w:val="none"/>
              </w:rPr>
            </w:pPr>
          </w:p>
        </w:tc>
        <w:tc>
          <w:tcPr>
            <w:tcW w:w="524" w:type="pct"/>
            <w:vAlign w:val="center"/>
          </w:tcPr>
          <w:p w14:paraId="6693AD8F">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4A7628F5">
            <w:pPr>
              <w:pStyle w:val="69"/>
              <w:spacing w:before="65" w:after="65"/>
              <w:rPr>
                <w:rFonts w:cs="Times New Roman"/>
                <w:color w:val="auto"/>
                <w:highlight w:val="none"/>
              </w:rPr>
            </w:pPr>
            <w:r>
              <w:rPr>
                <w:rFonts w:cs="Times New Roman"/>
                <w:color w:val="auto"/>
                <w:highlight w:val="none"/>
              </w:rPr>
              <w:t>900-099-S59</w:t>
            </w:r>
          </w:p>
        </w:tc>
        <w:tc>
          <w:tcPr>
            <w:tcW w:w="413" w:type="pct"/>
            <w:vAlign w:val="center"/>
          </w:tcPr>
          <w:p w14:paraId="320E08F6">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5F7A838E">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7A15D5A5">
            <w:pPr>
              <w:pStyle w:val="69"/>
              <w:spacing w:before="65" w:after="65"/>
              <w:rPr>
                <w:rFonts w:cs="Times New Roman"/>
                <w:color w:val="auto"/>
                <w:highlight w:val="none"/>
              </w:rPr>
            </w:pPr>
            <w:r>
              <w:rPr>
                <w:rFonts w:hint="eastAsia" w:cs="Times New Roman"/>
                <w:color w:val="auto"/>
                <w:highlight w:val="none"/>
              </w:rPr>
              <w:t>151.09</w:t>
            </w:r>
          </w:p>
        </w:tc>
        <w:tc>
          <w:tcPr>
            <w:tcW w:w="428" w:type="pct"/>
            <w:vAlign w:val="center"/>
          </w:tcPr>
          <w:p w14:paraId="32B20CD5">
            <w:pPr>
              <w:pStyle w:val="69"/>
              <w:spacing w:before="65" w:after="65"/>
              <w:rPr>
                <w:rFonts w:cs="Times New Roman"/>
                <w:color w:val="auto"/>
                <w:highlight w:val="none"/>
              </w:rPr>
            </w:pPr>
            <w:r>
              <w:rPr>
                <w:rFonts w:cs="Times New Roman"/>
                <w:color w:val="auto"/>
                <w:highlight w:val="none"/>
              </w:rPr>
              <w:t>废气处理</w:t>
            </w:r>
          </w:p>
        </w:tc>
        <w:tc>
          <w:tcPr>
            <w:tcW w:w="679" w:type="pct"/>
            <w:vAlign w:val="center"/>
          </w:tcPr>
          <w:p w14:paraId="73A324D0">
            <w:pPr>
              <w:pStyle w:val="69"/>
              <w:spacing w:before="65" w:after="65"/>
              <w:rPr>
                <w:rFonts w:cs="Times New Roman"/>
                <w:color w:val="auto"/>
                <w:highlight w:val="none"/>
              </w:rPr>
            </w:pPr>
            <w:r>
              <w:rPr>
                <w:rFonts w:cs="Times New Roman"/>
                <w:color w:val="auto"/>
                <w:highlight w:val="none"/>
              </w:rPr>
              <w:t>回用于生产</w:t>
            </w:r>
          </w:p>
        </w:tc>
      </w:tr>
      <w:tr w14:paraId="0EE16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E6BD4BF">
            <w:pPr>
              <w:pStyle w:val="69"/>
              <w:spacing w:before="65" w:after="65"/>
              <w:rPr>
                <w:rFonts w:cs="Times New Roman"/>
                <w:color w:val="auto"/>
                <w:highlight w:val="none"/>
              </w:rPr>
            </w:pPr>
            <w:r>
              <w:rPr>
                <w:rFonts w:cs="Times New Roman"/>
                <w:color w:val="auto"/>
                <w:highlight w:val="none"/>
              </w:rPr>
              <w:t>1</w:t>
            </w:r>
            <w:r>
              <w:rPr>
                <w:rFonts w:hint="eastAsia" w:cs="Times New Roman"/>
                <w:color w:val="auto"/>
                <w:highlight w:val="none"/>
              </w:rPr>
              <w:t>1</w:t>
            </w:r>
          </w:p>
        </w:tc>
        <w:tc>
          <w:tcPr>
            <w:tcW w:w="518" w:type="pct"/>
            <w:vAlign w:val="center"/>
          </w:tcPr>
          <w:p w14:paraId="29CD6B2B">
            <w:pPr>
              <w:pStyle w:val="69"/>
              <w:spacing w:before="65" w:after="65"/>
              <w:rPr>
                <w:rFonts w:cs="Times New Roman"/>
                <w:color w:val="auto"/>
                <w:highlight w:val="none"/>
              </w:rPr>
            </w:pPr>
            <w:r>
              <w:rPr>
                <w:rFonts w:cs="Times New Roman"/>
                <w:color w:val="auto"/>
                <w:highlight w:val="none"/>
              </w:rPr>
              <w:t>废布袋</w:t>
            </w:r>
          </w:p>
        </w:tc>
        <w:tc>
          <w:tcPr>
            <w:tcW w:w="524" w:type="pct"/>
            <w:vMerge w:val="continue"/>
            <w:vAlign w:val="center"/>
          </w:tcPr>
          <w:p w14:paraId="48952AE9">
            <w:pPr>
              <w:pStyle w:val="69"/>
              <w:spacing w:before="65" w:after="65"/>
              <w:rPr>
                <w:rFonts w:cs="Times New Roman"/>
                <w:color w:val="auto"/>
                <w:highlight w:val="none"/>
              </w:rPr>
            </w:pPr>
          </w:p>
        </w:tc>
        <w:tc>
          <w:tcPr>
            <w:tcW w:w="524" w:type="pct"/>
            <w:vAlign w:val="center"/>
          </w:tcPr>
          <w:p w14:paraId="1D9C01C4">
            <w:pPr>
              <w:pStyle w:val="69"/>
              <w:spacing w:before="65" w:after="65"/>
              <w:rPr>
                <w:rFonts w:cs="Times New Roman"/>
                <w:color w:val="auto"/>
                <w:highlight w:val="none"/>
              </w:rPr>
            </w:pPr>
            <w:r>
              <w:rPr>
                <w:rFonts w:cs="Times New Roman"/>
                <w:color w:val="auto"/>
                <w:highlight w:val="none"/>
              </w:rPr>
              <w:t>SW59</w:t>
            </w:r>
          </w:p>
        </w:tc>
        <w:tc>
          <w:tcPr>
            <w:tcW w:w="629" w:type="pct"/>
            <w:vAlign w:val="center"/>
          </w:tcPr>
          <w:p w14:paraId="04FC7CDF">
            <w:pPr>
              <w:pStyle w:val="69"/>
              <w:spacing w:before="65" w:after="65"/>
              <w:rPr>
                <w:rFonts w:cs="Times New Roman"/>
                <w:color w:val="auto"/>
                <w:highlight w:val="none"/>
              </w:rPr>
            </w:pPr>
            <w:r>
              <w:rPr>
                <w:rFonts w:cs="Times New Roman"/>
                <w:color w:val="auto"/>
                <w:highlight w:val="none"/>
              </w:rPr>
              <w:t>900-009-S59</w:t>
            </w:r>
          </w:p>
        </w:tc>
        <w:tc>
          <w:tcPr>
            <w:tcW w:w="413" w:type="pct"/>
            <w:vAlign w:val="center"/>
          </w:tcPr>
          <w:p w14:paraId="654F211F">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27B67F40">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1F3C7DB0">
            <w:pPr>
              <w:pStyle w:val="69"/>
              <w:spacing w:before="65" w:after="65"/>
              <w:rPr>
                <w:rFonts w:cs="Times New Roman"/>
                <w:color w:val="auto"/>
                <w:highlight w:val="none"/>
              </w:rPr>
            </w:pPr>
            <w:r>
              <w:rPr>
                <w:rFonts w:cs="Times New Roman"/>
                <w:color w:val="auto"/>
                <w:highlight w:val="none"/>
              </w:rPr>
              <w:t>0.1</w:t>
            </w:r>
          </w:p>
        </w:tc>
        <w:tc>
          <w:tcPr>
            <w:tcW w:w="428" w:type="pct"/>
            <w:vAlign w:val="center"/>
          </w:tcPr>
          <w:p w14:paraId="6EAE8EB1">
            <w:pPr>
              <w:pStyle w:val="69"/>
              <w:spacing w:before="65" w:after="65"/>
              <w:rPr>
                <w:rFonts w:cs="Times New Roman"/>
                <w:color w:val="auto"/>
                <w:highlight w:val="none"/>
              </w:rPr>
            </w:pPr>
            <w:r>
              <w:rPr>
                <w:rFonts w:cs="Times New Roman"/>
                <w:color w:val="auto"/>
                <w:highlight w:val="none"/>
              </w:rPr>
              <w:t>废气处理</w:t>
            </w:r>
          </w:p>
        </w:tc>
        <w:tc>
          <w:tcPr>
            <w:tcW w:w="679" w:type="pct"/>
            <w:vAlign w:val="center"/>
          </w:tcPr>
          <w:p w14:paraId="39A520A0">
            <w:pPr>
              <w:pStyle w:val="69"/>
              <w:spacing w:before="65" w:after="65"/>
              <w:rPr>
                <w:rFonts w:cs="Times New Roman"/>
                <w:color w:val="auto"/>
                <w:highlight w:val="none"/>
              </w:rPr>
            </w:pPr>
            <w:r>
              <w:rPr>
                <w:rFonts w:cs="Times New Roman"/>
                <w:color w:val="auto"/>
                <w:highlight w:val="none"/>
              </w:rPr>
              <w:t>由厂家更换时回收</w:t>
            </w:r>
          </w:p>
        </w:tc>
      </w:tr>
      <w:tr w14:paraId="5AD9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78E8AAE2">
            <w:pPr>
              <w:pStyle w:val="69"/>
              <w:spacing w:before="65" w:after="65"/>
              <w:rPr>
                <w:rFonts w:cs="Times New Roman"/>
                <w:color w:val="auto"/>
                <w:highlight w:val="none"/>
              </w:rPr>
            </w:pPr>
            <w:r>
              <w:rPr>
                <w:rFonts w:cs="Times New Roman"/>
                <w:color w:val="auto"/>
                <w:highlight w:val="none"/>
              </w:rPr>
              <w:t>1</w:t>
            </w:r>
            <w:r>
              <w:rPr>
                <w:rFonts w:hint="eastAsia" w:cs="Times New Roman"/>
                <w:color w:val="auto"/>
                <w:highlight w:val="none"/>
              </w:rPr>
              <w:t>2</w:t>
            </w:r>
          </w:p>
        </w:tc>
        <w:tc>
          <w:tcPr>
            <w:tcW w:w="518" w:type="pct"/>
            <w:vAlign w:val="center"/>
          </w:tcPr>
          <w:p w14:paraId="10F0A10E">
            <w:pPr>
              <w:pStyle w:val="69"/>
              <w:spacing w:before="65" w:after="65"/>
              <w:rPr>
                <w:rFonts w:cs="Times New Roman"/>
                <w:color w:val="auto"/>
                <w:highlight w:val="none"/>
              </w:rPr>
            </w:pPr>
            <w:r>
              <w:rPr>
                <w:rFonts w:hint="eastAsia" w:cs="Times New Roman"/>
                <w:color w:val="auto"/>
                <w:highlight w:val="none"/>
              </w:rPr>
              <w:t>废聚丙烯酰胺包装袋</w:t>
            </w:r>
          </w:p>
        </w:tc>
        <w:tc>
          <w:tcPr>
            <w:tcW w:w="524" w:type="pct"/>
            <w:vMerge w:val="continue"/>
            <w:vAlign w:val="center"/>
          </w:tcPr>
          <w:p w14:paraId="7A5F60C9">
            <w:pPr>
              <w:pStyle w:val="69"/>
              <w:spacing w:before="65" w:after="65"/>
              <w:rPr>
                <w:rFonts w:cs="Times New Roman"/>
                <w:color w:val="auto"/>
                <w:highlight w:val="none"/>
              </w:rPr>
            </w:pPr>
          </w:p>
        </w:tc>
        <w:tc>
          <w:tcPr>
            <w:tcW w:w="524" w:type="pct"/>
            <w:vAlign w:val="center"/>
          </w:tcPr>
          <w:p w14:paraId="381102E5">
            <w:pPr>
              <w:pStyle w:val="69"/>
              <w:spacing w:before="65" w:after="65"/>
              <w:rPr>
                <w:rFonts w:cs="Times New Roman"/>
                <w:color w:val="auto"/>
                <w:highlight w:val="none"/>
              </w:rPr>
            </w:pPr>
            <w:r>
              <w:rPr>
                <w:rFonts w:cs="Times New Roman"/>
                <w:color w:val="auto"/>
                <w:highlight w:val="none"/>
              </w:rPr>
              <w:t>SW17</w:t>
            </w:r>
          </w:p>
        </w:tc>
        <w:tc>
          <w:tcPr>
            <w:tcW w:w="629" w:type="pct"/>
            <w:vAlign w:val="center"/>
          </w:tcPr>
          <w:p w14:paraId="7FA8D90A">
            <w:pPr>
              <w:pStyle w:val="69"/>
              <w:spacing w:before="65" w:after="65"/>
              <w:rPr>
                <w:rFonts w:cs="Times New Roman"/>
                <w:color w:val="auto"/>
                <w:highlight w:val="none"/>
              </w:rPr>
            </w:pPr>
            <w:r>
              <w:rPr>
                <w:rFonts w:cs="Times New Roman"/>
                <w:color w:val="auto"/>
                <w:highlight w:val="none"/>
              </w:rPr>
              <w:t>900-099-S17</w:t>
            </w:r>
          </w:p>
        </w:tc>
        <w:tc>
          <w:tcPr>
            <w:tcW w:w="413" w:type="pct"/>
            <w:vAlign w:val="center"/>
          </w:tcPr>
          <w:p w14:paraId="0B9B4A46">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5F7D19CC">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5D53940E">
            <w:pPr>
              <w:pStyle w:val="69"/>
              <w:spacing w:before="65" w:after="65"/>
              <w:rPr>
                <w:rFonts w:cs="Times New Roman"/>
                <w:color w:val="auto"/>
                <w:highlight w:val="none"/>
              </w:rPr>
            </w:pPr>
            <w:r>
              <w:rPr>
                <w:rFonts w:hint="eastAsia" w:cs="Times New Roman"/>
                <w:color w:val="auto"/>
                <w:highlight w:val="none"/>
              </w:rPr>
              <w:t>0.0094</w:t>
            </w:r>
          </w:p>
        </w:tc>
        <w:tc>
          <w:tcPr>
            <w:tcW w:w="428" w:type="pct"/>
            <w:vAlign w:val="center"/>
          </w:tcPr>
          <w:p w14:paraId="6A63BAF8">
            <w:pPr>
              <w:pStyle w:val="69"/>
              <w:spacing w:before="65" w:after="65"/>
              <w:rPr>
                <w:rFonts w:cs="Times New Roman"/>
                <w:color w:val="auto"/>
                <w:highlight w:val="none"/>
              </w:rPr>
            </w:pPr>
            <w:r>
              <w:rPr>
                <w:rFonts w:cs="Times New Roman"/>
                <w:color w:val="auto"/>
                <w:highlight w:val="none"/>
              </w:rPr>
              <w:t>/</w:t>
            </w:r>
          </w:p>
        </w:tc>
        <w:tc>
          <w:tcPr>
            <w:tcW w:w="679" w:type="pct"/>
            <w:vAlign w:val="center"/>
          </w:tcPr>
          <w:p w14:paraId="0F08ACCA">
            <w:pPr>
              <w:pStyle w:val="69"/>
              <w:spacing w:before="65" w:after="65"/>
              <w:rPr>
                <w:rFonts w:cs="Times New Roman"/>
                <w:color w:val="auto"/>
                <w:highlight w:val="none"/>
              </w:rPr>
            </w:pPr>
            <w:r>
              <w:rPr>
                <w:rFonts w:cs="Times New Roman"/>
                <w:color w:val="auto"/>
                <w:highlight w:val="none"/>
              </w:rPr>
              <w:t>外售废品回收站</w:t>
            </w:r>
          </w:p>
        </w:tc>
      </w:tr>
      <w:tr w14:paraId="7A22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6478E12D">
            <w:pPr>
              <w:pStyle w:val="69"/>
              <w:spacing w:before="65" w:after="65"/>
              <w:rPr>
                <w:rFonts w:cs="Times New Roman"/>
                <w:color w:val="auto"/>
                <w:highlight w:val="none"/>
              </w:rPr>
            </w:pPr>
            <w:r>
              <w:rPr>
                <w:rFonts w:hint="eastAsia" w:cs="Times New Roman"/>
                <w:color w:val="auto"/>
                <w:highlight w:val="none"/>
              </w:rPr>
              <w:t>13</w:t>
            </w:r>
          </w:p>
        </w:tc>
        <w:tc>
          <w:tcPr>
            <w:tcW w:w="518" w:type="pct"/>
            <w:vAlign w:val="center"/>
          </w:tcPr>
          <w:p w14:paraId="0C636F1E">
            <w:pPr>
              <w:pStyle w:val="69"/>
              <w:spacing w:before="65" w:after="65"/>
              <w:rPr>
                <w:rFonts w:cs="Times New Roman"/>
                <w:color w:val="auto"/>
                <w:highlight w:val="none"/>
              </w:rPr>
            </w:pPr>
            <w:r>
              <w:rPr>
                <w:rFonts w:hint="eastAsia" w:cs="Times New Roman"/>
                <w:color w:val="auto"/>
                <w:highlight w:val="none"/>
              </w:rPr>
              <w:t>废聚合氯化铝袋包装</w:t>
            </w:r>
          </w:p>
        </w:tc>
        <w:tc>
          <w:tcPr>
            <w:tcW w:w="524" w:type="pct"/>
            <w:vMerge w:val="continue"/>
            <w:vAlign w:val="center"/>
          </w:tcPr>
          <w:p w14:paraId="5DAA775C">
            <w:pPr>
              <w:pStyle w:val="69"/>
              <w:spacing w:before="65" w:after="65"/>
              <w:rPr>
                <w:rFonts w:cs="Times New Roman"/>
                <w:color w:val="auto"/>
                <w:highlight w:val="none"/>
              </w:rPr>
            </w:pPr>
          </w:p>
        </w:tc>
        <w:tc>
          <w:tcPr>
            <w:tcW w:w="524" w:type="pct"/>
            <w:vAlign w:val="center"/>
          </w:tcPr>
          <w:p w14:paraId="6FB1FDBA">
            <w:pPr>
              <w:pStyle w:val="69"/>
              <w:spacing w:before="65" w:after="65"/>
              <w:rPr>
                <w:rFonts w:cs="Times New Roman"/>
                <w:color w:val="auto"/>
                <w:highlight w:val="none"/>
              </w:rPr>
            </w:pPr>
            <w:r>
              <w:rPr>
                <w:rFonts w:hint="eastAsia" w:cs="Times New Roman"/>
                <w:color w:val="auto"/>
                <w:highlight w:val="none"/>
              </w:rPr>
              <w:t>SW17</w:t>
            </w:r>
          </w:p>
        </w:tc>
        <w:tc>
          <w:tcPr>
            <w:tcW w:w="629" w:type="pct"/>
            <w:vAlign w:val="center"/>
          </w:tcPr>
          <w:p w14:paraId="1A5FCBB3">
            <w:pPr>
              <w:pStyle w:val="69"/>
              <w:spacing w:before="65" w:after="65"/>
              <w:rPr>
                <w:rFonts w:cs="Times New Roman"/>
                <w:color w:val="auto"/>
                <w:highlight w:val="none"/>
              </w:rPr>
            </w:pPr>
            <w:r>
              <w:rPr>
                <w:rFonts w:hint="eastAsia" w:cs="Times New Roman"/>
                <w:color w:val="auto"/>
                <w:highlight w:val="none"/>
              </w:rPr>
              <w:t>900-099-S17</w:t>
            </w:r>
          </w:p>
        </w:tc>
        <w:tc>
          <w:tcPr>
            <w:tcW w:w="413" w:type="pct"/>
            <w:vAlign w:val="center"/>
          </w:tcPr>
          <w:p w14:paraId="681640B5">
            <w:pPr>
              <w:pStyle w:val="69"/>
              <w:spacing w:before="65" w:after="65"/>
              <w:rPr>
                <w:rFonts w:cs="Times New Roman"/>
                <w:color w:val="auto"/>
                <w:highlight w:val="none"/>
              </w:rPr>
            </w:pPr>
            <w:r>
              <w:rPr>
                <w:rFonts w:hint="eastAsia" w:cs="Times New Roman"/>
                <w:color w:val="auto"/>
                <w:highlight w:val="none"/>
              </w:rPr>
              <w:t>/</w:t>
            </w:r>
          </w:p>
        </w:tc>
        <w:tc>
          <w:tcPr>
            <w:tcW w:w="411" w:type="pct"/>
            <w:vAlign w:val="center"/>
          </w:tcPr>
          <w:p w14:paraId="38BD3FD0">
            <w:pPr>
              <w:pStyle w:val="69"/>
              <w:spacing w:before="65" w:after="65"/>
              <w:rPr>
                <w:rFonts w:cs="Times New Roman"/>
                <w:color w:val="auto"/>
                <w:highlight w:val="none"/>
              </w:rPr>
            </w:pPr>
            <w:r>
              <w:rPr>
                <w:rFonts w:hint="eastAsia" w:cs="Times New Roman"/>
                <w:color w:val="auto"/>
                <w:highlight w:val="none"/>
              </w:rPr>
              <w:t>固态</w:t>
            </w:r>
          </w:p>
        </w:tc>
        <w:tc>
          <w:tcPr>
            <w:tcW w:w="578" w:type="pct"/>
            <w:vAlign w:val="center"/>
          </w:tcPr>
          <w:p w14:paraId="4F45E328">
            <w:pPr>
              <w:pStyle w:val="69"/>
              <w:spacing w:before="65" w:after="65"/>
              <w:rPr>
                <w:rFonts w:cs="Times New Roman"/>
                <w:color w:val="auto"/>
                <w:highlight w:val="none"/>
              </w:rPr>
            </w:pPr>
            <w:r>
              <w:rPr>
                <w:rFonts w:hint="eastAsia" w:cs="Times New Roman"/>
                <w:color w:val="auto"/>
                <w:highlight w:val="none"/>
              </w:rPr>
              <w:t>2.69</w:t>
            </w:r>
          </w:p>
        </w:tc>
        <w:tc>
          <w:tcPr>
            <w:tcW w:w="428" w:type="pct"/>
            <w:vAlign w:val="center"/>
          </w:tcPr>
          <w:p w14:paraId="47285224">
            <w:pPr>
              <w:pStyle w:val="69"/>
              <w:spacing w:before="65" w:after="65"/>
              <w:rPr>
                <w:rFonts w:cs="Times New Roman"/>
                <w:color w:val="auto"/>
                <w:highlight w:val="none"/>
              </w:rPr>
            </w:pPr>
            <w:r>
              <w:rPr>
                <w:rFonts w:hint="eastAsia" w:cs="Times New Roman"/>
                <w:color w:val="auto"/>
                <w:highlight w:val="none"/>
              </w:rPr>
              <w:t>/</w:t>
            </w:r>
          </w:p>
        </w:tc>
        <w:tc>
          <w:tcPr>
            <w:tcW w:w="679" w:type="pct"/>
            <w:vAlign w:val="center"/>
          </w:tcPr>
          <w:p w14:paraId="70E41C65">
            <w:pPr>
              <w:pStyle w:val="69"/>
              <w:spacing w:before="65" w:after="65"/>
              <w:rPr>
                <w:rFonts w:cs="Times New Roman"/>
                <w:color w:val="auto"/>
                <w:highlight w:val="none"/>
              </w:rPr>
            </w:pPr>
            <w:r>
              <w:rPr>
                <w:rFonts w:hint="eastAsia" w:cs="Times New Roman"/>
                <w:color w:val="auto"/>
                <w:highlight w:val="none"/>
              </w:rPr>
              <w:t>外售废品回收站</w:t>
            </w:r>
          </w:p>
        </w:tc>
      </w:tr>
      <w:tr w14:paraId="2989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14D981C">
            <w:pPr>
              <w:pStyle w:val="69"/>
              <w:spacing w:before="65" w:after="65"/>
              <w:rPr>
                <w:rFonts w:cs="Times New Roman"/>
                <w:color w:val="auto"/>
                <w:highlight w:val="none"/>
              </w:rPr>
            </w:pPr>
            <w:r>
              <w:rPr>
                <w:rFonts w:hint="eastAsia" w:cs="Times New Roman"/>
                <w:color w:val="auto"/>
                <w:highlight w:val="none"/>
              </w:rPr>
              <w:t>14</w:t>
            </w:r>
          </w:p>
        </w:tc>
        <w:tc>
          <w:tcPr>
            <w:tcW w:w="518" w:type="pct"/>
            <w:vAlign w:val="center"/>
          </w:tcPr>
          <w:p w14:paraId="68D134B9">
            <w:pPr>
              <w:pStyle w:val="69"/>
              <w:spacing w:before="65" w:after="65"/>
              <w:rPr>
                <w:rFonts w:cs="Times New Roman"/>
                <w:color w:val="auto"/>
                <w:highlight w:val="none"/>
              </w:rPr>
            </w:pPr>
            <w:r>
              <w:rPr>
                <w:rFonts w:hint="eastAsia" w:cs="Times New Roman"/>
                <w:color w:val="auto"/>
                <w:highlight w:val="none"/>
              </w:rPr>
              <w:t>尾矿</w:t>
            </w:r>
          </w:p>
        </w:tc>
        <w:tc>
          <w:tcPr>
            <w:tcW w:w="524" w:type="pct"/>
            <w:vMerge w:val="continue"/>
            <w:vAlign w:val="center"/>
          </w:tcPr>
          <w:p w14:paraId="3CE09325">
            <w:pPr>
              <w:pStyle w:val="69"/>
              <w:spacing w:before="65" w:after="65"/>
              <w:rPr>
                <w:color w:val="auto"/>
                <w:highlight w:val="none"/>
              </w:rPr>
            </w:pPr>
          </w:p>
        </w:tc>
        <w:tc>
          <w:tcPr>
            <w:tcW w:w="524" w:type="pct"/>
            <w:vAlign w:val="center"/>
          </w:tcPr>
          <w:p w14:paraId="0E79C88A">
            <w:pPr>
              <w:pStyle w:val="69"/>
              <w:spacing w:before="65" w:after="65"/>
              <w:rPr>
                <w:color w:val="auto"/>
                <w:highlight w:val="none"/>
              </w:rPr>
            </w:pPr>
            <w:r>
              <w:rPr>
                <w:color w:val="auto"/>
                <w:highlight w:val="none"/>
              </w:rPr>
              <w:t>SW05</w:t>
            </w:r>
          </w:p>
        </w:tc>
        <w:tc>
          <w:tcPr>
            <w:tcW w:w="629" w:type="pct"/>
            <w:vAlign w:val="center"/>
          </w:tcPr>
          <w:p w14:paraId="710EFE4B">
            <w:pPr>
              <w:pStyle w:val="69"/>
              <w:spacing w:before="65" w:after="65"/>
              <w:rPr>
                <w:color w:val="auto"/>
                <w:highlight w:val="none"/>
              </w:rPr>
            </w:pPr>
            <w:r>
              <w:rPr>
                <w:color w:val="auto"/>
                <w:highlight w:val="none"/>
              </w:rPr>
              <w:t>900-099-S05</w:t>
            </w:r>
          </w:p>
        </w:tc>
        <w:tc>
          <w:tcPr>
            <w:tcW w:w="413" w:type="pct"/>
            <w:vAlign w:val="center"/>
          </w:tcPr>
          <w:p w14:paraId="673E6ADF">
            <w:pPr>
              <w:pStyle w:val="69"/>
              <w:spacing w:before="65" w:after="65"/>
              <w:rPr>
                <w:color w:val="auto"/>
                <w:highlight w:val="none"/>
              </w:rPr>
            </w:pPr>
            <w:r>
              <w:rPr>
                <w:color w:val="auto"/>
                <w:highlight w:val="none"/>
              </w:rPr>
              <w:t>/</w:t>
            </w:r>
          </w:p>
        </w:tc>
        <w:tc>
          <w:tcPr>
            <w:tcW w:w="411" w:type="pct"/>
            <w:vAlign w:val="center"/>
          </w:tcPr>
          <w:p w14:paraId="6096CEF1">
            <w:pPr>
              <w:pStyle w:val="69"/>
              <w:spacing w:before="65" w:after="65"/>
              <w:rPr>
                <w:color w:val="auto"/>
                <w:highlight w:val="none"/>
              </w:rPr>
            </w:pPr>
            <w:r>
              <w:rPr>
                <w:color w:val="auto"/>
                <w:highlight w:val="none"/>
              </w:rPr>
              <w:t>固态</w:t>
            </w:r>
          </w:p>
        </w:tc>
        <w:tc>
          <w:tcPr>
            <w:tcW w:w="578" w:type="pct"/>
            <w:vAlign w:val="center"/>
          </w:tcPr>
          <w:p w14:paraId="148DDCE7">
            <w:pPr>
              <w:pStyle w:val="69"/>
              <w:spacing w:before="65" w:after="65"/>
              <w:rPr>
                <w:color w:val="auto"/>
                <w:highlight w:val="none"/>
              </w:rPr>
            </w:pPr>
            <w:r>
              <w:rPr>
                <w:rFonts w:hint="eastAsia"/>
                <w:color w:val="auto"/>
                <w:highlight w:val="none"/>
              </w:rPr>
              <w:t>247448.28</w:t>
            </w:r>
          </w:p>
        </w:tc>
        <w:tc>
          <w:tcPr>
            <w:tcW w:w="428" w:type="pct"/>
            <w:vAlign w:val="center"/>
          </w:tcPr>
          <w:p w14:paraId="21604C3B">
            <w:pPr>
              <w:pStyle w:val="69"/>
              <w:spacing w:before="65" w:after="65"/>
              <w:rPr>
                <w:color w:val="auto"/>
                <w:highlight w:val="none"/>
              </w:rPr>
            </w:pPr>
            <w:r>
              <w:rPr>
                <w:color w:val="auto"/>
                <w:highlight w:val="none"/>
              </w:rPr>
              <w:t>浮选</w:t>
            </w:r>
          </w:p>
        </w:tc>
        <w:tc>
          <w:tcPr>
            <w:tcW w:w="679" w:type="pct"/>
            <w:vAlign w:val="center"/>
          </w:tcPr>
          <w:p w14:paraId="065943C3">
            <w:pPr>
              <w:pStyle w:val="69"/>
              <w:spacing w:before="65" w:after="65"/>
              <w:rPr>
                <w:color w:val="auto"/>
                <w:highlight w:val="none"/>
              </w:rPr>
            </w:pPr>
            <w:r>
              <w:rPr>
                <w:color w:val="auto"/>
                <w:highlight w:val="none"/>
              </w:rPr>
              <w:t>外售陶瓷企业综合利用</w:t>
            </w:r>
          </w:p>
        </w:tc>
      </w:tr>
      <w:tr w14:paraId="73CB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04A5EB9">
            <w:pPr>
              <w:pStyle w:val="69"/>
              <w:spacing w:before="65" w:after="65"/>
              <w:rPr>
                <w:rFonts w:cs="Times New Roman"/>
                <w:color w:val="auto"/>
                <w:highlight w:val="none"/>
              </w:rPr>
            </w:pPr>
            <w:r>
              <w:rPr>
                <w:rFonts w:hint="eastAsia" w:cs="Times New Roman"/>
                <w:color w:val="auto"/>
                <w:highlight w:val="none"/>
              </w:rPr>
              <w:t>15</w:t>
            </w:r>
          </w:p>
        </w:tc>
        <w:tc>
          <w:tcPr>
            <w:tcW w:w="518" w:type="pct"/>
            <w:vAlign w:val="center"/>
          </w:tcPr>
          <w:p w14:paraId="1020A438">
            <w:pPr>
              <w:pStyle w:val="69"/>
              <w:spacing w:before="65" w:after="65"/>
              <w:rPr>
                <w:color w:val="auto"/>
                <w:highlight w:val="none"/>
              </w:rPr>
            </w:pPr>
            <w:r>
              <w:rPr>
                <w:color w:val="auto"/>
                <w:highlight w:val="none"/>
              </w:rPr>
              <w:t>黑砂</w:t>
            </w:r>
          </w:p>
        </w:tc>
        <w:tc>
          <w:tcPr>
            <w:tcW w:w="524" w:type="pct"/>
            <w:vMerge w:val="continue"/>
            <w:vAlign w:val="center"/>
          </w:tcPr>
          <w:p w14:paraId="4F48B6FC">
            <w:pPr>
              <w:pStyle w:val="69"/>
              <w:spacing w:before="65" w:after="65"/>
              <w:rPr>
                <w:color w:val="auto"/>
                <w:highlight w:val="none"/>
              </w:rPr>
            </w:pPr>
          </w:p>
        </w:tc>
        <w:tc>
          <w:tcPr>
            <w:tcW w:w="524" w:type="pct"/>
            <w:vAlign w:val="center"/>
          </w:tcPr>
          <w:p w14:paraId="33A0B5B1">
            <w:pPr>
              <w:pStyle w:val="69"/>
              <w:spacing w:before="65" w:after="65"/>
              <w:rPr>
                <w:color w:val="auto"/>
                <w:highlight w:val="none"/>
              </w:rPr>
            </w:pPr>
            <w:r>
              <w:rPr>
                <w:color w:val="auto"/>
                <w:highlight w:val="none"/>
              </w:rPr>
              <w:t>SW59</w:t>
            </w:r>
          </w:p>
        </w:tc>
        <w:tc>
          <w:tcPr>
            <w:tcW w:w="629" w:type="pct"/>
            <w:vAlign w:val="center"/>
          </w:tcPr>
          <w:p w14:paraId="37672077">
            <w:pPr>
              <w:pStyle w:val="69"/>
              <w:spacing w:before="65" w:after="65"/>
              <w:rPr>
                <w:color w:val="auto"/>
                <w:highlight w:val="none"/>
              </w:rPr>
            </w:pPr>
            <w:r>
              <w:rPr>
                <w:color w:val="auto"/>
                <w:highlight w:val="none"/>
              </w:rPr>
              <w:t>900-099-S59</w:t>
            </w:r>
          </w:p>
        </w:tc>
        <w:tc>
          <w:tcPr>
            <w:tcW w:w="413" w:type="pct"/>
            <w:vAlign w:val="center"/>
          </w:tcPr>
          <w:p w14:paraId="0A5554EB">
            <w:pPr>
              <w:pStyle w:val="69"/>
              <w:spacing w:before="65" w:after="65"/>
              <w:rPr>
                <w:color w:val="auto"/>
                <w:highlight w:val="none"/>
              </w:rPr>
            </w:pPr>
            <w:r>
              <w:rPr>
                <w:color w:val="auto"/>
                <w:highlight w:val="none"/>
              </w:rPr>
              <w:t>/</w:t>
            </w:r>
          </w:p>
        </w:tc>
        <w:tc>
          <w:tcPr>
            <w:tcW w:w="411" w:type="pct"/>
            <w:vAlign w:val="center"/>
          </w:tcPr>
          <w:p w14:paraId="06A76D21">
            <w:pPr>
              <w:pStyle w:val="69"/>
              <w:spacing w:before="65" w:after="65"/>
              <w:rPr>
                <w:color w:val="auto"/>
                <w:highlight w:val="none"/>
              </w:rPr>
            </w:pPr>
            <w:r>
              <w:rPr>
                <w:color w:val="auto"/>
                <w:highlight w:val="none"/>
              </w:rPr>
              <w:t>固态</w:t>
            </w:r>
          </w:p>
        </w:tc>
        <w:tc>
          <w:tcPr>
            <w:tcW w:w="578" w:type="pct"/>
            <w:vAlign w:val="center"/>
          </w:tcPr>
          <w:p w14:paraId="60122F7A">
            <w:pPr>
              <w:pStyle w:val="69"/>
              <w:spacing w:before="65" w:after="65"/>
              <w:rPr>
                <w:color w:val="auto"/>
                <w:highlight w:val="none"/>
              </w:rPr>
            </w:pPr>
            <w:r>
              <w:rPr>
                <w:rFonts w:hint="eastAsia"/>
                <w:color w:val="auto"/>
                <w:highlight w:val="none"/>
              </w:rPr>
              <w:t>19034.48</w:t>
            </w:r>
          </w:p>
        </w:tc>
        <w:tc>
          <w:tcPr>
            <w:tcW w:w="428" w:type="pct"/>
            <w:vAlign w:val="center"/>
          </w:tcPr>
          <w:p w14:paraId="34B446C5">
            <w:pPr>
              <w:pStyle w:val="69"/>
              <w:spacing w:before="65" w:after="65"/>
              <w:rPr>
                <w:color w:val="auto"/>
                <w:highlight w:val="none"/>
              </w:rPr>
            </w:pPr>
            <w:r>
              <w:rPr>
                <w:color w:val="auto"/>
                <w:highlight w:val="none"/>
              </w:rPr>
              <w:t>磁选</w:t>
            </w:r>
          </w:p>
        </w:tc>
        <w:tc>
          <w:tcPr>
            <w:tcW w:w="679" w:type="pct"/>
            <w:vAlign w:val="center"/>
          </w:tcPr>
          <w:p w14:paraId="030BB92E">
            <w:pPr>
              <w:pStyle w:val="69"/>
              <w:spacing w:before="65" w:after="65"/>
              <w:rPr>
                <w:color w:val="auto"/>
                <w:highlight w:val="none"/>
              </w:rPr>
            </w:pPr>
            <w:r>
              <w:rPr>
                <w:color w:val="auto"/>
                <w:highlight w:val="none"/>
              </w:rPr>
              <w:t>外售陶瓷企业综合利用</w:t>
            </w:r>
          </w:p>
        </w:tc>
      </w:tr>
      <w:tr w14:paraId="7E48C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6B12ED0D">
            <w:pPr>
              <w:pStyle w:val="69"/>
              <w:spacing w:before="65" w:after="65"/>
              <w:rPr>
                <w:rFonts w:cs="Times New Roman"/>
                <w:color w:val="auto"/>
                <w:highlight w:val="none"/>
              </w:rPr>
            </w:pPr>
            <w:r>
              <w:rPr>
                <w:rFonts w:cs="Times New Roman"/>
                <w:color w:val="auto"/>
                <w:highlight w:val="none"/>
              </w:rPr>
              <w:t>1</w:t>
            </w:r>
            <w:r>
              <w:rPr>
                <w:rFonts w:hint="eastAsia" w:cs="Times New Roman"/>
                <w:color w:val="auto"/>
                <w:highlight w:val="none"/>
              </w:rPr>
              <w:t>6</w:t>
            </w:r>
          </w:p>
        </w:tc>
        <w:tc>
          <w:tcPr>
            <w:tcW w:w="518" w:type="pct"/>
            <w:vAlign w:val="center"/>
          </w:tcPr>
          <w:p w14:paraId="501CFEE3">
            <w:pPr>
              <w:pStyle w:val="69"/>
              <w:spacing w:before="65" w:after="65"/>
              <w:rPr>
                <w:rFonts w:cs="Times New Roman"/>
                <w:color w:val="auto"/>
                <w:highlight w:val="none"/>
              </w:rPr>
            </w:pPr>
            <w:r>
              <w:rPr>
                <w:rFonts w:cs="Times New Roman"/>
                <w:color w:val="auto"/>
                <w:highlight w:val="none"/>
              </w:rPr>
              <w:t>生活垃圾</w:t>
            </w:r>
          </w:p>
        </w:tc>
        <w:tc>
          <w:tcPr>
            <w:tcW w:w="524" w:type="pct"/>
            <w:vMerge w:val="continue"/>
            <w:vAlign w:val="center"/>
          </w:tcPr>
          <w:p w14:paraId="036B2B5A">
            <w:pPr>
              <w:pStyle w:val="69"/>
              <w:spacing w:before="65" w:after="65"/>
              <w:rPr>
                <w:rFonts w:cs="Times New Roman"/>
                <w:color w:val="auto"/>
                <w:highlight w:val="none"/>
              </w:rPr>
            </w:pPr>
          </w:p>
        </w:tc>
        <w:tc>
          <w:tcPr>
            <w:tcW w:w="524" w:type="pct"/>
            <w:vAlign w:val="center"/>
          </w:tcPr>
          <w:p w14:paraId="416AC9DA">
            <w:pPr>
              <w:pStyle w:val="69"/>
              <w:spacing w:before="65" w:after="65"/>
              <w:rPr>
                <w:rFonts w:cs="Times New Roman"/>
                <w:color w:val="auto"/>
                <w:highlight w:val="none"/>
              </w:rPr>
            </w:pPr>
            <w:r>
              <w:rPr>
                <w:rFonts w:cs="Times New Roman"/>
                <w:color w:val="auto"/>
                <w:highlight w:val="none"/>
              </w:rPr>
              <w:t>SW64</w:t>
            </w:r>
          </w:p>
        </w:tc>
        <w:tc>
          <w:tcPr>
            <w:tcW w:w="629" w:type="pct"/>
            <w:vAlign w:val="center"/>
          </w:tcPr>
          <w:p w14:paraId="38CE85D7">
            <w:pPr>
              <w:pStyle w:val="69"/>
              <w:spacing w:before="65" w:after="65"/>
              <w:rPr>
                <w:rFonts w:cs="Times New Roman"/>
                <w:color w:val="auto"/>
                <w:highlight w:val="none"/>
              </w:rPr>
            </w:pPr>
            <w:r>
              <w:rPr>
                <w:rFonts w:cs="Times New Roman"/>
                <w:color w:val="auto"/>
                <w:highlight w:val="none"/>
              </w:rPr>
              <w:t>900-099-S64</w:t>
            </w:r>
          </w:p>
        </w:tc>
        <w:tc>
          <w:tcPr>
            <w:tcW w:w="413" w:type="pct"/>
            <w:vAlign w:val="center"/>
          </w:tcPr>
          <w:p w14:paraId="65F1542E">
            <w:pPr>
              <w:pStyle w:val="69"/>
              <w:spacing w:before="65" w:after="65"/>
              <w:rPr>
                <w:rFonts w:cs="Times New Roman"/>
                <w:color w:val="auto"/>
                <w:highlight w:val="none"/>
              </w:rPr>
            </w:pPr>
            <w:r>
              <w:rPr>
                <w:rFonts w:cs="Times New Roman"/>
                <w:color w:val="auto"/>
                <w:highlight w:val="none"/>
              </w:rPr>
              <w:t>/</w:t>
            </w:r>
          </w:p>
        </w:tc>
        <w:tc>
          <w:tcPr>
            <w:tcW w:w="411" w:type="pct"/>
            <w:vAlign w:val="center"/>
          </w:tcPr>
          <w:p w14:paraId="7637690F">
            <w:pPr>
              <w:pStyle w:val="69"/>
              <w:spacing w:before="65" w:after="65"/>
              <w:rPr>
                <w:rFonts w:cs="Times New Roman"/>
                <w:color w:val="auto"/>
                <w:highlight w:val="none"/>
              </w:rPr>
            </w:pPr>
            <w:r>
              <w:rPr>
                <w:rFonts w:cs="Times New Roman"/>
                <w:color w:val="auto"/>
                <w:highlight w:val="none"/>
              </w:rPr>
              <w:t>固态</w:t>
            </w:r>
          </w:p>
        </w:tc>
        <w:tc>
          <w:tcPr>
            <w:tcW w:w="578" w:type="pct"/>
            <w:vAlign w:val="center"/>
          </w:tcPr>
          <w:p w14:paraId="46C66A6C">
            <w:pPr>
              <w:pStyle w:val="69"/>
              <w:spacing w:before="65" w:after="65"/>
              <w:rPr>
                <w:rFonts w:cs="Times New Roman"/>
                <w:color w:val="auto"/>
                <w:highlight w:val="none"/>
              </w:rPr>
            </w:pPr>
            <w:r>
              <w:rPr>
                <w:rFonts w:hint="eastAsia" w:cs="Times New Roman"/>
                <w:color w:val="auto"/>
                <w:highlight w:val="none"/>
              </w:rPr>
              <w:t>11.09</w:t>
            </w:r>
          </w:p>
        </w:tc>
        <w:tc>
          <w:tcPr>
            <w:tcW w:w="428" w:type="pct"/>
            <w:vAlign w:val="center"/>
          </w:tcPr>
          <w:p w14:paraId="44ED8262">
            <w:pPr>
              <w:pStyle w:val="69"/>
              <w:spacing w:before="65" w:after="65"/>
              <w:rPr>
                <w:rFonts w:cs="Times New Roman"/>
                <w:color w:val="auto"/>
                <w:highlight w:val="none"/>
              </w:rPr>
            </w:pPr>
            <w:r>
              <w:rPr>
                <w:rFonts w:cs="Times New Roman"/>
                <w:color w:val="auto"/>
                <w:highlight w:val="none"/>
              </w:rPr>
              <w:t>办公生活</w:t>
            </w:r>
          </w:p>
        </w:tc>
        <w:tc>
          <w:tcPr>
            <w:tcW w:w="679" w:type="pct"/>
            <w:vAlign w:val="center"/>
          </w:tcPr>
          <w:p w14:paraId="66AFB893">
            <w:pPr>
              <w:pStyle w:val="69"/>
              <w:spacing w:before="65" w:after="65"/>
              <w:rPr>
                <w:rFonts w:cs="Times New Roman"/>
                <w:color w:val="auto"/>
                <w:highlight w:val="none"/>
              </w:rPr>
            </w:pPr>
            <w:r>
              <w:rPr>
                <w:rFonts w:cs="Times New Roman"/>
                <w:color w:val="auto"/>
                <w:highlight w:val="none"/>
              </w:rPr>
              <w:t>由环卫部门清运</w:t>
            </w:r>
          </w:p>
        </w:tc>
      </w:tr>
      <w:tr w14:paraId="0A55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498C7373">
            <w:pPr>
              <w:pStyle w:val="69"/>
              <w:spacing w:before="65" w:after="65"/>
              <w:rPr>
                <w:rFonts w:cs="Times New Roman"/>
                <w:color w:val="auto"/>
                <w:highlight w:val="none"/>
              </w:rPr>
            </w:pPr>
            <w:r>
              <w:rPr>
                <w:rFonts w:hint="eastAsia" w:cs="Times New Roman"/>
                <w:color w:val="auto"/>
                <w:highlight w:val="none"/>
              </w:rPr>
              <w:t>17</w:t>
            </w:r>
          </w:p>
        </w:tc>
        <w:tc>
          <w:tcPr>
            <w:tcW w:w="518" w:type="pct"/>
            <w:vAlign w:val="center"/>
          </w:tcPr>
          <w:p w14:paraId="2C35E768">
            <w:pPr>
              <w:pStyle w:val="69"/>
              <w:spacing w:before="65" w:after="65"/>
              <w:rPr>
                <w:rFonts w:cs="Times New Roman"/>
                <w:color w:val="auto"/>
                <w:highlight w:val="none"/>
              </w:rPr>
            </w:pPr>
            <w:r>
              <w:rPr>
                <w:rFonts w:hint="eastAsia" w:cs="Times New Roman"/>
                <w:color w:val="auto"/>
                <w:highlight w:val="none"/>
              </w:rPr>
              <w:t>餐厨垃圾</w:t>
            </w:r>
          </w:p>
        </w:tc>
        <w:tc>
          <w:tcPr>
            <w:tcW w:w="524" w:type="pct"/>
            <w:vMerge w:val="continue"/>
            <w:vAlign w:val="center"/>
          </w:tcPr>
          <w:p w14:paraId="2AFB5873">
            <w:pPr>
              <w:pStyle w:val="69"/>
              <w:spacing w:before="65" w:after="65"/>
              <w:rPr>
                <w:rFonts w:cs="Times New Roman"/>
                <w:color w:val="auto"/>
                <w:highlight w:val="none"/>
              </w:rPr>
            </w:pPr>
          </w:p>
        </w:tc>
        <w:tc>
          <w:tcPr>
            <w:tcW w:w="524" w:type="pct"/>
            <w:vAlign w:val="center"/>
          </w:tcPr>
          <w:p w14:paraId="077CFB30">
            <w:pPr>
              <w:pStyle w:val="69"/>
              <w:spacing w:before="65" w:after="65"/>
              <w:rPr>
                <w:rFonts w:cs="Times New Roman"/>
                <w:color w:val="auto"/>
                <w:highlight w:val="none"/>
              </w:rPr>
            </w:pPr>
            <w:r>
              <w:rPr>
                <w:rFonts w:hint="eastAsia" w:cs="Times New Roman"/>
                <w:color w:val="auto"/>
                <w:highlight w:val="none"/>
              </w:rPr>
              <w:t>SW61</w:t>
            </w:r>
          </w:p>
        </w:tc>
        <w:tc>
          <w:tcPr>
            <w:tcW w:w="629" w:type="pct"/>
            <w:vAlign w:val="center"/>
          </w:tcPr>
          <w:p w14:paraId="60BD17E2">
            <w:pPr>
              <w:pStyle w:val="69"/>
              <w:spacing w:before="65" w:after="65"/>
              <w:rPr>
                <w:rFonts w:cs="Times New Roman"/>
                <w:color w:val="auto"/>
                <w:highlight w:val="none"/>
              </w:rPr>
            </w:pPr>
            <w:r>
              <w:rPr>
                <w:rFonts w:hint="eastAsia" w:cs="Times New Roman"/>
                <w:color w:val="auto"/>
                <w:highlight w:val="none"/>
              </w:rPr>
              <w:t>900-002-S61</w:t>
            </w:r>
          </w:p>
        </w:tc>
        <w:tc>
          <w:tcPr>
            <w:tcW w:w="413" w:type="pct"/>
            <w:vAlign w:val="center"/>
          </w:tcPr>
          <w:p w14:paraId="514A22D3">
            <w:pPr>
              <w:pStyle w:val="69"/>
              <w:spacing w:before="65" w:after="65"/>
              <w:rPr>
                <w:rFonts w:cs="Times New Roman"/>
                <w:color w:val="auto"/>
                <w:highlight w:val="none"/>
              </w:rPr>
            </w:pPr>
            <w:r>
              <w:rPr>
                <w:rFonts w:hint="eastAsia" w:cs="Times New Roman"/>
                <w:color w:val="auto"/>
                <w:highlight w:val="none"/>
              </w:rPr>
              <w:t>/</w:t>
            </w:r>
          </w:p>
        </w:tc>
        <w:tc>
          <w:tcPr>
            <w:tcW w:w="411" w:type="pct"/>
            <w:vAlign w:val="center"/>
          </w:tcPr>
          <w:p w14:paraId="2426DDCF">
            <w:pPr>
              <w:pStyle w:val="69"/>
              <w:spacing w:before="65" w:after="65"/>
              <w:rPr>
                <w:rFonts w:cs="Times New Roman"/>
                <w:color w:val="auto"/>
                <w:highlight w:val="none"/>
              </w:rPr>
            </w:pPr>
            <w:r>
              <w:rPr>
                <w:rFonts w:hint="eastAsia" w:cs="Times New Roman"/>
                <w:color w:val="auto"/>
                <w:highlight w:val="none"/>
              </w:rPr>
              <w:t>固态</w:t>
            </w:r>
          </w:p>
        </w:tc>
        <w:tc>
          <w:tcPr>
            <w:tcW w:w="578" w:type="pct"/>
            <w:vAlign w:val="center"/>
          </w:tcPr>
          <w:p w14:paraId="021809EC">
            <w:pPr>
              <w:pStyle w:val="69"/>
              <w:spacing w:before="65" w:after="65"/>
              <w:rPr>
                <w:rFonts w:cs="Times New Roman"/>
                <w:color w:val="auto"/>
                <w:highlight w:val="none"/>
              </w:rPr>
            </w:pPr>
            <w:r>
              <w:rPr>
                <w:rFonts w:hint="eastAsia" w:cs="Times New Roman"/>
                <w:color w:val="auto"/>
                <w:highlight w:val="none"/>
              </w:rPr>
              <w:t>2.5</w:t>
            </w:r>
          </w:p>
        </w:tc>
        <w:tc>
          <w:tcPr>
            <w:tcW w:w="428" w:type="pct"/>
            <w:vAlign w:val="center"/>
          </w:tcPr>
          <w:p w14:paraId="6F414D4B">
            <w:pPr>
              <w:pStyle w:val="69"/>
              <w:spacing w:before="65" w:after="65"/>
              <w:rPr>
                <w:rFonts w:cs="Times New Roman"/>
                <w:color w:val="auto"/>
                <w:highlight w:val="none"/>
              </w:rPr>
            </w:pPr>
            <w:r>
              <w:rPr>
                <w:rFonts w:hint="eastAsia" w:cs="Times New Roman"/>
                <w:color w:val="auto"/>
                <w:highlight w:val="none"/>
              </w:rPr>
              <w:t>办公生活</w:t>
            </w:r>
          </w:p>
        </w:tc>
        <w:tc>
          <w:tcPr>
            <w:tcW w:w="679" w:type="pct"/>
            <w:vMerge w:val="restart"/>
            <w:vAlign w:val="center"/>
          </w:tcPr>
          <w:p w14:paraId="373F16AF">
            <w:pPr>
              <w:pStyle w:val="69"/>
              <w:spacing w:before="65" w:after="65"/>
              <w:rPr>
                <w:rFonts w:cs="Times New Roman"/>
                <w:color w:val="auto"/>
                <w:highlight w:val="none"/>
              </w:rPr>
            </w:pPr>
            <w:r>
              <w:rPr>
                <w:rFonts w:hint="eastAsia" w:cs="Times New Roman"/>
                <w:color w:val="auto"/>
                <w:highlight w:val="none"/>
              </w:rPr>
              <w:t>定期交由有资质的单位进行处置</w:t>
            </w:r>
          </w:p>
        </w:tc>
      </w:tr>
      <w:tr w14:paraId="60C4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1" w:type="pct"/>
            <w:vAlign w:val="center"/>
          </w:tcPr>
          <w:p w14:paraId="1F494AD3">
            <w:pPr>
              <w:pStyle w:val="69"/>
              <w:spacing w:before="65" w:after="65"/>
              <w:rPr>
                <w:rFonts w:cs="Times New Roman"/>
                <w:color w:val="auto"/>
                <w:highlight w:val="none"/>
              </w:rPr>
            </w:pPr>
            <w:r>
              <w:rPr>
                <w:rFonts w:hint="eastAsia" w:cs="Times New Roman"/>
                <w:color w:val="auto"/>
                <w:highlight w:val="none"/>
              </w:rPr>
              <w:t>18</w:t>
            </w:r>
          </w:p>
        </w:tc>
        <w:tc>
          <w:tcPr>
            <w:tcW w:w="518" w:type="pct"/>
            <w:vAlign w:val="center"/>
          </w:tcPr>
          <w:p w14:paraId="59C84A4E">
            <w:pPr>
              <w:pStyle w:val="69"/>
              <w:spacing w:before="65" w:after="65"/>
              <w:rPr>
                <w:rFonts w:cs="Times New Roman"/>
                <w:color w:val="auto"/>
                <w:highlight w:val="none"/>
              </w:rPr>
            </w:pPr>
            <w:r>
              <w:rPr>
                <w:rFonts w:hint="eastAsia" w:cs="Times New Roman"/>
                <w:color w:val="auto"/>
                <w:highlight w:val="none"/>
              </w:rPr>
              <w:t>隔油池废油</w:t>
            </w:r>
          </w:p>
        </w:tc>
        <w:tc>
          <w:tcPr>
            <w:tcW w:w="524" w:type="pct"/>
            <w:vMerge w:val="continue"/>
            <w:vAlign w:val="center"/>
          </w:tcPr>
          <w:p w14:paraId="73D78160">
            <w:pPr>
              <w:pStyle w:val="69"/>
              <w:spacing w:before="65" w:after="65"/>
              <w:rPr>
                <w:rFonts w:cs="Times New Roman"/>
                <w:color w:val="auto"/>
                <w:highlight w:val="none"/>
              </w:rPr>
            </w:pPr>
          </w:p>
        </w:tc>
        <w:tc>
          <w:tcPr>
            <w:tcW w:w="524" w:type="pct"/>
            <w:vAlign w:val="center"/>
          </w:tcPr>
          <w:p w14:paraId="2D8B476C">
            <w:pPr>
              <w:pStyle w:val="69"/>
              <w:spacing w:before="65" w:after="65"/>
              <w:rPr>
                <w:rFonts w:cs="Times New Roman"/>
                <w:color w:val="auto"/>
                <w:highlight w:val="none"/>
              </w:rPr>
            </w:pPr>
            <w:r>
              <w:rPr>
                <w:rFonts w:hint="eastAsia" w:cs="Times New Roman"/>
                <w:color w:val="auto"/>
                <w:highlight w:val="none"/>
              </w:rPr>
              <w:t>SW61</w:t>
            </w:r>
          </w:p>
        </w:tc>
        <w:tc>
          <w:tcPr>
            <w:tcW w:w="629" w:type="pct"/>
            <w:vAlign w:val="center"/>
          </w:tcPr>
          <w:p w14:paraId="533FC456">
            <w:pPr>
              <w:pStyle w:val="69"/>
              <w:spacing w:before="65" w:after="65"/>
              <w:rPr>
                <w:rFonts w:cs="Times New Roman"/>
                <w:color w:val="auto"/>
                <w:highlight w:val="none"/>
              </w:rPr>
            </w:pPr>
            <w:r>
              <w:rPr>
                <w:rFonts w:hint="eastAsia" w:cs="Times New Roman"/>
                <w:color w:val="auto"/>
                <w:highlight w:val="none"/>
              </w:rPr>
              <w:t>900-002-S61</w:t>
            </w:r>
          </w:p>
        </w:tc>
        <w:tc>
          <w:tcPr>
            <w:tcW w:w="413" w:type="pct"/>
            <w:vAlign w:val="center"/>
          </w:tcPr>
          <w:p w14:paraId="505C09BB">
            <w:pPr>
              <w:pStyle w:val="69"/>
              <w:spacing w:before="65" w:after="65"/>
              <w:rPr>
                <w:rFonts w:cs="Times New Roman"/>
                <w:color w:val="auto"/>
                <w:highlight w:val="none"/>
              </w:rPr>
            </w:pPr>
            <w:r>
              <w:rPr>
                <w:rFonts w:hint="eastAsia" w:cs="Times New Roman"/>
                <w:color w:val="auto"/>
                <w:highlight w:val="none"/>
              </w:rPr>
              <w:t>/</w:t>
            </w:r>
          </w:p>
        </w:tc>
        <w:tc>
          <w:tcPr>
            <w:tcW w:w="411" w:type="pct"/>
            <w:vAlign w:val="center"/>
          </w:tcPr>
          <w:p w14:paraId="75EE39C0">
            <w:pPr>
              <w:pStyle w:val="69"/>
              <w:spacing w:before="65" w:after="65"/>
              <w:rPr>
                <w:rFonts w:cs="Times New Roman"/>
                <w:color w:val="auto"/>
                <w:highlight w:val="none"/>
              </w:rPr>
            </w:pPr>
            <w:r>
              <w:rPr>
                <w:rFonts w:hint="eastAsia" w:cs="Times New Roman"/>
                <w:color w:val="auto"/>
                <w:highlight w:val="none"/>
              </w:rPr>
              <w:t>液态</w:t>
            </w:r>
          </w:p>
        </w:tc>
        <w:tc>
          <w:tcPr>
            <w:tcW w:w="578" w:type="pct"/>
            <w:vAlign w:val="center"/>
          </w:tcPr>
          <w:p w14:paraId="4F2A6D64">
            <w:pPr>
              <w:pStyle w:val="69"/>
              <w:spacing w:before="65" w:after="65"/>
              <w:rPr>
                <w:rFonts w:cs="Times New Roman"/>
                <w:color w:val="auto"/>
                <w:highlight w:val="none"/>
              </w:rPr>
            </w:pPr>
            <w:r>
              <w:rPr>
                <w:rFonts w:hint="eastAsia" w:cs="Times New Roman"/>
                <w:color w:val="auto"/>
                <w:highlight w:val="none"/>
              </w:rPr>
              <w:t>0.5</w:t>
            </w:r>
          </w:p>
        </w:tc>
        <w:tc>
          <w:tcPr>
            <w:tcW w:w="428" w:type="pct"/>
            <w:vAlign w:val="center"/>
          </w:tcPr>
          <w:p w14:paraId="29B36BDF">
            <w:pPr>
              <w:pStyle w:val="69"/>
              <w:spacing w:before="65" w:after="65"/>
              <w:rPr>
                <w:rFonts w:cs="Times New Roman"/>
                <w:color w:val="auto"/>
                <w:highlight w:val="none"/>
              </w:rPr>
            </w:pPr>
            <w:r>
              <w:rPr>
                <w:rFonts w:hint="eastAsia" w:cs="Times New Roman"/>
                <w:color w:val="auto"/>
                <w:highlight w:val="none"/>
              </w:rPr>
              <w:t>办公生活</w:t>
            </w:r>
          </w:p>
        </w:tc>
        <w:tc>
          <w:tcPr>
            <w:tcW w:w="679" w:type="pct"/>
            <w:vMerge w:val="continue"/>
            <w:vAlign w:val="center"/>
          </w:tcPr>
          <w:p w14:paraId="633E1BFB">
            <w:pPr>
              <w:pStyle w:val="69"/>
              <w:spacing w:before="65" w:after="65"/>
              <w:rPr>
                <w:rFonts w:cs="Times New Roman"/>
                <w:color w:val="auto"/>
                <w:highlight w:val="none"/>
              </w:rPr>
            </w:pPr>
          </w:p>
        </w:tc>
      </w:tr>
    </w:tbl>
    <w:p w14:paraId="68DB3684">
      <w:pPr>
        <w:overflowPunct w:val="0"/>
        <w:adjustRightInd w:val="0"/>
        <w:ind w:firstLine="480"/>
        <w:rPr>
          <w:rFonts w:cs="Times New Roman"/>
          <w:color w:val="auto"/>
          <w:kern w:val="21"/>
          <w:szCs w:val="24"/>
          <w:highlight w:val="none"/>
        </w:rPr>
      </w:pPr>
      <w:r>
        <w:rPr>
          <w:rFonts w:cs="Times New Roman"/>
          <w:color w:val="auto"/>
          <w:kern w:val="21"/>
          <w:szCs w:val="24"/>
          <w:highlight w:val="none"/>
        </w:rPr>
        <w:t>本项目危险废物汇总情况详见下表。</w:t>
      </w:r>
    </w:p>
    <w:p w14:paraId="3CC75991">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20</w:t>
      </w:r>
      <w:r>
        <w:rPr>
          <w:rFonts w:cs="Times New Roman"/>
          <w:color w:val="auto"/>
          <w:highlight w:val="none"/>
        </w:rPr>
        <w:fldChar w:fldCharType="end"/>
      </w:r>
      <w:r>
        <w:rPr>
          <w:rFonts w:cs="Times New Roman"/>
          <w:color w:val="auto"/>
          <w:kern w:val="21"/>
          <w:szCs w:val="21"/>
          <w:highlight w:val="none"/>
        </w:rPr>
        <w:t>危险废物产生及处置情况汇总表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7"/>
        <w:gridCol w:w="883"/>
        <w:gridCol w:w="729"/>
        <w:gridCol w:w="1056"/>
        <w:gridCol w:w="778"/>
        <w:gridCol w:w="901"/>
        <w:gridCol w:w="602"/>
        <w:gridCol w:w="950"/>
        <w:gridCol w:w="996"/>
        <w:gridCol w:w="1230"/>
      </w:tblGrid>
      <w:tr w14:paraId="24E7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232" w:type="pct"/>
            <w:vAlign w:val="center"/>
          </w:tcPr>
          <w:p w14:paraId="46C3F3EE">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序号</w:t>
            </w:r>
          </w:p>
        </w:tc>
        <w:tc>
          <w:tcPr>
            <w:tcW w:w="518" w:type="pct"/>
            <w:vAlign w:val="center"/>
          </w:tcPr>
          <w:p w14:paraId="6671CCA6">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危险废物名称</w:t>
            </w:r>
          </w:p>
        </w:tc>
        <w:tc>
          <w:tcPr>
            <w:tcW w:w="427" w:type="pct"/>
            <w:vAlign w:val="center"/>
          </w:tcPr>
          <w:p w14:paraId="36C4D851">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危险废物类别</w:t>
            </w:r>
          </w:p>
        </w:tc>
        <w:tc>
          <w:tcPr>
            <w:tcW w:w="619" w:type="pct"/>
            <w:vAlign w:val="center"/>
          </w:tcPr>
          <w:p w14:paraId="38AB775D">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危险废物代码</w:t>
            </w:r>
          </w:p>
        </w:tc>
        <w:tc>
          <w:tcPr>
            <w:tcW w:w="456" w:type="pct"/>
            <w:vAlign w:val="center"/>
          </w:tcPr>
          <w:p w14:paraId="250EFFC1">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产生量（t/a）</w:t>
            </w:r>
          </w:p>
        </w:tc>
        <w:tc>
          <w:tcPr>
            <w:tcW w:w="528" w:type="pct"/>
            <w:vAlign w:val="center"/>
          </w:tcPr>
          <w:p w14:paraId="4B766834">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产生工序</w:t>
            </w:r>
          </w:p>
        </w:tc>
        <w:tc>
          <w:tcPr>
            <w:tcW w:w="353" w:type="pct"/>
            <w:vAlign w:val="center"/>
          </w:tcPr>
          <w:p w14:paraId="18886B9C">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形态</w:t>
            </w:r>
          </w:p>
        </w:tc>
        <w:tc>
          <w:tcPr>
            <w:tcW w:w="557" w:type="pct"/>
            <w:vAlign w:val="center"/>
          </w:tcPr>
          <w:p w14:paraId="4494F58C">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产废周期</w:t>
            </w:r>
          </w:p>
        </w:tc>
        <w:tc>
          <w:tcPr>
            <w:tcW w:w="584" w:type="pct"/>
            <w:vAlign w:val="center"/>
          </w:tcPr>
          <w:p w14:paraId="219CC657">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危险特性</w:t>
            </w:r>
          </w:p>
        </w:tc>
        <w:tc>
          <w:tcPr>
            <w:tcW w:w="721" w:type="pct"/>
            <w:vAlign w:val="center"/>
          </w:tcPr>
          <w:p w14:paraId="1671C037">
            <w:pPr>
              <w:overflowPunct w:val="0"/>
              <w:adjustRightInd w:val="0"/>
              <w:spacing w:before="65" w:beforeLines="20" w:after="65" w:afterLines="20" w:line="240" w:lineRule="auto"/>
              <w:ind w:firstLine="0" w:firstLineChars="0"/>
              <w:jc w:val="center"/>
              <w:rPr>
                <w:rFonts w:cs="Times New Roman"/>
                <w:b/>
                <w:color w:val="auto"/>
                <w:kern w:val="21"/>
                <w:sz w:val="18"/>
                <w:szCs w:val="18"/>
                <w:highlight w:val="none"/>
              </w:rPr>
            </w:pPr>
            <w:r>
              <w:rPr>
                <w:rFonts w:cs="Times New Roman"/>
                <w:b/>
                <w:color w:val="auto"/>
                <w:kern w:val="21"/>
                <w:sz w:val="18"/>
                <w:szCs w:val="18"/>
                <w:highlight w:val="none"/>
              </w:rPr>
              <w:t>污染防治措施</w:t>
            </w:r>
          </w:p>
        </w:tc>
      </w:tr>
      <w:tr w14:paraId="261F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32" w:type="pct"/>
            <w:vAlign w:val="center"/>
          </w:tcPr>
          <w:p w14:paraId="679E0687">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1</w:t>
            </w:r>
          </w:p>
        </w:tc>
        <w:tc>
          <w:tcPr>
            <w:tcW w:w="518" w:type="pct"/>
            <w:vAlign w:val="center"/>
          </w:tcPr>
          <w:p w14:paraId="346D5431">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废机油</w:t>
            </w:r>
          </w:p>
        </w:tc>
        <w:tc>
          <w:tcPr>
            <w:tcW w:w="427" w:type="pct"/>
            <w:vAlign w:val="center"/>
          </w:tcPr>
          <w:p w14:paraId="6143ABE6">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HW08</w:t>
            </w:r>
          </w:p>
        </w:tc>
        <w:tc>
          <w:tcPr>
            <w:tcW w:w="619" w:type="pct"/>
            <w:vAlign w:val="center"/>
          </w:tcPr>
          <w:p w14:paraId="7C26770F">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900-214-08</w:t>
            </w:r>
          </w:p>
        </w:tc>
        <w:tc>
          <w:tcPr>
            <w:tcW w:w="456" w:type="pct"/>
            <w:vAlign w:val="center"/>
          </w:tcPr>
          <w:p w14:paraId="6AB278DA">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0.1</w:t>
            </w:r>
          </w:p>
        </w:tc>
        <w:tc>
          <w:tcPr>
            <w:tcW w:w="528" w:type="pct"/>
            <w:vAlign w:val="center"/>
          </w:tcPr>
          <w:p w14:paraId="5BD32D84">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设备检修</w:t>
            </w:r>
          </w:p>
        </w:tc>
        <w:tc>
          <w:tcPr>
            <w:tcW w:w="353" w:type="pct"/>
            <w:vAlign w:val="center"/>
          </w:tcPr>
          <w:p w14:paraId="4F86177D">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液态</w:t>
            </w:r>
          </w:p>
        </w:tc>
        <w:tc>
          <w:tcPr>
            <w:tcW w:w="557" w:type="pct"/>
            <w:vAlign w:val="center"/>
          </w:tcPr>
          <w:p w14:paraId="663FFDE2">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1次/半年</w:t>
            </w:r>
          </w:p>
        </w:tc>
        <w:tc>
          <w:tcPr>
            <w:tcW w:w="584" w:type="pct"/>
            <w:vAlign w:val="center"/>
          </w:tcPr>
          <w:p w14:paraId="3FFBC163">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T/I</w:t>
            </w:r>
          </w:p>
        </w:tc>
        <w:tc>
          <w:tcPr>
            <w:tcW w:w="721" w:type="pct"/>
            <w:vAlign w:val="center"/>
          </w:tcPr>
          <w:p w14:paraId="3836B73A">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hint="eastAsia" w:cs="Times New Roman"/>
                <w:color w:val="auto"/>
                <w:kern w:val="21"/>
                <w:sz w:val="18"/>
                <w:szCs w:val="18"/>
                <w:highlight w:val="none"/>
              </w:rPr>
              <w:t>危废暂存间</w:t>
            </w:r>
          </w:p>
        </w:tc>
      </w:tr>
      <w:tr w14:paraId="05822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32" w:type="pct"/>
            <w:vAlign w:val="center"/>
          </w:tcPr>
          <w:p w14:paraId="328A501B">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2</w:t>
            </w:r>
          </w:p>
        </w:tc>
        <w:tc>
          <w:tcPr>
            <w:tcW w:w="518" w:type="pct"/>
            <w:vAlign w:val="center"/>
          </w:tcPr>
          <w:p w14:paraId="7F2FF139">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废机油桶</w:t>
            </w:r>
          </w:p>
        </w:tc>
        <w:tc>
          <w:tcPr>
            <w:tcW w:w="427" w:type="pct"/>
            <w:vAlign w:val="center"/>
          </w:tcPr>
          <w:p w14:paraId="6D461A9B">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HW08</w:t>
            </w:r>
          </w:p>
        </w:tc>
        <w:tc>
          <w:tcPr>
            <w:tcW w:w="619" w:type="pct"/>
            <w:vAlign w:val="center"/>
          </w:tcPr>
          <w:p w14:paraId="357792BD">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900-249-08</w:t>
            </w:r>
          </w:p>
        </w:tc>
        <w:tc>
          <w:tcPr>
            <w:tcW w:w="456" w:type="pct"/>
            <w:vAlign w:val="center"/>
          </w:tcPr>
          <w:p w14:paraId="47451BD3">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0.5</w:t>
            </w:r>
          </w:p>
        </w:tc>
        <w:tc>
          <w:tcPr>
            <w:tcW w:w="528" w:type="pct"/>
            <w:vAlign w:val="center"/>
          </w:tcPr>
          <w:p w14:paraId="41494C36">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设备检修</w:t>
            </w:r>
          </w:p>
        </w:tc>
        <w:tc>
          <w:tcPr>
            <w:tcW w:w="353" w:type="pct"/>
            <w:vAlign w:val="center"/>
          </w:tcPr>
          <w:p w14:paraId="33FD964C">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固态</w:t>
            </w:r>
          </w:p>
        </w:tc>
        <w:tc>
          <w:tcPr>
            <w:tcW w:w="557" w:type="pct"/>
            <w:vAlign w:val="center"/>
          </w:tcPr>
          <w:p w14:paraId="227BC3EB">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1次/半年</w:t>
            </w:r>
          </w:p>
        </w:tc>
        <w:tc>
          <w:tcPr>
            <w:tcW w:w="584" w:type="pct"/>
            <w:vAlign w:val="center"/>
          </w:tcPr>
          <w:p w14:paraId="0117CDD7">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T/I</w:t>
            </w:r>
          </w:p>
        </w:tc>
        <w:tc>
          <w:tcPr>
            <w:tcW w:w="721" w:type="pct"/>
            <w:vAlign w:val="center"/>
          </w:tcPr>
          <w:p w14:paraId="09405ED1">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hint="eastAsia" w:cs="Times New Roman"/>
                <w:color w:val="auto"/>
                <w:kern w:val="21"/>
                <w:sz w:val="18"/>
                <w:szCs w:val="18"/>
                <w:highlight w:val="none"/>
              </w:rPr>
              <w:t>危废暂存间</w:t>
            </w:r>
          </w:p>
        </w:tc>
      </w:tr>
      <w:tr w14:paraId="3C3A4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32" w:type="pct"/>
            <w:vAlign w:val="center"/>
          </w:tcPr>
          <w:p w14:paraId="6CA2B8C8">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3</w:t>
            </w:r>
          </w:p>
        </w:tc>
        <w:tc>
          <w:tcPr>
            <w:tcW w:w="518" w:type="pct"/>
            <w:vAlign w:val="center"/>
          </w:tcPr>
          <w:p w14:paraId="3997B70C">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含油抹布及手套</w:t>
            </w:r>
          </w:p>
        </w:tc>
        <w:tc>
          <w:tcPr>
            <w:tcW w:w="427" w:type="pct"/>
            <w:vAlign w:val="center"/>
          </w:tcPr>
          <w:p w14:paraId="0C561643">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HW49</w:t>
            </w:r>
          </w:p>
        </w:tc>
        <w:tc>
          <w:tcPr>
            <w:tcW w:w="619" w:type="pct"/>
            <w:vAlign w:val="center"/>
          </w:tcPr>
          <w:p w14:paraId="5DA0C614">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900-041-49</w:t>
            </w:r>
          </w:p>
        </w:tc>
        <w:tc>
          <w:tcPr>
            <w:tcW w:w="456" w:type="pct"/>
            <w:vAlign w:val="center"/>
          </w:tcPr>
          <w:p w14:paraId="7BDBE0E0">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0.02</w:t>
            </w:r>
          </w:p>
        </w:tc>
        <w:tc>
          <w:tcPr>
            <w:tcW w:w="528" w:type="pct"/>
            <w:vAlign w:val="center"/>
          </w:tcPr>
          <w:p w14:paraId="3D4EFBFE">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设备检修</w:t>
            </w:r>
          </w:p>
        </w:tc>
        <w:tc>
          <w:tcPr>
            <w:tcW w:w="353" w:type="pct"/>
            <w:vAlign w:val="center"/>
          </w:tcPr>
          <w:p w14:paraId="1A261A9D">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固态</w:t>
            </w:r>
          </w:p>
        </w:tc>
        <w:tc>
          <w:tcPr>
            <w:tcW w:w="557" w:type="pct"/>
            <w:vAlign w:val="center"/>
          </w:tcPr>
          <w:p w14:paraId="42D7BC9F">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1次/半年</w:t>
            </w:r>
          </w:p>
        </w:tc>
        <w:tc>
          <w:tcPr>
            <w:tcW w:w="584" w:type="pct"/>
            <w:vAlign w:val="center"/>
          </w:tcPr>
          <w:p w14:paraId="696BF374">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T/I</w:t>
            </w:r>
          </w:p>
        </w:tc>
        <w:tc>
          <w:tcPr>
            <w:tcW w:w="721" w:type="pct"/>
            <w:vAlign w:val="center"/>
          </w:tcPr>
          <w:p w14:paraId="6D67A538">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hint="eastAsia" w:cs="Times New Roman"/>
                <w:color w:val="auto"/>
                <w:kern w:val="21"/>
                <w:sz w:val="18"/>
                <w:szCs w:val="18"/>
                <w:highlight w:val="none"/>
              </w:rPr>
              <w:t>危废暂存间</w:t>
            </w:r>
          </w:p>
        </w:tc>
      </w:tr>
      <w:tr w14:paraId="4CC8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jc w:val="center"/>
        </w:trPr>
        <w:tc>
          <w:tcPr>
            <w:tcW w:w="232" w:type="pct"/>
            <w:vAlign w:val="center"/>
          </w:tcPr>
          <w:p w14:paraId="23C5BB0F">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4</w:t>
            </w:r>
          </w:p>
        </w:tc>
        <w:tc>
          <w:tcPr>
            <w:tcW w:w="518" w:type="pct"/>
            <w:vAlign w:val="center"/>
          </w:tcPr>
          <w:p w14:paraId="73A5EF09">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废氢氧化钠包装袋</w:t>
            </w:r>
          </w:p>
        </w:tc>
        <w:tc>
          <w:tcPr>
            <w:tcW w:w="427" w:type="pct"/>
            <w:vAlign w:val="center"/>
          </w:tcPr>
          <w:p w14:paraId="3FD01C23">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HW49</w:t>
            </w:r>
          </w:p>
        </w:tc>
        <w:tc>
          <w:tcPr>
            <w:tcW w:w="619" w:type="pct"/>
            <w:vAlign w:val="center"/>
          </w:tcPr>
          <w:p w14:paraId="2DD44BE6">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900-041-49</w:t>
            </w:r>
          </w:p>
        </w:tc>
        <w:tc>
          <w:tcPr>
            <w:tcW w:w="456" w:type="pct"/>
            <w:vAlign w:val="center"/>
          </w:tcPr>
          <w:p w14:paraId="44708095">
            <w:pPr>
              <w:pStyle w:val="69"/>
              <w:spacing w:before="65" w:after="65"/>
              <w:rPr>
                <w:rFonts w:cs="Times New Roman"/>
                <w:color w:val="auto"/>
                <w:kern w:val="21"/>
                <w:sz w:val="18"/>
                <w:szCs w:val="18"/>
                <w:highlight w:val="none"/>
              </w:rPr>
            </w:pPr>
            <w:r>
              <w:rPr>
                <w:rFonts w:cs="Times New Roman"/>
                <w:color w:val="auto"/>
                <w:highlight w:val="none"/>
              </w:rPr>
              <w:t>0.0</w:t>
            </w:r>
            <w:r>
              <w:rPr>
                <w:rFonts w:hint="eastAsia" w:cs="Times New Roman"/>
                <w:color w:val="auto"/>
                <w:highlight w:val="none"/>
              </w:rPr>
              <w:t>16</w:t>
            </w:r>
          </w:p>
        </w:tc>
        <w:tc>
          <w:tcPr>
            <w:tcW w:w="528" w:type="pct"/>
            <w:vAlign w:val="center"/>
          </w:tcPr>
          <w:p w14:paraId="2B01BFA7">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浮选</w:t>
            </w:r>
          </w:p>
        </w:tc>
        <w:tc>
          <w:tcPr>
            <w:tcW w:w="353" w:type="pct"/>
            <w:vAlign w:val="center"/>
          </w:tcPr>
          <w:p w14:paraId="7D22363E">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固态</w:t>
            </w:r>
          </w:p>
        </w:tc>
        <w:tc>
          <w:tcPr>
            <w:tcW w:w="557" w:type="pct"/>
            <w:vAlign w:val="center"/>
          </w:tcPr>
          <w:p w14:paraId="2487DACB">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1次/月</w:t>
            </w:r>
          </w:p>
        </w:tc>
        <w:tc>
          <w:tcPr>
            <w:tcW w:w="584" w:type="pct"/>
            <w:vAlign w:val="center"/>
          </w:tcPr>
          <w:p w14:paraId="0AE15160">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cs="Times New Roman"/>
                <w:color w:val="auto"/>
                <w:kern w:val="21"/>
                <w:sz w:val="18"/>
                <w:szCs w:val="18"/>
                <w:highlight w:val="none"/>
              </w:rPr>
              <w:t>T/I</w:t>
            </w:r>
          </w:p>
        </w:tc>
        <w:tc>
          <w:tcPr>
            <w:tcW w:w="721" w:type="pct"/>
            <w:vAlign w:val="center"/>
          </w:tcPr>
          <w:p w14:paraId="00FB8920">
            <w:pPr>
              <w:overflowPunct w:val="0"/>
              <w:adjustRightInd w:val="0"/>
              <w:spacing w:before="65" w:beforeLines="20" w:after="65" w:afterLines="20" w:line="240" w:lineRule="auto"/>
              <w:ind w:firstLine="0" w:firstLineChars="0"/>
              <w:jc w:val="center"/>
              <w:rPr>
                <w:rFonts w:cs="Times New Roman"/>
                <w:color w:val="auto"/>
                <w:kern w:val="21"/>
                <w:sz w:val="18"/>
                <w:szCs w:val="18"/>
                <w:highlight w:val="none"/>
              </w:rPr>
            </w:pPr>
            <w:r>
              <w:rPr>
                <w:rFonts w:hint="eastAsia" w:cs="Times New Roman"/>
                <w:color w:val="auto"/>
                <w:kern w:val="21"/>
                <w:sz w:val="18"/>
                <w:szCs w:val="18"/>
                <w:highlight w:val="none"/>
              </w:rPr>
              <w:t>危废暂存间</w:t>
            </w:r>
          </w:p>
        </w:tc>
      </w:tr>
    </w:tbl>
    <w:p w14:paraId="389BFA1F">
      <w:pPr>
        <w:adjustRightInd w:val="0"/>
        <w:ind w:firstLine="482"/>
        <w:rPr>
          <w:rFonts w:cs="Times New Roman"/>
          <w:b/>
          <w:bCs/>
          <w:color w:val="auto"/>
          <w:highlight w:val="none"/>
        </w:rPr>
      </w:pPr>
      <w:r>
        <w:rPr>
          <w:rFonts w:cs="Times New Roman"/>
          <w:b/>
          <w:bCs/>
          <w:color w:val="auto"/>
          <w:highlight w:val="none"/>
        </w:rPr>
        <w:t>环评要求：</w:t>
      </w:r>
    </w:p>
    <w:p w14:paraId="52D7476F">
      <w:pPr>
        <w:adjustRightInd w:val="0"/>
        <w:ind w:firstLine="480"/>
        <w:rPr>
          <w:rFonts w:cs="Times New Roman"/>
          <w:color w:val="auto"/>
          <w:highlight w:val="none"/>
        </w:rPr>
      </w:pPr>
      <w:r>
        <w:rPr>
          <w:rFonts w:cs="Times New Roman"/>
          <w:color w:val="auto"/>
          <w:highlight w:val="none"/>
        </w:rPr>
        <w:t>（1）厂内产生固废必须分类堆放，危废设</w:t>
      </w:r>
      <w:r>
        <w:rPr>
          <w:rFonts w:hint="eastAsia" w:cs="Times New Roman"/>
          <w:color w:val="auto"/>
          <w:highlight w:val="none"/>
        </w:rPr>
        <w:t>危废暂存间</w:t>
      </w:r>
      <w:r>
        <w:rPr>
          <w:rFonts w:cs="Times New Roman"/>
          <w:color w:val="auto"/>
          <w:highlight w:val="none"/>
        </w:rPr>
        <w:t>，其中废机油、废机油桶、含油抹布及手套、废氢氧化钠包装袋暂存于本项目厂区</w:t>
      </w:r>
      <w:r>
        <w:rPr>
          <w:rFonts w:hint="eastAsia" w:cs="Times New Roman"/>
          <w:color w:val="auto"/>
          <w:highlight w:val="none"/>
        </w:rPr>
        <w:t>中部</w:t>
      </w:r>
      <w:r>
        <w:rPr>
          <w:rFonts w:cs="Times New Roman"/>
          <w:color w:val="auto"/>
          <w:highlight w:val="none"/>
        </w:rPr>
        <w:t>新建的</w:t>
      </w:r>
      <w:r>
        <w:rPr>
          <w:rFonts w:hint="eastAsia" w:cs="Times New Roman"/>
          <w:color w:val="auto"/>
          <w:highlight w:val="none"/>
        </w:rPr>
        <w:t>危废暂存间</w:t>
      </w:r>
      <w:r>
        <w:rPr>
          <w:rFonts w:cs="Times New Roman"/>
          <w:color w:val="auto"/>
          <w:highlight w:val="none"/>
        </w:rPr>
        <w:t>（</w:t>
      </w:r>
      <w:r>
        <w:rPr>
          <w:rFonts w:hint="eastAsia" w:cs="Times New Roman"/>
          <w:color w:val="auto"/>
          <w:highlight w:val="none"/>
        </w:rPr>
        <w:t>1</w:t>
      </w:r>
      <w:r>
        <w:rPr>
          <w:rFonts w:cs="Times New Roman"/>
          <w:color w:val="auto"/>
          <w:highlight w:val="none"/>
        </w:rPr>
        <w:t>0m</w:t>
      </w:r>
      <w:r>
        <w:rPr>
          <w:rFonts w:cs="Times New Roman"/>
          <w:color w:val="auto"/>
          <w:highlight w:val="none"/>
          <w:vertAlign w:val="superscript"/>
        </w:rPr>
        <w:t>2</w:t>
      </w:r>
      <w:r>
        <w:rPr>
          <w:rFonts w:cs="Times New Roman"/>
          <w:color w:val="auto"/>
          <w:highlight w:val="none"/>
        </w:rPr>
        <w:t>）。针对具体危险废物严格按照国家相关要求进行分类回收和存放，禁止将危险废物混入非危险废物中贮存；</w:t>
      </w:r>
      <w:r>
        <w:rPr>
          <w:rFonts w:hint="eastAsia" w:cs="Times New Roman"/>
          <w:color w:val="auto"/>
          <w:highlight w:val="none"/>
        </w:rPr>
        <w:t>危废暂存间</w:t>
      </w:r>
      <w:r>
        <w:rPr>
          <w:rFonts w:cs="Times New Roman"/>
          <w:color w:val="auto"/>
          <w:highlight w:val="none"/>
        </w:rPr>
        <w:t>需按《危险废物贮存污染控制标准》（GB18597-2023）和《危险废物收集贮存运输技术规范》（HJ2025-2012）中要求设置，并进行防风、防晒、防雨、防漏、防渗、防腐处理。项目危险废物在出厂前分类收集到危废桶或料斗，由专业运输单位负责运输。</w:t>
      </w:r>
    </w:p>
    <w:p w14:paraId="27DC54CD">
      <w:pPr>
        <w:adjustRightInd w:val="0"/>
        <w:ind w:firstLine="480"/>
        <w:rPr>
          <w:rFonts w:cs="Times New Roman"/>
          <w:color w:val="auto"/>
          <w:highlight w:val="none"/>
        </w:rPr>
      </w:pPr>
      <w:r>
        <w:rPr>
          <w:rFonts w:cs="Times New Roman"/>
          <w:color w:val="auto"/>
          <w:highlight w:val="none"/>
        </w:rPr>
        <w:t>（2）危险废物的运输过程应采取必要的风险防范与应急措施：危险废物的包装严格执行《危险货物运输包装通用技术条件》（GB12463-1990），《危险货物运输包装标志》（GB190-1990）规范要求；在危险废物的收集与运输方面的管理中，严格执行《危险废物转移管理办法</w:t>
      </w:r>
      <w:r>
        <w:rPr>
          <w:rFonts w:hint="eastAsia" w:cs="Times New Roman"/>
          <w:color w:val="auto"/>
          <w:highlight w:val="none"/>
        </w:rPr>
        <w:t>》《</w:t>
      </w:r>
      <w:r>
        <w:rPr>
          <w:rFonts w:cs="Times New Roman"/>
          <w:color w:val="auto"/>
          <w:highlight w:val="none"/>
        </w:rPr>
        <w:t>道路危险货物运输管理规定</w:t>
      </w:r>
      <w:r>
        <w:rPr>
          <w:rFonts w:hint="eastAsia" w:cs="Times New Roman"/>
          <w:color w:val="auto"/>
          <w:highlight w:val="none"/>
        </w:rPr>
        <w:t>》《</w:t>
      </w:r>
      <w:r>
        <w:rPr>
          <w:rFonts w:cs="Times New Roman"/>
          <w:color w:val="auto"/>
          <w:highlight w:val="none"/>
        </w:rPr>
        <w:t>汽车危险货物运输规则</w:t>
      </w:r>
      <w:r>
        <w:rPr>
          <w:rFonts w:hint="eastAsia" w:cs="Times New Roman"/>
          <w:color w:val="auto"/>
          <w:highlight w:val="none"/>
        </w:rPr>
        <w:t>》《</w:t>
      </w:r>
      <w:r>
        <w:rPr>
          <w:rFonts w:cs="Times New Roman"/>
          <w:color w:val="auto"/>
          <w:highlight w:val="none"/>
        </w:rPr>
        <w:t>道路运输危险货物车辆标志》等相关废物转移与道路运输法规；使用密闭式车辆运输，并尽可能安排在夜间或车辆较少的非高峰时段进行；车辆所载危险废物应注明废物来源、性质，不能混合运输性质不相容的危险废物，车辆应设置明显的危害标志，以便引起其他车辆的重视；避免在恶劣的天气进行运输作业；运输危险废物的单位应当制定在发生意外事故时采取的防范和应急措施；驾驶员应接受专业培训，具备有关化学危险品的专业知识，知晓所运送危险废物的性质，以配合有关部门的救援；一旦发生污染事故，能根据事先制定应急预案迅速做出反应，及时通知当地环保和卫生部门，采取应急措施，将损失减小到最低程度。</w:t>
      </w:r>
    </w:p>
    <w:p w14:paraId="4AAE1064">
      <w:pPr>
        <w:adjustRightInd w:val="0"/>
        <w:ind w:firstLine="480"/>
        <w:rPr>
          <w:rFonts w:cs="Times New Roman"/>
          <w:color w:val="auto"/>
          <w:highlight w:val="none"/>
        </w:rPr>
      </w:pPr>
      <w:r>
        <w:rPr>
          <w:rFonts w:cs="Times New Roman"/>
          <w:color w:val="auto"/>
          <w:highlight w:val="none"/>
        </w:rPr>
        <w:t>上述危险废物的收集和管理，公司需委派专人负责，各种废物的储存容器都有很好的密封性，危废储存场所按照《危险废物贮存污染控制标准》（GB18597-2023）相关要求进行防渗、防漏处理，安全可靠，不会受到风雨侵蚀，可有效地防止了存放过程中的二次污染。</w:t>
      </w:r>
    </w:p>
    <w:p w14:paraId="12B7B6F4">
      <w:pPr>
        <w:adjustRightInd w:val="0"/>
        <w:ind w:firstLine="480"/>
        <w:rPr>
          <w:rFonts w:cs="Times New Roman"/>
          <w:color w:val="auto"/>
          <w:highlight w:val="none"/>
        </w:rPr>
      </w:pPr>
      <w:r>
        <w:rPr>
          <w:rFonts w:cs="Times New Roman"/>
          <w:color w:val="auto"/>
          <w:highlight w:val="none"/>
        </w:rPr>
        <w:t>危险废物外运至处置单位时必须严格遵守以下要求：</w:t>
      </w:r>
    </w:p>
    <w:p w14:paraId="2CF27453">
      <w:pPr>
        <w:adjustRightInd w:val="0"/>
        <w:ind w:firstLine="480"/>
        <w:rPr>
          <w:rFonts w:cs="Times New Roman"/>
          <w:color w:val="auto"/>
          <w:highlight w:val="none"/>
        </w:rPr>
      </w:pPr>
      <w:r>
        <w:rPr>
          <w:rFonts w:cs="Times New Roman"/>
          <w:color w:val="auto"/>
          <w:highlight w:val="none"/>
        </w:rPr>
        <w:t>①做好每次外运处置废物的运输登记，认真填写危险废物转移联单（每种废物填写一份联单），并加盖公司公章，经运输单位核实验收签字后，将联单第一联副联自留存档，将联单第二联交移出地环境保护行政主管部门，第三联及其余各联交付运输单位，随危险废物转移运行。第四联交</w:t>
      </w:r>
      <w:r>
        <w:rPr>
          <w:rFonts w:hint="eastAsia" w:cs="Times New Roman"/>
          <w:color w:val="auto"/>
          <w:highlight w:val="none"/>
        </w:rPr>
        <w:t>接收单位</w:t>
      </w:r>
      <w:r>
        <w:rPr>
          <w:rFonts w:cs="Times New Roman"/>
          <w:color w:val="auto"/>
          <w:highlight w:val="none"/>
        </w:rPr>
        <w:t>，第五联交</w:t>
      </w:r>
      <w:r>
        <w:rPr>
          <w:rFonts w:hint="eastAsia" w:cs="Times New Roman"/>
          <w:color w:val="auto"/>
          <w:highlight w:val="none"/>
        </w:rPr>
        <w:t>接收</w:t>
      </w:r>
      <w:r>
        <w:rPr>
          <w:rFonts w:cs="Times New Roman"/>
          <w:color w:val="auto"/>
          <w:highlight w:val="none"/>
        </w:rPr>
        <w:t>地生态环境局。</w:t>
      </w:r>
    </w:p>
    <w:p w14:paraId="6C656B24">
      <w:pPr>
        <w:adjustRightInd w:val="0"/>
        <w:ind w:firstLine="480"/>
        <w:rPr>
          <w:rFonts w:cs="Times New Roman"/>
          <w:color w:val="auto"/>
          <w:highlight w:val="none"/>
        </w:rPr>
      </w:pPr>
      <w:r>
        <w:rPr>
          <w:rFonts w:cs="Times New Roman"/>
          <w:color w:val="auto"/>
          <w:highlight w:val="none"/>
        </w:rPr>
        <w:t>②废物处置单位的运输人员必须掌握风险物质运输的安全知识，了解所运载风险物质的性质、危害特性、包装容器的使用特性和发生意外时的应急措施。运输车辆必须具有车辆危险货物运输许可证。驾驶人员必须由取得驾驶执照的熟练人员担任。</w:t>
      </w:r>
    </w:p>
    <w:p w14:paraId="09CC3FDD">
      <w:pPr>
        <w:adjustRightInd w:val="0"/>
        <w:ind w:firstLine="480"/>
        <w:rPr>
          <w:rFonts w:cs="Times New Roman"/>
          <w:color w:val="auto"/>
          <w:highlight w:val="none"/>
        </w:rPr>
      </w:pPr>
      <w:r>
        <w:rPr>
          <w:rFonts w:cs="Times New Roman"/>
          <w:color w:val="auto"/>
          <w:highlight w:val="none"/>
        </w:rPr>
        <w:t>③处置单位在运输危险废物时必须配备押运人员，并随时处于押运人员的监管之下，不得超装、超载，严格按照所在城市规定的行车时间和行车路线行驶，不得进入风险物质运输车辆禁止通行的区域。</w:t>
      </w:r>
    </w:p>
    <w:p w14:paraId="7BBAB774">
      <w:pPr>
        <w:adjustRightInd w:val="0"/>
        <w:ind w:firstLine="480"/>
        <w:rPr>
          <w:rFonts w:cs="Times New Roman"/>
          <w:color w:val="auto"/>
          <w:highlight w:val="none"/>
        </w:rPr>
      </w:pPr>
      <w:r>
        <w:rPr>
          <w:rFonts w:cs="Times New Roman"/>
          <w:color w:val="auto"/>
          <w:highlight w:val="none"/>
        </w:rPr>
        <w:t>④危险废物在运输途中若发生被盗、丢失、流散、泄漏等情况时，公司及押运人员必须立即向当地公安部门报告，并采取一切可能的警示措施。</w:t>
      </w:r>
    </w:p>
    <w:p w14:paraId="451CE9DB">
      <w:pPr>
        <w:adjustRightInd w:val="0"/>
        <w:ind w:firstLine="480"/>
        <w:rPr>
          <w:rFonts w:cs="Times New Roman"/>
          <w:color w:val="auto"/>
          <w:highlight w:val="none"/>
        </w:rPr>
      </w:pPr>
      <w:r>
        <w:rPr>
          <w:rFonts w:cs="Times New Roman"/>
          <w:color w:val="auto"/>
          <w:highlight w:val="none"/>
        </w:rPr>
        <w:t>⑤一旦发生废物泄漏事故，公司和废物处置单位都应积极协助有关部门采取必要的安全措施，减少事故损失，防止事故蔓延、扩大；针对事故对人体、动植物、土壤、水源、空气造成的现实危害和可能产生的危害，应迅速采取封闭、隔离、洗消等措施，并对事故造成的危害进行监测、处置，直至符合国家环境保护标准。</w:t>
      </w:r>
    </w:p>
    <w:p w14:paraId="01445532">
      <w:pPr>
        <w:adjustRightInd w:val="0"/>
        <w:ind w:firstLine="482"/>
        <w:rPr>
          <w:rFonts w:cs="Times New Roman"/>
          <w:b/>
          <w:bCs/>
          <w:color w:val="auto"/>
          <w:highlight w:val="none"/>
        </w:rPr>
      </w:pPr>
      <w:r>
        <w:rPr>
          <w:rFonts w:cs="Times New Roman"/>
          <w:b/>
          <w:bCs/>
          <w:color w:val="auto"/>
          <w:highlight w:val="none"/>
        </w:rPr>
        <w:t>综上，本项目采取以上措施后固废均能够得到合理有效</w:t>
      </w:r>
      <w:r>
        <w:rPr>
          <w:rFonts w:hint="eastAsia" w:cs="Times New Roman"/>
          <w:b/>
          <w:bCs/>
          <w:color w:val="auto"/>
          <w:highlight w:val="none"/>
        </w:rPr>
        <w:t>地</w:t>
      </w:r>
      <w:r>
        <w:rPr>
          <w:rFonts w:cs="Times New Roman"/>
          <w:b/>
          <w:bCs/>
          <w:color w:val="auto"/>
          <w:highlight w:val="none"/>
        </w:rPr>
        <w:t>处置、去向明确，不会对区域环境造成二次污染。</w:t>
      </w:r>
    </w:p>
    <w:p w14:paraId="35852273">
      <w:pPr>
        <w:pStyle w:val="3"/>
        <w:adjustRightInd w:val="0"/>
        <w:rPr>
          <w:rFonts w:cs="Times New Roman"/>
          <w:color w:val="auto"/>
          <w:highlight w:val="none"/>
        </w:rPr>
      </w:pPr>
      <w:bookmarkStart w:id="125" w:name="_Toc22503"/>
      <w:bookmarkStart w:id="126" w:name="_Toc18206"/>
      <w:bookmarkStart w:id="127" w:name="_Toc27904"/>
      <w:r>
        <w:rPr>
          <w:rFonts w:cs="Times New Roman"/>
          <w:color w:val="auto"/>
          <w:highlight w:val="none"/>
        </w:rPr>
        <w:t>总量控制</w:t>
      </w:r>
      <w:bookmarkEnd w:id="125"/>
      <w:bookmarkEnd w:id="126"/>
      <w:bookmarkEnd w:id="127"/>
    </w:p>
    <w:p w14:paraId="4F8773F6">
      <w:pPr>
        <w:adjustRightInd w:val="0"/>
        <w:ind w:firstLine="480"/>
        <w:rPr>
          <w:rFonts w:cs="Times New Roman"/>
          <w:color w:val="auto"/>
          <w:highlight w:val="none"/>
        </w:rPr>
      </w:pPr>
      <w:r>
        <w:rPr>
          <w:rFonts w:cs="Times New Roman"/>
          <w:color w:val="auto"/>
          <w:highlight w:val="none"/>
        </w:rPr>
        <w:t>贯彻落实国家和四川省污染物排放总量控制规划是实现环境保护目标的重大举措之一。实施总量控制将促进资源、能源的合理利用和优化配置，加速产业结构调整，实现经济增长方式的根本转变；实施总量控制可以较好地处理经济发展与环境保护之间的协调关系，推动可持续发展战略的实行。</w:t>
      </w:r>
    </w:p>
    <w:p w14:paraId="1A789609">
      <w:pPr>
        <w:adjustRightInd w:val="0"/>
        <w:ind w:firstLine="480"/>
        <w:rPr>
          <w:rFonts w:cs="Times New Roman"/>
          <w:color w:val="auto"/>
          <w:highlight w:val="none"/>
        </w:rPr>
      </w:pPr>
      <w:r>
        <w:rPr>
          <w:rFonts w:cs="Times New Roman"/>
          <w:color w:val="auto"/>
          <w:highlight w:val="none"/>
        </w:rPr>
        <w:t>污染物排放总量控制的目的是根据环境质量标准，通过调控污染源分布状况和污染排放方式，把污染物负荷总量控制在自然环境的承载力范围之内。</w:t>
      </w:r>
    </w:p>
    <w:p w14:paraId="1F209FCD">
      <w:pPr>
        <w:pStyle w:val="4"/>
        <w:adjustRightInd w:val="0"/>
        <w:rPr>
          <w:rFonts w:cs="Times New Roman"/>
          <w:color w:val="auto"/>
          <w:highlight w:val="none"/>
        </w:rPr>
      </w:pPr>
      <w:bookmarkStart w:id="128" w:name="_Toc1884"/>
      <w:bookmarkStart w:id="129" w:name="_Toc23511"/>
      <w:bookmarkStart w:id="130" w:name="_Toc19770"/>
      <w:r>
        <w:rPr>
          <w:rFonts w:cs="Times New Roman"/>
          <w:color w:val="auto"/>
          <w:highlight w:val="none"/>
        </w:rPr>
        <w:t>总量控制因子</w:t>
      </w:r>
      <w:bookmarkEnd w:id="128"/>
      <w:bookmarkEnd w:id="129"/>
      <w:bookmarkEnd w:id="130"/>
    </w:p>
    <w:p w14:paraId="419F4EB8">
      <w:pPr>
        <w:adjustRightInd w:val="0"/>
        <w:ind w:firstLine="482"/>
        <w:rPr>
          <w:rFonts w:cs="Times New Roman"/>
          <w:b/>
          <w:bCs/>
          <w:color w:val="auto"/>
          <w:highlight w:val="none"/>
        </w:rPr>
      </w:pPr>
      <w:r>
        <w:rPr>
          <w:rFonts w:cs="Times New Roman"/>
          <w:b/>
          <w:bCs/>
          <w:color w:val="auto"/>
          <w:highlight w:val="none"/>
        </w:rPr>
        <w:t>（1）废气总量控制因子</w:t>
      </w:r>
    </w:p>
    <w:p w14:paraId="179BBB1E">
      <w:pPr>
        <w:adjustRightInd w:val="0"/>
        <w:ind w:firstLine="480"/>
        <w:rPr>
          <w:rFonts w:cs="Times New Roman"/>
          <w:color w:val="auto"/>
          <w:szCs w:val="22"/>
          <w:highlight w:val="none"/>
        </w:rPr>
      </w:pPr>
      <w:r>
        <w:rPr>
          <w:rFonts w:cs="Times New Roman"/>
          <w:color w:val="auto"/>
          <w:szCs w:val="22"/>
          <w:highlight w:val="none"/>
        </w:rPr>
        <w:t>根据</w:t>
      </w:r>
      <w:r>
        <w:rPr>
          <w:rFonts w:hint="eastAsia" w:cs="Times New Roman"/>
          <w:color w:val="auto"/>
          <w:szCs w:val="22"/>
          <w:highlight w:val="none"/>
        </w:rPr>
        <w:t>“</w:t>
      </w:r>
      <w:r>
        <w:rPr>
          <w:rFonts w:cs="Times New Roman"/>
          <w:color w:val="auto"/>
          <w:szCs w:val="22"/>
          <w:highlight w:val="none"/>
        </w:rPr>
        <w:t>十四五</w:t>
      </w:r>
      <w:r>
        <w:rPr>
          <w:rFonts w:hint="eastAsia" w:cs="Times New Roman"/>
          <w:color w:val="auto"/>
          <w:szCs w:val="22"/>
          <w:highlight w:val="none"/>
        </w:rPr>
        <w:t>”</w:t>
      </w:r>
      <w:r>
        <w:rPr>
          <w:rFonts w:cs="Times New Roman"/>
          <w:color w:val="auto"/>
          <w:szCs w:val="22"/>
          <w:highlight w:val="none"/>
        </w:rPr>
        <w:t>全国主要污染物排放总量控制规划，</w:t>
      </w:r>
      <w:r>
        <w:rPr>
          <w:rFonts w:hint="eastAsia" w:cs="Times New Roman"/>
          <w:color w:val="auto"/>
          <w:szCs w:val="22"/>
          <w:highlight w:val="none"/>
        </w:rPr>
        <w:t>废气</w:t>
      </w:r>
      <w:r>
        <w:rPr>
          <w:rFonts w:cs="Times New Roman"/>
          <w:color w:val="auto"/>
          <w:szCs w:val="22"/>
          <w:highlight w:val="none"/>
        </w:rPr>
        <w:t>总量控制指标为NOx、VOCs</w:t>
      </w:r>
      <w:r>
        <w:rPr>
          <w:rFonts w:hint="eastAsia" w:cs="Times New Roman"/>
          <w:color w:val="auto"/>
          <w:szCs w:val="22"/>
          <w:highlight w:val="none"/>
        </w:rPr>
        <w:t>，本项目无总量控制指标。根据乐山市生态环境局相关要求，本项目颗粒物总量执行</w:t>
      </w:r>
      <w:r>
        <w:rPr>
          <w:rFonts w:hint="eastAsia" w:cs="Times New Roman"/>
          <w:color w:val="auto"/>
          <w:szCs w:val="22"/>
          <w:highlight w:val="none"/>
          <w:lang w:val="en-US" w:eastAsia="zh-CN"/>
        </w:rPr>
        <w:t>2</w:t>
      </w:r>
      <w:r>
        <w:rPr>
          <w:rFonts w:hint="eastAsia" w:cs="Times New Roman"/>
          <w:color w:val="auto"/>
          <w:szCs w:val="22"/>
          <w:highlight w:val="none"/>
        </w:rPr>
        <w:t>倍替代。</w:t>
      </w:r>
    </w:p>
    <w:p w14:paraId="4C66324F">
      <w:pPr>
        <w:adjustRightInd w:val="0"/>
        <w:ind w:firstLine="482"/>
        <w:rPr>
          <w:rFonts w:cs="Times New Roman"/>
          <w:b/>
          <w:bCs/>
          <w:color w:val="auto"/>
          <w:highlight w:val="none"/>
        </w:rPr>
      </w:pPr>
      <w:r>
        <w:rPr>
          <w:rFonts w:cs="Times New Roman"/>
          <w:b/>
          <w:bCs/>
          <w:color w:val="auto"/>
          <w:highlight w:val="none"/>
        </w:rPr>
        <w:t>（2）废水总量控制因子</w:t>
      </w:r>
    </w:p>
    <w:p w14:paraId="07A4D453">
      <w:pPr>
        <w:adjustRightInd w:val="0"/>
        <w:ind w:firstLine="480"/>
        <w:rPr>
          <w:rFonts w:cs="Times New Roman"/>
          <w:color w:val="auto"/>
          <w:highlight w:val="none"/>
        </w:rPr>
      </w:pPr>
      <w:r>
        <w:rPr>
          <w:rFonts w:cs="Times New Roman"/>
          <w:color w:val="auto"/>
          <w:highlight w:val="none"/>
        </w:rPr>
        <w:t>本项目选矿废水经絮凝沉淀处理后回用于</w:t>
      </w:r>
      <w:r>
        <w:rPr>
          <w:rFonts w:hint="eastAsia" w:cs="Times New Roman"/>
          <w:color w:val="auto"/>
          <w:highlight w:val="none"/>
        </w:rPr>
        <w:t>湿式磨矿、浮选等工序</w:t>
      </w:r>
      <w:r>
        <w:rPr>
          <w:rFonts w:cs="Times New Roman"/>
          <w:color w:val="auto"/>
          <w:highlight w:val="none"/>
        </w:rPr>
        <w:t>，不外排；初期雨水经初期雨水池沉淀处理后回用于喷雾降尘，不外排；车辆冲洗废水经沉淀池处理后回用于车辆冲洗，不外排；</w:t>
      </w:r>
      <w:r>
        <w:rPr>
          <w:rFonts w:hint="eastAsia" w:cs="Times New Roman"/>
          <w:color w:val="auto"/>
          <w:highlight w:val="none"/>
        </w:rPr>
        <w:t>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经1个预处理池（</w:t>
      </w:r>
      <w:r>
        <w:rPr>
          <w:rFonts w:hint="eastAsia" w:cs="Times New Roman"/>
          <w:color w:val="auto"/>
          <w:highlight w:val="none"/>
        </w:rPr>
        <w:t>20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乐山沙湾经济开发区污水处理厂设计进水水质</w:t>
      </w:r>
      <w:r>
        <w:rPr>
          <w:rFonts w:hint="eastAsia" w:cs="Times New Roman"/>
          <w:color w:val="auto"/>
          <w:highlight w:val="none"/>
        </w:rPr>
        <w:t>”</w:t>
      </w:r>
      <w:r>
        <w:rPr>
          <w:rFonts w:cs="Times New Roman"/>
          <w:color w:val="auto"/>
          <w:highlight w:val="none"/>
        </w:rPr>
        <w:t>后经园区污水管网排入乐山沙湾经济开发区污水处理厂进一步处理达《四川省岷江、沱江流域水污染物排放标准》（DB51/2311-2016）中</w:t>
      </w:r>
      <w:r>
        <w:rPr>
          <w:rFonts w:hint="eastAsia" w:cs="Times New Roman"/>
          <w:color w:val="auto"/>
          <w:highlight w:val="none"/>
        </w:rPr>
        <w:t>“</w:t>
      </w:r>
      <w:r>
        <w:rPr>
          <w:rFonts w:cs="Times New Roman"/>
          <w:color w:val="auto"/>
          <w:highlight w:val="none"/>
        </w:rPr>
        <w:t>工业园区集中式污水处理厂</w:t>
      </w:r>
      <w:r>
        <w:rPr>
          <w:rFonts w:hint="eastAsia" w:cs="Times New Roman"/>
          <w:color w:val="auto"/>
          <w:highlight w:val="none"/>
        </w:rPr>
        <w:t>”</w:t>
      </w:r>
      <w:r>
        <w:rPr>
          <w:rFonts w:cs="Times New Roman"/>
          <w:color w:val="auto"/>
          <w:highlight w:val="none"/>
        </w:rPr>
        <w:t>标准后外排大渡河。</w:t>
      </w:r>
    </w:p>
    <w:p w14:paraId="59721C8A">
      <w:pPr>
        <w:adjustRightInd w:val="0"/>
        <w:ind w:firstLine="480"/>
        <w:rPr>
          <w:rFonts w:cs="Times New Roman"/>
          <w:color w:val="auto"/>
          <w:highlight w:val="none"/>
        </w:rPr>
      </w:pPr>
      <w:r>
        <w:rPr>
          <w:rFonts w:hint="eastAsia" w:cs="Times New Roman"/>
          <w:color w:val="auto"/>
          <w:szCs w:val="22"/>
          <w:highlight w:val="none"/>
        </w:rPr>
        <w:t>“</w:t>
      </w:r>
      <w:r>
        <w:rPr>
          <w:rFonts w:cs="Times New Roman"/>
          <w:color w:val="auto"/>
          <w:szCs w:val="22"/>
          <w:highlight w:val="none"/>
        </w:rPr>
        <w:t>十四五</w:t>
      </w:r>
      <w:r>
        <w:rPr>
          <w:rFonts w:hint="eastAsia" w:cs="Times New Roman"/>
          <w:color w:val="auto"/>
          <w:szCs w:val="22"/>
          <w:highlight w:val="none"/>
        </w:rPr>
        <w:t>”</w:t>
      </w:r>
      <w:r>
        <w:rPr>
          <w:rFonts w:cs="Times New Roman"/>
          <w:color w:val="auto"/>
          <w:szCs w:val="22"/>
          <w:highlight w:val="none"/>
        </w:rPr>
        <w:t>全国主要污染物排放总量控制规划，</w:t>
      </w:r>
      <w:r>
        <w:rPr>
          <w:rFonts w:hint="eastAsia" w:cs="Times New Roman"/>
          <w:color w:val="auto"/>
          <w:szCs w:val="22"/>
          <w:highlight w:val="none"/>
        </w:rPr>
        <w:t>废水</w:t>
      </w:r>
      <w:r>
        <w:rPr>
          <w:rFonts w:cs="Times New Roman"/>
          <w:color w:val="auto"/>
          <w:szCs w:val="22"/>
          <w:highlight w:val="none"/>
        </w:rPr>
        <w:t>总量控制指标为COD、氨氮</w:t>
      </w:r>
      <w:r>
        <w:rPr>
          <w:rFonts w:hint="eastAsia" w:cs="Times New Roman"/>
          <w:color w:val="auto"/>
          <w:szCs w:val="22"/>
          <w:highlight w:val="none"/>
        </w:rPr>
        <w:t>。乐山属于总磷控制区。</w:t>
      </w:r>
      <w:r>
        <w:rPr>
          <w:rFonts w:cs="Times New Roman"/>
          <w:color w:val="auto"/>
          <w:highlight w:val="none"/>
        </w:rPr>
        <w:t>因此，本项目废水总量控制指标为COD、氨氮</w:t>
      </w:r>
      <w:r>
        <w:rPr>
          <w:rFonts w:hint="eastAsia" w:cs="Times New Roman"/>
          <w:color w:val="auto"/>
          <w:highlight w:val="none"/>
        </w:rPr>
        <w:t>、总磷</w:t>
      </w:r>
      <w:r>
        <w:rPr>
          <w:rFonts w:cs="Times New Roman"/>
          <w:color w:val="auto"/>
          <w:highlight w:val="none"/>
        </w:rPr>
        <w:t>。</w:t>
      </w:r>
    </w:p>
    <w:p w14:paraId="09BDB04E">
      <w:pPr>
        <w:pStyle w:val="4"/>
        <w:adjustRightInd w:val="0"/>
        <w:rPr>
          <w:rFonts w:cs="Times New Roman"/>
          <w:color w:val="auto"/>
          <w:highlight w:val="none"/>
        </w:rPr>
      </w:pPr>
      <w:bookmarkStart w:id="131" w:name="_Toc19599"/>
      <w:bookmarkStart w:id="132" w:name="_Toc9684"/>
      <w:bookmarkStart w:id="133" w:name="_Toc14460"/>
      <w:r>
        <w:rPr>
          <w:rFonts w:cs="Times New Roman"/>
          <w:color w:val="auto"/>
          <w:highlight w:val="none"/>
        </w:rPr>
        <w:t>污染物排放总量</w:t>
      </w:r>
      <w:bookmarkEnd w:id="131"/>
      <w:bookmarkEnd w:id="132"/>
      <w:bookmarkEnd w:id="133"/>
    </w:p>
    <w:p w14:paraId="4D214F77">
      <w:pPr>
        <w:adjustRightInd w:val="0"/>
        <w:ind w:firstLine="482"/>
        <w:rPr>
          <w:rFonts w:cs="Times New Roman"/>
          <w:b/>
          <w:bCs/>
          <w:color w:val="auto"/>
          <w:highlight w:val="none"/>
          <w:lang w:val="de-DE"/>
        </w:rPr>
      </w:pPr>
      <w:r>
        <w:rPr>
          <w:rFonts w:cs="Times New Roman"/>
          <w:b/>
          <w:bCs/>
          <w:color w:val="auto"/>
          <w:highlight w:val="none"/>
          <w:lang w:val="de-DE"/>
        </w:rPr>
        <w:t>（1）废气总量</w:t>
      </w:r>
      <w:r>
        <w:rPr>
          <w:rFonts w:hint="eastAsia" w:cs="Times New Roman"/>
          <w:b/>
          <w:bCs/>
          <w:color w:val="auto"/>
          <w:highlight w:val="none"/>
        </w:rPr>
        <w:t>替代</w:t>
      </w:r>
      <w:r>
        <w:rPr>
          <w:rFonts w:cs="Times New Roman"/>
          <w:b/>
          <w:bCs/>
          <w:color w:val="auto"/>
          <w:highlight w:val="none"/>
          <w:lang w:val="de-DE"/>
        </w:rPr>
        <w:t>核算</w:t>
      </w:r>
    </w:p>
    <w:p w14:paraId="11F26BBD">
      <w:pPr>
        <w:adjustRightInd w:val="0"/>
        <w:ind w:firstLine="480"/>
        <w:rPr>
          <w:rFonts w:cs="Times New Roman"/>
          <w:color w:val="auto"/>
          <w:highlight w:val="none"/>
        </w:rPr>
      </w:pPr>
      <w:r>
        <w:rPr>
          <w:rFonts w:cs="Times New Roman"/>
          <w:color w:val="auto"/>
          <w:highlight w:val="none"/>
          <w:lang w:val="de-DE" w:eastAsia="de-DE"/>
        </w:rPr>
        <w:t>根据《建设项目主要污染物总量控制指标审核及管理暂行办法》（环发</w:t>
      </w:r>
      <w:r>
        <w:rPr>
          <w:rFonts w:cs="Times New Roman"/>
          <w:color w:val="auto"/>
          <w:highlight w:val="none"/>
          <w:lang w:val="de-DE"/>
        </w:rPr>
        <w:t>〔</w:t>
      </w:r>
      <w:r>
        <w:rPr>
          <w:rFonts w:cs="Times New Roman"/>
          <w:color w:val="auto"/>
          <w:highlight w:val="none"/>
          <w:lang w:val="de-DE" w:eastAsia="de-DE"/>
        </w:rPr>
        <w:t>2014</w:t>
      </w:r>
      <w:r>
        <w:rPr>
          <w:rFonts w:cs="Times New Roman"/>
          <w:color w:val="auto"/>
          <w:highlight w:val="none"/>
          <w:lang w:val="de-DE"/>
        </w:rPr>
        <w:t>〕</w:t>
      </w:r>
      <w:r>
        <w:rPr>
          <w:rFonts w:cs="Times New Roman"/>
          <w:color w:val="auto"/>
          <w:highlight w:val="none"/>
          <w:lang w:val="de-DE" w:eastAsia="de-DE"/>
        </w:rPr>
        <w:t>197号，简称《暂行方法》）在污染物排放总量审核中明确</w:t>
      </w:r>
      <w:r>
        <w:rPr>
          <w:rFonts w:hint="eastAsia" w:cs="Times New Roman"/>
          <w:color w:val="auto"/>
          <w:highlight w:val="none"/>
          <w:lang w:val="de-DE"/>
        </w:rPr>
        <w:t>“</w:t>
      </w:r>
      <w:r>
        <w:rPr>
          <w:rFonts w:cs="Times New Roman"/>
          <w:color w:val="auto"/>
          <w:highlight w:val="none"/>
          <w:lang w:val="de-DE" w:eastAsia="de-DE"/>
        </w:rPr>
        <w:t>火电、钢铁、水泥、造纸、印染行业建设项目所需替代的主要污染物排放总量指标采用绩效方法核定。其他行业依照国家或地方污染物排放标准及单位产品基准排水量（行业最高允许排水量）、烟气量等予以核定</w:t>
      </w:r>
      <w:r>
        <w:rPr>
          <w:rFonts w:hint="eastAsia" w:cs="Times New Roman"/>
          <w:color w:val="auto"/>
          <w:highlight w:val="none"/>
          <w:lang w:val="de-DE"/>
        </w:rPr>
        <w:t>”</w:t>
      </w:r>
      <w:r>
        <w:rPr>
          <w:rFonts w:cs="Times New Roman"/>
          <w:color w:val="auto"/>
          <w:highlight w:val="none"/>
          <w:lang w:val="de-DE" w:eastAsia="de-DE"/>
        </w:rPr>
        <w:t>。由于本项目</w:t>
      </w:r>
      <w:r>
        <w:rPr>
          <w:rFonts w:cs="Times New Roman"/>
          <w:color w:val="auto"/>
          <w:highlight w:val="none"/>
        </w:rPr>
        <w:t>颗粒物</w:t>
      </w:r>
      <w:r>
        <w:rPr>
          <w:rFonts w:cs="Times New Roman"/>
          <w:color w:val="auto"/>
          <w:highlight w:val="none"/>
          <w:lang w:val="de-DE"/>
        </w:rPr>
        <w:t>预测</w:t>
      </w:r>
      <w:r>
        <w:rPr>
          <w:rFonts w:cs="Times New Roman"/>
          <w:color w:val="auto"/>
          <w:highlight w:val="none"/>
          <w:lang w:val="de-DE" w:eastAsia="de-DE"/>
        </w:rPr>
        <w:t>排放量与按照标准核定量差异较大，</w:t>
      </w:r>
      <w:r>
        <w:rPr>
          <w:rFonts w:cs="Times New Roman"/>
          <w:color w:val="auto"/>
          <w:highlight w:val="none"/>
          <w:lang w:val="de-DE"/>
        </w:rPr>
        <w:t>因此</w:t>
      </w:r>
      <w:r>
        <w:rPr>
          <w:rFonts w:cs="Times New Roman"/>
          <w:color w:val="auto"/>
          <w:highlight w:val="none"/>
          <w:lang w:val="de-DE" w:eastAsia="de-DE"/>
        </w:rPr>
        <w:t>本项目</w:t>
      </w:r>
      <w:r>
        <w:rPr>
          <w:rFonts w:cs="Times New Roman"/>
          <w:color w:val="auto"/>
          <w:highlight w:val="none"/>
        </w:rPr>
        <w:t>颗粒物</w:t>
      </w:r>
      <w:r>
        <w:rPr>
          <w:rFonts w:cs="Times New Roman"/>
          <w:color w:val="auto"/>
          <w:highlight w:val="none"/>
          <w:lang w:val="de-DE" w:eastAsia="de-DE"/>
        </w:rPr>
        <w:t>的排放量以</w:t>
      </w:r>
      <w:r>
        <w:rPr>
          <w:rFonts w:cs="Times New Roman"/>
          <w:color w:val="auto"/>
          <w:highlight w:val="none"/>
          <w:lang w:val="de-DE"/>
        </w:rPr>
        <w:t>企业预测</w:t>
      </w:r>
      <w:r>
        <w:rPr>
          <w:rFonts w:cs="Times New Roman"/>
          <w:color w:val="auto"/>
          <w:highlight w:val="none"/>
          <w:lang w:val="de-DE" w:eastAsia="de-DE"/>
        </w:rPr>
        <w:t>排放量核定</w:t>
      </w:r>
      <w:r>
        <w:rPr>
          <w:rFonts w:cs="Times New Roman"/>
          <w:color w:val="auto"/>
          <w:highlight w:val="none"/>
          <w:lang w:val="de-DE"/>
        </w:rPr>
        <w:t>。</w:t>
      </w:r>
    </w:p>
    <w:p w14:paraId="1C1BED88">
      <w:pPr>
        <w:adjustRightInd w:val="0"/>
        <w:ind w:firstLine="480"/>
        <w:rPr>
          <w:rFonts w:cs="Times New Roman"/>
          <w:color w:val="auto"/>
          <w:highlight w:val="none"/>
        </w:rPr>
      </w:pPr>
      <w:r>
        <w:rPr>
          <w:rFonts w:cs="Times New Roman"/>
          <w:color w:val="auto"/>
          <w:highlight w:val="none"/>
        </w:rPr>
        <w:t>全厂废气污染物</w:t>
      </w:r>
      <w:r>
        <w:rPr>
          <w:rFonts w:cs="Times New Roman"/>
          <w:color w:val="auto"/>
          <w:highlight w:val="none"/>
          <w:lang w:val="de-DE"/>
        </w:rPr>
        <w:t>：</w:t>
      </w:r>
    </w:p>
    <w:p w14:paraId="767432E6">
      <w:pPr>
        <w:overflowPunct w:val="0"/>
        <w:adjustRightInd w:val="0"/>
        <w:ind w:firstLine="480"/>
        <w:rPr>
          <w:rFonts w:cs="Times New Roman"/>
          <w:color w:val="auto"/>
          <w:kern w:val="21"/>
          <w:szCs w:val="22"/>
          <w:highlight w:val="none"/>
          <w:lang w:val="de-DE" w:bidi="ar"/>
        </w:rPr>
      </w:pPr>
      <w:r>
        <w:rPr>
          <w:rFonts w:cs="Times New Roman"/>
          <w:color w:val="auto"/>
          <w:kern w:val="21"/>
          <w:szCs w:val="24"/>
          <w:highlight w:val="none"/>
        </w:rPr>
        <w:t>颗粒物</w:t>
      </w:r>
      <w:r>
        <w:rPr>
          <w:rFonts w:cs="Times New Roman"/>
          <w:color w:val="auto"/>
          <w:kern w:val="21"/>
          <w:szCs w:val="24"/>
          <w:highlight w:val="none"/>
          <w:lang w:val="de-DE"/>
        </w:rPr>
        <w:t>（</w:t>
      </w:r>
      <w:r>
        <w:rPr>
          <w:rFonts w:cs="Times New Roman"/>
          <w:color w:val="auto"/>
          <w:kern w:val="21"/>
          <w:szCs w:val="24"/>
          <w:highlight w:val="none"/>
        </w:rPr>
        <w:t>有组织</w:t>
      </w:r>
      <w:r>
        <w:rPr>
          <w:rFonts w:cs="Times New Roman"/>
          <w:color w:val="auto"/>
          <w:kern w:val="21"/>
          <w:szCs w:val="24"/>
          <w:highlight w:val="none"/>
          <w:lang w:val="de-DE"/>
        </w:rPr>
        <w:t>）：</w:t>
      </w:r>
      <w:r>
        <w:rPr>
          <w:rFonts w:hint="eastAsia" w:cs="Times New Roman"/>
          <w:color w:val="auto"/>
          <w:kern w:val="21"/>
          <w:szCs w:val="24"/>
          <w:highlight w:val="none"/>
        </w:rPr>
        <w:t>50000m</w:t>
      </w:r>
      <w:r>
        <w:rPr>
          <w:rFonts w:hint="eastAsia" w:cs="Times New Roman"/>
          <w:color w:val="auto"/>
          <w:kern w:val="21"/>
          <w:szCs w:val="24"/>
          <w:highlight w:val="none"/>
          <w:vertAlign w:val="superscript"/>
        </w:rPr>
        <w:t>3</w:t>
      </w:r>
      <w:r>
        <w:rPr>
          <w:rFonts w:hint="eastAsia" w:cs="Times New Roman"/>
          <w:color w:val="auto"/>
          <w:kern w:val="21"/>
          <w:szCs w:val="24"/>
          <w:highlight w:val="none"/>
        </w:rPr>
        <w:t>/h</w:t>
      </w:r>
      <w:r>
        <w:rPr>
          <w:rFonts w:cs="Times New Roman"/>
          <w:color w:val="auto"/>
          <w:kern w:val="21"/>
          <w:szCs w:val="22"/>
          <w:highlight w:val="none"/>
          <w:lang w:val="de-DE" w:bidi="ar"/>
        </w:rPr>
        <w:t>×</w:t>
      </w:r>
      <w:r>
        <w:rPr>
          <w:rFonts w:hint="eastAsia" w:cs="Times New Roman"/>
          <w:color w:val="auto"/>
          <w:kern w:val="21"/>
          <w:szCs w:val="22"/>
          <w:highlight w:val="none"/>
          <w:lang w:bidi="ar"/>
        </w:rPr>
        <w:t>5.8mg/m</w:t>
      </w:r>
      <w:r>
        <w:rPr>
          <w:rFonts w:hint="eastAsia" w:cs="Times New Roman"/>
          <w:color w:val="auto"/>
          <w:kern w:val="21"/>
          <w:szCs w:val="22"/>
          <w:highlight w:val="none"/>
          <w:vertAlign w:val="superscript"/>
          <w:lang w:bidi="ar"/>
        </w:rPr>
        <w:t>3</w:t>
      </w:r>
      <w:r>
        <w:rPr>
          <w:rFonts w:hint="eastAsia" w:cs="Times New Roman"/>
          <w:color w:val="auto"/>
          <w:kern w:val="21"/>
          <w:szCs w:val="22"/>
          <w:highlight w:val="none"/>
          <w:lang w:bidi="ar"/>
        </w:rPr>
        <w:t>×5280h</w:t>
      </w:r>
      <w:r>
        <w:rPr>
          <w:rFonts w:hint="eastAsia"/>
          <w:color w:val="auto"/>
          <w:highlight w:val="none"/>
        </w:rPr>
        <w:t>×10</w:t>
      </w:r>
      <w:r>
        <w:rPr>
          <w:rFonts w:hint="eastAsia"/>
          <w:color w:val="auto"/>
          <w:highlight w:val="none"/>
          <w:vertAlign w:val="superscript"/>
        </w:rPr>
        <w:t>-9</w:t>
      </w:r>
      <w:r>
        <w:rPr>
          <w:rFonts w:cs="Times New Roman"/>
          <w:color w:val="auto"/>
          <w:kern w:val="21"/>
          <w:szCs w:val="22"/>
          <w:highlight w:val="none"/>
          <w:lang w:val="de-DE" w:bidi="ar"/>
        </w:rPr>
        <w:t>=</w:t>
      </w:r>
      <w:r>
        <w:rPr>
          <w:rFonts w:hint="eastAsia" w:cs="Times New Roman"/>
          <w:color w:val="auto"/>
          <w:kern w:val="21"/>
          <w:szCs w:val="22"/>
          <w:highlight w:val="none"/>
          <w:lang w:bidi="ar"/>
        </w:rPr>
        <w:t>1.53</w:t>
      </w:r>
      <w:r>
        <w:rPr>
          <w:rFonts w:cs="Times New Roman"/>
          <w:color w:val="auto"/>
          <w:kern w:val="21"/>
          <w:szCs w:val="22"/>
          <w:highlight w:val="none"/>
          <w:lang w:val="de-DE" w:bidi="ar"/>
        </w:rPr>
        <w:t>t/a</w:t>
      </w:r>
    </w:p>
    <w:p w14:paraId="62D1A01B">
      <w:pPr>
        <w:overflowPunct w:val="0"/>
        <w:adjustRightInd w:val="0"/>
        <w:ind w:firstLine="480"/>
        <w:rPr>
          <w:rFonts w:cs="Times New Roman"/>
          <w:color w:val="auto"/>
          <w:kern w:val="21"/>
          <w:szCs w:val="22"/>
          <w:highlight w:val="none"/>
          <w:lang w:bidi="ar"/>
        </w:rPr>
      </w:pPr>
      <w:r>
        <w:rPr>
          <w:rFonts w:cs="Times New Roman"/>
          <w:color w:val="auto"/>
          <w:kern w:val="21"/>
          <w:szCs w:val="22"/>
          <w:highlight w:val="none"/>
          <w:lang w:val="de-DE" w:bidi="ar"/>
        </w:rPr>
        <w:t>颗粒物（</w:t>
      </w:r>
      <w:r>
        <w:rPr>
          <w:rFonts w:hint="eastAsia" w:cs="Times New Roman"/>
          <w:color w:val="auto"/>
          <w:kern w:val="21"/>
          <w:szCs w:val="22"/>
          <w:highlight w:val="none"/>
          <w:lang w:bidi="ar"/>
        </w:rPr>
        <w:t>无</w:t>
      </w:r>
      <w:r>
        <w:rPr>
          <w:rFonts w:cs="Times New Roman"/>
          <w:color w:val="auto"/>
          <w:kern w:val="21"/>
          <w:szCs w:val="22"/>
          <w:highlight w:val="none"/>
          <w:lang w:val="de-DE" w:bidi="ar"/>
        </w:rPr>
        <w:t>组织）：</w:t>
      </w:r>
      <w:r>
        <w:rPr>
          <w:rFonts w:hint="eastAsia" w:cs="Times New Roman"/>
          <w:color w:val="auto"/>
          <w:kern w:val="21"/>
          <w:szCs w:val="22"/>
          <w:highlight w:val="none"/>
          <w:lang w:bidi="ar"/>
        </w:rPr>
        <w:t>1.3346t/a</w:t>
      </w:r>
    </w:p>
    <w:p w14:paraId="1EF82412">
      <w:pPr>
        <w:adjustRightInd w:val="0"/>
        <w:ind w:firstLine="482"/>
        <w:rPr>
          <w:rFonts w:cs="Times New Roman"/>
          <w:b/>
          <w:bCs/>
          <w:color w:val="auto"/>
          <w:highlight w:val="none"/>
          <w:lang w:val="de-DE"/>
        </w:rPr>
      </w:pPr>
      <w:r>
        <w:rPr>
          <w:rFonts w:cs="Times New Roman"/>
          <w:b/>
          <w:bCs/>
          <w:color w:val="auto"/>
          <w:highlight w:val="none"/>
          <w:lang w:val="de-DE"/>
        </w:rPr>
        <w:t>（2）废水总量指标核算</w:t>
      </w:r>
    </w:p>
    <w:p w14:paraId="308C8E79">
      <w:pPr>
        <w:adjustRightInd w:val="0"/>
        <w:ind w:firstLine="480"/>
        <w:rPr>
          <w:rFonts w:cs="Times New Roman"/>
          <w:color w:val="auto"/>
          <w:highlight w:val="none"/>
          <w:lang w:val="de-DE"/>
        </w:rPr>
      </w:pPr>
      <w:r>
        <w:rPr>
          <w:rFonts w:cs="Times New Roman"/>
          <w:color w:val="auto"/>
          <w:highlight w:val="none"/>
        </w:rPr>
        <w:t>本项目生产废水回用不外排，</w:t>
      </w:r>
      <w:r>
        <w:rPr>
          <w:rFonts w:hint="eastAsia" w:cs="Times New Roman"/>
          <w:color w:val="auto"/>
          <w:highlight w:val="none"/>
        </w:rPr>
        <w:t>食堂废水经隔油池（1m</w:t>
      </w:r>
      <w:r>
        <w:rPr>
          <w:rFonts w:hint="eastAsia" w:cs="Times New Roman"/>
          <w:color w:val="auto"/>
          <w:highlight w:val="none"/>
          <w:vertAlign w:val="superscript"/>
        </w:rPr>
        <w:t>3</w:t>
      </w:r>
      <w:r>
        <w:rPr>
          <w:rFonts w:hint="eastAsia" w:cs="Times New Roman"/>
          <w:color w:val="auto"/>
          <w:highlight w:val="none"/>
        </w:rPr>
        <w:t>）处理后与生活污水一同</w:t>
      </w:r>
      <w:r>
        <w:rPr>
          <w:rFonts w:cs="Times New Roman"/>
          <w:color w:val="auto"/>
          <w:highlight w:val="none"/>
        </w:rPr>
        <w:t>经预处理池（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w:t>
      </w:r>
      <w:r>
        <w:rPr>
          <w:rFonts w:hint="eastAsia" w:cs="Times New Roman"/>
          <w:color w:val="auto"/>
          <w:highlight w:val="none"/>
        </w:rPr>
        <w:t>“</w:t>
      </w:r>
      <w:r>
        <w:rPr>
          <w:rFonts w:cs="Times New Roman"/>
          <w:color w:val="auto"/>
          <w:highlight w:val="none"/>
        </w:rPr>
        <w:t>乐山沙湾经济开发区污水处理厂进水水质标准</w:t>
      </w:r>
      <w:r>
        <w:rPr>
          <w:rFonts w:hint="eastAsia" w:cs="Times New Roman"/>
          <w:color w:val="auto"/>
          <w:highlight w:val="none"/>
        </w:rPr>
        <w:t>”</w:t>
      </w:r>
      <w:r>
        <w:rPr>
          <w:rFonts w:cs="Times New Roman"/>
          <w:color w:val="auto"/>
          <w:highlight w:val="none"/>
        </w:rPr>
        <w:t>后经污水管网排入乐山沙湾经济开发区污水处理厂处理达</w:t>
      </w:r>
      <w:r>
        <w:rPr>
          <w:rFonts w:cs="Times New Roman"/>
          <w:color w:val="auto"/>
          <w:highlight w:val="none"/>
          <w:lang w:val="zh-CN"/>
        </w:rPr>
        <w:t>《四川省岷江、沱江流域水污染物排放标准》（</w:t>
      </w:r>
      <w:r>
        <w:rPr>
          <w:rFonts w:cs="Times New Roman"/>
          <w:color w:val="auto"/>
          <w:highlight w:val="none"/>
        </w:rPr>
        <w:t>DB51/2133</w:t>
      </w:r>
      <w:r>
        <w:rPr>
          <w:rFonts w:cs="Times New Roman"/>
          <w:color w:val="auto"/>
          <w:highlight w:val="none"/>
          <w:lang w:val="zh-CN"/>
        </w:rPr>
        <w:t>-20</w:t>
      </w:r>
      <w:r>
        <w:rPr>
          <w:rFonts w:cs="Times New Roman"/>
          <w:color w:val="auto"/>
          <w:highlight w:val="none"/>
        </w:rPr>
        <w:t>16</w:t>
      </w:r>
      <w:r>
        <w:rPr>
          <w:rFonts w:cs="Times New Roman"/>
          <w:color w:val="auto"/>
          <w:highlight w:val="none"/>
          <w:lang w:val="zh-CN"/>
        </w:rPr>
        <w:t>）表1中标准</w:t>
      </w:r>
      <w:r>
        <w:rPr>
          <w:rFonts w:cs="Times New Roman"/>
          <w:color w:val="auto"/>
          <w:highlight w:val="none"/>
        </w:rPr>
        <w:t>（COD40mg/L、NH</w:t>
      </w:r>
      <w:r>
        <w:rPr>
          <w:rFonts w:cs="Times New Roman"/>
          <w:color w:val="auto"/>
          <w:highlight w:val="none"/>
          <w:vertAlign w:val="subscript"/>
        </w:rPr>
        <w:t>3</w:t>
      </w:r>
      <w:r>
        <w:rPr>
          <w:rFonts w:cs="Times New Roman"/>
          <w:color w:val="auto"/>
          <w:highlight w:val="none"/>
        </w:rPr>
        <w:t>-N3mg/L</w:t>
      </w:r>
      <w:r>
        <w:rPr>
          <w:rFonts w:cs="Times New Roman"/>
          <w:color w:val="auto"/>
          <w:highlight w:val="none"/>
          <w:lang w:val="zh-CN"/>
        </w:rPr>
        <w:t>）后排入</w:t>
      </w:r>
      <w:r>
        <w:rPr>
          <w:rFonts w:cs="Times New Roman"/>
          <w:color w:val="auto"/>
          <w:highlight w:val="none"/>
        </w:rPr>
        <w:t>大渡河。</w:t>
      </w:r>
    </w:p>
    <w:p w14:paraId="1B4279D2">
      <w:pPr>
        <w:adjustRightInd w:val="0"/>
        <w:ind w:firstLine="482"/>
        <w:rPr>
          <w:rFonts w:cs="Times New Roman"/>
          <w:b/>
          <w:bCs/>
          <w:color w:val="auto"/>
          <w:highlight w:val="none"/>
          <w:lang w:val="de-DE"/>
        </w:rPr>
      </w:pPr>
      <w:r>
        <w:rPr>
          <w:rFonts w:cs="Times New Roman"/>
          <w:b/>
          <w:bCs/>
          <w:color w:val="auto"/>
          <w:highlight w:val="none"/>
          <w:lang w:val="de-DE"/>
        </w:rPr>
        <w:t>①</w:t>
      </w:r>
      <w:r>
        <w:rPr>
          <w:rFonts w:cs="Times New Roman"/>
          <w:b/>
          <w:bCs/>
          <w:color w:val="auto"/>
          <w:highlight w:val="none"/>
        </w:rPr>
        <w:t>厂区排口</w:t>
      </w:r>
    </w:p>
    <w:p w14:paraId="60483A2A">
      <w:pPr>
        <w:adjustRightInd w:val="0"/>
        <w:ind w:firstLine="480"/>
        <w:rPr>
          <w:rFonts w:cs="Times New Roman"/>
          <w:color w:val="auto"/>
          <w:highlight w:val="none"/>
          <w:lang w:val="de-DE"/>
        </w:rPr>
      </w:pPr>
      <w:r>
        <w:rPr>
          <w:rFonts w:cs="Times New Roman"/>
          <w:color w:val="auto"/>
          <w:highlight w:val="none"/>
          <w:lang w:val="de-DE"/>
        </w:rPr>
        <w:t>COD：3141.6m</w:t>
      </w:r>
      <w:r>
        <w:rPr>
          <w:rFonts w:cs="Times New Roman"/>
          <w:color w:val="auto"/>
          <w:highlight w:val="none"/>
          <w:vertAlign w:val="superscript"/>
          <w:lang w:val="de-DE"/>
        </w:rPr>
        <w:t>3</w:t>
      </w:r>
      <w:r>
        <w:rPr>
          <w:rFonts w:cs="Times New Roman"/>
          <w:color w:val="auto"/>
          <w:highlight w:val="none"/>
          <w:lang w:val="de-DE"/>
        </w:rPr>
        <w:t>/a×300mg/L×10</w:t>
      </w:r>
      <w:r>
        <w:rPr>
          <w:rFonts w:cs="Times New Roman"/>
          <w:color w:val="auto"/>
          <w:highlight w:val="none"/>
          <w:vertAlign w:val="superscript"/>
          <w:lang w:val="de-DE"/>
        </w:rPr>
        <w:t>-6</w:t>
      </w:r>
      <w:r>
        <w:rPr>
          <w:rFonts w:cs="Times New Roman"/>
          <w:color w:val="auto"/>
          <w:highlight w:val="none"/>
          <w:lang w:val="de-DE"/>
        </w:rPr>
        <w:t>=0.942t/a</w:t>
      </w:r>
    </w:p>
    <w:p w14:paraId="4DEC4508">
      <w:pPr>
        <w:adjustRightInd w:val="0"/>
        <w:ind w:firstLine="480"/>
        <w:rPr>
          <w:color w:val="auto"/>
          <w:highlight w:val="none"/>
          <w:lang w:val="de-DE"/>
        </w:rPr>
      </w:pPr>
      <w:r>
        <w:rPr>
          <w:rFonts w:cs="Times New Roman"/>
          <w:color w:val="auto"/>
          <w:highlight w:val="none"/>
        </w:rPr>
        <w:t>氨氮</w:t>
      </w:r>
      <w:r>
        <w:rPr>
          <w:rFonts w:cs="Times New Roman"/>
          <w:color w:val="auto"/>
          <w:highlight w:val="none"/>
          <w:lang w:val="de-DE"/>
        </w:rPr>
        <w:t>：3141.6m</w:t>
      </w:r>
      <w:r>
        <w:rPr>
          <w:rFonts w:cs="Times New Roman"/>
          <w:color w:val="auto"/>
          <w:highlight w:val="none"/>
          <w:vertAlign w:val="superscript"/>
          <w:lang w:val="de-DE"/>
        </w:rPr>
        <w:t>3</w:t>
      </w:r>
      <w:r>
        <w:rPr>
          <w:rFonts w:cs="Times New Roman"/>
          <w:color w:val="auto"/>
          <w:highlight w:val="none"/>
          <w:lang w:val="de-DE"/>
        </w:rPr>
        <w:t>/a×25mg/L×10</w:t>
      </w:r>
      <w:r>
        <w:rPr>
          <w:rFonts w:cs="Times New Roman"/>
          <w:color w:val="auto"/>
          <w:highlight w:val="none"/>
          <w:vertAlign w:val="superscript"/>
          <w:lang w:val="de-DE"/>
        </w:rPr>
        <w:t>-6</w:t>
      </w:r>
      <w:r>
        <w:rPr>
          <w:rFonts w:cs="Times New Roman"/>
          <w:color w:val="auto"/>
          <w:highlight w:val="none"/>
          <w:lang w:val="de-DE"/>
        </w:rPr>
        <w:t>=0.07</w:t>
      </w:r>
      <w:r>
        <w:rPr>
          <w:rFonts w:hint="eastAsia" w:cs="Times New Roman"/>
          <w:color w:val="auto"/>
          <w:highlight w:val="none"/>
          <w:lang w:val="de-DE"/>
        </w:rPr>
        <w:t>9</w:t>
      </w:r>
      <w:r>
        <w:rPr>
          <w:rFonts w:cs="Times New Roman"/>
          <w:color w:val="auto"/>
          <w:highlight w:val="none"/>
          <w:lang w:val="de-DE"/>
        </w:rPr>
        <w:t>/a</w:t>
      </w:r>
    </w:p>
    <w:p w14:paraId="7C2133B2">
      <w:pPr>
        <w:adjustRightInd w:val="0"/>
        <w:ind w:firstLine="480"/>
        <w:rPr>
          <w:color w:val="auto"/>
          <w:highlight w:val="none"/>
        </w:rPr>
      </w:pPr>
      <w:r>
        <w:rPr>
          <w:rFonts w:hint="eastAsia"/>
          <w:color w:val="auto"/>
          <w:highlight w:val="none"/>
        </w:rPr>
        <w:t>总磷：</w:t>
      </w:r>
      <w:r>
        <w:rPr>
          <w:rFonts w:cs="Times New Roman"/>
          <w:color w:val="auto"/>
          <w:highlight w:val="none"/>
          <w:lang w:val="de-DE"/>
        </w:rPr>
        <w:t>3141.6m</w:t>
      </w:r>
      <w:r>
        <w:rPr>
          <w:rFonts w:cs="Times New Roman"/>
          <w:color w:val="auto"/>
          <w:highlight w:val="none"/>
          <w:vertAlign w:val="superscript"/>
          <w:lang w:val="de-DE"/>
        </w:rPr>
        <w:t>3</w:t>
      </w:r>
      <w:r>
        <w:rPr>
          <w:rFonts w:cs="Times New Roman"/>
          <w:color w:val="auto"/>
          <w:highlight w:val="none"/>
          <w:lang w:val="de-DE"/>
        </w:rPr>
        <w:t>/a×</w:t>
      </w:r>
      <w:r>
        <w:rPr>
          <w:rFonts w:hint="eastAsia" w:cs="Times New Roman"/>
          <w:color w:val="auto"/>
          <w:highlight w:val="none"/>
        </w:rPr>
        <w:t>3.5</w:t>
      </w:r>
      <w:r>
        <w:rPr>
          <w:rFonts w:cs="Times New Roman"/>
          <w:color w:val="auto"/>
          <w:highlight w:val="none"/>
          <w:lang w:val="de-DE"/>
        </w:rPr>
        <w:t>mg/L×10</w:t>
      </w:r>
      <w:r>
        <w:rPr>
          <w:rFonts w:cs="Times New Roman"/>
          <w:color w:val="auto"/>
          <w:highlight w:val="none"/>
          <w:vertAlign w:val="superscript"/>
          <w:lang w:val="de-DE"/>
        </w:rPr>
        <w:t>-6</w:t>
      </w:r>
      <w:r>
        <w:rPr>
          <w:rFonts w:cs="Times New Roman"/>
          <w:color w:val="auto"/>
          <w:highlight w:val="none"/>
          <w:lang w:val="de-DE"/>
        </w:rPr>
        <w:t>=0.</w:t>
      </w:r>
      <w:r>
        <w:rPr>
          <w:rFonts w:hint="eastAsia" w:cs="Times New Roman"/>
          <w:color w:val="auto"/>
          <w:highlight w:val="none"/>
        </w:rPr>
        <w:t>011</w:t>
      </w:r>
      <w:r>
        <w:rPr>
          <w:rFonts w:cs="Times New Roman"/>
          <w:color w:val="auto"/>
          <w:highlight w:val="none"/>
          <w:lang w:val="de-DE"/>
        </w:rPr>
        <w:t>t/a</w:t>
      </w:r>
    </w:p>
    <w:p w14:paraId="20C9342B">
      <w:pPr>
        <w:adjustRightInd w:val="0"/>
        <w:ind w:firstLine="482"/>
        <w:rPr>
          <w:rFonts w:cs="Times New Roman"/>
          <w:b/>
          <w:bCs/>
          <w:color w:val="auto"/>
          <w:highlight w:val="none"/>
          <w:lang w:val="de-DE"/>
        </w:rPr>
      </w:pPr>
      <w:r>
        <w:rPr>
          <w:rFonts w:cs="Times New Roman"/>
          <w:b/>
          <w:bCs/>
          <w:color w:val="auto"/>
          <w:highlight w:val="none"/>
          <w:lang w:val="de-DE"/>
        </w:rPr>
        <w:t>②</w:t>
      </w:r>
      <w:r>
        <w:rPr>
          <w:rFonts w:hint="eastAsia"/>
          <w:b/>
          <w:bCs/>
          <w:color w:val="auto"/>
          <w:highlight w:val="none"/>
        </w:rPr>
        <w:t>乐山沙湾经济开发区</w:t>
      </w:r>
      <w:r>
        <w:rPr>
          <w:rFonts w:cs="Times New Roman"/>
          <w:b/>
          <w:bCs/>
          <w:color w:val="auto"/>
          <w:highlight w:val="none"/>
        </w:rPr>
        <w:t>污水处理厂排口</w:t>
      </w:r>
    </w:p>
    <w:p w14:paraId="61E31CE0">
      <w:pPr>
        <w:adjustRightInd w:val="0"/>
        <w:ind w:firstLine="480"/>
        <w:rPr>
          <w:rFonts w:cs="Times New Roman"/>
          <w:color w:val="auto"/>
          <w:highlight w:val="none"/>
          <w:lang w:val="de-DE"/>
        </w:rPr>
      </w:pPr>
      <w:r>
        <w:rPr>
          <w:rFonts w:cs="Times New Roman"/>
          <w:color w:val="auto"/>
          <w:highlight w:val="none"/>
          <w:lang w:val="de-DE"/>
        </w:rPr>
        <w:t>COD：3141.6m</w:t>
      </w:r>
      <w:r>
        <w:rPr>
          <w:rFonts w:cs="Times New Roman"/>
          <w:color w:val="auto"/>
          <w:highlight w:val="none"/>
          <w:vertAlign w:val="superscript"/>
          <w:lang w:val="de-DE"/>
        </w:rPr>
        <w:t>3</w:t>
      </w:r>
      <w:r>
        <w:rPr>
          <w:rFonts w:cs="Times New Roman"/>
          <w:color w:val="auto"/>
          <w:highlight w:val="none"/>
          <w:lang w:val="de-DE"/>
        </w:rPr>
        <w:t>/a×40mg/L×10</w:t>
      </w:r>
      <w:r>
        <w:rPr>
          <w:rFonts w:cs="Times New Roman"/>
          <w:color w:val="auto"/>
          <w:highlight w:val="none"/>
          <w:vertAlign w:val="superscript"/>
          <w:lang w:val="de-DE"/>
        </w:rPr>
        <w:t>-6</w:t>
      </w:r>
      <w:r>
        <w:rPr>
          <w:rFonts w:cs="Times New Roman"/>
          <w:color w:val="auto"/>
          <w:highlight w:val="none"/>
          <w:lang w:val="de-DE"/>
        </w:rPr>
        <w:t>=0.126t/a</w:t>
      </w:r>
    </w:p>
    <w:p w14:paraId="60D7B39C">
      <w:pPr>
        <w:adjustRightInd w:val="0"/>
        <w:ind w:firstLine="480"/>
        <w:rPr>
          <w:color w:val="auto"/>
          <w:highlight w:val="none"/>
        </w:rPr>
      </w:pPr>
      <w:r>
        <w:rPr>
          <w:rFonts w:cs="Times New Roman"/>
          <w:color w:val="auto"/>
          <w:highlight w:val="none"/>
        </w:rPr>
        <w:t>氨氮</w:t>
      </w:r>
      <w:r>
        <w:rPr>
          <w:rFonts w:cs="Times New Roman"/>
          <w:color w:val="auto"/>
          <w:highlight w:val="none"/>
          <w:lang w:val="de-DE"/>
        </w:rPr>
        <w:t>：3141.6m</w:t>
      </w:r>
      <w:r>
        <w:rPr>
          <w:rFonts w:cs="Times New Roman"/>
          <w:color w:val="auto"/>
          <w:highlight w:val="none"/>
          <w:vertAlign w:val="superscript"/>
          <w:lang w:val="de-DE"/>
        </w:rPr>
        <w:t>3</w:t>
      </w:r>
      <w:r>
        <w:rPr>
          <w:rFonts w:cs="Times New Roman"/>
          <w:color w:val="auto"/>
          <w:highlight w:val="none"/>
          <w:lang w:val="de-DE"/>
        </w:rPr>
        <w:t>/a×3mg/L×10</w:t>
      </w:r>
      <w:r>
        <w:rPr>
          <w:rFonts w:cs="Times New Roman"/>
          <w:color w:val="auto"/>
          <w:highlight w:val="none"/>
          <w:vertAlign w:val="superscript"/>
          <w:lang w:val="de-DE"/>
        </w:rPr>
        <w:t>-6</w:t>
      </w:r>
      <w:r>
        <w:rPr>
          <w:rFonts w:cs="Times New Roman"/>
          <w:color w:val="auto"/>
          <w:highlight w:val="none"/>
          <w:lang w:val="de-DE"/>
        </w:rPr>
        <w:t>=0.009t/a</w:t>
      </w:r>
    </w:p>
    <w:p w14:paraId="4E1259A3">
      <w:pPr>
        <w:adjustRightInd w:val="0"/>
        <w:ind w:firstLine="480"/>
        <w:rPr>
          <w:color w:val="auto"/>
          <w:highlight w:val="none"/>
          <w:lang w:val="de-DE"/>
        </w:rPr>
      </w:pPr>
      <w:r>
        <w:rPr>
          <w:rFonts w:hint="eastAsia"/>
          <w:color w:val="auto"/>
          <w:highlight w:val="none"/>
        </w:rPr>
        <w:t>总磷：</w:t>
      </w:r>
      <w:r>
        <w:rPr>
          <w:rFonts w:cs="Times New Roman"/>
          <w:color w:val="auto"/>
          <w:highlight w:val="none"/>
          <w:lang w:val="de-DE"/>
        </w:rPr>
        <w:t>3141.6m</w:t>
      </w:r>
      <w:r>
        <w:rPr>
          <w:rFonts w:cs="Times New Roman"/>
          <w:color w:val="auto"/>
          <w:highlight w:val="none"/>
          <w:vertAlign w:val="superscript"/>
          <w:lang w:val="de-DE"/>
        </w:rPr>
        <w:t>3</w:t>
      </w:r>
      <w:r>
        <w:rPr>
          <w:rFonts w:cs="Times New Roman"/>
          <w:color w:val="auto"/>
          <w:highlight w:val="none"/>
          <w:lang w:val="de-DE"/>
        </w:rPr>
        <w:t>/a×</w:t>
      </w:r>
      <w:r>
        <w:rPr>
          <w:rFonts w:hint="eastAsia" w:cs="Times New Roman"/>
          <w:color w:val="auto"/>
          <w:highlight w:val="none"/>
        </w:rPr>
        <w:t>0.5</w:t>
      </w:r>
      <w:r>
        <w:rPr>
          <w:rFonts w:cs="Times New Roman"/>
          <w:color w:val="auto"/>
          <w:highlight w:val="none"/>
          <w:lang w:val="de-DE"/>
        </w:rPr>
        <w:t>mg/L×10</w:t>
      </w:r>
      <w:r>
        <w:rPr>
          <w:rFonts w:cs="Times New Roman"/>
          <w:color w:val="auto"/>
          <w:highlight w:val="none"/>
          <w:vertAlign w:val="superscript"/>
          <w:lang w:val="de-DE"/>
        </w:rPr>
        <w:t>-6</w:t>
      </w:r>
      <w:r>
        <w:rPr>
          <w:rFonts w:cs="Times New Roman"/>
          <w:color w:val="auto"/>
          <w:highlight w:val="none"/>
          <w:lang w:val="de-DE"/>
        </w:rPr>
        <w:t>=0.</w:t>
      </w:r>
      <w:r>
        <w:rPr>
          <w:rFonts w:hint="eastAsia" w:cs="Times New Roman"/>
          <w:color w:val="auto"/>
          <w:highlight w:val="none"/>
        </w:rPr>
        <w:t>0016</w:t>
      </w:r>
      <w:r>
        <w:rPr>
          <w:rFonts w:cs="Times New Roman"/>
          <w:color w:val="auto"/>
          <w:highlight w:val="none"/>
          <w:lang w:val="de-DE"/>
        </w:rPr>
        <w:t>t/a</w:t>
      </w:r>
    </w:p>
    <w:p w14:paraId="3105A69F">
      <w:pPr>
        <w:overflowPunct w:val="0"/>
        <w:adjustRightInd w:val="0"/>
        <w:ind w:firstLine="480"/>
        <w:rPr>
          <w:rFonts w:cs="Times New Roman"/>
          <w:color w:val="auto"/>
          <w:kern w:val="21"/>
          <w:highlight w:val="none"/>
          <w:u w:val="single"/>
        </w:rPr>
      </w:pPr>
      <w:r>
        <w:rPr>
          <w:rFonts w:cs="Times New Roman"/>
          <w:snapToGrid w:val="0"/>
          <w:color w:val="auto"/>
          <w:kern w:val="21"/>
          <w:szCs w:val="22"/>
          <w:highlight w:val="none"/>
        </w:rPr>
        <w:t>综上所述，本项目建议污染物总量为：</w:t>
      </w:r>
    </w:p>
    <w:p w14:paraId="40D5E486">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21</w:t>
      </w:r>
      <w:r>
        <w:rPr>
          <w:rFonts w:cs="Times New Roman"/>
          <w:color w:val="auto"/>
          <w:highlight w:val="none"/>
        </w:rPr>
        <w:fldChar w:fldCharType="end"/>
      </w:r>
      <w:r>
        <w:rPr>
          <w:rFonts w:cs="Times New Roman"/>
          <w:bCs/>
          <w:snapToGrid w:val="0"/>
          <w:color w:val="auto"/>
          <w:kern w:val="21"/>
          <w:szCs w:val="21"/>
          <w:highlight w:val="none"/>
        </w:rPr>
        <w:t>总量控制建议指标单位：t/a</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8"/>
        <w:gridCol w:w="1984"/>
        <w:gridCol w:w="2880"/>
        <w:gridCol w:w="2307"/>
      </w:tblGrid>
      <w:tr w14:paraId="3730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blHeader/>
          <w:jc w:val="center"/>
        </w:trPr>
        <w:tc>
          <w:tcPr>
            <w:tcW w:w="791" w:type="pct"/>
            <w:vAlign w:val="center"/>
          </w:tcPr>
          <w:p w14:paraId="68ACBC73">
            <w:pPr>
              <w:pStyle w:val="69"/>
              <w:spacing w:before="65" w:after="65"/>
              <w:rPr>
                <w:rFonts w:cs="Times New Roman"/>
                <w:b/>
                <w:bCs w:val="0"/>
                <w:color w:val="auto"/>
                <w:highlight w:val="none"/>
              </w:rPr>
            </w:pPr>
            <w:r>
              <w:rPr>
                <w:rFonts w:cs="Times New Roman"/>
                <w:b/>
                <w:bCs w:val="0"/>
                <w:color w:val="auto"/>
                <w:highlight w:val="none"/>
              </w:rPr>
              <w:t>类别</w:t>
            </w:r>
          </w:p>
        </w:tc>
        <w:tc>
          <w:tcPr>
            <w:tcW w:w="1164" w:type="pct"/>
            <w:vAlign w:val="center"/>
          </w:tcPr>
          <w:p w14:paraId="45C66477">
            <w:pPr>
              <w:pStyle w:val="69"/>
              <w:spacing w:before="65" w:after="65"/>
              <w:rPr>
                <w:rFonts w:cs="Times New Roman"/>
                <w:b/>
                <w:bCs w:val="0"/>
                <w:color w:val="auto"/>
                <w:highlight w:val="none"/>
              </w:rPr>
            </w:pPr>
            <w:r>
              <w:rPr>
                <w:rFonts w:cs="Times New Roman"/>
                <w:b/>
                <w:bCs w:val="0"/>
                <w:color w:val="auto"/>
                <w:highlight w:val="none"/>
              </w:rPr>
              <w:t>污染物</w:t>
            </w:r>
          </w:p>
        </w:tc>
        <w:tc>
          <w:tcPr>
            <w:tcW w:w="1690" w:type="pct"/>
            <w:vAlign w:val="center"/>
          </w:tcPr>
          <w:p w14:paraId="6708F727">
            <w:pPr>
              <w:pStyle w:val="69"/>
              <w:spacing w:before="65" w:after="65"/>
              <w:rPr>
                <w:rFonts w:cs="Times New Roman"/>
                <w:b/>
                <w:bCs w:val="0"/>
                <w:color w:val="auto"/>
                <w:highlight w:val="none"/>
              </w:rPr>
            </w:pPr>
            <w:r>
              <w:rPr>
                <w:rFonts w:cs="Times New Roman"/>
                <w:b/>
                <w:bCs w:val="0"/>
                <w:color w:val="auto"/>
                <w:highlight w:val="none"/>
              </w:rPr>
              <w:t>总量控制指标</w:t>
            </w:r>
          </w:p>
        </w:tc>
        <w:tc>
          <w:tcPr>
            <w:tcW w:w="1354" w:type="pct"/>
            <w:vAlign w:val="center"/>
          </w:tcPr>
          <w:p w14:paraId="5DFE8FC6">
            <w:pPr>
              <w:pStyle w:val="69"/>
              <w:spacing w:before="65" w:after="65"/>
              <w:rPr>
                <w:rFonts w:cs="Times New Roman"/>
                <w:b/>
                <w:bCs w:val="0"/>
                <w:color w:val="auto"/>
                <w:highlight w:val="none"/>
              </w:rPr>
            </w:pPr>
            <w:r>
              <w:rPr>
                <w:rFonts w:hint="eastAsia" w:cs="Times New Roman"/>
                <w:b/>
                <w:bCs w:val="0"/>
                <w:color w:val="auto"/>
                <w:highlight w:val="none"/>
                <w:lang w:val="en-US" w:eastAsia="zh-CN"/>
              </w:rPr>
              <w:t>2</w:t>
            </w:r>
            <w:r>
              <w:rPr>
                <w:rFonts w:cs="Times New Roman"/>
                <w:b/>
                <w:bCs w:val="0"/>
                <w:color w:val="auto"/>
                <w:highlight w:val="none"/>
              </w:rPr>
              <w:t>倍替代量</w:t>
            </w:r>
          </w:p>
        </w:tc>
      </w:tr>
      <w:tr w14:paraId="0319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pct"/>
            <w:vAlign w:val="center"/>
          </w:tcPr>
          <w:p w14:paraId="5C464AB9">
            <w:pPr>
              <w:pStyle w:val="69"/>
              <w:spacing w:before="65" w:after="65"/>
              <w:rPr>
                <w:rFonts w:cs="Times New Roman"/>
                <w:color w:val="auto"/>
                <w:highlight w:val="none"/>
              </w:rPr>
            </w:pPr>
            <w:r>
              <w:rPr>
                <w:rFonts w:cs="Times New Roman"/>
                <w:color w:val="auto"/>
                <w:highlight w:val="none"/>
              </w:rPr>
              <w:t>废气</w:t>
            </w:r>
          </w:p>
        </w:tc>
        <w:tc>
          <w:tcPr>
            <w:tcW w:w="1164" w:type="pct"/>
            <w:vAlign w:val="center"/>
          </w:tcPr>
          <w:p w14:paraId="0FAD768C">
            <w:pPr>
              <w:pStyle w:val="69"/>
              <w:spacing w:before="65" w:after="65"/>
              <w:rPr>
                <w:rFonts w:cs="Times New Roman"/>
                <w:color w:val="auto"/>
                <w:highlight w:val="none"/>
              </w:rPr>
            </w:pPr>
            <w:r>
              <w:rPr>
                <w:rFonts w:cs="Times New Roman"/>
                <w:color w:val="auto"/>
                <w:highlight w:val="none"/>
              </w:rPr>
              <w:t>颗粒物</w:t>
            </w:r>
          </w:p>
        </w:tc>
        <w:tc>
          <w:tcPr>
            <w:tcW w:w="1690" w:type="pct"/>
            <w:vAlign w:val="center"/>
          </w:tcPr>
          <w:p w14:paraId="0CA99C73">
            <w:pPr>
              <w:pStyle w:val="69"/>
              <w:spacing w:before="65" w:after="65"/>
              <w:rPr>
                <w:rFonts w:cs="Times New Roman"/>
                <w:color w:val="auto"/>
                <w:highlight w:val="none"/>
              </w:rPr>
            </w:pPr>
            <w:r>
              <w:rPr>
                <w:rFonts w:hint="eastAsia" w:cs="Times New Roman"/>
                <w:color w:val="auto"/>
                <w:highlight w:val="none"/>
              </w:rPr>
              <w:t>/</w:t>
            </w:r>
          </w:p>
        </w:tc>
        <w:tc>
          <w:tcPr>
            <w:tcW w:w="1354" w:type="pct"/>
            <w:vAlign w:val="center"/>
          </w:tcPr>
          <w:p w14:paraId="61E3951B">
            <w:pPr>
              <w:pStyle w:val="69"/>
              <w:spacing w:before="65" w:after="65"/>
              <w:rPr>
                <w:rFonts w:hint="default" w:eastAsia="宋体" w:cs="Times New Roman"/>
                <w:color w:val="auto"/>
                <w:highlight w:val="none"/>
                <w:lang w:val="en-US" w:eastAsia="zh-CN"/>
              </w:rPr>
            </w:pPr>
            <w:r>
              <w:rPr>
                <w:rFonts w:hint="eastAsia" w:cs="Times New Roman"/>
                <w:color w:val="auto"/>
                <w:highlight w:val="none"/>
                <w:lang w:val="en-US" w:eastAsia="zh-CN"/>
              </w:rPr>
              <w:t>3.06</w:t>
            </w:r>
          </w:p>
        </w:tc>
      </w:tr>
      <w:tr w14:paraId="0E4D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pct"/>
            <w:vMerge w:val="restart"/>
            <w:vAlign w:val="center"/>
          </w:tcPr>
          <w:p w14:paraId="050B5B52">
            <w:pPr>
              <w:pStyle w:val="69"/>
              <w:spacing w:before="65" w:after="65"/>
              <w:rPr>
                <w:rFonts w:cs="Times New Roman"/>
                <w:color w:val="auto"/>
                <w:highlight w:val="none"/>
              </w:rPr>
            </w:pPr>
            <w:r>
              <w:rPr>
                <w:rFonts w:cs="Times New Roman"/>
                <w:color w:val="auto"/>
                <w:highlight w:val="none"/>
              </w:rPr>
              <w:t>废水</w:t>
            </w:r>
          </w:p>
        </w:tc>
        <w:tc>
          <w:tcPr>
            <w:tcW w:w="1164" w:type="pct"/>
            <w:vAlign w:val="center"/>
          </w:tcPr>
          <w:p w14:paraId="1FBB1962">
            <w:pPr>
              <w:pStyle w:val="69"/>
              <w:spacing w:before="65" w:after="65"/>
              <w:rPr>
                <w:rFonts w:cs="Times New Roman"/>
                <w:color w:val="auto"/>
                <w:highlight w:val="none"/>
              </w:rPr>
            </w:pPr>
            <w:r>
              <w:rPr>
                <w:rFonts w:cs="Times New Roman"/>
                <w:color w:val="auto"/>
                <w:highlight w:val="none"/>
              </w:rPr>
              <w:t>COD</w:t>
            </w:r>
          </w:p>
        </w:tc>
        <w:tc>
          <w:tcPr>
            <w:tcW w:w="1690" w:type="pct"/>
            <w:vAlign w:val="center"/>
          </w:tcPr>
          <w:p w14:paraId="67C97EBC">
            <w:pPr>
              <w:pStyle w:val="69"/>
              <w:spacing w:before="65" w:after="65"/>
              <w:rPr>
                <w:rFonts w:cs="Times New Roman"/>
                <w:color w:val="auto"/>
                <w:highlight w:val="none"/>
              </w:rPr>
            </w:pPr>
            <w:r>
              <w:rPr>
                <w:rFonts w:hint="eastAsia" w:cs="Times New Roman"/>
                <w:color w:val="auto"/>
                <w:highlight w:val="none"/>
              </w:rPr>
              <w:t>0.942</w:t>
            </w:r>
          </w:p>
        </w:tc>
        <w:tc>
          <w:tcPr>
            <w:tcW w:w="1354" w:type="pct"/>
            <w:vAlign w:val="center"/>
          </w:tcPr>
          <w:p w14:paraId="380FE174">
            <w:pPr>
              <w:pStyle w:val="69"/>
              <w:spacing w:before="65" w:after="65"/>
              <w:rPr>
                <w:rFonts w:cs="Times New Roman"/>
                <w:color w:val="auto"/>
                <w:highlight w:val="none"/>
              </w:rPr>
            </w:pPr>
            <w:r>
              <w:rPr>
                <w:rFonts w:hint="eastAsia" w:cs="Times New Roman"/>
                <w:color w:val="auto"/>
                <w:highlight w:val="none"/>
              </w:rPr>
              <w:t>/</w:t>
            </w:r>
          </w:p>
        </w:tc>
      </w:tr>
      <w:tr w14:paraId="671B1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pct"/>
            <w:vMerge w:val="continue"/>
            <w:vAlign w:val="center"/>
          </w:tcPr>
          <w:p w14:paraId="5DFC7D06">
            <w:pPr>
              <w:pStyle w:val="69"/>
              <w:spacing w:before="65" w:after="65"/>
              <w:rPr>
                <w:rFonts w:cs="Times New Roman"/>
                <w:color w:val="auto"/>
                <w:highlight w:val="none"/>
              </w:rPr>
            </w:pPr>
          </w:p>
        </w:tc>
        <w:tc>
          <w:tcPr>
            <w:tcW w:w="1164" w:type="pct"/>
            <w:vAlign w:val="center"/>
          </w:tcPr>
          <w:p w14:paraId="3A553CA7">
            <w:pPr>
              <w:pStyle w:val="69"/>
              <w:spacing w:before="65" w:after="65"/>
              <w:rPr>
                <w:rFonts w:cs="Times New Roman"/>
                <w:color w:val="auto"/>
                <w:highlight w:val="none"/>
              </w:rPr>
            </w:pPr>
            <w:r>
              <w:rPr>
                <w:rFonts w:cs="Times New Roman"/>
                <w:color w:val="auto"/>
                <w:highlight w:val="none"/>
              </w:rPr>
              <w:t>氨氮</w:t>
            </w:r>
          </w:p>
        </w:tc>
        <w:tc>
          <w:tcPr>
            <w:tcW w:w="1690" w:type="pct"/>
            <w:vAlign w:val="center"/>
          </w:tcPr>
          <w:p w14:paraId="7304949A">
            <w:pPr>
              <w:pStyle w:val="69"/>
              <w:spacing w:before="65" w:after="65"/>
              <w:rPr>
                <w:rFonts w:cs="Times New Roman"/>
                <w:color w:val="auto"/>
                <w:highlight w:val="none"/>
              </w:rPr>
            </w:pPr>
            <w:r>
              <w:rPr>
                <w:rFonts w:cs="Times New Roman"/>
                <w:color w:val="auto"/>
                <w:highlight w:val="none"/>
              </w:rPr>
              <w:t>0.07</w:t>
            </w:r>
            <w:r>
              <w:rPr>
                <w:rFonts w:hint="eastAsia" w:cs="Times New Roman"/>
                <w:color w:val="auto"/>
                <w:highlight w:val="none"/>
              </w:rPr>
              <w:t>9</w:t>
            </w:r>
          </w:p>
        </w:tc>
        <w:tc>
          <w:tcPr>
            <w:tcW w:w="1354" w:type="pct"/>
            <w:vAlign w:val="center"/>
          </w:tcPr>
          <w:p w14:paraId="11C5D228">
            <w:pPr>
              <w:pStyle w:val="69"/>
              <w:spacing w:before="65" w:after="65"/>
              <w:rPr>
                <w:rFonts w:cs="Times New Roman"/>
                <w:color w:val="auto"/>
                <w:highlight w:val="none"/>
              </w:rPr>
            </w:pPr>
            <w:r>
              <w:rPr>
                <w:rFonts w:hint="eastAsia" w:cs="Times New Roman"/>
                <w:color w:val="auto"/>
                <w:highlight w:val="none"/>
              </w:rPr>
              <w:t>/</w:t>
            </w:r>
          </w:p>
        </w:tc>
      </w:tr>
      <w:tr w14:paraId="07E22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pct"/>
            <w:vMerge w:val="continue"/>
            <w:vAlign w:val="center"/>
          </w:tcPr>
          <w:p w14:paraId="15A77E2A">
            <w:pPr>
              <w:pStyle w:val="69"/>
              <w:spacing w:before="65" w:after="65"/>
              <w:rPr>
                <w:rFonts w:cs="Times New Roman"/>
                <w:color w:val="auto"/>
                <w:highlight w:val="none"/>
              </w:rPr>
            </w:pPr>
          </w:p>
        </w:tc>
        <w:tc>
          <w:tcPr>
            <w:tcW w:w="1164" w:type="pct"/>
            <w:vAlign w:val="center"/>
          </w:tcPr>
          <w:p w14:paraId="559FD225">
            <w:pPr>
              <w:pStyle w:val="69"/>
              <w:spacing w:before="65" w:after="65"/>
              <w:rPr>
                <w:rFonts w:cs="Times New Roman"/>
                <w:color w:val="auto"/>
                <w:highlight w:val="none"/>
              </w:rPr>
            </w:pPr>
            <w:r>
              <w:rPr>
                <w:rFonts w:hint="eastAsia" w:cs="Times New Roman"/>
                <w:color w:val="auto"/>
                <w:highlight w:val="none"/>
              </w:rPr>
              <w:t>总磷</w:t>
            </w:r>
          </w:p>
        </w:tc>
        <w:tc>
          <w:tcPr>
            <w:tcW w:w="1690" w:type="pct"/>
            <w:vAlign w:val="center"/>
          </w:tcPr>
          <w:p w14:paraId="6F4DBAD1">
            <w:pPr>
              <w:pStyle w:val="69"/>
              <w:spacing w:before="65" w:after="65"/>
              <w:rPr>
                <w:rFonts w:cs="Times New Roman"/>
                <w:color w:val="auto"/>
                <w:highlight w:val="none"/>
              </w:rPr>
            </w:pPr>
            <w:r>
              <w:rPr>
                <w:rFonts w:hint="eastAsia" w:cs="Times New Roman"/>
                <w:color w:val="auto"/>
                <w:highlight w:val="none"/>
              </w:rPr>
              <w:t>0.011</w:t>
            </w:r>
          </w:p>
        </w:tc>
        <w:tc>
          <w:tcPr>
            <w:tcW w:w="1354" w:type="pct"/>
            <w:vAlign w:val="center"/>
          </w:tcPr>
          <w:p w14:paraId="1404DAEA">
            <w:pPr>
              <w:pStyle w:val="69"/>
              <w:spacing w:before="65" w:after="65"/>
              <w:rPr>
                <w:rFonts w:cs="Times New Roman"/>
                <w:color w:val="auto"/>
                <w:highlight w:val="none"/>
              </w:rPr>
            </w:pPr>
            <w:r>
              <w:rPr>
                <w:rFonts w:hint="eastAsia" w:cs="Times New Roman"/>
                <w:color w:val="auto"/>
                <w:highlight w:val="none"/>
              </w:rPr>
              <w:t>/</w:t>
            </w:r>
          </w:p>
        </w:tc>
      </w:tr>
    </w:tbl>
    <w:p w14:paraId="6D745A40">
      <w:pPr>
        <w:pStyle w:val="3"/>
        <w:adjustRightInd w:val="0"/>
        <w:rPr>
          <w:rFonts w:cs="Times New Roman"/>
          <w:color w:val="auto"/>
          <w:highlight w:val="none"/>
        </w:rPr>
      </w:pPr>
      <w:bookmarkStart w:id="134" w:name="_Toc1493"/>
      <w:r>
        <w:rPr>
          <w:rFonts w:cs="Times New Roman"/>
          <w:color w:val="auto"/>
          <w:highlight w:val="none"/>
        </w:rPr>
        <w:t>清洁生产水平</w:t>
      </w:r>
      <w:bookmarkEnd w:id="134"/>
    </w:p>
    <w:p w14:paraId="23B73E11">
      <w:pPr>
        <w:overflowPunct w:val="0"/>
        <w:adjustRightInd w:val="0"/>
        <w:ind w:firstLine="480"/>
        <w:rPr>
          <w:rFonts w:cs="Times New Roman"/>
          <w:color w:val="auto"/>
          <w:kern w:val="21"/>
          <w:szCs w:val="22"/>
          <w:highlight w:val="none"/>
        </w:rPr>
      </w:pPr>
      <w:r>
        <w:rPr>
          <w:rFonts w:cs="Times New Roman"/>
          <w:color w:val="auto"/>
          <w:kern w:val="21"/>
          <w:szCs w:val="22"/>
          <w:highlight w:val="none"/>
        </w:rPr>
        <w:t>清洁生产是将整体预防的环境战略贯穿于整个产品、服务的生命周期中，以期提高生产效率，并减少对社会和环境的风险，通过生产全过程的控制和资源、能源的合理处置，实现经济建设与环境保护协调发展。</w:t>
      </w:r>
    </w:p>
    <w:p w14:paraId="47D4CC8B">
      <w:pPr>
        <w:pStyle w:val="4"/>
        <w:adjustRightInd w:val="0"/>
        <w:rPr>
          <w:rFonts w:cs="Times New Roman"/>
          <w:color w:val="auto"/>
          <w:highlight w:val="none"/>
        </w:rPr>
      </w:pPr>
      <w:bookmarkStart w:id="135" w:name="_Toc6042"/>
      <w:r>
        <w:rPr>
          <w:rFonts w:cs="Times New Roman"/>
          <w:color w:val="auto"/>
          <w:highlight w:val="none"/>
        </w:rPr>
        <w:t>资源综合利用指标分析</w:t>
      </w:r>
      <w:bookmarkEnd w:id="135"/>
    </w:p>
    <w:p w14:paraId="49B7DD71">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一、水资源综合利用</w:t>
      </w:r>
    </w:p>
    <w:p w14:paraId="2DB715F0">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本项目的生产及污染物的处理工艺过程简单，污染物排放种类少，</w:t>
      </w:r>
      <w:r>
        <w:rPr>
          <w:rFonts w:hint="eastAsia" w:cs="Times New Roman"/>
          <w:color w:val="auto"/>
          <w:kern w:val="21"/>
          <w:szCs w:val="22"/>
          <w:highlight w:val="none"/>
        </w:rPr>
        <w:t>成分</w:t>
      </w:r>
      <w:r>
        <w:rPr>
          <w:rFonts w:cs="Times New Roman"/>
          <w:color w:val="auto"/>
          <w:kern w:val="21"/>
          <w:szCs w:val="22"/>
          <w:highlight w:val="none"/>
        </w:rPr>
        <w:t>较简单，对本项目而言，采取的水资源综合利用措施如下：</w:t>
      </w:r>
    </w:p>
    <w:p w14:paraId="63D16284">
      <w:pPr>
        <w:overflowPunct w:val="0"/>
        <w:adjustRightInd w:val="0"/>
        <w:ind w:firstLine="480"/>
        <w:rPr>
          <w:rFonts w:cs="Times New Roman"/>
          <w:color w:val="auto"/>
          <w:kern w:val="21"/>
          <w:szCs w:val="22"/>
          <w:highlight w:val="none"/>
        </w:rPr>
      </w:pPr>
      <w:r>
        <w:rPr>
          <w:rFonts w:cs="Times New Roman"/>
          <w:color w:val="auto"/>
          <w:kern w:val="21"/>
          <w:szCs w:val="22"/>
          <w:highlight w:val="none"/>
        </w:rPr>
        <w:t>（1）本项目生产中用水均收集处理，有效节约了水资源。</w:t>
      </w:r>
    </w:p>
    <w:p w14:paraId="72BD42FC">
      <w:pPr>
        <w:overflowPunct w:val="0"/>
        <w:adjustRightInd w:val="0"/>
        <w:ind w:firstLine="480"/>
        <w:rPr>
          <w:rFonts w:cs="Times New Roman"/>
          <w:color w:val="auto"/>
          <w:kern w:val="21"/>
          <w:szCs w:val="22"/>
          <w:highlight w:val="none"/>
        </w:rPr>
      </w:pPr>
      <w:r>
        <w:rPr>
          <w:rFonts w:cs="Times New Roman"/>
          <w:color w:val="auto"/>
          <w:kern w:val="21"/>
          <w:szCs w:val="22"/>
          <w:highlight w:val="none"/>
        </w:rPr>
        <w:t>（2）生产废水经处理设施处理后回用。</w:t>
      </w:r>
    </w:p>
    <w:p w14:paraId="61BFA000">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二、物料综合利用</w:t>
      </w:r>
    </w:p>
    <w:p w14:paraId="0F6A13EB">
      <w:pPr>
        <w:overflowPunct w:val="0"/>
        <w:adjustRightInd w:val="0"/>
        <w:ind w:firstLine="480"/>
        <w:rPr>
          <w:rFonts w:cs="Times New Roman"/>
          <w:color w:val="auto"/>
          <w:kern w:val="21"/>
          <w:szCs w:val="22"/>
          <w:highlight w:val="none"/>
        </w:rPr>
      </w:pPr>
      <w:r>
        <w:rPr>
          <w:rFonts w:cs="Times New Roman"/>
          <w:color w:val="auto"/>
          <w:kern w:val="21"/>
          <w:szCs w:val="22"/>
          <w:highlight w:val="none"/>
        </w:rPr>
        <w:t>加工生产过</w:t>
      </w:r>
      <w:r>
        <w:rPr>
          <w:rFonts w:hint="eastAsia" w:cs="Times New Roman"/>
          <w:color w:val="auto"/>
          <w:kern w:val="21"/>
          <w:szCs w:val="22"/>
          <w:highlight w:val="none"/>
        </w:rPr>
        <w:t>程中</w:t>
      </w:r>
      <w:r>
        <w:rPr>
          <w:rFonts w:cs="Times New Roman"/>
          <w:color w:val="auto"/>
          <w:kern w:val="21"/>
          <w:szCs w:val="22"/>
          <w:highlight w:val="none"/>
        </w:rPr>
        <w:t>的尾矿定期打入浓密池中，再由压滤机进行压滤，作为陶瓷厂原料外售，项目固体废物综合利用率可达100%。本项目采用成熟的生产工艺技术，工艺水全部循环利用，固体废物处理后100%综合利用；同时对各类污染物采取有效的防治</w:t>
      </w:r>
      <w:r>
        <w:rPr>
          <w:rFonts w:hint="eastAsia" w:cs="Times New Roman"/>
          <w:color w:val="auto"/>
          <w:kern w:val="21"/>
          <w:szCs w:val="22"/>
          <w:highlight w:val="none"/>
        </w:rPr>
        <w:t>措施</w:t>
      </w:r>
      <w:r>
        <w:rPr>
          <w:rFonts w:cs="Times New Roman"/>
          <w:color w:val="auto"/>
          <w:kern w:val="21"/>
          <w:szCs w:val="22"/>
          <w:highlight w:val="none"/>
        </w:rPr>
        <w:t>，实现了物料消耗的循环利用和减量化、废物回收利用和无害化处理，大大减少了污染排放量，减轻了对区域生态环境的影响，充分体现了循环经济的特点，将为企业的可持续发展创造有利条件。项目</w:t>
      </w:r>
      <w:r>
        <w:rPr>
          <w:rFonts w:hint="eastAsia" w:cs="Times New Roman"/>
          <w:color w:val="auto"/>
          <w:kern w:val="21"/>
          <w:szCs w:val="22"/>
          <w:highlight w:val="none"/>
        </w:rPr>
        <w:t>有色金属</w:t>
      </w:r>
      <w:r>
        <w:rPr>
          <w:rFonts w:cs="Times New Roman"/>
          <w:color w:val="auto"/>
          <w:kern w:val="21"/>
          <w:szCs w:val="22"/>
          <w:highlight w:val="none"/>
        </w:rPr>
        <w:t>锂矿回收率为80%。</w:t>
      </w:r>
    </w:p>
    <w:p w14:paraId="738AD1C5">
      <w:pPr>
        <w:pStyle w:val="4"/>
        <w:adjustRightInd w:val="0"/>
        <w:rPr>
          <w:rFonts w:cs="Times New Roman"/>
          <w:color w:val="auto"/>
          <w:highlight w:val="none"/>
        </w:rPr>
      </w:pPr>
      <w:bookmarkStart w:id="136" w:name="_Toc16205"/>
      <w:r>
        <w:rPr>
          <w:rFonts w:cs="Times New Roman"/>
          <w:color w:val="auto"/>
          <w:highlight w:val="none"/>
        </w:rPr>
        <w:t>清洁生产水平分析</w:t>
      </w:r>
      <w:bookmarkEnd w:id="136"/>
    </w:p>
    <w:p w14:paraId="2F9E63A2">
      <w:pPr>
        <w:overflowPunct w:val="0"/>
        <w:adjustRightInd w:val="0"/>
        <w:ind w:firstLine="480"/>
        <w:rPr>
          <w:rFonts w:cs="Times New Roman"/>
          <w:color w:val="auto"/>
          <w:kern w:val="21"/>
          <w:szCs w:val="22"/>
          <w:highlight w:val="none"/>
        </w:rPr>
      </w:pPr>
      <w:r>
        <w:rPr>
          <w:rFonts w:cs="Times New Roman"/>
          <w:color w:val="auto"/>
          <w:kern w:val="21"/>
          <w:szCs w:val="22"/>
          <w:highlight w:val="none"/>
        </w:rPr>
        <w:t>为贯彻实施《中华人民共和国清洁生产促进法》，进一步推动信息产业提高清洁生产水平，防治污染，节约资源，增长经济效益，并为行业生产过程中开展清洁生产提供技术支持和导向。清洁生产分析的核心目的是立足于</w:t>
      </w:r>
      <w:r>
        <w:rPr>
          <w:rFonts w:hint="eastAsia" w:cs="Times New Roman"/>
          <w:color w:val="auto"/>
          <w:kern w:val="21"/>
          <w:szCs w:val="22"/>
          <w:highlight w:val="none"/>
        </w:rPr>
        <w:t>“</w:t>
      </w:r>
      <w:r>
        <w:rPr>
          <w:rFonts w:cs="Times New Roman"/>
          <w:color w:val="auto"/>
          <w:kern w:val="21"/>
          <w:szCs w:val="22"/>
          <w:highlight w:val="none"/>
        </w:rPr>
        <w:t>整体预防，改末端治理为全过程控制</w:t>
      </w:r>
      <w:r>
        <w:rPr>
          <w:rFonts w:hint="eastAsia" w:cs="Times New Roman"/>
          <w:color w:val="auto"/>
          <w:kern w:val="21"/>
          <w:szCs w:val="22"/>
          <w:highlight w:val="none"/>
        </w:rPr>
        <w:t>”</w:t>
      </w:r>
      <w:r>
        <w:rPr>
          <w:rFonts w:cs="Times New Roman"/>
          <w:color w:val="auto"/>
          <w:kern w:val="21"/>
          <w:szCs w:val="22"/>
          <w:highlight w:val="none"/>
        </w:rPr>
        <w:t>，从生产工艺技术、资源能源利用指标、产品指标、污染物产生指标、废物回收利用指标及环境管理要求八个方面进行比较，综合分析本项目生产的清洁性，分析其存在的问题，提出进一步提高清洁水平的途径和方向。</w:t>
      </w:r>
    </w:p>
    <w:p w14:paraId="6A611B6F">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一、生产工艺的先进性和可行性</w:t>
      </w:r>
    </w:p>
    <w:p w14:paraId="2A666C82">
      <w:pPr>
        <w:overflowPunct w:val="0"/>
        <w:adjustRightInd w:val="0"/>
        <w:ind w:firstLine="480"/>
        <w:rPr>
          <w:rFonts w:cs="Times New Roman"/>
          <w:color w:val="auto"/>
          <w:kern w:val="21"/>
          <w:szCs w:val="22"/>
          <w:highlight w:val="none"/>
        </w:rPr>
      </w:pPr>
      <w:r>
        <w:rPr>
          <w:rFonts w:cs="Times New Roman"/>
          <w:color w:val="auto"/>
          <w:kern w:val="21"/>
          <w:szCs w:val="22"/>
          <w:highlight w:val="none"/>
        </w:rPr>
        <w:t>在选矿加工生产实践中，所加工原料的性质来决定生产工艺，是生产活动的基本条件。选择合适的生产工艺后，高效的工艺设备是生产经营好坏的关键；在项目的可行性研究阶段，应充分考虑企业本身所具备的基本生产条件，在选矿加工厂初步设计阶段就要对全厂设备进行合理选择、计算和匹配，选择高效节能、环保型先进的选矿加工设备，以适应选矿加工生产的机械化和自动化程度越来越高的要求；加工厂设备对生产过程中原材料和动力的消耗也关系很大，会直接影响产品的成本和销售利润、市场竞争力；加工厂设备还是影响生产安全、环境保护的主要因素，并对操作者的劳动情绪有不可忽视的影响。</w:t>
      </w:r>
    </w:p>
    <w:p w14:paraId="365D8261">
      <w:pPr>
        <w:overflowPunct w:val="0"/>
        <w:adjustRightInd w:val="0"/>
        <w:ind w:firstLine="480"/>
        <w:rPr>
          <w:rFonts w:cs="Times New Roman"/>
          <w:color w:val="auto"/>
          <w:kern w:val="21"/>
          <w:szCs w:val="22"/>
          <w:highlight w:val="none"/>
        </w:rPr>
      </w:pPr>
      <w:r>
        <w:rPr>
          <w:rFonts w:cs="Times New Roman"/>
          <w:color w:val="auto"/>
          <w:kern w:val="21"/>
          <w:szCs w:val="22"/>
          <w:highlight w:val="none"/>
        </w:rPr>
        <w:t>根据《我国锂辉石矿选矿技术研究现状及展望》（李成秀，程仁举，刘星，doi:10.3969/j.issn.1000-6532.2021.05.001），目前锂辉矿的选矿方法主要有浮选法、重介质选矿法、磁选法、联合选矿法等。本项目选用浮选法及磁选法相结合的生产工艺，该技术能有效地解决原料中存在品位较低和铁含量较高的问题，废水可实现循环利用，产品质量稳定，环境污染可有效减轻，其生产工艺总体达到了国内先进水平，属清洁生产工艺。</w:t>
      </w:r>
    </w:p>
    <w:p w14:paraId="3C5FA432">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二、原辅材料及产品清洁性分析</w:t>
      </w:r>
    </w:p>
    <w:p w14:paraId="3C2AEDA7">
      <w:pPr>
        <w:overflowPunct w:val="0"/>
        <w:adjustRightInd w:val="0"/>
        <w:ind w:firstLine="480"/>
        <w:rPr>
          <w:rFonts w:cs="Times New Roman"/>
          <w:color w:val="auto"/>
          <w:kern w:val="21"/>
          <w:szCs w:val="22"/>
          <w:highlight w:val="none"/>
        </w:rPr>
      </w:pPr>
      <w:r>
        <w:rPr>
          <w:rFonts w:cs="Times New Roman"/>
          <w:color w:val="auto"/>
          <w:kern w:val="21"/>
          <w:szCs w:val="22"/>
          <w:highlight w:val="none"/>
        </w:rPr>
        <w:t>（1）原辅材料清洁性分析</w:t>
      </w:r>
    </w:p>
    <w:p w14:paraId="55EBF130">
      <w:pPr>
        <w:overflowPunct w:val="0"/>
        <w:adjustRightInd w:val="0"/>
        <w:ind w:firstLine="480"/>
        <w:rPr>
          <w:rFonts w:cs="Times New Roman"/>
          <w:color w:val="auto"/>
          <w:kern w:val="21"/>
          <w:szCs w:val="22"/>
          <w:highlight w:val="none"/>
        </w:rPr>
      </w:pPr>
      <w:r>
        <w:rPr>
          <w:rFonts w:cs="Times New Roman"/>
          <w:color w:val="auto"/>
          <w:kern w:val="21"/>
          <w:szCs w:val="22"/>
          <w:highlight w:val="none"/>
        </w:rPr>
        <w:t>项目所需的原辅材料均可在省内购买，由供应方送到厂区内，避免了贮运带来的环境风险。</w:t>
      </w:r>
    </w:p>
    <w:p w14:paraId="5790B041">
      <w:pPr>
        <w:overflowPunct w:val="0"/>
        <w:adjustRightInd w:val="0"/>
        <w:ind w:firstLine="480"/>
        <w:rPr>
          <w:rFonts w:cs="Times New Roman"/>
          <w:color w:val="auto"/>
          <w:kern w:val="21"/>
          <w:szCs w:val="22"/>
          <w:highlight w:val="none"/>
        </w:rPr>
      </w:pPr>
      <w:r>
        <w:rPr>
          <w:rFonts w:cs="Times New Roman"/>
          <w:color w:val="auto"/>
          <w:kern w:val="21"/>
          <w:szCs w:val="22"/>
          <w:highlight w:val="none"/>
        </w:rPr>
        <w:t>项目所需的原、辅材料主要有原料矿、浮选剂等，其清洁生产水平属于国内先进水平。</w:t>
      </w:r>
    </w:p>
    <w:p w14:paraId="64C68414">
      <w:pPr>
        <w:overflowPunct w:val="0"/>
        <w:adjustRightInd w:val="0"/>
        <w:ind w:firstLine="480"/>
        <w:rPr>
          <w:rFonts w:cs="Times New Roman"/>
          <w:color w:val="auto"/>
          <w:kern w:val="21"/>
          <w:szCs w:val="22"/>
          <w:highlight w:val="none"/>
        </w:rPr>
      </w:pPr>
      <w:r>
        <w:rPr>
          <w:rFonts w:cs="Times New Roman"/>
          <w:color w:val="auto"/>
          <w:kern w:val="21"/>
          <w:szCs w:val="22"/>
          <w:highlight w:val="none"/>
        </w:rPr>
        <w:t>（2）产品清洁性分析</w:t>
      </w:r>
    </w:p>
    <w:p w14:paraId="2EC5E4A2">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本项目产品为锂辉石精矿。可广泛用于玻璃、铸造、陶瓷及耐火材料、冶金、建筑、化工、塑料、橡胶、磨料等工业。</w:t>
      </w:r>
    </w:p>
    <w:p w14:paraId="78E0EDDE">
      <w:pPr>
        <w:overflowPunct w:val="0"/>
        <w:adjustRightInd w:val="0"/>
        <w:ind w:firstLine="480"/>
        <w:rPr>
          <w:rFonts w:cs="Times New Roman"/>
          <w:color w:val="auto"/>
          <w:kern w:val="21"/>
          <w:szCs w:val="22"/>
          <w:highlight w:val="none"/>
        </w:rPr>
      </w:pPr>
      <w:r>
        <w:rPr>
          <w:rFonts w:cs="Times New Roman"/>
          <w:color w:val="auto"/>
          <w:kern w:val="21"/>
          <w:szCs w:val="22"/>
          <w:highlight w:val="none"/>
        </w:rPr>
        <w:t>锂辉石精矿作为陶瓷、玻璃等的核心原料在生产与供应中起着不可替代的重要基础作用。它所具有的独特的物理、化学光学特性，使得其在许多高科技产品中发挥着越来越重要的作用，如，IT行业的核心技术产品--计算机芯片，光导纤维，电子产业的谐振器，新型电光源，高绝缘的封接材料，航空航天仪器，军工技术产品，特种光学玻璃，化学分析仪器等等，都离不开这些基础原料。特别是锂长石在玻璃生产制造中，锂的加入可有效提高玻璃生产的节能降耗。本项目生产的锂辉石精矿属清洁产品。</w:t>
      </w:r>
    </w:p>
    <w:p w14:paraId="681267BD">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三、设备及装置清洁生产分析</w:t>
      </w:r>
    </w:p>
    <w:p w14:paraId="2522B4DF">
      <w:pPr>
        <w:overflowPunct w:val="0"/>
        <w:adjustRightInd w:val="0"/>
        <w:ind w:firstLine="480"/>
        <w:rPr>
          <w:rFonts w:cs="Times New Roman"/>
          <w:color w:val="auto"/>
          <w:kern w:val="21"/>
          <w:szCs w:val="22"/>
          <w:highlight w:val="none"/>
        </w:rPr>
      </w:pPr>
      <w:r>
        <w:rPr>
          <w:rFonts w:cs="Times New Roman"/>
          <w:color w:val="auto"/>
          <w:kern w:val="21"/>
          <w:szCs w:val="22"/>
          <w:highlight w:val="none"/>
        </w:rPr>
        <w:t>（1）</w:t>
      </w:r>
      <w:r>
        <w:rPr>
          <w:rFonts w:cs="Times New Roman"/>
          <w:color w:val="auto"/>
          <w:kern w:val="21"/>
          <w:szCs w:val="24"/>
          <w:highlight w:val="none"/>
          <w:lang w:bidi="ar"/>
        </w:rPr>
        <w:t>本项目主要关键设备及设施均根据项目原料、场地等综合因素购买或自行</w:t>
      </w:r>
      <w:r>
        <w:rPr>
          <w:rFonts w:cs="Times New Roman"/>
          <w:color w:val="auto"/>
          <w:kern w:val="21"/>
          <w:szCs w:val="22"/>
          <w:highlight w:val="none"/>
        </w:rPr>
        <w:t>设</w:t>
      </w:r>
      <w:r>
        <w:rPr>
          <w:rFonts w:cs="Times New Roman"/>
          <w:color w:val="auto"/>
          <w:kern w:val="21"/>
          <w:szCs w:val="24"/>
          <w:highlight w:val="none"/>
          <w:lang w:bidi="ar"/>
        </w:rPr>
        <w:t>计生产，以提高物料转化成产品的得率，减少单位产量物料消耗量和污染物</w:t>
      </w:r>
      <w:r>
        <w:rPr>
          <w:rFonts w:cs="Times New Roman"/>
          <w:color w:val="auto"/>
          <w:kern w:val="21"/>
          <w:szCs w:val="22"/>
          <w:highlight w:val="none"/>
        </w:rPr>
        <w:t>产生</w:t>
      </w:r>
      <w:r>
        <w:rPr>
          <w:rFonts w:cs="Times New Roman"/>
          <w:color w:val="auto"/>
          <w:kern w:val="21"/>
          <w:szCs w:val="24"/>
          <w:highlight w:val="none"/>
          <w:lang w:bidi="ar"/>
        </w:rPr>
        <w:t>量，生产设</w:t>
      </w:r>
      <w:r>
        <w:rPr>
          <w:rFonts w:cs="Times New Roman"/>
          <w:color w:val="auto"/>
          <w:kern w:val="21"/>
          <w:szCs w:val="22"/>
          <w:highlight w:val="none"/>
        </w:rPr>
        <w:t>备技术性能达到国内先进水平。提高了产品生产效率，降低产品单耗。</w:t>
      </w:r>
    </w:p>
    <w:p w14:paraId="3F81A87A">
      <w:pPr>
        <w:overflowPunct w:val="0"/>
        <w:adjustRightInd w:val="0"/>
        <w:ind w:firstLine="480"/>
        <w:rPr>
          <w:rFonts w:cs="Times New Roman"/>
          <w:color w:val="auto"/>
          <w:kern w:val="21"/>
          <w:szCs w:val="22"/>
          <w:highlight w:val="none"/>
        </w:rPr>
      </w:pPr>
      <w:r>
        <w:rPr>
          <w:rFonts w:cs="Times New Roman"/>
          <w:color w:val="auto"/>
          <w:kern w:val="21"/>
          <w:szCs w:val="22"/>
          <w:highlight w:val="none"/>
        </w:rPr>
        <w:t>（2）本项目采用节能设备降低能耗，所有选矿用水循环使用。</w:t>
      </w:r>
    </w:p>
    <w:p w14:paraId="6C292583">
      <w:pPr>
        <w:overflowPunct w:val="0"/>
        <w:adjustRightInd w:val="0"/>
        <w:ind w:firstLine="480"/>
        <w:rPr>
          <w:rFonts w:cs="Times New Roman"/>
          <w:color w:val="auto"/>
          <w:kern w:val="21"/>
          <w:szCs w:val="22"/>
          <w:highlight w:val="none"/>
        </w:rPr>
      </w:pPr>
      <w:r>
        <w:rPr>
          <w:rFonts w:cs="Times New Roman"/>
          <w:color w:val="auto"/>
          <w:kern w:val="21"/>
          <w:szCs w:val="22"/>
          <w:highlight w:val="none"/>
        </w:rPr>
        <w:t>（3）本项目整个生产过程的操作及主要动力设备的状态显示、停止操作均可在操作站上完成，生产过程中的主要工艺参数将在操作点中进行显示、记录、报警，并通过控制系统进行调节，项目自控技术水平较高。</w:t>
      </w:r>
    </w:p>
    <w:p w14:paraId="01910097">
      <w:pPr>
        <w:pStyle w:val="4"/>
        <w:adjustRightInd w:val="0"/>
        <w:rPr>
          <w:rFonts w:cs="Times New Roman"/>
          <w:color w:val="auto"/>
          <w:highlight w:val="none"/>
        </w:rPr>
      </w:pPr>
      <w:bookmarkStart w:id="137" w:name="_Toc4579"/>
      <w:r>
        <w:rPr>
          <w:rFonts w:cs="Times New Roman"/>
          <w:color w:val="auto"/>
          <w:highlight w:val="none"/>
        </w:rPr>
        <w:t>小结</w:t>
      </w:r>
      <w:bookmarkEnd w:id="137"/>
    </w:p>
    <w:p w14:paraId="32D046D8">
      <w:pPr>
        <w:overflowPunct w:val="0"/>
        <w:adjustRightInd w:val="0"/>
        <w:ind w:firstLine="480"/>
        <w:rPr>
          <w:rFonts w:cs="Times New Roman"/>
          <w:color w:val="auto"/>
          <w:highlight w:val="none"/>
        </w:rPr>
      </w:pPr>
      <w:r>
        <w:rPr>
          <w:rFonts w:cs="Times New Roman"/>
          <w:color w:val="auto"/>
          <w:kern w:val="21"/>
          <w:szCs w:val="22"/>
          <w:highlight w:val="none"/>
        </w:rPr>
        <w:t>综上所述，本项目所采用的生产工艺、生产设备先进；原材料消耗指标均达到国内先进水平，能源消耗及污染物产生量指标处于国内先进水平，其它指标均处于国内先进水平，项目清洁生产水平比较高。</w:t>
      </w:r>
    </w:p>
    <w:p w14:paraId="7B3AA9D4">
      <w:pPr>
        <w:adjustRightInd w:val="0"/>
        <w:ind w:firstLine="480"/>
        <w:rPr>
          <w:rFonts w:cs="Times New Roman"/>
          <w:color w:val="auto"/>
          <w:highlight w:val="none"/>
        </w:rPr>
        <w:sectPr>
          <w:pgSz w:w="11906" w:h="16838"/>
          <w:pgMar w:top="1440" w:right="1800" w:bottom="1440" w:left="1800" w:header="851" w:footer="992" w:gutter="0"/>
          <w:cols w:space="425" w:num="1"/>
          <w:docGrid w:type="lines" w:linePitch="326" w:charSpace="0"/>
        </w:sectPr>
      </w:pPr>
    </w:p>
    <w:p w14:paraId="14921BCC">
      <w:pPr>
        <w:pStyle w:val="2"/>
        <w:adjustRightInd w:val="0"/>
        <w:rPr>
          <w:rFonts w:cs="Times New Roman"/>
          <w:color w:val="auto"/>
          <w:highlight w:val="none"/>
        </w:rPr>
      </w:pPr>
      <w:bookmarkStart w:id="138" w:name="_Toc23300"/>
      <w:r>
        <w:rPr>
          <w:rFonts w:hint="eastAsia" w:cs="Times New Roman"/>
          <w:color w:val="auto"/>
          <w:highlight w:val="none"/>
        </w:rPr>
        <w:t>环境现状调查与评价</w:t>
      </w:r>
      <w:bookmarkEnd w:id="138"/>
    </w:p>
    <w:p w14:paraId="44412106">
      <w:pPr>
        <w:pStyle w:val="3"/>
        <w:rPr>
          <w:color w:val="auto"/>
          <w:highlight w:val="none"/>
        </w:rPr>
      </w:pPr>
      <w:bookmarkStart w:id="139" w:name="_Toc8999"/>
      <w:r>
        <w:rPr>
          <w:color w:val="auto"/>
          <w:highlight w:val="none"/>
        </w:rPr>
        <w:t>自然环境现状调查与评价</w:t>
      </w:r>
      <w:bookmarkEnd w:id="139"/>
    </w:p>
    <w:p w14:paraId="119CBAB3">
      <w:pPr>
        <w:pStyle w:val="4"/>
        <w:rPr>
          <w:color w:val="auto"/>
          <w:highlight w:val="none"/>
        </w:rPr>
      </w:pPr>
      <w:bookmarkStart w:id="140" w:name="_Toc28064"/>
      <w:r>
        <w:rPr>
          <w:color w:val="auto"/>
          <w:highlight w:val="none"/>
        </w:rPr>
        <w:t>地理位置</w:t>
      </w:r>
      <w:bookmarkEnd w:id="140"/>
    </w:p>
    <w:p w14:paraId="44B31E7F">
      <w:pPr>
        <w:adjustRightInd w:val="0"/>
        <w:ind w:firstLine="480"/>
        <w:rPr>
          <w:rFonts w:cs="Times New Roman"/>
          <w:color w:val="auto"/>
          <w:highlight w:val="none"/>
        </w:rPr>
      </w:pPr>
      <w:r>
        <w:rPr>
          <w:rFonts w:cs="Times New Roman"/>
          <w:color w:val="auto"/>
          <w:highlight w:val="none"/>
        </w:rPr>
        <w:t>沙湾区是乐山市县级市辖区，位于四川盆地西南边缘，地理坐标介于东经103°25′13″至103°44′10″，北纬29°11′18″至29°31′30″之间。周边相邻6个区市县：北连乐山市市中区，南界沐川、峨边两县，东临五通桥区和犍为县，西靠峨眉山市，幅员面积610.89km</w:t>
      </w:r>
      <w:r>
        <w:rPr>
          <w:rFonts w:cs="Times New Roman"/>
          <w:color w:val="auto"/>
          <w:highlight w:val="none"/>
          <w:vertAlign w:val="superscript"/>
        </w:rPr>
        <w:t>2</w:t>
      </w:r>
      <w:r>
        <w:rPr>
          <w:rFonts w:cs="Times New Roman"/>
          <w:color w:val="auto"/>
          <w:highlight w:val="none"/>
        </w:rPr>
        <w:t>。</w:t>
      </w:r>
    </w:p>
    <w:p w14:paraId="26A5D431">
      <w:pPr>
        <w:adjustRightInd w:val="0"/>
        <w:ind w:firstLine="480"/>
        <w:rPr>
          <w:rFonts w:cs="Times New Roman"/>
          <w:color w:val="auto"/>
          <w:highlight w:val="none"/>
        </w:rPr>
      </w:pPr>
      <w:r>
        <w:rPr>
          <w:rFonts w:cs="Times New Roman"/>
          <w:color w:val="auto"/>
          <w:highlight w:val="none"/>
        </w:rPr>
        <w:t>嘉农镇地处沙湾区西北部，东临大渡河与太平镇隔水相望，北接市中区罗汉镇，南临沙湾镇，西接峨眉山市乐都镇和市中区临江乡，位于东经103°31'30</w:t>
      </w:r>
      <w:r>
        <w:rPr>
          <w:rFonts w:hint="eastAsia" w:cs="Times New Roman"/>
          <w:color w:val="auto"/>
          <w:highlight w:val="none"/>
        </w:rPr>
        <w:t>”</w:t>
      </w:r>
      <w:r>
        <w:rPr>
          <w:rFonts w:cs="Times New Roman"/>
          <w:color w:val="auto"/>
          <w:highlight w:val="none"/>
        </w:rPr>
        <w:t>-103°38'05</w:t>
      </w:r>
      <w:r>
        <w:rPr>
          <w:rFonts w:hint="eastAsia" w:cs="Times New Roman"/>
          <w:color w:val="auto"/>
          <w:highlight w:val="none"/>
        </w:rPr>
        <w:t>”</w:t>
      </w:r>
      <w:r>
        <w:rPr>
          <w:rFonts w:cs="Times New Roman"/>
          <w:color w:val="auto"/>
          <w:highlight w:val="none"/>
        </w:rPr>
        <w:t>，北纬29°25'42</w:t>
      </w:r>
      <w:r>
        <w:rPr>
          <w:rFonts w:hint="eastAsia" w:cs="Times New Roman"/>
          <w:color w:val="auto"/>
          <w:highlight w:val="none"/>
        </w:rPr>
        <w:t>”</w:t>
      </w:r>
      <w:r>
        <w:rPr>
          <w:rFonts w:cs="Times New Roman"/>
          <w:color w:val="auto"/>
          <w:highlight w:val="none"/>
        </w:rPr>
        <w:t>-29°31'30</w:t>
      </w:r>
      <w:r>
        <w:rPr>
          <w:rFonts w:hint="eastAsia" w:cs="Times New Roman"/>
          <w:color w:val="auto"/>
          <w:highlight w:val="none"/>
        </w:rPr>
        <w:t>”</w:t>
      </w:r>
      <w:r>
        <w:rPr>
          <w:rFonts w:cs="Times New Roman"/>
          <w:color w:val="auto"/>
          <w:highlight w:val="none"/>
        </w:rPr>
        <w:t>之间，幅员面积42.07平方公里。从镇政府驻地盐溪口南至沙湾城区，公路里程11公里，北至乐山市中心城区，公路里程28公里。</w:t>
      </w:r>
    </w:p>
    <w:p w14:paraId="42CA1E6A">
      <w:pPr>
        <w:adjustRightInd w:val="0"/>
        <w:ind w:firstLine="480"/>
        <w:rPr>
          <w:rFonts w:cs="Times New Roman"/>
          <w:color w:val="auto"/>
          <w:highlight w:val="none"/>
        </w:rPr>
      </w:pPr>
      <w:r>
        <w:rPr>
          <w:rFonts w:cs="Times New Roman"/>
          <w:color w:val="auto"/>
          <w:highlight w:val="none"/>
        </w:rPr>
        <w:t>本项目位于沙湾区嘉农镇凤凰路1号（</w:t>
      </w:r>
      <w:r>
        <w:rPr>
          <w:rFonts w:hint="eastAsia" w:cs="Times New Roman"/>
          <w:color w:val="auto"/>
          <w:highlight w:val="none"/>
        </w:rPr>
        <w:t>四川乐山沙湾经济开发区嘉农组团内</w:t>
      </w:r>
      <w:r>
        <w:rPr>
          <w:rFonts w:cs="Times New Roman"/>
          <w:color w:val="auto"/>
          <w:highlight w:val="none"/>
        </w:rPr>
        <w:t>），地势较平坦。项目地理位置见附图1。</w:t>
      </w:r>
    </w:p>
    <w:p w14:paraId="5EFD8E57">
      <w:pPr>
        <w:pStyle w:val="4"/>
        <w:rPr>
          <w:color w:val="auto"/>
          <w:highlight w:val="none"/>
        </w:rPr>
      </w:pPr>
      <w:bookmarkStart w:id="141" w:name="_Toc15678"/>
      <w:r>
        <w:rPr>
          <w:color w:val="auto"/>
          <w:highlight w:val="none"/>
        </w:rPr>
        <w:t>地形、地貌</w:t>
      </w:r>
      <w:bookmarkEnd w:id="141"/>
    </w:p>
    <w:p w14:paraId="404A8489">
      <w:pPr>
        <w:adjustRightInd w:val="0"/>
        <w:ind w:firstLine="480"/>
        <w:rPr>
          <w:rFonts w:cs="Times New Roman"/>
          <w:color w:val="auto"/>
          <w:highlight w:val="none"/>
        </w:rPr>
      </w:pPr>
      <w:r>
        <w:rPr>
          <w:rFonts w:cs="Times New Roman"/>
          <w:color w:val="auto"/>
          <w:highlight w:val="none"/>
        </w:rPr>
        <w:t>乐山市沙湾区位于四川盆地西南边缘，是四川盆地向盆周山地两个1级地貌单元的过渡地带，境内地层地质结构为形成多种地貌形态奠定了基础。因新构造运动，形成了东北部丘陵、平坝，西南部盆周山地地貌。东北部丘陵、平坝属相对下沉区，以剥蚀、堆积地貌为主；西部盆周山地为新构造运动强烈上升区，以侵蚀、剥蚀地貌为主。</w:t>
      </w:r>
    </w:p>
    <w:p w14:paraId="05CB48F3">
      <w:pPr>
        <w:adjustRightInd w:val="0"/>
        <w:ind w:firstLine="480"/>
        <w:rPr>
          <w:rFonts w:cs="Times New Roman"/>
          <w:color w:val="auto"/>
          <w:highlight w:val="none"/>
        </w:rPr>
      </w:pPr>
      <w:r>
        <w:rPr>
          <w:rFonts w:cs="Times New Roman"/>
          <w:color w:val="auto"/>
          <w:highlight w:val="none"/>
        </w:rPr>
        <w:t>地貌形态以岩性控制地貌形态，且多喀斯特地貌为其特征；地形类型既有山地区，又有丘陵区和平坝区，以山地地形为主，地势呈西南高东北低。北连峨（眉）夹（江）平原，西与南接川西南山地，东部与川中丘陵相连。整个地形呈倾斜状，由西南部中山、低中山向东北渐变为中低山、低山直到东北部变为丘陵、平坝。主要分布情况：大渡河以西的三峨山、二峨山一带为中山区，最高海拔2110.27m；大渡河以东沫溪河以南五显埂至铜街子一带为低山区，海拔600～882m；山地面积占总面积的72.7％；丘陵区分布于丰都</w:t>
      </w:r>
      <w:r>
        <w:rPr>
          <w:rFonts w:hint="eastAsia" w:cs="Times New Roman"/>
          <w:color w:val="auto"/>
          <w:highlight w:val="none"/>
        </w:rPr>
        <w:t>界</w:t>
      </w:r>
      <w:r>
        <w:rPr>
          <w:rFonts w:cs="Times New Roman"/>
          <w:color w:val="auto"/>
          <w:highlight w:val="none"/>
        </w:rPr>
        <w:t>、沫溪河以北，面积71km</w:t>
      </w:r>
      <w:r>
        <w:rPr>
          <w:rFonts w:cs="Times New Roman"/>
          <w:color w:val="auto"/>
          <w:highlight w:val="none"/>
          <w:vertAlign w:val="superscript"/>
        </w:rPr>
        <w:t>2</w:t>
      </w:r>
      <w:r>
        <w:rPr>
          <w:rFonts w:cs="Times New Roman"/>
          <w:color w:val="auto"/>
          <w:highlight w:val="none"/>
        </w:rPr>
        <w:t>；平坝区分布于大渡河、沫溪河沿岸，由11级阶地、I级阶地及河漫滩构成，占总面积的13.6％。</w:t>
      </w:r>
    </w:p>
    <w:p w14:paraId="62BA4933">
      <w:pPr>
        <w:adjustRightInd w:val="0"/>
        <w:ind w:firstLine="480"/>
        <w:rPr>
          <w:rFonts w:cs="Times New Roman"/>
          <w:color w:val="auto"/>
          <w:highlight w:val="none"/>
        </w:rPr>
      </w:pPr>
      <w:r>
        <w:rPr>
          <w:rFonts w:cs="Times New Roman"/>
          <w:color w:val="auto"/>
          <w:highlight w:val="none"/>
        </w:rPr>
        <w:t>嘉农镇地貌属平原、低丘类型，西南部兼有少量山地地貌，以平原为主，约占幅员面积80%，平原由大渡河沿岸的一级阶地和河漫滩、河心洲坝组成。最大的平原是嘉农平原，北起燎原村，南至新兴村。最大的河心洲坝是魏坝，次之的有沫东坝、王场坝、羊子坝、大冯坝等。西部为低丘区，地势西高东低，最低海拔383.5m，在分场村羊子大坝大渡河漫滩。</w:t>
      </w:r>
    </w:p>
    <w:p w14:paraId="1F9708D7">
      <w:pPr>
        <w:pStyle w:val="42"/>
        <w:adjustRightInd w:val="0"/>
        <w:ind w:firstLine="480"/>
        <w:rPr>
          <w:color w:val="auto"/>
          <w:highlight w:val="none"/>
        </w:rPr>
      </w:pPr>
      <w:r>
        <w:rPr>
          <w:color w:val="auto"/>
          <w:highlight w:val="none"/>
        </w:rPr>
        <w:t>本项目场地地势平坦。</w:t>
      </w:r>
    </w:p>
    <w:p w14:paraId="003AD562">
      <w:pPr>
        <w:pStyle w:val="4"/>
        <w:rPr>
          <w:color w:val="auto"/>
          <w:highlight w:val="none"/>
        </w:rPr>
      </w:pPr>
      <w:bookmarkStart w:id="142" w:name="_Toc14901"/>
      <w:r>
        <w:rPr>
          <w:color w:val="auto"/>
          <w:highlight w:val="none"/>
        </w:rPr>
        <w:t>气象气候</w:t>
      </w:r>
      <w:bookmarkEnd w:id="142"/>
    </w:p>
    <w:p w14:paraId="6C18C9B2">
      <w:pPr>
        <w:adjustRightInd w:val="0"/>
        <w:ind w:firstLine="480"/>
        <w:rPr>
          <w:rFonts w:cs="Times New Roman"/>
          <w:color w:val="auto"/>
          <w:highlight w:val="none"/>
        </w:rPr>
      </w:pPr>
      <w:r>
        <w:rPr>
          <w:rFonts w:cs="Times New Roman"/>
          <w:color w:val="auto"/>
          <w:highlight w:val="none"/>
        </w:rPr>
        <w:t>沙湾区地处四川盆地西南边缘，属盆周山区，地貌以山地为主。除沿大渡河狭长地段为平坝外，其余均为中山，海拔相对高度为1623m。沙湾区属亚热带季风区，呈湿润性季风气候，气候随</w:t>
      </w:r>
      <w:r>
        <w:rPr>
          <w:rFonts w:hint="eastAsia" w:cs="Times New Roman"/>
          <w:color w:val="auto"/>
          <w:highlight w:val="none"/>
        </w:rPr>
        <w:t>海拔</w:t>
      </w:r>
      <w:r>
        <w:rPr>
          <w:rFonts w:cs="Times New Roman"/>
          <w:color w:val="auto"/>
          <w:highlight w:val="none"/>
        </w:rPr>
        <w:t>的变化而变化，其特点是一年四季分明，雨量充沛，夏季降水较多且多暴雨，尤以夜间降雨为主要特征。年平均气温17.3摄氏度。最热在7月，平均月气温26摄氏度；最冷为1月，平均月气温</w:t>
      </w:r>
      <w:r>
        <w:rPr>
          <w:rFonts w:hint="eastAsia" w:cs="Times New Roman"/>
          <w:color w:val="auto"/>
          <w:highlight w:val="none"/>
        </w:rPr>
        <w:t>7.3摄氏度</w:t>
      </w:r>
      <w:r>
        <w:rPr>
          <w:rFonts w:cs="Times New Roman"/>
          <w:color w:val="auto"/>
          <w:highlight w:val="none"/>
        </w:rPr>
        <w:t>。年平均日照数1091.6小时，日极端最高气温</w:t>
      </w:r>
      <w:r>
        <w:rPr>
          <w:rFonts w:hint="eastAsia" w:cs="Times New Roman"/>
          <w:color w:val="auto"/>
          <w:highlight w:val="none"/>
        </w:rPr>
        <w:t>38.1摄氏度</w:t>
      </w:r>
      <w:r>
        <w:rPr>
          <w:rFonts w:cs="Times New Roman"/>
          <w:color w:val="auto"/>
          <w:highlight w:val="none"/>
        </w:rPr>
        <w:t>，日极端最低气温摄氏零下4.3度。自然灾害有干旱、洪涝、暴雨、泥石流、低温、秋绵雨、大风、冰雹等。</w:t>
      </w:r>
    </w:p>
    <w:p w14:paraId="0DFE9B3E">
      <w:pPr>
        <w:adjustRightInd w:val="0"/>
        <w:ind w:firstLine="480"/>
        <w:rPr>
          <w:rFonts w:cs="Times New Roman"/>
          <w:color w:val="auto"/>
          <w:highlight w:val="none"/>
        </w:rPr>
      </w:pPr>
      <w:r>
        <w:rPr>
          <w:rFonts w:cs="Times New Roman"/>
          <w:color w:val="auto"/>
          <w:highlight w:val="none"/>
        </w:rPr>
        <w:t>由于</w:t>
      </w:r>
      <w:r>
        <w:rPr>
          <w:rFonts w:hint="eastAsia" w:cs="Times New Roman"/>
          <w:color w:val="auto"/>
          <w:highlight w:val="none"/>
        </w:rPr>
        <w:t>海拔</w:t>
      </w:r>
      <w:r>
        <w:rPr>
          <w:rFonts w:cs="Times New Roman"/>
          <w:color w:val="auto"/>
          <w:highlight w:val="none"/>
        </w:rPr>
        <w:t>的变化和迎风坡和背风坡的影响，区内坝丘区和山区降雨差异在500毫米以上。坝丘区多年平均年降雨量1200～1400毫米。北少南多，东少西多。二峨山、三峨山等中山顶部降雨量1900毫米以上。四季降雨量分配不均是该区季风气候的显著表现，夏季（6～8月）降雨量782.7毫米，占全年的59%，冬季（12～2月）降雨量54.4毫米，占全年的4～5%，春季降雨量230.7毫米，秋季降雨量267.6毫米。7、8两月降雨最集中，平均雨量分别为314.4、321.7毫米，最少为1月和12月，分别是15.4、14.6毫米。随着</w:t>
      </w:r>
      <w:r>
        <w:rPr>
          <w:rFonts w:hint="eastAsia" w:cs="Times New Roman"/>
          <w:color w:val="auto"/>
          <w:highlight w:val="none"/>
        </w:rPr>
        <w:t>海拔</w:t>
      </w:r>
      <w:r>
        <w:rPr>
          <w:rFonts w:cs="Times New Roman"/>
          <w:color w:val="auto"/>
          <w:highlight w:val="none"/>
        </w:rPr>
        <w:t>升高，冬季雨量比例稍有增大，对于山地区域，降雨强度随高度上升而增。全年平均降雨量为1430毫米，降雨日数平均为185天左右，最多年份210天，最少年份150天。平坝、丘陵区域无霜期长，霜雪稀。平均无霜期330天，降雪通常随降随化，年平均积雪时间仅0.3天，连续积雪时间不超过一天，一般是夜间积雪，次日上午消融。</w:t>
      </w:r>
    </w:p>
    <w:p w14:paraId="7B9658D6">
      <w:pPr>
        <w:adjustRightInd w:val="0"/>
        <w:ind w:firstLine="480"/>
        <w:rPr>
          <w:rFonts w:cs="Times New Roman"/>
          <w:color w:val="auto"/>
          <w:highlight w:val="none"/>
        </w:rPr>
      </w:pPr>
      <w:r>
        <w:rPr>
          <w:rFonts w:cs="Times New Roman"/>
          <w:color w:val="auto"/>
          <w:highlight w:val="none"/>
        </w:rPr>
        <w:t>日照受地形和降水、云雾影响，分布较悬殊。开阔地日照时数随</w:t>
      </w:r>
      <w:r>
        <w:rPr>
          <w:rFonts w:hint="eastAsia" w:cs="Times New Roman"/>
          <w:color w:val="auto"/>
          <w:highlight w:val="none"/>
        </w:rPr>
        <w:t>海拔</w:t>
      </w:r>
      <w:r>
        <w:rPr>
          <w:rFonts w:cs="Times New Roman"/>
          <w:color w:val="auto"/>
          <w:highlight w:val="none"/>
        </w:rPr>
        <w:t>每上升100米而下降5～10小时。光照资源的季节分配合理，夏季是黄金时期，每年7、8月是高光照时期，其次是4月。由于有较好的光热条件，坝区和低山区几乎没有高温干旱，没有严寒冰冻，作物四季都能生长，光照资源的有效性好，利用率高。</w:t>
      </w:r>
    </w:p>
    <w:p w14:paraId="51DAF63D">
      <w:pPr>
        <w:pStyle w:val="4"/>
        <w:rPr>
          <w:color w:val="auto"/>
          <w:highlight w:val="none"/>
        </w:rPr>
      </w:pPr>
      <w:bookmarkStart w:id="143" w:name="_Toc21766"/>
      <w:r>
        <w:rPr>
          <w:color w:val="auto"/>
          <w:highlight w:val="none"/>
        </w:rPr>
        <w:t>水文地质</w:t>
      </w:r>
      <w:bookmarkEnd w:id="143"/>
    </w:p>
    <w:p w14:paraId="58255C99">
      <w:pPr>
        <w:pStyle w:val="5"/>
        <w:rPr>
          <w:color w:val="auto"/>
          <w:highlight w:val="none"/>
        </w:rPr>
      </w:pPr>
      <w:r>
        <w:rPr>
          <w:color w:val="auto"/>
          <w:highlight w:val="none"/>
        </w:rPr>
        <w:t>水文条件</w:t>
      </w:r>
    </w:p>
    <w:p w14:paraId="2C5E3CA4">
      <w:pPr>
        <w:ind w:firstLine="480"/>
        <w:rPr>
          <w:color w:val="auto"/>
          <w:highlight w:val="none"/>
        </w:rPr>
      </w:pPr>
      <w:r>
        <w:rPr>
          <w:rFonts w:hint="eastAsia"/>
          <w:color w:val="auto"/>
          <w:highlight w:val="none"/>
        </w:rPr>
        <w:t>（1）</w:t>
      </w:r>
      <w:r>
        <w:rPr>
          <w:color w:val="auto"/>
          <w:highlight w:val="none"/>
        </w:rPr>
        <w:t>地表水</w:t>
      </w:r>
    </w:p>
    <w:p w14:paraId="36491800">
      <w:pPr>
        <w:adjustRightInd w:val="0"/>
        <w:ind w:firstLine="480"/>
        <w:rPr>
          <w:rFonts w:cs="Times New Roman"/>
          <w:color w:val="auto"/>
          <w:highlight w:val="none"/>
        </w:rPr>
      </w:pPr>
      <w:r>
        <w:rPr>
          <w:rFonts w:cs="Times New Roman"/>
          <w:color w:val="auto"/>
          <w:highlight w:val="none"/>
        </w:rPr>
        <w:t>大渡河是嘉农镇境内的主要河流，区域内还有明代水利工程——红猫堰。</w:t>
      </w:r>
    </w:p>
    <w:p w14:paraId="2D2A8939">
      <w:pPr>
        <w:adjustRightInd w:val="0"/>
        <w:ind w:firstLine="480"/>
        <w:rPr>
          <w:rFonts w:cs="Times New Roman"/>
          <w:color w:val="auto"/>
          <w:highlight w:val="none"/>
        </w:rPr>
      </w:pPr>
      <w:r>
        <w:rPr>
          <w:rFonts w:cs="Times New Roman"/>
          <w:color w:val="auto"/>
          <w:highlight w:val="none"/>
        </w:rPr>
        <w:t>①大渡河</w:t>
      </w:r>
    </w:p>
    <w:p w14:paraId="53DF25A6">
      <w:pPr>
        <w:adjustRightInd w:val="0"/>
        <w:ind w:firstLine="480"/>
        <w:rPr>
          <w:rFonts w:cs="Times New Roman"/>
          <w:color w:val="auto"/>
          <w:highlight w:val="none"/>
        </w:rPr>
      </w:pPr>
      <w:r>
        <w:rPr>
          <w:rFonts w:cs="Times New Roman"/>
          <w:color w:val="auto"/>
          <w:highlight w:val="none"/>
        </w:rPr>
        <w:t>大渡河古称沫水（亦称铜河），发源于青海省巴颜喀拉山南麓，由大金川、小金川在丹巴县城东汇合，经石棉、汉源、峨边自治县于沙湾区范店乡李子坪村入境，经龚嘴、铜街子、福禄、沙湾，于嘉农镇燎原村出境，在乐山注入岷江。区境内流长118km，流域面积369.35km</w:t>
      </w:r>
      <w:r>
        <w:rPr>
          <w:rFonts w:cs="Times New Roman"/>
          <w:color w:val="auto"/>
          <w:highlight w:val="none"/>
          <w:vertAlign w:val="superscript"/>
        </w:rPr>
        <w:t>2</w:t>
      </w:r>
      <w:r>
        <w:rPr>
          <w:rFonts w:cs="Times New Roman"/>
          <w:color w:val="auto"/>
          <w:highlight w:val="none"/>
        </w:rPr>
        <w:t>。大渡河福禄水文站记录多年平均流量为每秒1490m</w:t>
      </w:r>
      <w:r>
        <w:rPr>
          <w:rFonts w:cs="Times New Roman"/>
          <w:color w:val="auto"/>
          <w:highlight w:val="none"/>
          <w:vertAlign w:val="superscript"/>
        </w:rPr>
        <w:t>3</w:t>
      </w:r>
      <w:r>
        <w:rPr>
          <w:rFonts w:cs="Times New Roman"/>
          <w:color w:val="auto"/>
          <w:highlight w:val="none"/>
        </w:rPr>
        <w:t>，大渡河石棉至铜街子为下游，铜街子至乐山城下注入岷江的河段为河口段。沙湾区境内的大渡河属下游与河口段。大渡河在沙湾区接纳的主要支流有：范店沟、刘沟、斡溪、先村沟、插旗沟、六并沟、余溪，均为小型山地溪河。</w:t>
      </w:r>
    </w:p>
    <w:p w14:paraId="32B43842">
      <w:pPr>
        <w:pStyle w:val="42"/>
        <w:adjustRightInd w:val="0"/>
        <w:ind w:firstLine="480"/>
        <w:rPr>
          <w:color w:val="auto"/>
          <w:highlight w:val="none"/>
        </w:rPr>
      </w:pPr>
      <w:r>
        <w:rPr>
          <w:color w:val="auto"/>
          <w:highlight w:val="none"/>
        </w:rPr>
        <w:t>②红猫堰</w:t>
      </w:r>
    </w:p>
    <w:p w14:paraId="46DF057B">
      <w:pPr>
        <w:pStyle w:val="42"/>
        <w:adjustRightInd w:val="0"/>
        <w:ind w:firstLine="480"/>
        <w:rPr>
          <w:color w:val="auto"/>
          <w:highlight w:val="none"/>
        </w:rPr>
      </w:pPr>
      <w:r>
        <w:rPr>
          <w:color w:val="auto"/>
          <w:highlight w:val="none"/>
        </w:rPr>
        <w:t>嘉农镇境内有明代水利工程——红猫堰，由南向北纵贯沙湾区的嘉农镇，市中区的罗汉镇和水口镇。嘉农镇境内自红猫堰流域灌溉农田面积6000亩，占全镇农田总面积的75%以上。</w:t>
      </w:r>
    </w:p>
    <w:p w14:paraId="74E220CA">
      <w:pPr>
        <w:pStyle w:val="42"/>
        <w:adjustRightInd w:val="0"/>
        <w:ind w:firstLine="480"/>
        <w:rPr>
          <w:color w:val="auto"/>
          <w:highlight w:val="none"/>
        </w:rPr>
      </w:pPr>
      <w:r>
        <w:rPr>
          <w:color w:val="auto"/>
          <w:highlight w:val="none"/>
        </w:rPr>
        <w:t>红猫堰由园区西南侧沙湾嘉农镇（丰都庙）大渡河左岸花园口引水，由南用地后，从嘉华水泥有限公司的西北侧出园区。红猫堰是一座始建于明朝的以灌溉为主，兼顾防洪，人畜饮水的中型国有水利工程，原取水口位于沙湾镇姚河坝大渡河左岸岩基背。1998年，由于河床变迁，沙湾堤防工程整治，</w:t>
      </w:r>
      <w:r>
        <w:rPr>
          <w:rFonts w:hint="eastAsia"/>
          <w:color w:val="auto"/>
          <w:highlight w:val="none"/>
        </w:rPr>
        <w:t>现</w:t>
      </w:r>
      <w:r>
        <w:rPr>
          <w:color w:val="auto"/>
          <w:highlight w:val="none"/>
        </w:rPr>
        <w:t>取水口改至沙湾嘉农镇（丰都庙）大渡河左岸花园口。枢纽工程设有拦河溢流坝313米，设计流量4.5立方米/秒，设计灌面1.76万亩，有效灌面1.52万亩，由于各种企业占地和公益建设占地，实际灌面1.36万亩。控灌沙湾区嘉农镇，市中区罗汉镇和水口镇25个村，灌区内受益人口5.6万人，工程干渠14.06公里，支渠4.2公里，灌区集雨面积45.2平方公里，有泄洪渠8条4.85公里，有泄洪闸8座，节制闸2座，工程有隧洞1座长1260米，渡槽2座长20米，倒虹管1处长27米，跌水4座长45米。以上的钢闸门13座，且有战线长，地质差，山区渠道多，且多为土渠，水利用系数仅为0.3左右，建筑物多，交通不是很方便的特点，渠道面积为337亩。</w:t>
      </w:r>
    </w:p>
    <w:p w14:paraId="2210CECF">
      <w:pPr>
        <w:pStyle w:val="42"/>
        <w:adjustRightInd w:val="0"/>
        <w:ind w:firstLine="480"/>
        <w:rPr>
          <w:color w:val="auto"/>
          <w:highlight w:val="none"/>
        </w:rPr>
      </w:pPr>
      <w:r>
        <w:rPr>
          <w:color w:val="auto"/>
          <w:highlight w:val="none"/>
        </w:rPr>
        <w:t>本项目</w:t>
      </w:r>
      <w:r>
        <w:rPr>
          <w:rFonts w:hint="eastAsia"/>
          <w:color w:val="auto"/>
          <w:highlight w:val="none"/>
        </w:rPr>
        <w:t>北</w:t>
      </w:r>
      <w:r>
        <w:rPr>
          <w:color w:val="auto"/>
          <w:highlight w:val="none"/>
        </w:rPr>
        <w:t>侧1</w:t>
      </w:r>
      <w:r>
        <w:rPr>
          <w:rFonts w:hint="eastAsia"/>
          <w:color w:val="auto"/>
          <w:highlight w:val="none"/>
        </w:rPr>
        <w:t>0</w:t>
      </w:r>
      <w:r>
        <w:rPr>
          <w:color w:val="auto"/>
          <w:highlight w:val="none"/>
        </w:rPr>
        <w:t>m为红猫堰，东南侧12</w:t>
      </w:r>
      <w:r>
        <w:rPr>
          <w:rFonts w:hint="eastAsia"/>
          <w:color w:val="auto"/>
          <w:highlight w:val="none"/>
        </w:rPr>
        <w:t>59</w:t>
      </w:r>
      <w:r>
        <w:rPr>
          <w:color w:val="auto"/>
          <w:highlight w:val="none"/>
        </w:rPr>
        <w:t>m为大渡河，东南侧6</w:t>
      </w:r>
      <w:r>
        <w:rPr>
          <w:rFonts w:hint="eastAsia"/>
          <w:color w:val="auto"/>
          <w:highlight w:val="none"/>
        </w:rPr>
        <w:t>5</w:t>
      </w:r>
      <w:r>
        <w:rPr>
          <w:color w:val="auto"/>
          <w:highlight w:val="none"/>
        </w:rPr>
        <w:t>5m为大渡河生态河。</w:t>
      </w:r>
    </w:p>
    <w:p w14:paraId="79DAA48D">
      <w:pPr>
        <w:ind w:firstLine="480"/>
        <w:rPr>
          <w:color w:val="auto"/>
          <w:highlight w:val="none"/>
        </w:rPr>
      </w:pPr>
      <w:r>
        <w:rPr>
          <w:rFonts w:hint="eastAsia"/>
          <w:color w:val="auto"/>
          <w:highlight w:val="none"/>
        </w:rPr>
        <w:t>（2）</w:t>
      </w:r>
      <w:r>
        <w:rPr>
          <w:color w:val="auto"/>
          <w:highlight w:val="none"/>
        </w:rPr>
        <w:t>地下水</w:t>
      </w:r>
    </w:p>
    <w:p w14:paraId="53E7AEC1">
      <w:pPr>
        <w:adjustRightInd w:val="0"/>
        <w:ind w:firstLine="480"/>
        <w:rPr>
          <w:rFonts w:cs="Times New Roman"/>
          <w:color w:val="auto"/>
          <w:highlight w:val="none"/>
        </w:rPr>
      </w:pPr>
      <w:r>
        <w:rPr>
          <w:rFonts w:cs="Times New Roman"/>
          <w:color w:val="auto"/>
          <w:highlight w:val="none"/>
        </w:rPr>
        <w:t>据区域水文地质资料及钻孔揭露，场区地下水为松散堆积层孔隙水，属潜水。主要赋存于③层卵石中，属潜水，其透水性好，含水量丰富，接受大气降雨、地表水、红猫堰水的补给，顺层径流往低处排泄，并与红猫堰水呈相互补排关系。根据访问，拟建场地地下水年变幅2～4m；②层</w:t>
      </w:r>
      <w:r>
        <w:rPr>
          <w:rFonts w:hint="eastAsia" w:cs="Times New Roman"/>
          <w:color w:val="auto"/>
          <w:highlight w:val="none"/>
        </w:rPr>
        <w:t>粉质粘土</w:t>
      </w:r>
      <w:r>
        <w:rPr>
          <w:rFonts w:cs="Times New Roman"/>
          <w:color w:val="auto"/>
          <w:highlight w:val="none"/>
        </w:rPr>
        <w:t>渗透系数约0.5～1m/d；③层卵石渗透系数约35～45m/d。根据调查访问，常年最高地下水位标高约383m，近3～5年最高地下水位标高约384m，历史最高地下水位标高约385m。可见，该层地下水与拟建工程关系密切，施工时应考虑排水措施。</w:t>
      </w:r>
    </w:p>
    <w:p w14:paraId="7A2813ED">
      <w:pPr>
        <w:pStyle w:val="5"/>
        <w:rPr>
          <w:color w:val="auto"/>
          <w:highlight w:val="none"/>
        </w:rPr>
      </w:pPr>
      <w:r>
        <w:rPr>
          <w:color w:val="auto"/>
          <w:highlight w:val="none"/>
        </w:rPr>
        <w:t>地层岩性</w:t>
      </w:r>
    </w:p>
    <w:p w14:paraId="6E9167ED">
      <w:pPr>
        <w:pStyle w:val="42"/>
        <w:adjustRightInd w:val="0"/>
        <w:ind w:firstLine="480"/>
        <w:rPr>
          <w:color w:val="auto"/>
          <w:highlight w:val="none"/>
        </w:rPr>
      </w:pPr>
      <w:r>
        <w:rPr>
          <w:color w:val="auto"/>
          <w:highlight w:val="none"/>
        </w:rPr>
        <w:t>根据《</w:t>
      </w:r>
      <w:r>
        <w:rPr>
          <w:rFonts w:hint="eastAsia"/>
          <w:color w:val="auto"/>
          <w:highlight w:val="none"/>
        </w:rPr>
        <w:t>沙湾区新建50万吨锂矿加工综合利用项目</w:t>
      </w:r>
      <w:r>
        <w:rPr>
          <w:color w:val="auto"/>
          <w:highlight w:val="none"/>
        </w:rPr>
        <w:t>岩土工程详细勘察报告》，场地表层覆盖第四系全新统人工填土层素填土（Q</w:t>
      </w:r>
      <w:r>
        <w:rPr>
          <w:color w:val="auto"/>
          <w:highlight w:val="none"/>
          <w:vertAlign w:val="subscript"/>
        </w:rPr>
        <w:t>4</w:t>
      </w:r>
      <w:r>
        <w:rPr>
          <w:color w:val="auto"/>
          <w:highlight w:val="none"/>
          <w:vertAlign w:val="superscript"/>
        </w:rPr>
        <w:t>ml</w:t>
      </w:r>
      <w:r>
        <w:rPr>
          <w:color w:val="auto"/>
          <w:highlight w:val="none"/>
        </w:rPr>
        <w:t>），第四系全新统冲洪积堆积层粉质黏土及卵石土（Q</w:t>
      </w:r>
      <w:r>
        <w:rPr>
          <w:color w:val="auto"/>
          <w:highlight w:val="none"/>
          <w:vertAlign w:val="subscript"/>
        </w:rPr>
        <w:t>4</w:t>
      </w:r>
      <w:r>
        <w:rPr>
          <w:color w:val="auto"/>
          <w:highlight w:val="none"/>
          <w:vertAlign w:val="superscript"/>
        </w:rPr>
        <w:t>al+pl</w:t>
      </w:r>
      <w:r>
        <w:rPr>
          <w:color w:val="auto"/>
          <w:highlight w:val="none"/>
        </w:rPr>
        <w:t>），共分为三层，岩土特征</w:t>
      </w:r>
    </w:p>
    <w:p w14:paraId="5B4CE09D">
      <w:pPr>
        <w:pStyle w:val="42"/>
        <w:adjustRightInd w:val="0"/>
        <w:ind w:firstLine="480"/>
        <w:rPr>
          <w:color w:val="auto"/>
          <w:highlight w:val="none"/>
        </w:rPr>
      </w:pPr>
      <w:r>
        <w:rPr>
          <w:color w:val="auto"/>
          <w:highlight w:val="none"/>
        </w:rPr>
        <w:t>自上而下简述如下：</w:t>
      </w:r>
    </w:p>
    <w:p w14:paraId="2F51C812">
      <w:pPr>
        <w:pStyle w:val="42"/>
        <w:adjustRightInd w:val="0"/>
        <w:ind w:firstLine="480"/>
        <w:rPr>
          <w:color w:val="auto"/>
          <w:highlight w:val="none"/>
        </w:rPr>
      </w:pPr>
      <w:r>
        <w:rPr>
          <w:color w:val="auto"/>
          <w:highlight w:val="none"/>
        </w:rPr>
        <w:t>（1）第四系全新统人素填土（Q</w:t>
      </w:r>
      <w:r>
        <w:rPr>
          <w:color w:val="auto"/>
          <w:highlight w:val="none"/>
          <w:vertAlign w:val="subscript"/>
        </w:rPr>
        <w:t>4</w:t>
      </w:r>
      <w:r>
        <w:rPr>
          <w:color w:val="auto"/>
          <w:highlight w:val="none"/>
          <w:vertAlign w:val="superscript"/>
        </w:rPr>
        <w:t>ml</w:t>
      </w:r>
      <w:r>
        <w:rPr>
          <w:color w:val="auto"/>
          <w:highlight w:val="none"/>
        </w:rPr>
        <w:t>）</w:t>
      </w:r>
    </w:p>
    <w:p w14:paraId="6F7516A1">
      <w:pPr>
        <w:pStyle w:val="42"/>
        <w:adjustRightInd w:val="0"/>
        <w:ind w:firstLine="480"/>
        <w:rPr>
          <w:color w:val="auto"/>
          <w:highlight w:val="none"/>
        </w:rPr>
      </w:pPr>
      <w:r>
        <w:rPr>
          <w:color w:val="auto"/>
          <w:highlight w:val="none"/>
        </w:rPr>
        <w:t>①层：素填土（Q</w:t>
      </w:r>
      <w:r>
        <w:rPr>
          <w:color w:val="auto"/>
          <w:highlight w:val="none"/>
          <w:vertAlign w:val="subscript"/>
        </w:rPr>
        <w:t>4</w:t>
      </w:r>
      <w:r>
        <w:rPr>
          <w:color w:val="auto"/>
          <w:highlight w:val="none"/>
          <w:vertAlign w:val="superscript"/>
        </w:rPr>
        <w:t>ml</w:t>
      </w:r>
      <w:r>
        <w:rPr>
          <w:color w:val="auto"/>
          <w:highlight w:val="none"/>
        </w:rPr>
        <w:t>）人工回填成因，全区分布。呈灰褐色，松散，稍湿，成分主要以卵石、粉质黏土为主，含少量的建筑垃圾。粗颗粒含量约25～35%，回填时间约6～10年。为原厂区及周边项目建设开挖的弃土自然堆积形成，未经碾压夯实，均匀性差，压缩性高，固结性差，无震陷、湿陷现象。固结历史属欠固结，结构性差。部分地段表层为厚度约0.25～0.40m的混凝土路面。超重型动力触探试验（N120）1～6击。岩芯采取率75%～90%，钻孔揭露厚度1.30～2.70m。</w:t>
      </w:r>
    </w:p>
    <w:p w14:paraId="79F21240">
      <w:pPr>
        <w:pStyle w:val="42"/>
        <w:adjustRightInd w:val="0"/>
        <w:ind w:firstLine="480"/>
        <w:rPr>
          <w:color w:val="auto"/>
          <w:highlight w:val="none"/>
        </w:rPr>
      </w:pPr>
      <w:r>
        <w:rPr>
          <w:color w:val="auto"/>
          <w:highlight w:val="none"/>
        </w:rPr>
        <w:t>（2）第四系全新统冲洪积堆积层（Q</w:t>
      </w:r>
      <w:r>
        <w:rPr>
          <w:color w:val="auto"/>
          <w:highlight w:val="none"/>
          <w:vertAlign w:val="subscript"/>
        </w:rPr>
        <w:t>4</w:t>
      </w:r>
      <w:r>
        <w:rPr>
          <w:color w:val="auto"/>
          <w:highlight w:val="none"/>
          <w:vertAlign w:val="superscript"/>
        </w:rPr>
        <w:t>al+pl</w:t>
      </w:r>
      <w:r>
        <w:rPr>
          <w:color w:val="auto"/>
          <w:highlight w:val="none"/>
        </w:rPr>
        <w:t>）</w:t>
      </w:r>
    </w:p>
    <w:p w14:paraId="56B31384">
      <w:pPr>
        <w:pStyle w:val="42"/>
        <w:adjustRightInd w:val="0"/>
        <w:ind w:firstLine="480"/>
        <w:rPr>
          <w:color w:val="auto"/>
          <w:highlight w:val="none"/>
        </w:rPr>
      </w:pPr>
      <w:r>
        <w:rPr>
          <w:color w:val="auto"/>
          <w:highlight w:val="none"/>
        </w:rPr>
        <w:t>②层：</w:t>
      </w:r>
      <w:r>
        <w:rPr>
          <w:rFonts w:hint="eastAsia"/>
          <w:color w:val="auto"/>
          <w:highlight w:val="none"/>
        </w:rPr>
        <w:t>粉质粘土</w:t>
      </w:r>
      <w:r>
        <w:rPr>
          <w:color w:val="auto"/>
          <w:highlight w:val="none"/>
        </w:rPr>
        <w:t>（Q</w:t>
      </w:r>
      <w:r>
        <w:rPr>
          <w:color w:val="auto"/>
          <w:highlight w:val="none"/>
          <w:vertAlign w:val="subscript"/>
        </w:rPr>
        <w:t>4</w:t>
      </w:r>
      <w:r>
        <w:rPr>
          <w:color w:val="auto"/>
          <w:highlight w:val="none"/>
          <w:vertAlign w:val="superscript"/>
        </w:rPr>
        <w:t>al+pl</w:t>
      </w:r>
      <w:r>
        <w:rPr>
          <w:color w:val="auto"/>
          <w:highlight w:val="none"/>
        </w:rPr>
        <w:t>）</w:t>
      </w:r>
    </w:p>
    <w:p w14:paraId="2F0088F2">
      <w:pPr>
        <w:pStyle w:val="42"/>
        <w:adjustRightInd w:val="0"/>
        <w:ind w:firstLine="480"/>
        <w:rPr>
          <w:color w:val="auto"/>
          <w:highlight w:val="none"/>
        </w:rPr>
      </w:pPr>
      <w:r>
        <w:rPr>
          <w:color w:val="auto"/>
          <w:highlight w:val="none"/>
        </w:rPr>
        <w:t>冲洪积堆积成因，大部分地段分布，局部地段缺失，呈灰褐色，可塑状，在湿条件下可搓成约2～3mm圆条，捻面有砂感，在湿条件下可搓成约2～3mm圆条，粘性、韧性中等，干强度中等，有光泽，絮状结构为主，局部为蜂窝团聚结构，含黑灰色网脉，偶见铁锰质氧化物。岩芯采取率90%～100%，揭露厚度0.50～1.80m，顶板埋深1.30～2.30m，标高383.25～385.25m。标准贯入试验击数4～6击。</w:t>
      </w:r>
    </w:p>
    <w:p w14:paraId="42926529">
      <w:pPr>
        <w:pStyle w:val="42"/>
        <w:adjustRightInd w:val="0"/>
        <w:ind w:firstLine="480"/>
        <w:rPr>
          <w:color w:val="auto"/>
          <w:highlight w:val="none"/>
        </w:rPr>
      </w:pPr>
      <w:r>
        <w:rPr>
          <w:color w:val="auto"/>
          <w:highlight w:val="none"/>
        </w:rPr>
        <w:t>据土工试验成果：天然含水率23.4～30.7%，天然密度1.80～1.97g/cm3，孔隙比0.723～0.908，液限29.0～35.1%，塑限17.1～20.8%，液性指数0.35～0.71，塑性指数10.3～15.3。</w:t>
      </w:r>
    </w:p>
    <w:p w14:paraId="053FA70C">
      <w:pPr>
        <w:pStyle w:val="42"/>
        <w:adjustRightInd w:val="0"/>
        <w:ind w:firstLine="480"/>
        <w:rPr>
          <w:color w:val="auto"/>
          <w:highlight w:val="none"/>
        </w:rPr>
      </w:pPr>
      <w:r>
        <w:rPr>
          <w:color w:val="auto"/>
          <w:highlight w:val="none"/>
        </w:rPr>
        <w:t>③层：卵石（Q</w:t>
      </w:r>
      <w:r>
        <w:rPr>
          <w:color w:val="auto"/>
          <w:highlight w:val="none"/>
          <w:vertAlign w:val="subscript"/>
        </w:rPr>
        <w:t>4</w:t>
      </w:r>
      <w:r>
        <w:rPr>
          <w:color w:val="auto"/>
          <w:highlight w:val="none"/>
          <w:vertAlign w:val="superscript"/>
        </w:rPr>
        <w:t>al+pl</w:t>
      </w:r>
      <w:r>
        <w:rPr>
          <w:color w:val="auto"/>
          <w:highlight w:val="none"/>
        </w:rPr>
        <w:t>）</w:t>
      </w:r>
    </w:p>
    <w:p w14:paraId="75F81FF8">
      <w:pPr>
        <w:pStyle w:val="42"/>
        <w:adjustRightInd w:val="0"/>
        <w:ind w:firstLine="480"/>
        <w:rPr>
          <w:color w:val="auto"/>
          <w:highlight w:val="none"/>
        </w:rPr>
      </w:pPr>
      <w:r>
        <w:rPr>
          <w:color w:val="auto"/>
          <w:highlight w:val="none"/>
        </w:rPr>
        <w:t>冲洪积堆积成因，全区分布，呈杂色，很湿～饱水，</w:t>
      </w:r>
      <w:r>
        <w:rPr>
          <w:rFonts w:hint="eastAsia"/>
          <w:color w:val="auto"/>
          <w:highlight w:val="none"/>
        </w:rPr>
        <w:t>成分</w:t>
      </w:r>
      <w:r>
        <w:rPr>
          <w:color w:val="auto"/>
          <w:highlight w:val="none"/>
        </w:rPr>
        <w:t>为灰岩、花岗岩、石英岩、玄武岩等，质硬，未风化，磨圆度较好，卵石呈次圆状～圆状。细砂充填，部分地段充填物富集。含有约15～30%的漂石，漂石最大粒径达500mm以上。据筛分试验：＞20mm占55.5～66.8%，20～2mm占9.2～23.4%，2～0.50mm占1.5～6.4%，0.5～0.25mm占0.8～4.2%，0.25～0.075mm占6.4～17.3%，0.075～0.005mm占1.6～9.9%。据N120动力触探试验及钻探取芯情况，依据《岩土工程勘察规范》（GB50021-2001）（2009年版）第3.3.8条表3.3.8-2，卵石按密实度分为3亚层：③-1稍密卵石（3＜N120≤6击）；③-2中密卵石（6＜N120≤11击）及③-3密实卵石（11＜N120≤14击），分述如下：</w:t>
      </w:r>
    </w:p>
    <w:p w14:paraId="4AEF582A">
      <w:pPr>
        <w:pStyle w:val="42"/>
        <w:adjustRightInd w:val="0"/>
        <w:ind w:firstLine="480"/>
        <w:rPr>
          <w:color w:val="auto"/>
          <w:highlight w:val="none"/>
        </w:rPr>
      </w:pPr>
      <w:r>
        <w:rPr>
          <w:color w:val="auto"/>
          <w:highlight w:val="none"/>
        </w:rPr>
        <w:t>③-1稍密卵石。全区分布，呈层状分布卵石层中部，为细砂充填，含量约占15～20%，含约15～20%的漂石，卵石部分接触，＞20mm占55～60%，密实度以稍密为主。岩芯采取率75%～90%，钻孔揭露厚度0.50～3.20m，顶板埋深2.20～3.80m，顶板标高382.25～382.40m。超重型动力触探试验（N120）3～6击。</w:t>
      </w:r>
    </w:p>
    <w:p w14:paraId="5B1632D3">
      <w:pPr>
        <w:pStyle w:val="42"/>
        <w:adjustRightInd w:val="0"/>
        <w:ind w:firstLine="480"/>
        <w:rPr>
          <w:color w:val="auto"/>
          <w:highlight w:val="none"/>
        </w:rPr>
      </w:pPr>
      <w:r>
        <w:rPr>
          <w:color w:val="auto"/>
          <w:highlight w:val="none"/>
        </w:rPr>
        <w:t>③-2中密卵石。全区分布，呈层状分布卵石层中部，为细砂充填，含量约占10～18%，含约15～25%的漂石，卵石大部分接触，＞20mm占60～70%，密实度以中密为主。岩芯采取率75%～95%，钻孔揭露厚度0.60～2.70m，顶板埋深2.00～6.10m，顶板标高380.60～384.55m。超重型动力触探试验（N120）6～11击。</w:t>
      </w:r>
    </w:p>
    <w:p w14:paraId="7DA8B43F">
      <w:pPr>
        <w:pStyle w:val="42"/>
        <w:adjustRightInd w:val="0"/>
        <w:ind w:firstLine="480"/>
        <w:rPr>
          <w:color w:val="auto"/>
          <w:highlight w:val="none"/>
        </w:rPr>
      </w:pPr>
      <w:r>
        <w:rPr>
          <w:color w:val="auto"/>
          <w:highlight w:val="none"/>
        </w:rPr>
        <w:t>③-3密实卵石。全区分布，呈层状分布卵石层中下部，为细砂充填，含量约占8～15%，含约20～30%的漂石，卵石大部分接触，＞20mm占70～85%，密实度以密实为主。岩芯采取率80%～95%，钻孔揭露厚度5.60～17.40m，顶板埋深2.60～8.00m，顶板标高378.370～383.95m。超重型动力触探试验（N120）11～＞14击。</w:t>
      </w:r>
    </w:p>
    <w:p w14:paraId="4C17CECB">
      <w:pPr>
        <w:pStyle w:val="4"/>
        <w:rPr>
          <w:color w:val="auto"/>
          <w:highlight w:val="none"/>
        </w:rPr>
      </w:pPr>
      <w:bookmarkStart w:id="144" w:name="_Toc4067"/>
      <w:r>
        <w:rPr>
          <w:color w:val="auto"/>
          <w:highlight w:val="none"/>
        </w:rPr>
        <w:t>矿产资源</w:t>
      </w:r>
      <w:bookmarkEnd w:id="144"/>
    </w:p>
    <w:p w14:paraId="48652FF7">
      <w:pPr>
        <w:adjustRightInd w:val="0"/>
        <w:ind w:firstLine="480"/>
        <w:rPr>
          <w:rFonts w:cs="Times New Roman"/>
          <w:color w:val="auto"/>
          <w:highlight w:val="none"/>
        </w:rPr>
      </w:pPr>
      <w:r>
        <w:rPr>
          <w:rFonts w:cs="Times New Roman"/>
          <w:color w:val="auto"/>
          <w:highlight w:val="none"/>
        </w:rPr>
        <w:t>沙湾区辖内矿产资源种类多，</w:t>
      </w:r>
      <w:r>
        <w:rPr>
          <w:rFonts w:hint="eastAsia" w:cs="Times New Roman"/>
          <w:color w:val="auto"/>
          <w:highlight w:val="none"/>
        </w:rPr>
        <w:t>以非金属矿产为主</w:t>
      </w:r>
      <w:r>
        <w:rPr>
          <w:rFonts w:cs="Times New Roman"/>
          <w:color w:val="auto"/>
          <w:highlight w:val="none"/>
        </w:rPr>
        <w:t>，金属矿产较少。全区已发现的矿种有21种（非金属矿产15种，金属矿产和内生矿产6种），矿产地50余处。主要矿产包括煤炭、水泥用灰岩、耐火粘土（陶瓷用硬质粘土矿）、陶瓷用砂岩、伊利石粘土（俗称白泥矿）、石膏、砖瓦用页岩、熔剂白云岩、水泥配料用砂岩、水泥配料用粘土岩、建筑用玄武岩、长石、砖瓦用粘土、铁矿、铜矿、铝土矿、磷矿等。矿床规模小，小型矿多，大中型少。开发的矿山，只有3家中型规模水泥用灰岩矿山，其余均为小型。煤炭、水泥用灰岩、耐火粘土、伊利石粘土、陶瓷用砂岩、砖瓦用页岩、石膏、建筑用玄武岩、长石等矿种已不同程度地开发利用。</w:t>
      </w:r>
    </w:p>
    <w:p w14:paraId="6CEDF7FC">
      <w:pPr>
        <w:pStyle w:val="4"/>
        <w:rPr>
          <w:color w:val="auto"/>
          <w:highlight w:val="none"/>
        </w:rPr>
      </w:pPr>
      <w:bookmarkStart w:id="145" w:name="_Toc15372"/>
      <w:r>
        <w:rPr>
          <w:color w:val="auto"/>
          <w:highlight w:val="none"/>
        </w:rPr>
        <w:t>自然资源</w:t>
      </w:r>
      <w:bookmarkEnd w:id="145"/>
    </w:p>
    <w:p w14:paraId="004F75E9">
      <w:pPr>
        <w:pStyle w:val="42"/>
        <w:adjustRightInd w:val="0"/>
        <w:ind w:firstLine="480"/>
        <w:rPr>
          <w:color w:val="auto"/>
          <w:highlight w:val="none"/>
        </w:rPr>
      </w:pPr>
      <w:r>
        <w:rPr>
          <w:color w:val="auto"/>
          <w:highlight w:val="none"/>
        </w:rPr>
        <w:t>（1）土地资源</w:t>
      </w:r>
    </w:p>
    <w:p w14:paraId="036B2CC3">
      <w:pPr>
        <w:pStyle w:val="42"/>
        <w:adjustRightInd w:val="0"/>
        <w:ind w:firstLine="480"/>
        <w:rPr>
          <w:color w:val="auto"/>
          <w:highlight w:val="none"/>
        </w:rPr>
      </w:pPr>
      <w:r>
        <w:rPr>
          <w:color w:val="auto"/>
          <w:highlight w:val="none"/>
        </w:rPr>
        <w:t>截至2021年末，沙湾区耕地为8133.33公顷（其中：水田3553.33公顷，旱地4580公顷），加上现状非耕地类型中即可恢复面积2453.33公顷和工程恢复面积5440公顷，共计16026.67公顷。</w:t>
      </w:r>
    </w:p>
    <w:p w14:paraId="41A0E266">
      <w:pPr>
        <w:pStyle w:val="42"/>
        <w:adjustRightInd w:val="0"/>
        <w:ind w:firstLine="480"/>
        <w:rPr>
          <w:color w:val="auto"/>
          <w:highlight w:val="none"/>
        </w:rPr>
      </w:pPr>
      <w:r>
        <w:rPr>
          <w:color w:val="auto"/>
          <w:highlight w:val="none"/>
        </w:rPr>
        <w:t>（2）生物资源</w:t>
      </w:r>
    </w:p>
    <w:p w14:paraId="541A35B0">
      <w:pPr>
        <w:pStyle w:val="42"/>
        <w:adjustRightInd w:val="0"/>
        <w:ind w:firstLine="480"/>
        <w:rPr>
          <w:color w:val="auto"/>
          <w:highlight w:val="none"/>
        </w:rPr>
      </w:pPr>
      <w:r>
        <w:rPr>
          <w:color w:val="auto"/>
          <w:highlight w:val="none"/>
        </w:rPr>
        <w:t>沙湾区境内有各类植物3000多种，共有乔灌木74科、159属、246种。其中裸子植物5科25种，有银杏科1种、松科7种、柏科10种、杉科6种、苏铁科1种。被子植物69科221种，有木兰科5种、樟科14种、蔷薇科25种、苏木科3种、蝶形花科5种、杨柳科6种、桦木科2种、胡桃科8种、榆科3种、桑科5种、大戟科6种、桃金娘科4种、鼠李科4种、柿树科3种、芸香科9种、楝科4种、漆树科8种、木樨科7种、茜草科4种、其它科82种。区内重要的保护植物有桫椤、楠树、大榕树、红豆树、荔枝树等。主要中药材有黄连、白术、天麻、党参、该仁、麦冬、白益、泽泻、薄荷、荆芥、木瓜、积壳、桅子、厚朴、杜仲、何首乌等。</w:t>
      </w:r>
    </w:p>
    <w:p w14:paraId="0C8A7157">
      <w:pPr>
        <w:pStyle w:val="42"/>
        <w:adjustRightInd w:val="0"/>
        <w:ind w:firstLine="480"/>
        <w:rPr>
          <w:color w:val="auto"/>
          <w:highlight w:val="none"/>
        </w:rPr>
      </w:pPr>
      <w:r>
        <w:rPr>
          <w:color w:val="auto"/>
          <w:highlight w:val="none"/>
        </w:rPr>
        <w:t>沙湾区内有陆生动物资源280多种，其中：哺乳类50余种，主要有岩羊、猕猴、小灵猫、野猪、刺猬、狐狸、果子狸、螺丝狸、黄鼬、獾、野兔、水獭、椰子猫、松鼠、家鼠、田鼠、蝙蝠等；鸟类有200余种，属国家二级保护的有鸢、苍鹭、白鹭、秧鸡、大胸鹦鹉、斑头鸺、膺鹇、白腹锦鸡、红腹锦鸡等；爬行类动物30余种，主要有蛇、蜥、壁虎、蜈蚣、大千脚虫等；昆虫类品种繁多，主要有蝴蝶、蜂、枯叶蝶等。</w:t>
      </w:r>
    </w:p>
    <w:p w14:paraId="362AC643">
      <w:pPr>
        <w:pStyle w:val="42"/>
        <w:adjustRightInd w:val="0"/>
        <w:ind w:firstLine="480"/>
        <w:rPr>
          <w:color w:val="auto"/>
          <w:highlight w:val="none"/>
        </w:rPr>
      </w:pPr>
    </w:p>
    <w:p w14:paraId="2204BFE6">
      <w:pPr>
        <w:pStyle w:val="42"/>
        <w:adjustRightInd w:val="0"/>
        <w:ind w:firstLine="480"/>
        <w:rPr>
          <w:color w:val="auto"/>
          <w:highlight w:val="none"/>
        </w:rPr>
        <w:sectPr>
          <w:pgSz w:w="11906" w:h="16838"/>
          <w:pgMar w:top="1440" w:right="1800" w:bottom="1440" w:left="1800" w:header="851" w:footer="992" w:gutter="0"/>
          <w:cols w:space="425" w:num="1"/>
          <w:docGrid w:type="lines" w:linePitch="326" w:charSpace="0"/>
        </w:sectPr>
      </w:pPr>
    </w:p>
    <w:p w14:paraId="2B429FF1">
      <w:pPr>
        <w:pStyle w:val="3"/>
        <w:rPr>
          <w:color w:val="auto"/>
          <w:highlight w:val="none"/>
        </w:rPr>
      </w:pPr>
      <w:bookmarkStart w:id="146" w:name="_Toc25922"/>
      <w:r>
        <w:rPr>
          <w:color w:val="auto"/>
          <w:highlight w:val="none"/>
        </w:rPr>
        <w:t>环境质量现状调查与评价</w:t>
      </w:r>
      <w:bookmarkEnd w:id="146"/>
    </w:p>
    <w:p w14:paraId="35FE9BAC">
      <w:pPr>
        <w:pStyle w:val="4"/>
        <w:rPr>
          <w:color w:val="auto"/>
          <w:highlight w:val="none"/>
        </w:rPr>
      </w:pPr>
      <w:bookmarkStart w:id="147" w:name="_Toc21696"/>
      <w:r>
        <w:rPr>
          <w:color w:val="auto"/>
          <w:highlight w:val="none"/>
        </w:rPr>
        <w:t>环境空气质量现状与评价</w:t>
      </w:r>
      <w:bookmarkEnd w:id="147"/>
    </w:p>
    <w:p w14:paraId="03A6D507">
      <w:pPr>
        <w:pStyle w:val="5"/>
        <w:rPr>
          <w:color w:val="auto"/>
          <w:highlight w:val="none"/>
        </w:rPr>
      </w:pPr>
      <w:r>
        <w:rPr>
          <w:color w:val="auto"/>
          <w:highlight w:val="none"/>
        </w:rPr>
        <w:t>项目区域环境空气质量现状</w:t>
      </w:r>
    </w:p>
    <w:p w14:paraId="32472238">
      <w:pPr>
        <w:adjustRightInd w:val="0"/>
        <w:ind w:firstLine="480"/>
        <w:rPr>
          <w:rFonts w:cs="Times New Roman"/>
          <w:color w:val="auto"/>
          <w:highlight w:val="none"/>
        </w:rPr>
      </w:pPr>
      <w:r>
        <w:rPr>
          <w:rFonts w:cs="Times New Roman"/>
          <w:color w:val="auto"/>
          <w:highlight w:val="none"/>
        </w:rPr>
        <w:t>本项目位于乐山市沙湾区，根据《环境影响评价导则</w:t>
      </w:r>
      <w:r>
        <w:rPr>
          <w:rFonts w:hint="eastAsia"/>
          <w:color w:val="auto"/>
          <w:highlight w:val="none"/>
        </w:rPr>
        <w:t xml:space="preserve"> </w:t>
      </w:r>
      <w:r>
        <w:rPr>
          <w:rFonts w:cs="Times New Roman"/>
          <w:color w:val="auto"/>
          <w:highlight w:val="none"/>
        </w:rPr>
        <w:t>大气环境》（HJ2.2-2018）中有关基本污染物环境质量现状数据的规定，可优先采用国家或地方生态环境主管部门公布的评价基准年（近3年中1个完整日历年）环境质量公告或环境质量报告中的数据或结论。</w:t>
      </w:r>
    </w:p>
    <w:p w14:paraId="5213E25F">
      <w:pPr>
        <w:adjustRightInd w:val="0"/>
        <w:ind w:firstLine="480"/>
        <w:rPr>
          <w:rFonts w:cs="Times New Roman"/>
          <w:color w:val="auto"/>
          <w:highlight w:val="none"/>
        </w:rPr>
      </w:pPr>
      <w:r>
        <w:rPr>
          <w:rFonts w:cs="Times New Roman"/>
          <w:color w:val="auto"/>
          <w:highlight w:val="none"/>
        </w:rPr>
        <w:t>为进一步了解项目所在区域环境空气质量现状，本次评价引用了乐山市沙湾生态环境监测站于202</w:t>
      </w:r>
      <w:r>
        <w:rPr>
          <w:rFonts w:hint="eastAsia" w:cs="Times New Roman"/>
          <w:color w:val="auto"/>
          <w:highlight w:val="none"/>
          <w:lang w:val="en-US" w:eastAsia="zh-CN"/>
        </w:rPr>
        <w:t>6</w:t>
      </w:r>
      <w:r>
        <w:rPr>
          <w:rFonts w:cs="Times New Roman"/>
          <w:color w:val="auto"/>
          <w:highlight w:val="none"/>
        </w:rPr>
        <w:t>年</w:t>
      </w:r>
      <w:r>
        <w:rPr>
          <w:rFonts w:hint="eastAsia" w:cs="Times New Roman"/>
          <w:color w:val="auto"/>
          <w:highlight w:val="none"/>
          <w:lang w:val="en-US" w:eastAsia="zh-CN"/>
        </w:rPr>
        <w:t>4</w:t>
      </w:r>
      <w:r>
        <w:rPr>
          <w:rFonts w:cs="Times New Roman"/>
          <w:color w:val="auto"/>
          <w:highlight w:val="none"/>
        </w:rPr>
        <w:t>月发布的</w:t>
      </w:r>
      <w:r>
        <w:rPr>
          <w:rFonts w:hint="eastAsia" w:cs="Times New Roman"/>
          <w:color w:val="auto"/>
          <w:highlight w:val="none"/>
          <w:lang w:val="en-US" w:eastAsia="zh-CN"/>
        </w:rPr>
        <w:t>监测数据</w:t>
      </w:r>
      <w:r>
        <w:rPr>
          <w:rFonts w:cs="Times New Roman"/>
          <w:color w:val="auto"/>
          <w:highlight w:val="none"/>
        </w:rPr>
        <w:t>进行区域达标评价。</w:t>
      </w:r>
    </w:p>
    <w:p w14:paraId="5FE04AA7">
      <w:pPr>
        <w:adjustRightInd w:val="0"/>
        <w:ind w:firstLine="480"/>
        <w:rPr>
          <w:rFonts w:cs="Times New Roman"/>
          <w:color w:val="auto"/>
          <w:highlight w:val="none"/>
        </w:rPr>
      </w:pPr>
      <w:r>
        <w:rPr>
          <w:rFonts w:cs="Times New Roman"/>
          <w:color w:val="auto"/>
          <w:highlight w:val="none"/>
        </w:rPr>
        <w:t>根据沙湾区</w:t>
      </w:r>
      <w:r>
        <w:rPr>
          <w:rFonts w:hint="eastAsia" w:cs="Times New Roman"/>
          <w:color w:val="auto"/>
          <w:highlight w:val="none"/>
          <w:lang w:val="en-US" w:eastAsia="zh-CN"/>
        </w:rPr>
        <w:t>2025年的环境空气质量监测数据</w:t>
      </w:r>
      <w:r>
        <w:rPr>
          <w:rFonts w:cs="Times New Roman"/>
          <w:color w:val="auto"/>
          <w:highlight w:val="none"/>
        </w:rPr>
        <w:t>，结合《环境影响评价技术导则大气环境》（HJ2.2-2018）要求，沙湾区空气质量指标统计见下表。</w:t>
      </w:r>
    </w:p>
    <w:p w14:paraId="3A9CC7FA">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沙湾区环境空气质量统计表单位：除CO为mg/m</w:t>
      </w:r>
      <w:r>
        <w:rPr>
          <w:rFonts w:cs="Times New Roman"/>
          <w:color w:val="auto"/>
          <w:highlight w:val="none"/>
          <w:vertAlign w:val="superscript"/>
        </w:rPr>
        <w:t>3</w:t>
      </w:r>
      <w:r>
        <w:rPr>
          <w:rFonts w:cs="Times New Roman"/>
          <w:color w:val="auto"/>
          <w:highlight w:val="none"/>
        </w:rPr>
        <w:t>，其余μg/m</w:t>
      </w:r>
      <w:r>
        <w:rPr>
          <w:rFonts w:cs="Times New Roman"/>
          <w:color w:val="auto"/>
          <w:highlight w:val="none"/>
          <w:vertAlign w:val="superscript"/>
        </w:rPr>
        <w:t>3</w:t>
      </w:r>
    </w:p>
    <w:tbl>
      <w:tblPr>
        <w:tblStyle w:val="31"/>
        <w:tblW w:w="50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3398"/>
        <w:gridCol w:w="1337"/>
        <w:gridCol w:w="1335"/>
        <w:gridCol w:w="970"/>
        <w:gridCol w:w="1101"/>
      </w:tblGrid>
      <w:tr w14:paraId="034A8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25" w:type="pct"/>
            <w:vAlign w:val="center"/>
          </w:tcPr>
          <w:p w14:paraId="2BB09D76">
            <w:pPr>
              <w:pStyle w:val="69"/>
              <w:spacing w:before="62" w:after="62"/>
              <w:rPr>
                <w:rFonts w:cs="Times New Roman"/>
                <w:b/>
                <w:bCs w:val="0"/>
                <w:color w:val="auto"/>
                <w:highlight w:val="none"/>
              </w:rPr>
            </w:pPr>
            <w:r>
              <w:rPr>
                <w:rFonts w:cs="Times New Roman"/>
                <w:b/>
                <w:bCs w:val="0"/>
                <w:color w:val="auto"/>
                <w:highlight w:val="none"/>
              </w:rPr>
              <w:t>污染物</w:t>
            </w:r>
          </w:p>
        </w:tc>
        <w:tc>
          <w:tcPr>
            <w:tcW w:w="1867" w:type="pct"/>
            <w:vAlign w:val="center"/>
          </w:tcPr>
          <w:p w14:paraId="319570F7">
            <w:pPr>
              <w:pStyle w:val="69"/>
              <w:spacing w:before="62" w:after="62"/>
              <w:rPr>
                <w:rFonts w:cs="Times New Roman"/>
                <w:b/>
                <w:bCs w:val="0"/>
                <w:color w:val="auto"/>
                <w:highlight w:val="none"/>
              </w:rPr>
            </w:pPr>
            <w:r>
              <w:rPr>
                <w:rFonts w:cs="Times New Roman"/>
                <w:b/>
                <w:bCs w:val="0"/>
                <w:color w:val="auto"/>
                <w:highlight w:val="none"/>
              </w:rPr>
              <w:t>年评价指标</w:t>
            </w:r>
          </w:p>
        </w:tc>
        <w:tc>
          <w:tcPr>
            <w:tcW w:w="735" w:type="pct"/>
            <w:vAlign w:val="center"/>
          </w:tcPr>
          <w:p w14:paraId="4D1B76F1">
            <w:pPr>
              <w:pStyle w:val="69"/>
              <w:spacing w:before="62" w:after="62"/>
              <w:rPr>
                <w:rFonts w:cs="Times New Roman"/>
                <w:b/>
                <w:bCs w:val="0"/>
                <w:color w:val="auto"/>
                <w:highlight w:val="none"/>
              </w:rPr>
            </w:pPr>
            <w:r>
              <w:rPr>
                <w:rFonts w:cs="Times New Roman"/>
                <w:b/>
                <w:bCs w:val="0"/>
                <w:color w:val="auto"/>
                <w:highlight w:val="none"/>
              </w:rPr>
              <w:t>现状浓度</w:t>
            </w:r>
          </w:p>
        </w:tc>
        <w:tc>
          <w:tcPr>
            <w:tcW w:w="734" w:type="pct"/>
            <w:vAlign w:val="center"/>
          </w:tcPr>
          <w:p w14:paraId="31AED2C5">
            <w:pPr>
              <w:pStyle w:val="69"/>
              <w:spacing w:before="62" w:after="62"/>
              <w:rPr>
                <w:rFonts w:cs="Times New Roman"/>
                <w:b/>
                <w:bCs w:val="0"/>
                <w:color w:val="auto"/>
                <w:highlight w:val="none"/>
              </w:rPr>
            </w:pPr>
            <w:r>
              <w:rPr>
                <w:rFonts w:cs="Times New Roman"/>
                <w:b/>
                <w:bCs w:val="0"/>
                <w:color w:val="auto"/>
                <w:highlight w:val="none"/>
              </w:rPr>
              <w:t>标准值</w:t>
            </w:r>
          </w:p>
        </w:tc>
        <w:tc>
          <w:tcPr>
            <w:tcW w:w="530" w:type="pct"/>
            <w:vAlign w:val="center"/>
          </w:tcPr>
          <w:p w14:paraId="1AD89387">
            <w:pPr>
              <w:pStyle w:val="69"/>
              <w:spacing w:before="62" w:after="62"/>
              <w:rPr>
                <w:rFonts w:cs="Times New Roman"/>
                <w:b/>
                <w:bCs w:val="0"/>
                <w:color w:val="auto"/>
                <w:highlight w:val="none"/>
              </w:rPr>
            </w:pPr>
            <w:r>
              <w:rPr>
                <w:rFonts w:cs="Times New Roman"/>
                <w:b/>
                <w:bCs w:val="0"/>
                <w:color w:val="auto"/>
                <w:highlight w:val="none"/>
              </w:rPr>
              <w:t>占标率</w:t>
            </w:r>
          </w:p>
        </w:tc>
        <w:tc>
          <w:tcPr>
            <w:tcW w:w="605" w:type="pct"/>
            <w:vAlign w:val="center"/>
          </w:tcPr>
          <w:p w14:paraId="01A07238">
            <w:pPr>
              <w:pStyle w:val="69"/>
              <w:spacing w:before="62" w:after="62"/>
              <w:rPr>
                <w:rFonts w:cs="Times New Roman"/>
                <w:b/>
                <w:bCs w:val="0"/>
                <w:color w:val="auto"/>
                <w:highlight w:val="none"/>
              </w:rPr>
            </w:pPr>
            <w:r>
              <w:rPr>
                <w:rFonts w:cs="Times New Roman"/>
                <w:b/>
                <w:bCs w:val="0"/>
                <w:color w:val="auto"/>
                <w:highlight w:val="none"/>
              </w:rPr>
              <w:t>达标情况</w:t>
            </w:r>
          </w:p>
        </w:tc>
      </w:tr>
      <w:tr w14:paraId="7F03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5E6E4F6C">
            <w:pPr>
              <w:pStyle w:val="69"/>
              <w:spacing w:before="62" w:after="62"/>
              <w:rPr>
                <w:rFonts w:cs="Times New Roman"/>
                <w:color w:val="auto"/>
                <w:highlight w:val="none"/>
              </w:rPr>
            </w:pPr>
            <w:r>
              <w:rPr>
                <w:rFonts w:cs="Times New Roman"/>
                <w:color w:val="auto"/>
                <w:highlight w:val="none"/>
              </w:rPr>
              <w:t>SO</w:t>
            </w:r>
            <w:r>
              <w:rPr>
                <w:rFonts w:cs="Times New Roman"/>
                <w:color w:val="auto"/>
                <w:highlight w:val="none"/>
                <w:vertAlign w:val="subscript"/>
              </w:rPr>
              <w:t>2</w:t>
            </w:r>
          </w:p>
        </w:tc>
        <w:tc>
          <w:tcPr>
            <w:tcW w:w="1867" w:type="pct"/>
            <w:vAlign w:val="center"/>
          </w:tcPr>
          <w:p w14:paraId="48E9D85B">
            <w:pPr>
              <w:pStyle w:val="69"/>
              <w:spacing w:before="62" w:after="62"/>
              <w:rPr>
                <w:rFonts w:cs="Times New Roman"/>
                <w:color w:val="auto"/>
                <w:highlight w:val="none"/>
              </w:rPr>
            </w:pPr>
            <w:r>
              <w:rPr>
                <w:rFonts w:cs="Times New Roman"/>
                <w:color w:val="auto"/>
                <w:highlight w:val="none"/>
              </w:rPr>
              <w:t>年均质量浓度</w:t>
            </w:r>
          </w:p>
        </w:tc>
        <w:tc>
          <w:tcPr>
            <w:tcW w:w="735" w:type="pct"/>
            <w:vAlign w:val="center"/>
          </w:tcPr>
          <w:p w14:paraId="4E1DFECA">
            <w:pPr>
              <w:pStyle w:val="69"/>
              <w:spacing w:before="62" w:after="62"/>
              <w:rPr>
                <w:rFonts w:hint="default" w:eastAsia="宋体" w:cs="Times New Roman"/>
                <w:color w:val="auto"/>
                <w:highlight w:val="none"/>
                <w:lang w:val="en-US" w:eastAsia="zh-CN"/>
              </w:rPr>
            </w:pPr>
            <w:r>
              <w:rPr>
                <w:rFonts w:hint="eastAsia" w:cs="Times New Roman"/>
                <w:color w:val="auto"/>
                <w:highlight w:val="none"/>
              </w:rPr>
              <w:t>4</w:t>
            </w:r>
            <w:r>
              <w:rPr>
                <w:rFonts w:hint="eastAsia" w:cs="Times New Roman"/>
                <w:color w:val="auto"/>
                <w:highlight w:val="none"/>
                <w:lang w:val="en-US" w:eastAsia="zh-CN"/>
              </w:rPr>
              <w:t>.8</w:t>
            </w:r>
          </w:p>
        </w:tc>
        <w:tc>
          <w:tcPr>
            <w:tcW w:w="734" w:type="pct"/>
            <w:vAlign w:val="center"/>
          </w:tcPr>
          <w:p w14:paraId="6FC45C27">
            <w:pPr>
              <w:pStyle w:val="69"/>
              <w:spacing w:before="62" w:after="62"/>
              <w:rPr>
                <w:rFonts w:cs="Times New Roman"/>
                <w:color w:val="auto"/>
                <w:highlight w:val="none"/>
              </w:rPr>
            </w:pPr>
            <w:r>
              <w:rPr>
                <w:rFonts w:cs="Times New Roman"/>
                <w:color w:val="auto"/>
                <w:highlight w:val="none"/>
              </w:rPr>
              <w:t>60</w:t>
            </w:r>
          </w:p>
        </w:tc>
        <w:tc>
          <w:tcPr>
            <w:tcW w:w="965" w:type="dxa"/>
            <w:vAlign w:val="center"/>
          </w:tcPr>
          <w:p w14:paraId="5B103D07">
            <w:pPr>
              <w:pStyle w:val="69"/>
              <w:spacing w:before="62" w:after="62"/>
              <w:rPr>
                <w:rFonts w:cs="Times New Roman"/>
                <w:color w:val="auto"/>
                <w:highlight w:val="none"/>
              </w:rPr>
            </w:pPr>
            <w:r>
              <w:rPr>
                <w:rFonts w:hint="eastAsia" w:cs="Times New Roman"/>
                <w:color w:val="auto"/>
                <w:highlight w:val="none"/>
                <w:lang w:val="en-US" w:eastAsia="zh-CN"/>
              </w:rPr>
              <w:t>8</w:t>
            </w:r>
            <w:r>
              <w:rPr>
                <w:rFonts w:hint="eastAsia" w:cs="Times New Roman"/>
                <w:color w:val="auto"/>
                <w:highlight w:val="none"/>
              </w:rPr>
              <w:t>%</w:t>
            </w:r>
          </w:p>
        </w:tc>
        <w:tc>
          <w:tcPr>
            <w:tcW w:w="605" w:type="pct"/>
            <w:vAlign w:val="center"/>
          </w:tcPr>
          <w:p w14:paraId="19020EEF">
            <w:pPr>
              <w:pStyle w:val="69"/>
              <w:spacing w:before="62" w:after="62"/>
              <w:rPr>
                <w:rFonts w:cs="Times New Roman"/>
                <w:color w:val="auto"/>
                <w:highlight w:val="none"/>
              </w:rPr>
            </w:pPr>
            <w:r>
              <w:rPr>
                <w:rFonts w:cs="Times New Roman"/>
                <w:color w:val="auto"/>
                <w:highlight w:val="none"/>
              </w:rPr>
              <w:t>达标</w:t>
            </w:r>
          </w:p>
        </w:tc>
      </w:tr>
      <w:tr w14:paraId="529C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4C457F7A">
            <w:pPr>
              <w:pStyle w:val="69"/>
              <w:spacing w:before="62" w:after="62"/>
              <w:rPr>
                <w:rFonts w:cs="Times New Roman"/>
                <w:color w:val="auto"/>
                <w:highlight w:val="none"/>
              </w:rPr>
            </w:pPr>
            <w:r>
              <w:rPr>
                <w:rFonts w:cs="Times New Roman"/>
                <w:color w:val="auto"/>
                <w:highlight w:val="none"/>
              </w:rPr>
              <w:t>NO</w:t>
            </w:r>
            <w:r>
              <w:rPr>
                <w:rFonts w:cs="Times New Roman"/>
                <w:color w:val="auto"/>
                <w:highlight w:val="none"/>
                <w:vertAlign w:val="subscript"/>
              </w:rPr>
              <w:t>2</w:t>
            </w:r>
          </w:p>
        </w:tc>
        <w:tc>
          <w:tcPr>
            <w:tcW w:w="1867" w:type="pct"/>
            <w:vAlign w:val="center"/>
          </w:tcPr>
          <w:p w14:paraId="21383760">
            <w:pPr>
              <w:pStyle w:val="69"/>
              <w:spacing w:before="62" w:after="62"/>
              <w:rPr>
                <w:rFonts w:cs="Times New Roman"/>
                <w:color w:val="auto"/>
                <w:highlight w:val="none"/>
              </w:rPr>
            </w:pPr>
            <w:r>
              <w:rPr>
                <w:rFonts w:cs="Times New Roman"/>
                <w:color w:val="auto"/>
                <w:highlight w:val="none"/>
              </w:rPr>
              <w:t>年均质量浓度</w:t>
            </w:r>
          </w:p>
        </w:tc>
        <w:tc>
          <w:tcPr>
            <w:tcW w:w="735" w:type="pct"/>
            <w:vAlign w:val="center"/>
          </w:tcPr>
          <w:p w14:paraId="04B11F5E">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20.7</w:t>
            </w:r>
          </w:p>
        </w:tc>
        <w:tc>
          <w:tcPr>
            <w:tcW w:w="734" w:type="pct"/>
            <w:vAlign w:val="center"/>
          </w:tcPr>
          <w:p w14:paraId="1A0D0330">
            <w:pPr>
              <w:pStyle w:val="69"/>
              <w:spacing w:before="62" w:after="62"/>
              <w:rPr>
                <w:rFonts w:cs="Times New Roman"/>
                <w:color w:val="auto"/>
                <w:highlight w:val="none"/>
              </w:rPr>
            </w:pPr>
            <w:r>
              <w:rPr>
                <w:rFonts w:cs="Times New Roman"/>
                <w:color w:val="auto"/>
                <w:highlight w:val="none"/>
              </w:rPr>
              <w:t>40</w:t>
            </w:r>
          </w:p>
        </w:tc>
        <w:tc>
          <w:tcPr>
            <w:tcW w:w="965" w:type="dxa"/>
            <w:vAlign w:val="center"/>
          </w:tcPr>
          <w:p w14:paraId="003FF819">
            <w:pPr>
              <w:pStyle w:val="69"/>
              <w:spacing w:before="62" w:after="62"/>
              <w:rPr>
                <w:rFonts w:cs="Times New Roman"/>
                <w:color w:val="auto"/>
                <w:highlight w:val="none"/>
              </w:rPr>
            </w:pPr>
            <w:r>
              <w:rPr>
                <w:rFonts w:hint="eastAsia" w:cs="Times New Roman"/>
                <w:color w:val="auto"/>
                <w:highlight w:val="none"/>
                <w:lang w:val="en-US" w:eastAsia="zh-CN"/>
              </w:rPr>
              <w:t>51.75</w:t>
            </w:r>
            <w:r>
              <w:rPr>
                <w:rFonts w:hint="eastAsia" w:cs="Times New Roman"/>
                <w:color w:val="auto"/>
                <w:highlight w:val="none"/>
              </w:rPr>
              <w:t>%</w:t>
            </w:r>
          </w:p>
        </w:tc>
        <w:tc>
          <w:tcPr>
            <w:tcW w:w="605" w:type="pct"/>
            <w:vAlign w:val="center"/>
          </w:tcPr>
          <w:p w14:paraId="311D7847">
            <w:pPr>
              <w:pStyle w:val="69"/>
              <w:spacing w:before="62" w:after="62"/>
              <w:rPr>
                <w:rFonts w:cs="Times New Roman"/>
                <w:color w:val="auto"/>
                <w:highlight w:val="none"/>
              </w:rPr>
            </w:pPr>
            <w:r>
              <w:rPr>
                <w:rFonts w:cs="Times New Roman"/>
                <w:color w:val="auto"/>
                <w:highlight w:val="none"/>
              </w:rPr>
              <w:t>达标</w:t>
            </w:r>
          </w:p>
        </w:tc>
      </w:tr>
      <w:tr w14:paraId="54013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45E60B37">
            <w:pPr>
              <w:pStyle w:val="69"/>
              <w:spacing w:before="62" w:after="62"/>
              <w:rPr>
                <w:rFonts w:cs="Times New Roman"/>
                <w:color w:val="auto"/>
                <w:highlight w:val="none"/>
              </w:rPr>
            </w:pPr>
            <w:r>
              <w:rPr>
                <w:rFonts w:cs="Times New Roman"/>
                <w:color w:val="auto"/>
                <w:highlight w:val="none"/>
              </w:rPr>
              <w:t>PM</w:t>
            </w:r>
            <w:r>
              <w:rPr>
                <w:rFonts w:cs="Times New Roman"/>
                <w:color w:val="auto"/>
                <w:highlight w:val="none"/>
                <w:vertAlign w:val="subscript"/>
              </w:rPr>
              <w:t>2.5</w:t>
            </w:r>
          </w:p>
        </w:tc>
        <w:tc>
          <w:tcPr>
            <w:tcW w:w="1867" w:type="pct"/>
            <w:vAlign w:val="center"/>
          </w:tcPr>
          <w:p w14:paraId="25491E17">
            <w:pPr>
              <w:pStyle w:val="69"/>
              <w:spacing w:before="62" w:after="62"/>
              <w:rPr>
                <w:rFonts w:cs="Times New Roman"/>
                <w:color w:val="auto"/>
                <w:highlight w:val="none"/>
              </w:rPr>
            </w:pPr>
            <w:r>
              <w:rPr>
                <w:rFonts w:cs="Times New Roman"/>
                <w:color w:val="auto"/>
                <w:highlight w:val="none"/>
              </w:rPr>
              <w:t>年均质量浓度</w:t>
            </w:r>
          </w:p>
        </w:tc>
        <w:tc>
          <w:tcPr>
            <w:tcW w:w="735" w:type="pct"/>
            <w:vAlign w:val="center"/>
          </w:tcPr>
          <w:p w14:paraId="01141B6C">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32.9</w:t>
            </w:r>
          </w:p>
        </w:tc>
        <w:tc>
          <w:tcPr>
            <w:tcW w:w="734" w:type="pct"/>
            <w:vAlign w:val="center"/>
          </w:tcPr>
          <w:p w14:paraId="7B6CA126">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30</w:t>
            </w:r>
          </w:p>
        </w:tc>
        <w:tc>
          <w:tcPr>
            <w:tcW w:w="965" w:type="dxa"/>
            <w:vAlign w:val="center"/>
          </w:tcPr>
          <w:p w14:paraId="116F2160">
            <w:pPr>
              <w:pStyle w:val="69"/>
              <w:spacing w:before="62" w:after="62"/>
              <w:rPr>
                <w:rFonts w:cs="Times New Roman"/>
                <w:color w:val="auto"/>
                <w:highlight w:val="none"/>
              </w:rPr>
            </w:pPr>
            <w:r>
              <w:rPr>
                <w:rFonts w:hint="eastAsia" w:cs="Times New Roman"/>
                <w:color w:val="auto"/>
                <w:highlight w:val="none"/>
                <w:lang w:val="en-US" w:eastAsia="zh-CN"/>
              </w:rPr>
              <w:t>109.67</w:t>
            </w:r>
            <w:r>
              <w:rPr>
                <w:rFonts w:hint="eastAsia" w:cs="Times New Roman"/>
                <w:color w:val="auto"/>
                <w:highlight w:val="none"/>
              </w:rPr>
              <w:t>%</w:t>
            </w:r>
          </w:p>
        </w:tc>
        <w:tc>
          <w:tcPr>
            <w:tcW w:w="605" w:type="pct"/>
            <w:vAlign w:val="center"/>
          </w:tcPr>
          <w:p w14:paraId="6F60148C">
            <w:pPr>
              <w:pStyle w:val="69"/>
              <w:spacing w:before="62" w:after="62"/>
              <w:rPr>
                <w:rFonts w:cs="Times New Roman"/>
                <w:color w:val="auto"/>
                <w:highlight w:val="none"/>
              </w:rPr>
            </w:pPr>
            <w:r>
              <w:rPr>
                <w:rFonts w:hint="eastAsia" w:cs="Times New Roman"/>
                <w:color w:val="auto"/>
                <w:highlight w:val="none"/>
                <w:lang w:val="en-US" w:eastAsia="zh-CN"/>
              </w:rPr>
              <w:t>不</w:t>
            </w:r>
            <w:r>
              <w:rPr>
                <w:rFonts w:cs="Times New Roman"/>
                <w:color w:val="auto"/>
                <w:highlight w:val="none"/>
              </w:rPr>
              <w:t>达标</w:t>
            </w:r>
          </w:p>
        </w:tc>
      </w:tr>
      <w:tr w14:paraId="2959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4D19CEF0">
            <w:pPr>
              <w:pStyle w:val="69"/>
              <w:spacing w:before="62" w:after="62"/>
              <w:rPr>
                <w:rFonts w:cs="Times New Roman"/>
                <w:color w:val="auto"/>
                <w:highlight w:val="none"/>
              </w:rPr>
            </w:pPr>
            <w:r>
              <w:rPr>
                <w:rFonts w:cs="Times New Roman"/>
                <w:color w:val="auto"/>
                <w:highlight w:val="none"/>
              </w:rPr>
              <w:t>PM</w:t>
            </w:r>
            <w:r>
              <w:rPr>
                <w:rFonts w:cs="Times New Roman"/>
                <w:color w:val="auto"/>
                <w:highlight w:val="none"/>
                <w:vertAlign w:val="subscript"/>
              </w:rPr>
              <w:t>10</w:t>
            </w:r>
          </w:p>
        </w:tc>
        <w:tc>
          <w:tcPr>
            <w:tcW w:w="1867" w:type="pct"/>
            <w:vAlign w:val="center"/>
          </w:tcPr>
          <w:p w14:paraId="7224AF57">
            <w:pPr>
              <w:pStyle w:val="69"/>
              <w:spacing w:before="62" w:after="62"/>
              <w:rPr>
                <w:rFonts w:cs="Times New Roman"/>
                <w:color w:val="auto"/>
                <w:highlight w:val="none"/>
              </w:rPr>
            </w:pPr>
            <w:r>
              <w:rPr>
                <w:rFonts w:cs="Times New Roman"/>
                <w:color w:val="auto"/>
                <w:highlight w:val="none"/>
              </w:rPr>
              <w:t>年均质量浓度</w:t>
            </w:r>
          </w:p>
        </w:tc>
        <w:tc>
          <w:tcPr>
            <w:tcW w:w="735" w:type="pct"/>
            <w:vAlign w:val="center"/>
          </w:tcPr>
          <w:p w14:paraId="04679ADD">
            <w:pPr>
              <w:pStyle w:val="69"/>
              <w:spacing w:before="62" w:after="62"/>
              <w:rPr>
                <w:rFonts w:hint="default" w:eastAsia="宋体" w:cs="Times New Roman"/>
                <w:color w:val="auto"/>
                <w:highlight w:val="none"/>
                <w:lang w:val="en-US" w:eastAsia="zh-CN"/>
              </w:rPr>
            </w:pPr>
            <w:r>
              <w:rPr>
                <w:rFonts w:hint="eastAsia" w:cs="Times New Roman"/>
                <w:color w:val="auto"/>
                <w:highlight w:val="none"/>
              </w:rPr>
              <w:t>51</w:t>
            </w:r>
            <w:r>
              <w:rPr>
                <w:rFonts w:hint="eastAsia" w:cs="Times New Roman"/>
                <w:color w:val="auto"/>
                <w:highlight w:val="none"/>
                <w:lang w:val="en-US" w:eastAsia="zh-CN"/>
              </w:rPr>
              <w:t>.6</w:t>
            </w:r>
          </w:p>
        </w:tc>
        <w:tc>
          <w:tcPr>
            <w:tcW w:w="734" w:type="pct"/>
            <w:vAlign w:val="center"/>
          </w:tcPr>
          <w:p w14:paraId="15ACC650">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60</w:t>
            </w:r>
          </w:p>
        </w:tc>
        <w:tc>
          <w:tcPr>
            <w:tcW w:w="965" w:type="dxa"/>
            <w:vAlign w:val="center"/>
          </w:tcPr>
          <w:p w14:paraId="20409D1E">
            <w:pPr>
              <w:pStyle w:val="69"/>
              <w:spacing w:before="62" w:after="62"/>
              <w:rPr>
                <w:rFonts w:cs="Times New Roman"/>
                <w:color w:val="auto"/>
                <w:highlight w:val="none"/>
              </w:rPr>
            </w:pPr>
            <w:r>
              <w:rPr>
                <w:rFonts w:hint="eastAsia" w:cs="Times New Roman"/>
                <w:color w:val="auto"/>
                <w:highlight w:val="none"/>
              </w:rPr>
              <w:t>86%</w:t>
            </w:r>
          </w:p>
        </w:tc>
        <w:tc>
          <w:tcPr>
            <w:tcW w:w="605" w:type="pct"/>
            <w:vAlign w:val="center"/>
          </w:tcPr>
          <w:p w14:paraId="69D84842">
            <w:pPr>
              <w:pStyle w:val="69"/>
              <w:spacing w:before="62" w:after="62"/>
              <w:rPr>
                <w:rFonts w:cs="Times New Roman"/>
                <w:color w:val="auto"/>
                <w:highlight w:val="none"/>
              </w:rPr>
            </w:pPr>
            <w:r>
              <w:rPr>
                <w:rFonts w:cs="Times New Roman"/>
                <w:color w:val="auto"/>
                <w:highlight w:val="none"/>
              </w:rPr>
              <w:t>达标</w:t>
            </w:r>
          </w:p>
        </w:tc>
      </w:tr>
      <w:tr w14:paraId="1737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58603071">
            <w:pPr>
              <w:pStyle w:val="69"/>
              <w:spacing w:before="62" w:after="62"/>
              <w:rPr>
                <w:rFonts w:cs="Times New Roman"/>
                <w:color w:val="auto"/>
                <w:highlight w:val="none"/>
              </w:rPr>
            </w:pPr>
            <w:r>
              <w:rPr>
                <w:rFonts w:cs="Times New Roman"/>
                <w:color w:val="auto"/>
                <w:highlight w:val="none"/>
              </w:rPr>
              <w:t>O</w:t>
            </w:r>
            <w:r>
              <w:rPr>
                <w:rFonts w:cs="Times New Roman"/>
                <w:color w:val="auto"/>
                <w:highlight w:val="none"/>
                <w:vertAlign w:val="subscript"/>
              </w:rPr>
              <w:t>3</w:t>
            </w:r>
          </w:p>
        </w:tc>
        <w:tc>
          <w:tcPr>
            <w:tcW w:w="1867" w:type="pct"/>
            <w:vAlign w:val="center"/>
          </w:tcPr>
          <w:p w14:paraId="7D2F4759">
            <w:pPr>
              <w:pStyle w:val="69"/>
              <w:spacing w:before="62" w:after="62"/>
              <w:rPr>
                <w:rFonts w:cs="Times New Roman"/>
                <w:color w:val="auto"/>
                <w:highlight w:val="none"/>
              </w:rPr>
            </w:pPr>
            <w:r>
              <w:rPr>
                <w:rFonts w:cs="Times New Roman"/>
                <w:color w:val="auto"/>
                <w:highlight w:val="none"/>
              </w:rPr>
              <w:t>日最大8小时均值的第90百分位</w:t>
            </w:r>
          </w:p>
        </w:tc>
        <w:tc>
          <w:tcPr>
            <w:tcW w:w="735" w:type="pct"/>
            <w:vAlign w:val="center"/>
          </w:tcPr>
          <w:p w14:paraId="19D11B8B">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148</w:t>
            </w:r>
          </w:p>
        </w:tc>
        <w:tc>
          <w:tcPr>
            <w:tcW w:w="734" w:type="pct"/>
            <w:vAlign w:val="center"/>
          </w:tcPr>
          <w:p w14:paraId="061A60DE">
            <w:pPr>
              <w:pStyle w:val="69"/>
              <w:spacing w:before="62" w:after="62"/>
              <w:rPr>
                <w:rFonts w:cs="Times New Roman"/>
                <w:color w:val="auto"/>
                <w:highlight w:val="none"/>
              </w:rPr>
            </w:pPr>
            <w:r>
              <w:rPr>
                <w:rFonts w:cs="Times New Roman"/>
                <w:color w:val="auto"/>
                <w:highlight w:val="none"/>
              </w:rPr>
              <w:t>160</w:t>
            </w:r>
          </w:p>
        </w:tc>
        <w:tc>
          <w:tcPr>
            <w:tcW w:w="965" w:type="dxa"/>
            <w:vAlign w:val="center"/>
          </w:tcPr>
          <w:p w14:paraId="3D02CF0F">
            <w:pPr>
              <w:pStyle w:val="69"/>
              <w:spacing w:before="62" w:after="62"/>
              <w:rPr>
                <w:rFonts w:cs="Times New Roman"/>
                <w:color w:val="auto"/>
                <w:highlight w:val="none"/>
              </w:rPr>
            </w:pPr>
            <w:r>
              <w:rPr>
                <w:rFonts w:hint="eastAsia" w:cs="Times New Roman"/>
                <w:color w:val="auto"/>
                <w:highlight w:val="none"/>
                <w:lang w:val="en-US" w:eastAsia="zh-CN"/>
              </w:rPr>
              <w:t>92.5</w:t>
            </w:r>
            <w:r>
              <w:rPr>
                <w:rFonts w:hint="eastAsia" w:cs="Times New Roman"/>
                <w:color w:val="auto"/>
                <w:highlight w:val="none"/>
              </w:rPr>
              <w:t>%</w:t>
            </w:r>
          </w:p>
        </w:tc>
        <w:tc>
          <w:tcPr>
            <w:tcW w:w="605" w:type="pct"/>
            <w:vAlign w:val="center"/>
          </w:tcPr>
          <w:p w14:paraId="2FCE44F2">
            <w:pPr>
              <w:pStyle w:val="69"/>
              <w:spacing w:before="62" w:after="62"/>
              <w:rPr>
                <w:rFonts w:cs="Times New Roman"/>
                <w:color w:val="auto"/>
                <w:highlight w:val="none"/>
              </w:rPr>
            </w:pPr>
            <w:r>
              <w:rPr>
                <w:rFonts w:cs="Times New Roman"/>
                <w:color w:val="auto"/>
                <w:highlight w:val="none"/>
              </w:rPr>
              <w:t>达标</w:t>
            </w:r>
          </w:p>
        </w:tc>
      </w:tr>
      <w:tr w14:paraId="3751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pct"/>
            <w:vAlign w:val="center"/>
          </w:tcPr>
          <w:p w14:paraId="53628BB1">
            <w:pPr>
              <w:pStyle w:val="69"/>
              <w:spacing w:before="62" w:after="62"/>
              <w:rPr>
                <w:rFonts w:cs="Times New Roman"/>
                <w:color w:val="auto"/>
                <w:highlight w:val="none"/>
              </w:rPr>
            </w:pPr>
            <w:r>
              <w:rPr>
                <w:rFonts w:cs="Times New Roman"/>
                <w:color w:val="auto"/>
                <w:highlight w:val="none"/>
              </w:rPr>
              <w:t>CO</w:t>
            </w:r>
          </w:p>
        </w:tc>
        <w:tc>
          <w:tcPr>
            <w:tcW w:w="1867" w:type="pct"/>
            <w:vAlign w:val="center"/>
          </w:tcPr>
          <w:p w14:paraId="0695D52E">
            <w:pPr>
              <w:pStyle w:val="69"/>
              <w:spacing w:before="62" w:after="62"/>
              <w:rPr>
                <w:rFonts w:cs="Times New Roman"/>
                <w:color w:val="auto"/>
                <w:highlight w:val="none"/>
              </w:rPr>
            </w:pPr>
            <w:r>
              <w:rPr>
                <w:rFonts w:cs="Times New Roman"/>
                <w:color w:val="auto"/>
                <w:highlight w:val="none"/>
              </w:rPr>
              <w:t>第95百分位数24h平均质量浓度</w:t>
            </w:r>
          </w:p>
        </w:tc>
        <w:tc>
          <w:tcPr>
            <w:tcW w:w="735" w:type="pct"/>
            <w:vAlign w:val="center"/>
          </w:tcPr>
          <w:p w14:paraId="3D1FEAF3">
            <w:pPr>
              <w:pStyle w:val="69"/>
              <w:spacing w:before="62" w:after="62"/>
              <w:rPr>
                <w:rFonts w:hint="default" w:eastAsia="宋体" w:cs="Times New Roman"/>
                <w:color w:val="auto"/>
                <w:highlight w:val="none"/>
                <w:lang w:val="en-US" w:eastAsia="zh-CN"/>
              </w:rPr>
            </w:pPr>
            <w:r>
              <w:rPr>
                <w:rFonts w:hint="eastAsia" w:cs="Times New Roman"/>
                <w:color w:val="auto"/>
                <w:highlight w:val="none"/>
                <w:lang w:val="en-US" w:eastAsia="zh-CN"/>
              </w:rPr>
              <w:t>1.2</w:t>
            </w:r>
          </w:p>
        </w:tc>
        <w:tc>
          <w:tcPr>
            <w:tcW w:w="734" w:type="pct"/>
            <w:vAlign w:val="center"/>
          </w:tcPr>
          <w:p w14:paraId="0C8550AF">
            <w:pPr>
              <w:pStyle w:val="69"/>
              <w:spacing w:before="62" w:after="62"/>
              <w:rPr>
                <w:rFonts w:cs="Times New Roman"/>
                <w:color w:val="auto"/>
                <w:highlight w:val="none"/>
              </w:rPr>
            </w:pPr>
            <w:r>
              <w:rPr>
                <w:rFonts w:cs="Times New Roman"/>
                <w:color w:val="auto"/>
                <w:highlight w:val="none"/>
              </w:rPr>
              <w:t>4</w:t>
            </w:r>
          </w:p>
        </w:tc>
        <w:tc>
          <w:tcPr>
            <w:tcW w:w="965" w:type="dxa"/>
            <w:vAlign w:val="center"/>
          </w:tcPr>
          <w:p w14:paraId="71750C55">
            <w:pPr>
              <w:pStyle w:val="69"/>
              <w:spacing w:before="62" w:after="62"/>
              <w:rPr>
                <w:rFonts w:cs="Times New Roman"/>
                <w:color w:val="auto"/>
                <w:highlight w:val="none"/>
              </w:rPr>
            </w:pPr>
            <w:r>
              <w:rPr>
                <w:rFonts w:hint="eastAsia" w:cs="Times New Roman"/>
                <w:color w:val="auto"/>
                <w:highlight w:val="none"/>
                <w:lang w:val="en-US" w:eastAsia="zh-CN"/>
              </w:rPr>
              <w:t>30</w:t>
            </w:r>
            <w:r>
              <w:rPr>
                <w:rFonts w:hint="eastAsia" w:cs="Times New Roman"/>
                <w:color w:val="auto"/>
                <w:highlight w:val="none"/>
              </w:rPr>
              <w:t>%</w:t>
            </w:r>
          </w:p>
        </w:tc>
        <w:tc>
          <w:tcPr>
            <w:tcW w:w="605" w:type="pct"/>
            <w:vAlign w:val="center"/>
          </w:tcPr>
          <w:p w14:paraId="32671303">
            <w:pPr>
              <w:pStyle w:val="69"/>
              <w:spacing w:before="62" w:after="62"/>
              <w:rPr>
                <w:rFonts w:cs="Times New Roman"/>
                <w:color w:val="auto"/>
                <w:highlight w:val="none"/>
              </w:rPr>
            </w:pPr>
            <w:r>
              <w:rPr>
                <w:rFonts w:cs="Times New Roman"/>
                <w:color w:val="auto"/>
                <w:highlight w:val="none"/>
              </w:rPr>
              <w:t>达标</w:t>
            </w:r>
          </w:p>
        </w:tc>
      </w:tr>
    </w:tbl>
    <w:p w14:paraId="41B4FDF6">
      <w:pPr>
        <w:adjustRightInd w:val="0"/>
        <w:ind w:firstLine="480"/>
        <w:rPr>
          <w:rFonts w:hint="default" w:eastAsia="宋体" w:cs="Times New Roman"/>
          <w:color w:val="auto"/>
          <w:highlight w:val="none"/>
          <w:lang w:val="en-US" w:eastAsia="zh-CN"/>
        </w:rPr>
      </w:pPr>
      <w:r>
        <w:rPr>
          <w:rFonts w:cs="Times New Roman"/>
          <w:color w:val="auto"/>
          <w:highlight w:val="none"/>
        </w:rPr>
        <w:t>从上表可以看出，</w:t>
      </w:r>
      <w:r>
        <w:rPr>
          <w:rFonts w:hint="eastAsia" w:cs="Times New Roman"/>
          <w:color w:val="auto"/>
          <w:highlight w:val="none"/>
        </w:rPr>
        <w:t>沙湾区</w:t>
      </w:r>
      <w:r>
        <w:rPr>
          <w:rFonts w:cs="Times New Roman"/>
          <w:color w:val="auto"/>
          <w:highlight w:val="none"/>
        </w:rPr>
        <w:t>202</w:t>
      </w:r>
      <w:r>
        <w:rPr>
          <w:rFonts w:hint="eastAsia" w:cs="Times New Roman"/>
          <w:color w:val="auto"/>
          <w:highlight w:val="none"/>
          <w:lang w:val="en-US" w:eastAsia="zh-CN"/>
        </w:rPr>
        <w:t>5</w:t>
      </w:r>
      <w:r>
        <w:rPr>
          <w:rFonts w:cs="Times New Roman"/>
          <w:color w:val="auto"/>
          <w:highlight w:val="none"/>
        </w:rPr>
        <w:t>年SO</w:t>
      </w:r>
      <w:r>
        <w:rPr>
          <w:rFonts w:cs="Times New Roman"/>
          <w:color w:val="auto"/>
          <w:highlight w:val="none"/>
          <w:vertAlign w:val="subscript"/>
        </w:rPr>
        <w:t>2</w:t>
      </w:r>
      <w:r>
        <w:rPr>
          <w:rFonts w:cs="Times New Roman"/>
          <w:color w:val="auto"/>
          <w:highlight w:val="none"/>
        </w:rPr>
        <w:t>、NO</w:t>
      </w:r>
      <w:r>
        <w:rPr>
          <w:rFonts w:cs="Times New Roman"/>
          <w:color w:val="auto"/>
          <w:highlight w:val="none"/>
          <w:vertAlign w:val="subscript"/>
        </w:rPr>
        <w:t>2</w:t>
      </w:r>
      <w:r>
        <w:rPr>
          <w:rFonts w:cs="Times New Roman"/>
          <w:color w:val="auto"/>
          <w:highlight w:val="none"/>
        </w:rPr>
        <w:t>、CO、PM</w:t>
      </w:r>
      <w:r>
        <w:rPr>
          <w:rFonts w:cs="Times New Roman"/>
          <w:color w:val="auto"/>
          <w:highlight w:val="none"/>
          <w:vertAlign w:val="subscript"/>
        </w:rPr>
        <w:t>10</w:t>
      </w:r>
      <w:r>
        <w:rPr>
          <w:rFonts w:cs="Times New Roman"/>
          <w:color w:val="auto"/>
          <w:highlight w:val="none"/>
        </w:rPr>
        <w:t>、O</w:t>
      </w:r>
      <w:r>
        <w:rPr>
          <w:rFonts w:cs="Times New Roman"/>
          <w:color w:val="auto"/>
          <w:highlight w:val="none"/>
          <w:vertAlign w:val="subscript"/>
        </w:rPr>
        <w:t>3</w:t>
      </w:r>
      <w:r>
        <w:rPr>
          <w:rFonts w:cs="Times New Roman"/>
          <w:color w:val="auto"/>
          <w:highlight w:val="none"/>
        </w:rPr>
        <w:t>均能够达到《环境空气质量标准》（GB3095-20</w:t>
      </w:r>
      <w:r>
        <w:rPr>
          <w:rFonts w:hint="eastAsia" w:cs="Times New Roman"/>
          <w:color w:val="auto"/>
          <w:highlight w:val="none"/>
          <w:lang w:val="en-US" w:eastAsia="zh-CN"/>
        </w:rPr>
        <w:t>26</w:t>
      </w:r>
      <w:r>
        <w:rPr>
          <w:rFonts w:cs="Times New Roman"/>
          <w:color w:val="auto"/>
          <w:highlight w:val="none"/>
        </w:rPr>
        <w:t>）二级标准，根据《环境影响评价技术导则大气环境》（HJ2.2-2018），项目所在区域</w:t>
      </w:r>
      <w:r>
        <w:rPr>
          <w:rFonts w:hint="eastAsia" w:cs="Times New Roman"/>
          <w:color w:val="auto"/>
          <w:highlight w:val="none"/>
        </w:rPr>
        <w:t>沙湾区</w:t>
      </w:r>
      <w:r>
        <w:rPr>
          <w:rFonts w:cs="Times New Roman"/>
          <w:color w:val="auto"/>
          <w:highlight w:val="none"/>
        </w:rPr>
        <w:t>为</w:t>
      </w:r>
      <w:r>
        <w:rPr>
          <w:rFonts w:hint="eastAsia" w:cs="Times New Roman"/>
          <w:b/>
          <w:bCs/>
          <w:color w:val="auto"/>
          <w:highlight w:val="none"/>
          <w:lang w:val="en-US" w:eastAsia="zh-CN"/>
        </w:rPr>
        <w:t>不达</w:t>
      </w:r>
      <w:r>
        <w:rPr>
          <w:rFonts w:cs="Times New Roman"/>
          <w:b/>
          <w:bCs/>
          <w:color w:val="auto"/>
          <w:highlight w:val="none"/>
        </w:rPr>
        <w:t>标区</w:t>
      </w:r>
      <w:r>
        <w:rPr>
          <w:rFonts w:cs="Times New Roman"/>
          <w:color w:val="auto"/>
          <w:highlight w:val="none"/>
        </w:rPr>
        <w:t>。</w:t>
      </w:r>
      <w:r>
        <w:rPr>
          <w:rFonts w:hint="eastAsia" w:cs="Times New Roman"/>
          <w:color w:val="auto"/>
          <w:highlight w:val="none"/>
          <w:lang w:val="en-US" w:eastAsia="zh-CN"/>
        </w:rPr>
        <w:t>不达标因子为PM</w:t>
      </w:r>
      <w:r>
        <w:rPr>
          <w:rFonts w:hint="eastAsia" w:cs="Times New Roman"/>
          <w:color w:val="auto"/>
          <w:highlight w:val="none"/>
          <w:vertAlign w:val="subscript"/>
          <w:lang w:val="en-US" w:eastAsia="zh-CN"/>
        </w:rPr>
        <w:t>2.5</w:t>
      </w:r>
      <w:r>
        <w:rPr>
          <w:rFonts w:hint="eastAsia" w:cs="Times New Roman"/>
          <w:color w:val="auto"/>
          <w:highlight w:val="none"/>
          <w:lang w:val="en-US" w:eastAsia="zh-CN"/>
        </w:rPr>
        <w:t>。</w:t>
      </w:r>
    </w:p>
    <w:p w14:paraId="577F945E">
      <w:pPr>
        <w:pStyle w:val="5"/>
        <w:rPr>
          <w:rFonts w:cs="Times New Roman"/>
          <w:color w:val="auto"/>
          <w:highlight w:val="none"/>
        </w:rPr>
      </w:pPr>
      <w:bookmarkStart w:id="148" w:name="_Toc31781"/>
      <w:bookmarkStart w:id="149" w:name="_Toc4352"/>
      <w:bookmarkStart w:id="150" w:name="_Toc28058"/>
      <w:bookmarkStart w:id="151" w:name="_Toc16857"/>
      <w:r>
        <w:rPr>
          <w:rFonts w:cs="Times New Roman"/>
          <w:color w:val="auto"/>
          <w:highlight w:val="none"/>
        </w:rPr>
        <w:t>项目特征污染物环境空气质量现状</w:t>
      </w:r>
      <w:bookmarkEnd w:id="148"/>
      <w:bookmarkEnd w:id="149"/>
      <w:bookmarkEnd w:id="150"/>
      <w:bookmarkEnd w:id="151"/>
    </w:p>
    <w:p w14:paraId="546BB75C">
      <w:pPr>
        <w:adjustRightInd w:val="0"/>
        <w:ind w:firstLine="480"/>
        <w:rPr>
          <w:rFonts w:cs="Times New Roman"/>
          <w:color w:val="auto"/>
          <w:highlight w:val="none"/>
        </w:rPr>
      </w:pPr>
      <w:r>
        <w:rPr>
          <w:rFonts w:cs="Times New Roman"/>
          <w:color w:val="auto"/>
          <w:highlight w:val="none"/>
        </w:rPr>
        <w:t>为了解拟建地周边环境空气质量状况，结合项目特征，本次评价</w:t>
      </w:r>
      <w:r>
        <w:rPr>
          <w:rFonts w:hint="eastAsia" w:cs="Times New Roman"/>
          <w:color w:val="auto"/>
          <w:highlight w:val="none"/>
        </w:rPr>
        <w:t>引用</w:t>
      </w:r>
      <w:r>
        <w:rPr>
          <w:rFonts w:cs="Times New Roman"/>
          <w:color w:val="auto"/>
          <w:highlight w:val="none"/>
        </w:rPr>
        <w:t>四川蓉诚优创环境科技有限公司于2025年9月15日-2025年9月22日对TSP进行</w:t>
      </w:r>
      <w:r>
        <w:rPr>
          <w:rFonts w:hint="eastAsia" w:cs="Times New Roman"/>
          <w:color w:val="auto"/>
          <w:highlight w:val="none"/>
        </w:rPr>
        <w:t>的</w:t>
      </w:r>
      <w:r>
        <w:rPr>
          <w:rFonts w:cs="Times New Roman"/>
          <w:color w:val="auto"/>
          <w:highlight w:val="none"/>
        </w:rPr>
        <w:t>监测</w:t>
      </w:r>
      <w:r>
        <w:rPr>
          <w:rFonts w:hint="eastAsia" w:cs="Times New Roman"/>
          <w:color w:val="auto"/>
          <w:highlight w:val="none"/>
        </w:rPr>
        <w:t>数据（蓉诚环监字（2025）RC01第10032号），引用监测点位于本项目东南侧318m</w:t>
      </w:r>
      <w:r>
        <w:rPr>
          <w:rFonts w:cs="Times New Roman"/>
          <w:color w:val="auto"/>
          <w:highlight w:val="none"/>
        </w:rPr>
        <w:t>。</w:t>
      </w:r>
    </w:p>
    <w:p w14:paraId="43661CC3">
      <w:pPr>
        <w:adjustRightInd w:val="0"/>
        <w:ind w:firstLine="482"/>
        <w:rPr>
          <w:rFonts w:cs="Times New Roman"/>
          <w:b/>
          <w:bCs/>
          <w:color w:val="auto"/>
          <w:highlight w:val="none"/>
        </w:rPr>
      </w:pPr>
      <w:r>
        <w:rPr>
          <w:rFonts w:cs="Times New Roman"/>
          <w:b/>
          <w:bCs/>
          <w:color w:val="auto"/>
          <w:highlight w:val="none"/>
        </w:rPr>
        <w:t>一、监测点位及监测因子</w:t>
      </w:r>
    </w:p>
    <w:p w14:paraId="3F6A4499">
      <w:pPr>
        <w:adjustRightInd w:val="0"/>
        <w:ind w:firstLine="480"/>
        <w:rPr>
          <w:rFonts w:cs="Times New Roman"/>
          <w:color w:val="auto"/>
          <w:highlight w:val="none"/>
        </w:rPr>
      </w:pPr>
      <w:r>
        <w:rPr>
          <w:rFonts w:cs="Times New Roman"/>
          <w:color w:val="auto"/>
          <w:highlight w:val="none"/>
        </w:rPr>
        <w:t>环境空气质量监测内容见下表。</w:t>
      </w:r>
    </w:p>
    <w:p w14:paraId="6AD680AA">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环境空气质量监测方案</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482"/>
        <w:gridCol w:w="1401"/>
        <w:gridCol w:w="2099"/>
        <w:gridCol w:w="2375"/>
      </w:tblGrid>
      <w:tr w14:paraId="35D56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8" w:type="pct"/>
            <w:vAlign w:val="center"/>
          </w:tcPr>
          <w:p w14:paraId="4212E6DB">
            <w:pPr>
              <w:pStyle w:val="69"/>
              <w:spacing w:before="62" w:after="62"/>
              <w:rPr>
                <w:rFonts w:cs="Times New Roman"/>
                <w:b/>
                <w:bCs w:val="0"/>
                <w:color w:val="auto"/>
                <w:highlight w:val="none"/>
              </w:rPr>
            </w:pPr>
            <w:r>
              <w:rPr>
                <w:rFonts w:cs="Times New Roman"/>
                <w:b/>
                <w:bCs w:val="0"/>
                <w:color w:val="auto"/>
                <w:highlight w:val="none"/>
              </w:rPr>
              <w:t>序号</w:t>
            </w:r>
          </w:p>
        </w:tc>
        <w:tc>
          <w:tcPr>
            <w:tcW w:w="1369" w:type="pct"/>
            <w:vAlign w:val="center"/>
          </w:tcPr>
          <w:p w14:paraId="6A2F2504">
            <w:pPr>
              <w:pStyle w:val="69"/>
              <w:spacing w:before="62" w:after="62"/>
              <w:rPr>
                <w:rFonts w:cs="Times New Roman"/>
                <w:b/>
                <w:bCs w:val="0"/>
                <w:color w:val="auto"/>
                <w:highlight w:val="none"/>
              </w:rPr>
            </w:pPr>
            <w:r>
              <w:rPr>
                <w:rFonts w:cs="Times New Roman"/>
                <w:b/>
                <w:bCs w:val="0"/>
                <w:color w:val="auto"/>
                <w:highlight w:val="none"/>
              </w:rPr>
              <w:t>监测位置</w:t>
            </w:r>
          </w:p>
        </w:tc>
        <w:tc>
          <w:tcPr>
            <w:tcW w:w="773" w:type="pct"/>
            <w:vAlign w:val="center"/>
          </w:tcPr>
          <w:p w14:paraId="2DABF2E8">
            <w:pPr>
              <w:pStyle w:val="69"/>
              <w:spacing w:before="62" w:after="62"/>
              <w:rPr>
                <w:rFonts w:cs="Times New Roman"/>
                <w:b/>
                <w:bCs w:val="0"/>
                <w:color w:val="auto"/>
                <w:highlight w:val="none"/>
              </w:rPr>
            </w:pPr>
            <w:r>
              <w:rPr>
                <w:rFonts w:cs="Times New Roman"/>
                <w:b/>
                <w:bCs w:val="0"/>
                <w:color w:val="auto"/>
                <w:highlight w:val="none"/>
              </w:rPr>
              <w:t>监测因子</w:t>
            </w:r>
          </w:p>
        </w:tc>
        <w:tc>
          <w:tcPr>
            <w:tcW w:w="1158" w:type="pct"/>
            <w:vAlign w:val="center"/>
          </w:tcPr>
          <w:p w14:paraId="389269B3">
            <w:pPr>
              <w:pStyle w:val="69"/>
              <w:spacing w:before="62" w:after="62"/>
              <w:rPr>
                <w:rFonts w:cs="Times New Roman"/>
                <w:b/>
                <w:bCs w:val="0"/>
                <w:color w:val="auto"/>
                <w:highlight w:val="none"/>
              </w:rPr>
            </w:pPr>
            <w:r>
              <w:rPr>
                <w:rFonts w:cs="Times New Roman"/>
                <w:b/>
                <w:bCs w:val="0"/>
                <w:color w:val="auto"/>
                <w:highlight w:val="none"/>
              </w:rPr>
              <w:t>监测项目</w:t>
            </w:r>
          </w:p>
        </w:tc>
        <w:tc>
          <w:tcPr>
            <w:tcW w:w="1310" w:type="pct"/>
            <w:vAlign w:val="center"/>
          </w:tcPr>
          <w:p w14:paraId="63EDD370">
            <w:pPr>
              <w:pStyle w:val="69"/>
              <w:spacing w:before="62" w:after="62"/>
              <w:rPr>
                <w:rFonts w:cs="Times New Roman"/>
                <w:b/>
                <w:bCs w:val="0"/>
                <w:color w:val="auto"/>
                <w:highlight w:val="none"/>
              </w:rPr>
            </w:pPr>
            <w:r>
              <w:rPr>
                <w:rFonts w:cs="Times New Roman"/>
                <w:b/>
                <w:bCs w:val="0"/>
                <w:color w:val="auto"/>
                <w:highlight w:val="none"/>
              </w:rPr>
              <w:t>监测频次</w:t>
            </w:r>
          </w:p>
        </w:tc>
      </w:tr>
      <w:tr w14:paraId="1581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pct"/>
            <w:vAlign w:val="center"/>
          </w:tcPr>
          <w:p w14:paraId="55E7E9E2">
            <w:pPr>
              <w:pStyle w:val="69"/>
              <w:spacing w:before="62" w:after="62"/>
              <w:rPr>
                <w:rFonts w:cs="Times New Roman"/>
                <w:color w:val="auto"/>
                <w:highlight w:val="none"/>
              </w:rPr>
            </w:pPr>
            <w:r>
              <w:rPr>
                <w:rFonts w:cs="Times New Roman"/>
                <w:color w:val="auto"/>
                <w:highlight w:val="none"/>
              </w:rPr>
              <w:t>G1</w:t>
            </w:r>
          </w:p>
        </w:tc>
        <w:tc>
          <w:tcPr>
            <w:tcW w:w="1369" w:type="pct"/>
            <w:vAlign w:val="center"/>
          </w:tcPr>
          <w:p w14:paraId="3D045932">
            <w:pPr>
              <w:pStyle w:val="69"/>
              <w:spacing w:before="62" w:after="62"/>
              <w:rPr>
                <w:rFonts w:cs="Times New Roman"/>
                <w:color w:val="auto"/>
                <w:highlight w:val="none"/>
              </w:rPr>
            </w:pPr>
            <w:r>
              <w:rPr>
                <w:rFonts w:cs="Times New Roman"/>
                <w:color w:val="auto"/>
                <w:highlight w:val="none"/>
              </w:rPr>
              <w:t>项目厂界下风向</w:t>
            </w:r>
          </w:p>
        </w:tc>
        <w:tc>
          <w:tcPr>
            <w:tcW w:w="773" w:type="pct"/>
            <w:vAlign w:val="center"/>
          </w:tcPr>
          <w:p w14:paraId="6ADEA1B0">
            <w:pPr>
              <w:pStyle w:val="69"/>
              <w:spacing w:before="62" w:after="62"/>
              <w:rPr>
                <w:rFonts w:cs="Times New Roman"/>
                <w:color w:val="auto"/>
                <w:highlight w:val="none"/>
              </w:rPr>
            </w:pPr>
            <w:r>
              <w:rPr>
                <w:rFonts w:cs="Times New Roman"/>
                <w:color w:val="auto"/>
                <w:highlight w:val="none"/>
              </w:rPr>
              <w:t>TSP</w:t>
            </w:r>
          </w:p>
        </w:tc>
        <w:tc>
          <w:tcPr>
            <w:tcW w:w="1158" w:type="pct"/>
            <w:vAlign w:val="center"/>
          </w:tcPr>
          <w:p w14:paraId="79EDC48F">
            <w:pPr>
              <w:pStyle w:val="69"/>
              <w:spacing w:before="62" w:after="62"/>
              <w:rPr>
                <w:rFonts w:cs="Times New Roman"/>
                <w:color w:val="auto"/>
                <w:highlight w:val="none"/>
              </w:rPr>
            </w:pPr>
            <w:r>
              <w:rPr>
                <w:rFonts w:cs="Times New Roman"/>
                <w:color w:val="auto"/>
                <w:highlight w:val="none"/>
              </w:rPr>
              <w:t>日均值</w:t>
            </w:r>
          </w:p>
        </w:tc>
        <w:tc>
          <w:tcPr>
            <w:tcW w:w="1310" w:type="pct"/>
            <w:vAlign w:val="center"/>
          </w:tcPr>
          <w:p w14:paraId="319AAA3F">
            <w:pPr>
              <w:pStyle w:val="69"/>
              <w:spacing w:before="62" w:after="62"/>
              <w:rPr>
                <w:rFonts w:cs="Times New Roman"/>
                <w:color w:val="auto"/>
                <w:highlight w:val="none"/>
              </w:rPr>
            </w:pPr>
            <w:r>
              <w:rPr>
                <w:rFonts w:cs="Times New Roman"/>
                <w:color w:val="auto"/>
                <w:highlight w:val="none"/>
              </w:rPr>
              <w:t>连续7天</w:t>
            </w:r>
          </w:p>
        </w:tc>
      </w:tr>
    </w:tbl>
    <w:p w14:paraId="35C5348F">
      <w:pPr>
        <w:adjustRightInd w:val="0"/>
        <w:ind w:firstLine="482"/>
        <w:rPr>
          <w:rFonts w:cs="Times New Roman"/>
          <w:b/>
          <w:bCs/>
          <w:color w:val="auto"/>
          <w:highlight w:val="none"/>
        </w:rPr>
      </w:pPr>
      <w:r>
        <w:rPr>
          <w:rFonts w:cs="Times New Roman"/>
          <w:b/>
          <w:bCs/>
          <w:color w:val="auto"/>
          <w:highlight w:val="none"/>
        </w:rPr>
        <w:t>二、评价标准</w:t>
      </w:r>
    </w:p>
    <w:p w14:paraId="697E1E26">
      <w:pPr>
        <w:adjustRightInd w:val="0"/>
        <w:ind w:firstLine="480"/>
        <w:rPr>
          <w:rFonts w:cs="Times New Roman"/>
          <w:color w:val="auto"/>
          <w:highlight w:val="none"/>
        </w:rPr>
      </w:pPr>
      <w:r>
        <w:rPr>
          <w:rFonts w:cs="Times New Roman"/>
          <w:color w:val="auto"/>
          <w:highlight w:val="none"/>
        </w:rPr>
        <w:t>TSP执行《环境空气质量标准》（GB3095-20</w:t>
      </w:r>
      <w:r>
        <w:rPr>
          <w:rFonts w:hint="eastAsia" w:cs="Times New Roman"/>
          <w:color w:val="auto"/>
          <w:highlight w:val="none"/>
          <w:lang w:val="en-US" w:eastAsia="zh-CN"/>
        </w:rPr>
        <w:t>26</w:t>
      </w:r>
      <w:r>
        <w:rPr>
          <w:rFonts w:cs="Times New Roman"/>
          <w:color w:val="auto"/>
          <w:highlight w:val="none"/>
        </w:rPr>
        <w:t>）二级标准要求。</w:t>
      </w:r>
    </w:p>
    <w:p w14:paraId="26578D98">
      <w:pPr>
        <w:adjustRightInd w:val="0"/>
        <w:ind w:firstLine="482"/>
        <w:rPr>
          <w:rFonts w:cs="Times New Roman"/>
          <w:b/>
          <w:bCs/>
          <w:color w:val="auto"/>
          <w:highlight w:val="none"/>
        </w:rPr>
      </w:pPr>
      <w:r>
        <w:rPr>
          <w:rFonts w:cs="Times New Roman"/>
          <w:b/>
          <w:bCs/>
          <w:color w:val="auto"/>
          <w:highlight w:val="none"/>
        </w:rPr>
        <w:t>三、评价方法</w:t>
      </w:r>
    </w:p>
    <w:p w14:paraId="07DFC861">
      <w:pPr>
        <w:adjustRightInd w:val="0"/>
        <w:ind w:firstLine="480"/>
        <w:rPr>
          <w:rFonts w:cs="Times New Roman"/>
          <w:color w:val="auto"/>
          <w:highlight w:val="none"/>
        </w:rPr>
      </w:pPr>
      <w:r>
        <w:rPr>
          <w:rFonts w:cs="Times New Roman"/>
          <w:color w:val="auto"/>
          <w:highlight w:val="none"/>
        </w:rPr>
        <w:t>采用单项标准指数法进行评价。评价公式：</w:t>
      </w:r>
    </w:p>
    <w:p w14:paraId="2F16E1A5">
      <w:pPr>
        <w:overflowPunct w:val="0"/>
        <w:adjustRightInd w:val="0"/>
        <w:ind w:firstLine="0" w:firstLineChars="0"/>
        <w:jc w:val="center"/>
        <w:rPr>
          <w:rFonts w:cs="Times New Roman"/>
          <w:color w:val="auto"/>
          <w:kern w:val="21"/>
          <w:szCs w:val="24"/>
          <w:highlight w:val="none"/>
        </w:rPr>
      </w:pPr>
      <w:r>
        <w:rPr>
          <w:rFonts w:cs="Times New Roman"/>
          <w:color w:val="auto"/>
          <w:kern w:val="21"/>
          <w:sz w:val="21"/>
          <w:highlight w:val="none"/>
        </w:rPr>
        <w:object>
          <v:shape id="_x0000_i1034" o:spt="75" type="#_x0000_t75" style="height:33.65pt;width:36.45pt;" o:ole="t" filled="f" o:preferrelative="t" stroked="f" coordsize="21600,21600">
            <v:path/>
            <v:fill on="f" focussize="0,0"/>
            <v:stroke on="f" joinstyle="miter"/>
            <v:imagedata r:id="rId44" embosscolor="#FFFFFF" o:title=""/>
            <o:lock v:ext="edit" aspectratio="t"/>
            <w10:wrap type="none"/>
            <w10:anchorlock/>
          </v:shape>
          <o:OLEObject Type="Embed" ProgID="Equation.3" ShapeID="_x0000_i1034" DrawAspect="Content" ObjectID="_1468075734" r:id="rId43">
            <o:LockedField>false</o:LockedField>
          </o:OLEObject>
        </w:object>
      </w:r>
    </w:p>
    <w:p w14:paraId="1BDB3775">
      <w:pPr>
        <w:overflowPunct w:val="0"/>
        <w:adjustRightInd w:val="0"/>
        <w:ind w:firstLine="480"/>
        <w:rPr>
          <w:rFonts w:cs="Times New Roman"/>
          <w:color w:val="auto"/>
          <w:kern w:val="21"/>
          <w:szCs w:val="24"/>
          <w:highlight w:val="none"/>
        </w:rPr>
      </w:pPr>
      <w:r>
        <w:rPr>
          <w:rFonts w:cs="Times New Roman"/>
          <w:color w:val="auto"/>
          <w:kern w:val="21"/>
          <w:szCs w:val="24"/>
          <w:highlight w:val="none"/>
        </w:rPr>
        <w:t>式中：</w:t>
      </w:r>
    </w:p>
    <w:p w14:paraId="43EB460A">
      <w:pPr>
        <w:overflowPunct w:val="0"/>
        <w:adjustRightInd w:val="0"/>
        <w:ind w:firstLine="480"/>
        <w:rPr>
          <w:rFonts w:cs="Times New Roman"/>
          <w:color w:val="auto"/>
          <w:kern w:val="21"/>
          <w:szCs w:val="24"/>
          <w:highlight w:val="none"/>
        </w:rPr>
      </w:pPr>
      <w:r>
        <w:rPr>
          <w:rFonts w:cs="Times New Roman"/>
          <w:color w:val="auto"/>
          <w:kern w:val="21"/>
          <w:szCs w:val="24"/>
          <w:highlight w:val="none"/>
        </w:rPr>
        <w:t>I</w:t>
      </w:r>
      <w:r>
        <w:rPr>
          <w:rFonts w:cs="Times New Roman"/>
          <w:color w:val="auto"/>
          <w:kern w:val="21"/>
          <w:szCs w:val="24"/>
          <w:highlight w:val="none"/>
          <w:vertAlign w:val="subscript"/>
        </w:rPr>
        <w:t>i</w:t>
      </w:r>
      <w:r>
        <w:rPr>
          <w:rFonts w:cs="Times New Roman"/>
          <w:color w:val="auto"/>
          <w:kern w:val="21"/>
          <w:szCs w:val="24"/>
          <w:highlight w:val="none"/>
        </w:rPr>
        <w:t>——i种污染物的单项指数；</w:t>
      </w:r>
    </w:p>
    <w:p w14:paraId="33EAD2DD">
      <w:pPr>
        <w:overflowPunct w:val="0"/>
        <w:adjustRightInd w:val="0"/>
        <w:ind w:firstLine="480"/>
        <w:rPr>
          <w:rFonts w:cs="Times New Roman"/>
          <w:color w:val="auto"/>
          <w:kern w:val="21"/>
          <w:szCs w:val="24"/>
          <w:highlight w:val="none"/>
        </w:rPr>
      </w:pPr>
      <w:r>
        <w:rPr>
          <w:rFonts w:cs="Times New Roman"/>
          <w:color w:val="auto"/>
          <w:kern w:val="21"/>
          <w:szCs w:val="24"/>
          <w:highlight w:val="none"/>
        </w:rPr>
        <w:t>C</w:t>
      </w:r>
      <w:r>
        <w:rPr>
          <w:rFonts w:cs="Times New Roman"/>
          <w:color w:val="auto"/>
          <w:kern w:val="21"/>
          <w:szCs w:val="24"/>
          <w:highlight w:val="none"/>
          <w:vertAlign w:val="subscript"/>
        </w:rPr>
        <w:t>i</w:t>
      </w:r>
      <w:r>
        <w:rPr>
          <w:rFonts w:cs="Times New Roman"/>
          <w:color w:val="auto"/>
          <w:kern w:val="21"/>
          <w:szCs w:val="24"/>
          <w:highlight w:val="none"/>
        </w:rPr>
        <w:t>——i种污染物的实测浓度，mg/Nm</w:t>
      </w:r>
      <w:r>
        <w:rPr>
          <w:rFonts w:cs="Times New Roman"/>
          <w:color w:val="auto"/>
          <w:kern w:val="21"/>
          <w:szCs w:val="24"/>
          <w:highlight w:val="none"/>
          <w:vertAlign w:val="superscript"/>
        </w:rPr>
        <w:t>3</w:t>
      </w:r>
      <w:r>
        <w:rPr>
          <w:rFonts w:cs="Times New Roman"/>
          <w:color w:val="auto"/>
          <w:kern w:val="21"/>
          <w:szCs w:val="24"/>
          <w:highlight w:val="none"/>
        </w:rPr>
        <w:t>；</w:t>
      </w:r>
    </w:p>
    <w:p w14:paraId="52A82AF8">
      <w:pPr>
        <w:widowControl/>
        <w:overflowPunct w:val="0"/>
        <w:adjustRightInd w:val="0"/>
        <w:ind w:firstLine="480"/>
        <w:rPr>
          <w:rFonts w:cs="Times New Roman"/>
          <w:color w:val="auto"/>
          <w:kern w:val="21"/>
          <w:szCs w:val="22"/>
          <w:highlight w:val="none"/>
        </w:rPr>
      </w:pPr>
      <w:r>
        <w:rPr>
          <w:rFonts w:cs="Times New Roman"/>
          <w:color w:val="auto"/>
          <w:kern w:val="21"/>
          <w:szCs w:val="24"/>
          <w:highlight w:val="none"/>
        </w:rPr>
        <w:t>S</w:t>
      </w:r>
      <w:r>
        <w:rPr>
          <w:rFonts w:cs="Times New Roman"/>
          <w:color w:val="auto"/>
          <w:kern w:val="21"/>
          <w:szCs w:val="24"/>
          <w:highlight w:val="none"/>
          <w:vertAlign w:val="subscript"/>
        </w:rPr>
        <w:t>i</w:t>
      </w:r>
      <w:r>
        <w:rPr>
          <w:rFonts w:cs="Times New Roman"/>
          <w:color w:val="auto"/>
          <w:kern w:val="21"/>
          <w:szCs w:val="24"/>
          <w:highlight w:val="none"/>
        </w:rPr>
        <w:t>——i种污染物的评价标准，mg/Nm</w:t>
      </w:r>
      <w:r>
        <w:rPr>
          <w:rFonts w:cs="Times New Roman"/>
          <w:color w:val="auto"/>
          <w:kern w:val="21"/>
          <w:szCs w:val="24"/>
          <w:highlight w:val="none"/>
          <w:vertAlign w:val="superscript"/>
        </w:rPr>
        <w:t>3</w:t>
      </w:r>
      <w:r>
        <w:rPr>
          <w:rFonts w:cs="Times New Roman"/>
          <w:color w:val="auto"/>
          <w:kern w:val="21"/>
          <w:szCs w:val="24"/>
          <w:highlight w:val="none"/>
        </w:rPr>
        <w:t>。</w:t>
      </w:r>
    </w:p>
    <w:p w14:paraId="18855F43">
      <w:pPr>
        <w:adjustRightInd w:val="0"/>
        <w:ind w:firstLine="482"/>
        <w:rPr>
          <w:rFonts w:cs="Times New Roman"/>
          <w:b/>
          <w:bCs/>
          <w:color w:val="auto"/>
          <w:highlight w:val="none"/>
        </w:rPr>
      </w:pPr>
      <w:r>
        <w:rPr>
          <w:rFonts w:cs="Times New Roman"/>
          <w:b/>
          <w:bCs/>
          <w:color w:val="auto"/>
          <w:highlight w:val="none"/>
        </w:rPr>
        <w:t>四、监测结果</w:t>
      </w:r>
    </w:p>
    <w:p w14:paraId="4FA447C9">
      <w:pPr>
        <w:adjustRightInd w:val="0"/>
        <w:ind w:firstLine="480"/>
        <w:rPr>
          <w:rFonts w:cs="Times New Roman"/>
          <w:color w:val="auto"/>
          <w:highlight w:val="none"/>
        </w:rPr>
      </w:pPr>
      <w:r>
        <w:rPr>
          <w:rFonts w:cs="Times New Roman"/>
          <w:color w:val="auto"/>
          <w:highlight w:val="none"/>
        </w:rPr>
        <w:t>本项目特征污染因子现状监测结果见下表。</w:t>
      </w:r>
    </w:p>
    <w:p w14:paraId="6C62B791">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项目特征因子现状监测结果单位：mg/m</w:t>
      </w:r>
      <w:r>
        <w:rPr>
          <w:rFonts w:cs="Times New Roman"/>
          <w:color w:val="auto"/>
          <w:highlight w:val="none"/>
          <w:vertAlign w:val="superscript"/>
        </w:rPr>
        <w:t>3</w:t>
      </w:r>
    </w:p>
    <w:tbl>
      <w:tblPr>
        <w:tblStyle w:val="32"/>
        <w:tblW w:w="499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Layout w:type="autofit"/>
        <w:tblCellMar>
          <w:top w:w="0" w:type="dxa"/>
          <w:left w:w="108" w:type="dxa"/>
          <w:bottom w:w="0" w:type="dxa"/>
          <w:right w:w="108" w:type="dxa"/>
        </w:tblCellMar>
      </w:tblPr>
      <w:tblGrid>
        <w:gridCol w:w="1335"/>
        <w:gridCol w:w="1732"/>
        <w:gridCol w:w="1237"/>
        <w:gridCol w:w="1869"/>
        <w:gridCol w:w="1618"/>
        <w:gridCol w:w="1264"/>
      </w:tblGrid>
      <w:tr w14:paraId="5D3CE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trHeight w:val="90" w:hRule="atLeast"/>
          <w:tblHeader/>
          <w:jc w:val="center"/>
        </w:trPr>
        <w:tc>
          <w:tcPr>
            <w:tcW w:w="737" w:type="pct"/>
            <w:tcBorders>
              <w:tl2br w:val="nil"/>
              <w:tr2bl w:val="nil"/>
            </w:tcBorders>
            <w:vAlign w:val="center"/>
          </w:tcPr>
          <w:p w14:paraId="222935CE">
            <w:pPr>
              <w:pStyle w:val="69"/>
              <w:spacing w:before="62" w:after="62"/>
              <w:rPr>
                <w:rFonts w:cs="Times New Roman"/>
                <w:b/>
                <w:bCs w:val="0"/>
                <w:color w:val="auto"/>
                <w:highlight w:val="none"/>
              </w:rPr>
            </w:pPr>
            <w:r>
              <w:rPr>
                <w:rFonts w:hint="eastAsia" w:cs="Times New Roman"/>
                <w:b/>
                <w:bCs w:val="0"/>
                <w:color w:val="auto"/>
                <w:highlight w:val="none"/>
              </w:rPr>
              <w:t>监测点位</w:t>
            </w:r>
          </w:p>
        </w:tc>
        <w:tc>
          <w:tcPr>
            <w:tcW w:w="956" w:type="pct"/>
            <w:tcBorders>
              <w:tl2br w:val="nil"/>
              <w:tr2bl w:val="nil"/>
            </w:tcBorders>
            <w:vAlign w:val="center"/>
          </w:tcPr>
          <w:p w14:paraId="2201EAB1">
            <w:pPr>
              <w:pStyle w:val="69"/>
              <w:spacing w:before="62" w:after="62"/>
              <w:rPr>
                <w:rFonts w:cs="Times New Roman"/>
                <w:b/>
                <w:bCs w:val="0"/>
                <w:color w:val="auto"/>
                <w:highlight w:val="none"/>
              </w:rPr>
            </w:pPr>
            <w:r>
              <w:rPr>
                <w:rFonts w:cs="Times New Roman"/>
                <w:b/>
                <w:bCs w:val="0"/>
                <w:color w:val="auto"/>
                <w:highlight w:val="none"/>
              </w:rPr>
              <w:t>采样日期</w:t>
            </w:r>
          </w:p>
        </w:tc>
        <w:tc>
          <w:tcPr>
            <w:tcW w:w="683" w:type="pct"/>
            <w:tcBorders>
              <w:tl2br w:val="nil"/>
              <w:tr2bl w:val="nil"/>
            </w:tcBorders>
            <w:vAlign w:val="center"/>
          </w:tcPr>
          <w:p w14:paraId="3E954D63">
            <w:pPr>
              <w:pStyle w:val="69"/>
              <w:spacing w:before="62" w:after="62"/>
              <w:rPr>
                <w:rFonts w:cs="Times New Roman"/>
                <w:b/>
                <w:bCs w:val="0"/>
                <w:color w:val="auto"/>
                <w:highlight w:val="none"/>
              </w:rPr>
            </w:pPr>
            <w:r>
              <w:rPr>
                <w:rFonts w:cs="Times New Roman"/>
                <w:b/>
                <w:bCs w:val="0"/>
                <w:color w:val="auto"/>
                <w:highlight w:val="none"/>
              </w:rPr>
              <w:t>监测项目</w:t>
            </w:r>
          </w:p>
        </w:tc>
        <w:tc>
          <w:tcPr>
            <w:tcW w:w="1032" w:type="pct"/>
            <w:tcBorders>
              <w:tl2br w:val="nil"/>
              <w:tr2bl w:val="nil"/>
            </w:tcBorders>
            <w:vAlign w:val="center"/>
          </w:tcPr>
          <w:p w14:paraId="00C69494">
            <w:pPr>
              <w:pStyle w:val="69"/>
              <w:spacing w:before="62" w:after="62"/>
              <w:rPr>
                <w:rFonts w:cs="Times New Roman"/>
                <w:b/>
                <w:bCs w:val="0"/>
                <w:color w:val="auto"/>
                <w:highlight w:val="none"/>
              </w:rPr>
            </w:pPr>
            <w:r>
              <w:rPr>
                <w:rFonts w:cs="Times New Roman"/>
                <w:b/>
                <w:bCs w:val="0"/>
                <w:color w:val="auto"/>
                <w:highlight w:val="none"/>
              </w:rPr>
              <w:t>检测结果</w:t>
            </w:r>
          </w:p>
        </w:tc>
        <w:tc>
          <w:tcPr>
            <w:tcW w:w="893" w:type="pct"/>
            <w:tcBorders>
              <w:tl2br w:val="nil"/>
              <w:tr2bl w:val="nil"/>
            </w:tcBorders>
            <w:vAlign w:val="center"/>
          </w:tcPr>
          <w:p w14:paraId="5D3E9B6D">
            <w:pPr>
              <w:pStyle w:val="69"/>
              <w:spacing w:before="62" w:after="62"/>
              <w:rPr>
                <w:rFonts w:cs="Times New Roman"/>
                <w:b/>
                <w:bCs w:val="0"/>
                <w:color w:val="auto"/>
                <w:highlight w:val="none"/>
              </w:rPr>
            </w:pPr>
            <w:r>
              <w:rPr>
                <w:rFonts w:cs="Times New Roman"/>
                <w:b/>
                <w:bCs w:val="0"/>
                <w:color w:val="auto"/>
                <w:highlight w:val="none"/>
              </w:rPr>
              <w:t>标准限值</w:t>
            </w:r>
          </w:p>
        </w:tc>
        <w:tc>
          <w:tcPr>
            <w:tcW w:w="697" w:type="pct"/>
            <w:tcBorders>
              <w:tl2br w:val="nil"/>
              <w:tr2bl w:val="nil"/>
            </w:tcBorders>
            <w:vAlign w:val="center"/>
          </w:tcPr>
          <w:p w14:paraId="45DD7E23">
            <w:pPr>
              <w:pStyle w:val="69"/>
              <w:spacing w:before="62" w:after="62"/>
              <w:rPr>
                <w:rFonts w:cs="Times New Roman"/>
                <w:b/>
                <w:bCs w:val="0"/>
                <w:color w:val="auto"/>
                <w:highlight w:val="none"/>
              </w:rPr>
            </w:pPr>
            <w:r>
              <w:rPr>
                <w:rFonts w:cs="Times New Roman"/>
                <w:b/>
                <w:bCs w:val="0"/>
                <w:color w:val="auto"/>
                <w:highlight w:val="none"/>
              </w:rPr>
              <w:t>是否达标</w:t>
            </w:r>
          </w:p>
        </w:tc>
      </w:tr>
      <w:tr w14:paraId="40E08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restart"/>
            <w:tcBorders>
              <w:tl2br w:val="nil"/>
              <w:tr2bl w:val="nil"/>
            </w:tcBorders>
            <w:vAlign w:val="center"/>
          </w:tcPr>
          <w:p w14:paraId="0543A777">
            <w:pPr>
              <w:pStyle w:val="69"/>
              <w:spacing w:before="62" w:after="62"/>
              <w:rPr>
                <w:rFonts w:cs="Times New Roman"/>
                <w:color w:val="auto"/>
                <w:highlight w:val="none"/>
              </w:rPr>
            </w:pPr>
            <w:r>
              <w:rPr>
                <w:rFonts w:cs="Times New Roman"/>
                <w:color w:val="auto"/>
                <w:highlight w:val="none"/>
              </w:rPr>
              <w:t>项目厂界下风向（G1）</w:t>
            </w:r>
          </w:p>
        </w:tc>
        <w:tc>
          <w:tcPr>
            <w:tcW w:w="956" w:type="pct"/>
            <w:tcBorders>
              <w:tl2br w:val="nil"/>
              <w:tr2bl w:val="nil"/>
            </w:tcBorders>
            <w:vAlign w:val="center"/>
          </w:tcPr>
          <w:p w14:paraId="0F7C3C40">
            <w:pPr>
              <w:pStyle w:val="69"/>
              <w:spacing w:before="62" w:after="62"/>
              <w:rPr>
                <w:rFonts w:cs="Times New Roman"/>
                <w:color w:val="auto"/>
                <w:highlight w:val="none"/>
              </w:rPr>
            </w:pPr>
            <w:r>
              <w:rPr>
                <w:rFonts w:cs="Times New Roman"/>
                <w:color w:val="auto"/>
                <w:highlight w:val="none"/>
              </w:rPr>
              <w:t>2025-9-15至2025-9-16</w:t>
            </w:r>
          </w:p>
        </w:tc>
        <w:tc>
          <w:tcPr>
            <w:tcW w:w="683" w:type="pct"/>
            <w:tcBorders>
              <w:tl2br w:val="nil"/>
              <w:tr2bl w:val="nil"/>
            </w:tcBorders>
            <w:vAlign w:val="center"/>
          </w:tcPr>
          <w:p w14:paraId="2C2029AF">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68EBEE85">
            <w:pPr>
              <w:pStyle w:val="69"/>
              <w:spacing w:before="62" w:after="62"/>
              <w:rPr>
                <w:rFonts w:cs="Times New Roman"/>
                <w:color w:val="auto"/>
                <w:highlight w:val="none"/>
              </w:rPr>
            </w:pPr>
          </w:p>
        </w:tc>
        <w:tc>
          <w:tcPr>
            <w:tcW w:w="893" w:type="pct"/>
            <w:tcBorders>
              <w:tl2br w:val="nil"/>
              <w:tr2bl w:val="nil"/>
            </w:tcBorders>
            <w:vAlign w:val="center"/>
          </w:tcPr>
          <w:p w14:paraId="3E2A5D40">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7A484088">
            <w:pPr>
              <w:pStyle w:val="69"/>
              <w:spacing w:before="62" w:after="62"/>
              <w:rPr>
                <w:rFonts w:cs="Times New Roman"/>
                <w:color w:val="auto"/>
                <w:highlight w:val="none"/>
              </w:rPr>
            </w:pPr>
            <w:r>
              <w:rPr>
                <w:rFonts w:cs="Times New Roman"/>
                <w:color w:val="auto"/>
                <w:highlight w:val="none"/>
              </w:rPr>
              <w:t>达标</w:t>
            </w:r>
          </w:p>
        </w:tc>
      </w:tr>
      <w:tr w14:paraId="694AD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013DB689">
            <w:pPr>
              <w:pStyle w:val="69"/>
              <w:spacing w:before="62" w:after="62"/>
              <w:rPr>
                <w:rFonts w:cs="Times New Roman"/>
                <w:color w:val="auto"/>
                <w:highlight w:val="none"/>
              </w:rPr>
            </w:pPr>
          </w:p>
        </w:tc>
        <w:tc>
          <w:tcPr>
            <w:tcW w:w="956" w:type="pct"/>
            <w:tcBorders>
              <w:tl2br w:val="nil"/>
              <w:tr2bl w:val="nil"/>
            </w:tcBorders>
            <w:vAlign w:val="center"/>
          </w:tcPr>
          <w:p w14:paraId="3790477D">
            <w:pPr>
              <w:pStyle w:val="69"/>
              <w:spacing w:before="62" w:after="62"/>
              <w:rPr>
                <w:rFonts w:cs="Times New Roman"/>
                <w:color w:val="auto"/>
                <w:highlight w:val="none"/>
              </w:rPr>
            </w:pPr>
            <w:r>
              <w:rPr>
                <w:rFonts w:cs="Times New Roman"/>
                <w:color w:val="auto"/>
                <w:highlight w:val="none"/>
              </w:rPr>
              <w:t>2025-9-16至2025-9-17</w:t>
            </w:r>
          </w:p>
        </w:tc>
        <w:tc>
          <w:tcPr>
            <w:tcW w:w="683" w:type="pct"/>
            <w:tcBorders>
              <w:tl2br w:val="nil"/>
              <w:tr2bl w:val="nil"/>
            </w:tcBorders>
            <w:vAlign w:val="center"/>
          </w:tcPr>
          <w:p w14:paraId="35135636">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41DF25B7">
            <w:pPr>
              <w:pStyle w:val="69"/>
              <w:spacing w:before="62" w:after="62"/>
              <w:rPr>
                <w:rFonts w:cs="Times New Roman"/>
                <w:color w:val="auto"/>
                <w:highlight w:val="none"/>
              </w:rPr>
            </w:pPr>
          </w:p>
        </w:tc>
        <w:tc>
          <w:tcPr>
            <w:tcW w:w="893" w:type="pct"/>
            <w:tcBorders>
              <w:tl2br w:val="nil"/>
              <w:tr2bl w:val="nil"/>
            </w:tcBorders>
            <w:vAlign w:val="center"/>
          </w:tcPr>
          <w:p w14:paraId="28B6BDFD">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05A36AF4">
            <w:pPr>
              <w:pStyle w:val="69"/>
              <w:spacing w:before="62" w:after="62"/>
              <w:rPr>
                <w:rFonts w:cs="Times New Roman"/>
                <w:color w:val="auto"/>
                <w:highlight w:val="none"/>
              </w:rPr>
            </w:pPr>
            <w:r>
              <w:rPr>
                <w:rFonts w:cs="Times New Roman"/>
                <w:color w:val="auto"/>
                <w:highlight w:val="none"/>
              </w:rPr>
              <w:t>达标</w:t>
            </w:r>
          </w:p>
        </w:tc>
      </w:tr>
      <w:tr w14:paraId="26F0A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7714C23F">
            <w:pPr>
              <w:pStyle w:val="69"/>
              <w:spacing w:before="62" w:after="62"/>
              <w:rPr>
                <w:rFonts w:cs="Times New Roman"/>
                <w:color w:val="auto"/>
                <w:highlight w:val="none"/>
              </w:rPr>
            </w:pPr>
          </w:p>
        </w:tc>
        <w:tc>
          <w:tcPr>
            <w:tcW w:w="956" w:type="pct"/>
            <w:tcBorders>
              <w:tl2br w:val="nil"/>
              <w:tr2bl w:val="nil"/>
            </w:tcBorders>
            <w:vAlign w:val="center"/>
          </w:tcPr>
          <w:p w14:paraId="726CD67B">
            <w:pPr>
              <w:pStyle w:val="69"/>
              <w:spacing w:before="62" w:after="62"/>
              <w:rPr>
                <w:rFonts w:cs="Times New Roman"/>
                <w:color w:val="auto"/>
                <w:highlight w:val="none"/>
              </w:rPr>
            </w:pPr>
            <w:r>
              <w:rPr>
                <w:rFonts w:cs="Times New Roman"/>
                <w:color w:val="auto"/>
                <w:highlight w:val="none"/>
              </w:rPr>
              <w:t>2025-9-17至2025-9-18</w:t>
            </w:r>
          </w:p>
        </w:tc>
        <w:tc>
          <w:tcPr>
            <w:tcW w:w="683" w:type="pct"/>
            <w:tcBorders>
              <w:tl2br w:val="nil"/>
              <w:tr2bl w:val="nil"/>
            </w:tcBorders>
            <w:vAlign w:val="center"/>
          </w:tcPr>
          <w:p w14:paraId="546D2697">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7A6E5D12">
            <w:pPr>
              <w:pStyle w:val="69"/>
              <w:spacing w:before="62" w:after="62"/>
              <w:rPr>
                <w:rFonts w:cs="Times New Roman"/>
                <w:color w:val="auto"/>
                <w:highlight w:val="none"/>
              </w:rPr>
            </w:pPr>
          </w:p>
        </w:tc>
        <w:tc>
          <w:tcPr>
            <w:tcW w:w="893" w:type="pct"/>
            <w:tcBorders>
              <w:tl2br w:val="nil"/>
              <w:tr2bl w:val="nil"/>
            </w:tcBorders>
            <w:vAlign w:val="center"/>
          </w:tcPr>
          <w:p w14:paraId="76F58328">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43B58D0B">
            <w:pPr>
              <w:pStyle w:val="69"/>
              <w:spacing w:before="62" w:after="62"/>
              <w:rPr>
                <w:rFonts w:cs="Times New Roman"/>
                <w:color w:val="auto"/>
                <w:highlight w:val="none"/>
              </w:rPr>
            </w:pPr>
            <w:r>
              <w:rPr>
                <w:rFonts w:cs="Times New Roman"/>
                <w:color w:val="auto"/>
                <w:highlight w:val="none"/>
              </w:rPr>
              <w:t>达标</w:t>
            </w:r>
          </w:p>
        </w:tc>
      </w:tr>
      <w:tr w14:paraId="5388F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7A51CE09">
            <w:pPr>
              <w:pStyle w:val="69"/>
              <w:spacing w:before="62" w:after="62"/>
              <w:rPr>
                <w:rFonts w:cs="Times New Roman"/>
                <w:color w:val="auto"/>
                <w:highlight w:val="none"/>
              </w:rPr>
            </w:pPr>
          </w:p>
        </w:tc>
        <w:tc>
          <w:tcPr>
            <w:tcW w:w="956" w:type="pct"/>
            <w:tcBorders>
              <w:tl2br w:val="nil"/>
              <w:tr2bl w:val="nil"/>
            </w:tcBorders>
            <w:vAlign w:val="center"/>
          </w:tcPr>
          <w:p w14:paraId="2F5A1AA5">
            <w:pPr>
              <w:pStyle w:val="69"/>
              <w:spacing w:before="62" w:after="62"/>
              <w:rPr>
                <w:rFonts w:cs="Times New Roman"/>
                <w:color w:val="auto"/>
                <w:highlight w:val="none"/>
              </w:rPr>
            </w:pPr>
            <w:r>
              <w:rPr>
                <w:rFonts w:cs="Times New Roman"/>
                <w:color w:val="auto"/>
                <w:highlight w:val="none"/>
              </w:rPr>
              <w:t>2025-9-18至2025-9-19</w:t>
            </w:r>
          </w:p>
        </w:tc>
        <w:tc>
          <w:tcPr>
            <w:tcW w:w="683" w:type="pct"/>
            <w:tcBorders>
              <w:tl2br w:val="nil"/>
              <w:tr2bl w:val="nil"/>
            </w:tcBorders>
            <w:vAlign w:val="center"/>
          </w:tcPr>
          <w:p w14:paraId="2EBCEAA8">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20830A25">
            <w:pPr>
              <w:pStyle w:val="69"/>
              <w:spacing w:before="62" w:after="62"/>
              <w:rPr>
                <w:rFonts w:cs="Times New Roman"/>
                <w:color w:val="auto"/>
                <w:highlight w:val="none"/>
              </w:rPr>
            </w:pPr>
          </w:p>
        </w:tc>
        <w:tc>
          <w:tcPr>
            <w:tcW w:w="893" w:type="pct"/>
            <w:tcBorders>
              <w:tl2br w:val="nil"/>
              <w:tr2bl w:val="nil"/>
            </w:tcBorders>
            <w:vAlign w:val="center"/>
          </w:tcPr>
          <w:p w14:paraId="5E29027C">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66512F1A">
            <w:pPr>
              <w:pStyle w:val="69"/>
              <w:spacing w:before="62" w:after="62"/>
              <w:rPr>
                <w:rFonts w:cs="Times New Roman"/>
                <w:color w:val="auto"/>
                <w:highlight w:val="none"/>
              </w:rPr>
            </w:pPr>
            <w:r>
              <w:rPr>
                <w:rFonts w:cs="Times New Roman"/>
                <w:color w:val="auto"/>
                <w:highlight w:val="none"/>
              </w:rPr>
              <w:t>达标</w:t>
            </w:r>
          </w:p>
        </w:tc>
      </w:tr>
      <w:tr w14:paraId="5B9E84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47EE9307">
            <w:pPr>
              <w:pStyle w:val="69"/>
              <w:spacing w:before="62" w:after="62"/>
              <w:rPr>
                <w:rFonts w:cs="Times New Roman"/>
                <w:color w:val="auto"/>
                <w:highlight w:val="none"/>
              </w:rPr>
            </w:pPr>
          </w:p>
        </w:tc>
        <w:tc>
          <w:tcPr>
            <w:tcW w:w="956" w:type="pct"/>
            <w:tcBorders>
              <w:tl2br w:val="nil"/>
              <w:tr2bl w:val="nil"/>
            </w:tcBorders>
            <w:vAlign w:val="center"/>
          </w:tcPr>
          <w:p w14:paraId="268B60DD">
            <w:pPr>
              <w:pStyle w:val="69"/>
              <w:spacing w:before="62" w:after="62"/>
              <w:rPr>
                <w:rFonts w:cs="Times New Roman"/>
                <w:color w:val="auto"/>
                <w:highlight w:val="none"/>
              </w:rPr>
            </w:pPr>
            <w:r>
              <w:rPr>
                <w:rFonts w:cs="Times New Roman"/>
                <w:color w:val="auto"/>
                <w:highlight w:val="none"/>
              </w:rPr>
              <w:t>2025-9-19至2025-9-20</w:t>
            </w:r>
          </w:p>
        </w:tc>
        <w:tc>
          <w:tcPr>
            <w:tcW w:w="683" w:type="pct"/>
            <w:tcBorders>
              <w:tl2br w:val="nil"/>
              <w:tr2bl w:val="nil"/>
            </w:tcBorders>
            <w:vAlign w:val="center"/>
          </w:tcPr>
          <w:p w14:paraId="4C0FD8A6">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16F73465">
            <w:pPr>
              <w:pStyle w:val="69"/>
              <w:spacing w:before="62" w:after="62"/>
              <w:rPr>
                <w:rFonts w:cs="Times New Roman"/>
                <w:color w:val="auto"/>
                <w:highlight w:val="none"/>
              </w:rPr>
            </w:pPr>
          </w:p>
        </w:tc>
        <w:tc>
          <w:tcPr>
            <w:tcW w:w="893" w:type="pct"/>
            <w:tcBorders>
              <w:tl2br w:val="nil"/>
              <w:tr2bl w:val="nil"/>
            </w:tcBorders>
            <w:vAlign w:val="center"/>
          </w:tcPr>
          <w:p w14:paraId="24A1C33C">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6CCBA5A4">
            <w:pPr>
              <w:pStyle w:val="69"/>
              <w:spacing w:before="62" w:after="62"/>
              <w:rPr>
                <w:rFonts w:cs="Times New Roman"/>
                <w:color w:val="auto"/>
                <w:highlight w:val="none"/>
              </w:rPr>
            </w:pPr>
            <w:r>
              <w:rPr>
                <w:rFonts w:cs="Times New Roman"/>
                <w:color w:val="auto"/>
                <w:highlight w:val="none"/>
              </w:rPr>
              <w:t>达标</w:t>
            </w:r>
          </w:p>
        </w:tc>
      </w:tr>
      <w:tr w14:paraId="410798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6B4A5F1F">
            <w:pPr>
              <w:pStyle w:val="69"/>
              <w:spacing w:before="62" w:after="62"/>
              <w:rPr>
                <w:rFonts w:cs="Times New Roman"/>
                <w:color w:val="auto"/>
                <w:highlight w:val="none"/>
              </w:rPr>
            </w:pPr>
          </w:p>
        </w:tc>
        <w:tc>
          <w:tcPr>
            <w:tcW w:w="956" w:type="pct"/>
            <w:tcBorders>
              <w:tl2br w:val="nil"/>
              <w:tr2bl w:val="nil"/>
            </w:tcBorders>
            <w:vAlign w:val="center"/>
          </w:tcPr>
          <w:p w14:paraId="1F302432">
            <w:pPr>
              <w:pStyle w:val="69"/>
              <w:spacing w:before="62" w:after="62"/>
              <w:rPr>
                <w:rFonts w:cs="Times New Roman"/>
                <w:color w:val="auto"/>
                <w:highlight w:val="none"/>
              </w:rPr>
            </w:pPr>
            <w:r>
              <w:rPr>
                <w:rFonts w:cs="Times New Roman"/>
                <w:color w:val="auto"/>
                <w:highlight w:val="none"/>
              </w:rPr>
              <w:t>2025-9-20至2025-9-21</w:t>
            </w:r>
          </w:p>
        </w:tc>
        <w:tc>
          <w:tcPr>
            <w:tcW w:w="683" w:type="pct"/>
            <w:tcBorders>
              <w:tl2br w:val="nil"/>
              <w:tr2bl w:val="nil"/>
            </w:tcBorders>
            <w:vAlign w:val="center"/>
          </w:tcPr>
          <w:p w14:paraId="14E9566D">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56A55948">
            <w:pPr>
              <w:pStyle w:val="69"/>
              <w:spacing w:before="62" w:after="62"/>
              <w:rPr>
                <w:rFonts w:cs="Times New Roman"/>
                <w:color w:val="auto"/>
                <w:highlight w:val="none"/>
              </w:rPr>
            </w:pPr>
          </w:p>
        </w:tc>
        <w:tc>
          <w:tcPr>
            <w:tcW w:w="893" w:type="pct"/>
            <w:tcBorders>
              <w:tl2br w:val="nil"/>
              <w:tr2bl w:val="nil"/>
            </w:tcBorders>
            <w:vAlign w:val="center"/>
          </w:tcPr>
          <w:p w14:paraId="205EF626">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7615E538">
            <w:pPr>
              <w:pStyle w:val="69"/>
              <w:spacing w:before="62" w:after="62"/>
              <w:rPr>
                <w:rFonts w:cs="Times New Roman"/>
                <w:color w:val="auto"/>
                <w:highlight w:val="none"/>
              </w:rPr>
            </w:pPr>
            <w:r>
              <w:rPr>
                <w:rFonts w:cs="Times New Roman"/>
                <w:color w:val="auto"/>
                <w:highlight w:val="none"/>
              </w:rPr>
              <w:t>达标</w:t>
            </w:r>
          </w:p>
        </w:tc>
      </w:tr>
      <w:tr w14:paraId="41FEB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vMerge w:val="continue"/>
            <w:tcBorders>
              <w:tl2br w:val="nil"/>
              <w:tr2bl w:val="nil"/>
            </w:tcBorders>
            <w:vAlign w:val="center"/>
          </w:tcPr>
          <w:p w14:paraId="5B6868F3">
            <w:pPr>
              <w:pStyle w:val="69"/>
              <w:spacing w:before="62" w:after="62"/>
              <w:rPr>
                <w:rFonts w:cs="Times New Roman"/>
                <w:color w:val="auto"/>
                <w:highlight w:val="none"/>
              </w:rPr>
            </w:pPr>
          </w:p>
        </w:tc>
        <w:tc>
          <w:tcPr>
            <w:tcW w:w="956" w:type="pct"/>
            <w:tcBorders>
              <w:tl2br w:val="nil"/>
              <w:tr2bl w:val="nil"/>
            </w:tcBorders>
            <w:vAlign w:val="center"/>
          </w:tcPr>
          <w:p w14:paraId="4F8F17BB">
            <w:pPr>
              <w:pStyle w:val="69"/>
              <w:spacing w:before="62" w:after="62"/>
              <w:rPr>
                <w:rFonts w:cs="Times New Roman"/>
                <w:color w:val="auto"/>
                <w:highlight w:val="none"/>
              </w:rPr>
            </w:pPr>
            <w:r>
              <w:rPr>
                <w:rFonts w:cs="Times New Roman"/>
                <w:color w:val="auto"/>
                <w:highlight w:val="none"/>
              </w:rPr>
              <w:t>2025-9-21至2025-9-22</w:t>
            </w:r>
          </w:p>
        </w:tc>
        <w:tc>
          <w:tcPr>
            <w:tcW w:w="683" w:type="pct"/>
            <w:tcBorders>
              <w:tl2br w:val="nil"/>
              <w:tr2bl w:val="nil"/>
            </w:tcBorders>
            <w:vAlign w:val="center"/>
          </w:tcPr>
          <w:p w14:paraId="3F8E3886">
            <w:pPr>
              <w:pStyle w:val="69"/>
              <w:spacing w:before="62" w:after="62"/>
              <w:rPr>
                <w:rFonts w:cs="Times New Roman"/>
                <w:color w:val="auto"/>
                <w:highlight w:val="none"/>
              </w:rPr>
            </w:pPr>
            <w:r>
              <w:rPr>
                <w:rFonts w:cs="Times New Roman"/>
                <w:color w:val="auto"/>
                <w:highlight w:val="none"/>
              </w:rPr>
              <w:t>TSP</w:t>
            </w:r>
          </w:p>
        </w:tc>
        <w:tc>
          <w:tcPr>
            <w:tcW w:w="1032" w:type="pct"/>
            <w:tcBorders>
              <w:tl2br w:val="nil"/>
              <w:tr2bl w:val="nil"/>
            </w:tcBorders>
            <w:vAlign w:val="center"/>
          </w:tcPr>
          <w:p w14:paraId="4E1B537B">
            <w:pPr>
              <w:pStyle w:val="69"/>
              <w:spacing w:before="62" w:after="62"/>
              <w:rPr>
                <w:rFonts w:cs="Times New Roman"/>
                <w:color w:val="auto"/>
                <w:highlight w:val="none"/>
              </w:rPr>
            </w:pPr>
          </w:p>
        </w:tc>
        <w:tc>
          <w:tcPr>
            <w:tcW w:w="893" w:type="pct"/>
            <w:tcBorders>
              <w:tl2br w:val="nil"/>
              <w:tr2bl w:val="nil"/>
            </w:tcBorders>
            <w:vAlign w:val="center"/>
          </w:tcPr>
          <w:p w14:paraId="095E779E">
            <w:pPr>
              <w:pStyle w:val="69"/>
              <w:spacing w:before="62" w:after="62"/>
              <w:rPr>
                <w:rFonts w:cs="Times New Roman"/>
                <w:color w:val="auto"/>
                <w:highlight w:val="none"/>
              </w:rPr>
            </w:pPr>
            <w:r>
              <w:rPr>
                <w:rFonts w:cs="Times New Roman"/>
                <w:color w:val="auto"/>
                <w:highlight w:val="none"/>
              </w:rPr>
              <w:t>0.3</w:t>
            </w:r>
          </w:p>
        </w:tc>
        <w:tc>
          <w:tcPr>
            <w:tcW w:w="697" w:type="pct"/>
            <w:tcBorders>
              <w:tl2br w:val="nil"/>
              <w:tr2bl w:val="nil"/>
            </w:tcBorders>
            <w:vAlign w:val="center"/>
          </w:tcPr>
          <w:p w14:paraId="081FAB63">
            <w:pPr>
              <w:pStyle w:val="69"/>
              <w:spacing w:before="62" w:after="62"/>
              <w:rPr>
                <w:rFonts w:cs="Times New Roman"/>
                <w:color w:val="auto"/>
                <w:highlight w:val="none"/>
              </w:rPr>
            </w:pPr>
            <w:r>
              <w:rPr>
                <w:rFonts w:cs="Times New Roman"/>
                <w:color w:val="auto"/>
                <w:highlight w:val="none"/>
              </w:rPr>
              <w:t>达标</w:t>
            </w:r>
          </w:p>
        </w:tc>
      </w:tr>
      <w:tr w14:paraId="41E7D5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8" w:space="0"/>
          </w:tblBorders>
          <w:tblCellMar>
            <w:top w:w="0" w:type="dxa"/>
            <w:left w:w="108" w:type="dxa"/>
            <w:bottom w:w="0" w:type="dxa"/>
            <w:right w:w="108" w:type="dxa"/>
          </w:tblCellMar>
        </w:tblPrEx>
        <w:trPr>
          <w:cantSplit/>
          <w:trHeight w:val="90" w:hRule="atLeast"/>
          <w:jc w:val="center"/>
        </w:trPr>
        <w:tc>
          <w:tcPr>
            <w:tcW w:w="737" w:type="pct"/>
            <w:tcBorders>
              <w:tl2br w:val="nil"/>
              <w:tr2bl w:val="nil"/>
            </w:tcBorders>
            <w:vAlign w:val="center"/>
          </w:tcPr>
          <w:p w14:paraId="63C9EF1D">
            <w:pPr>
              <w:pStyle w:val="69"/>
              <w:spacing w:before="62" w:after="62"/>
              <w:rPr>
                <w:rFonts w:cs="Times New Roman"/>
                <w:color w:val="auto"/>
                <w:highlight w:val="none"/>
              </w:rPr>
            </w:pPr>
            <w:r>
              <w:rPr>
                <w:rFonts w:cs="Times New Roman"/>
                <w:color w:val="auto"/>
                <w:highlight w:val="none"/>
              </w:rPr>
              <w:t>备注</w:t>
            </w:r>
          </w:p>
        </w:tc>
        <w:tc>
          <w:tcPr>
            <w:tcW w:w="4262" w:type="pct"/>
            <w:gridSpan w:val="5"/>
            <w:tcBorders>
              <w:tl2br w:val="nil"/>
              <w:tr2bl w:val="nil"/>
            </w:tcBorders>
            <w:vAlign w:val="center"/>
          </w:tcPr>
          <w:p w14:paraId="54E720F2">
            <w:pPr>
              <w:pStyle w:val="69"/>
              <w:spacing w:before="62" w:after="62"/>
              <w:rPr>
                <w:rFonts w:cs="Times New Roman"/>
                <w:color w:val="auto"/>
                <w:highlight w:val="none"/>
              </w:rPr>
            </w:pPr>
            <w:r>
              <w:rPr>
                <w:rFonts w:cs="Times New Roman"/>
                <w:color w:val="auto"/>
                <w:highlight w:val="none"/>
              </w:rPr>
              <w:t>①未检出以</w:t>
            </w:r>
            <w:r>
              <w:rPr>
                <w:rFonts w:hint="eastAsia" w:cs="Times New Roman"/>
                <w:color w:val="auto"/>
                <w:highlight w:val="none"/>
              </w:rPr>
              <w:t>“</w:t>
            </w:r>
            <w:r>
              <w:rPr>
                <w:rFonts w:cs="Times New Roman"/>
                <w:color w:val="auto"/>
                <w:highlight w:val="none"/>
              </w:rPr>
              <w:t>＜检出限</w:t>
            </w:r>
            <w:r>
              <w:rPr>
                <w:rFonts w:hint="eastAsia" w:cs="Times New Roman"/>
                <w:color w:val="auto"/>
                <w:highlight w:val="none"/>
              </w:rPr>
              <w:t>”</w:t>
            </w:r>
            <w:r>
              <w:rPr>
                <w:rFonts w:cs="Times New Roman"/>
                <w:color w:val="auto"/>
                <w:highlight w:val="none"/>
              </w:rPr>
              <w:t>计。</w:t>
            </w:r>
          </w:p>
        </w:tc>
      </w:tr>
    </w:tbl>
    <w:p w14:paraId="7607DD03">
      <w:pPr>
        <w:adjustRightInd w:val="0"/>
        <w:ind w:firstLine="480"/>
        <w:rPr>
          <w:rFonts w:cs="Times New Roman"/>
          <w:color w:val="auto"/>
          <w:highlight w:val="none"/>
        </w:rPr>
      </w:pPr>
      <w:r>
        <w:rPr>
          <w:rFonts w:cs="Times New Roman"/>
          <w:color w:val="auto"/>
          <w:highlight w:val="none"/>
        </w:rPr>
        <w:t>本项目特征污染因子评价结果见下表。</w:t>
      </w:r>
    </w:p>
    <w:p w14:paraId="26B6A118">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环境空气质量评价结果表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746"/>
        <w:gridCol w:w="1230"/>
        <w:gridCol w:w="1335"/>
        <w:gridCol w:w="1771"/>
        <w:gridCol w:w="1364"/>
        <w:gridCol w:w="978"/>
        <w:gridCol w:w="802"/>
      </w:tblGrid>
      <w:tr w14:paraId="3EF5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460" w:type="pct"/>
            <w:vAlign w:val="center"/>
          </w:tcPr>
          <w:p w14:paraId="474EE9DD">
            <w:pPr>
              <w:pStyle w:val="69"/>
              <w:spacing w:before="62" w:after="62"/>
              <w:rPr>
                <w:rFonts w:cs="Times New Roman"/>
                <w:b/>
                <w:bCs w:val="0"/>
                <w:color w:val="auto"/>
                <w:highlight w:val="none"/>
              </w:rPr>
            </w:pPr>
            <w:r>
              <w:rPr>
                <w:rFonts w:cs="Times New Roman"/>
                <w:b/>
                <w:bCs w:val="0"/>
                <w:color w:val="auto"/>
                <w:highlight w:val="none"/>
              </w:rPr>
              <w:t>点位编号</w:t>
            </w:r>
          </w:p>
        </w:tc>
        <w:tc>
          <w:tcPr>
            <w:tcW w:w="411" w:type="pct"/>
            <w:vAlign w:val="center"/>
          </w:tcPr>
          <w:p w14:paraId="396E9C73">
            <w:pPr>
              <w:pStyle w:val="69"/>
              <w:spacing w:before="62" w:after="62"/>
              <w:rPr>
                <w:rFonts w:cs="Times New Roman"/>
                <w:b/>
                <w:bCs w:val="0"/>
                <w:color w:val="auto"/>
                <w:highlight w:val="none"/>
              </w:rPr>
            </w:pPr>
            <w:r>
              <w:rPr>
                <w:rFonts w:cs="Times New Roman"/>
                <w:b/>
                <w:bCs w:val="0"/>
                <w:color w:val="auto"/>
                <w:highlight w:val="none"/>
              </w:rPr>
              <w:t>污染物</w:t>
            </w:r>
          </w:p>
        </w:tc>
        <w:tc>
          <w:tcPr>
            <w:tcW w:w="678" w:type="pct"/>
            <w:vAlign w:val="center"/>
          </w:tcPr>
          <w:p w14:paraId="6374C775">
            <w:pPr>
              <w:pStyle w:val="69"/>
              <w:spacing w:before="62" w:after="62"/>
              <w:rPr>
                <w:rFonts w:cs="Times New Roman"/>
                <w:b/>
                <w:bCs w:val="0"/>
                <w:color w:val="auto"/>
                <w:highlight w:val="none"/>
              </w:rPr>
            </w:pPr>
            <w:r>
              <w:rPr>
                <w:rFonts w:cs="Times New Roman"/>
                <w:b/>
                <w:bCs w:val="0"/>
                <w:color w:val="auto"/>
                <w:highlight w:val="none"/>
              </w:rPr>
              <w:t>平均时间</w:t>
            </w:r>
          </w:p>
        </w:tc>
        <w:tc>
          <w:tcPr>
            <w:tcW w:w="736" w:type="pct"/>
            <w:vAlign w:val="center"/>
          </w:tcPr>
          <w:p w14:paraId="1214D1FC">
            <w:pPr>
              <w:pStyle w:val="69"/>
              <w:spacing w:before="62" w:after="62"/>
              <w:rPr>
                <w:rFonts w:cs="Times New Roman"/>
                <w:b/>
                <w:bCs w:val="0"/>
                <w:color w:val="auto"/>
                <w:highlight w:val="none"/>
              </w:rPr>
            </w:pPr>
            <w:r>
              <w:rPr>
                <w:rFonts w:cs="Times New Roman"/>
                <w:b/>
                <w:bCs w:val="0"/>
                <w:color w:val="auto"/>
                <w:highlight w:val="none"/>
              </w:rPr>
              <w:t>评价标准（mg/m</w:t>
            </w:r>
            <w:r>
              <w:rPr>
                <w:rFonts w:cs="Times New Roman"/>
                <w:b/>
                <w:bCs w:val="0"/>
                <w:color w:val="auto"/>
                <w:highlight w:val="none"/>
                <w:vertAlign w:val="superscript"/>
              </w:rPr>
              <w:t>3</w:t>
            </w:r>
            <w:r>
              <w:rPr>
                <w:rFonts w:cs="Times New Roman"/>
                <w:b/>
                <w:bCs w:val="0"/>
                <w:color w:val="auto"/>
                <w:highlight w:val="none"/>
              </w:rPr>
              <w:t>）</w:t>
            </w:r>
          </w:p>
        </w:tc>
        <w:tc>
          <w:tcPr>
            <w:tcW w:w="976" w:type="pct"/>
            <w:vAlign w:val="center"/>
          </w:tcPr>
          <w:p w14:paraId="43C87B66">
            <w:pPr>
              <w:pStyle w:val="69"/>
              <w:spacing w:before="62" w:after="62"/>
              <w:rPr>
                <w:rFonts w:cs="Times New Roman"/>
                <w:b/>
                <w:bCs w:val="0"/>
                <w:color w:val="auto"/>
                <w:highlight w:val="none"/>
              </w:rPr>
            </w:pPr>
            <w:r>
              <w:rPr>
                <w:rFonts w:cs="Times New Roman"/>
                <w:b/>
                <w:bCs w:val="0"/>
                <w:color w:val="auto"/>
                <w:highlight w:val="none"/>
              </w:rPr>
              <w:t>监测浓度范围</w:t>
            </w:r>
          </w:p>
        </w:tc>
        <w:tc>
          <w:tcPr>
            <w:tcW w:w="752" w:type="pct"/>
            <w:vAlign w:val="center"/>
          </w:tcPr>
          <w:p w14:paraId="7D32E380">
            <w:pPr>
              <w:pStyle w:val="69"/>
              <w:spacing w:before="62" w:after="62"/>
              <w:rPr>
                <w:rFonts w:cs="Times New Roman"/>
                <w:b/>
                <w:bCs w:val="0"/>
                <w:color w:val="auto"/>
                <w:highlight w:val="none"/>
              </w:rPr>
            </w:pPr>
            <w:r>
              <w:rPr>
                <w:rFonts w:cs="Times New Roman"/>
                <w:b/>
                <w:bCs w:val="0"/>
                <w:color w:val="auto"/>
                <w:highlight w:val="none"/>
              </w:rPr>
              <w:t>最大浓度占标率（%）</w:t>
            </w:r>
          </w:p>
        </w:tc>
        <w:tc>
          <w:tcPr>
            <w:tcW w:w="539" w:type="pct"/>
            <w:vAlign w:val="center"/>
          </w:tcPr>
          <w:p w14:paraId="244E9179">
            <w:pPr>
              <w:pStyle w:val="69"/>
              <w:spacing w:before="62" w:after="62"/>
              <w:rPr>
                <w:rFonts w:cs="Times New Roman"/>
                <w:b/>
                <w:bCs w:val="0"/>
                <w:color w:val="auto"/>
                <w:highlight w:val="none"/>
              </w:rPr>
            </w:pPr>
            <w:r>
              <w:rPr>
                <w:rFonts w:cs="Times New Roman"/>
                <w:b/>
                <w:bCs w:val="0"/>
                <w:color w:val="auto"/>
                <w:highlight w:val="none"/>
              </w:rPr>
              <w:t>超标率（%）</w:t>
            </w:r>
          </w:p>
        </w:tc>
        <w:tc>
          <w:tcPr>
            <w:tcW w:w="442" w:type="pct"/>
            <w:vAlign w:val="center"/>
          </w:tcPr>
          <w:p w14:paraId="752F9F0D">
            <w:pPr>
              <w:pStyle w:val="69"/>
              <w:spacing w:before="62" w:after="62"/>
              <w:rPr>
                <w:rFonts w:cs="Times New Roman"/>
                <w:b/>
                <w:bCs w:val="0"/>
                <w:color w:val="auto"/>
                <w:highlight w:val="none"/>
              </w:rPr>
            </w:pPr>
            <w:r>
              <w:rPr>
                <w:rFonts w:cs="Times New Roman"/>
                <w:b/>
                <w:bCs w:val="0"/>
                <w:color w:val="auto"/>
                <w:highlight w:val="none"/>
              </w:rPr>
              <w:t>达标情况</w:t>
            </w:r>
          </w:p>
        </w:tc>
      </w:tr>
      <w:tr w14:paraId="459F7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60" w:type="pct"/>
            <w:vAlign w:val="center"/>
          </w:tcPr>
          <w:p w14:paraId="7450EB42">
            <w:pPr>
              <w:pStyle w:val="69"/>
              <w:spacing w:before="62" w:after="62"/>
              <w:rPr>
                <w:rFonts w:cs="Times New Roman"/>
                <w:color w:val="auto"/>
                <w:highlight w:val="none"/>
              </w:rPr>
            </w:pPr>
            <w:r>
              <w:rPr>
                <w:rFonts w:cs="Times New Roman"/>
                <w:color w:val="auto"/>
                <w:highlight w:val="none"/>
              </w:rPr>
              <w:t>G1</w:t>
            </w:r>
          </w:p>
        </w:tc>
        <w:tc>
          <w:tcPr>
            <w:tcW w:w="411" w:type="pct"/>
            <w:vAlign w:val="center"/>
          </w:tcPr>
          <w:p w14:paraId="5F5E2D39">
            <w:pPr>
              <w:pStyle w:val="69"/>
              <w:spacing w:before="62" w:after="62"/>
              <w:rPr>
                <w:rFonts w:cs="Times New Roman"/>
                <w:color w:val="auto"/>
                <w:highlight w:val="none"/>
              </w:rPr>
            </w:pPr>
            <w:r>
              <w:rPr>
                <w:rFonts w:cs="Times New Roman"/>
                <w:color w:val="auto"/>
                <w:highlight w:val="none"/>
              </w:rPr>
              <w:t>TSP</w:t>
            </w:r>
          </w:p>
        </w:tc>
        <w:tc>
          <w:tcPr>
            <w:tcW w:w="678" w:type="pct"/>
            <w:vAlign w:val="center"/>
          </w:tcPr>
          <w:p w14:paraId="3AF9D36D">
            <w:pPr>
              <w:pStyle w:val="69"/>
              <w:spacing w:before="62" w:after="62"/>
              <w:rPr>
                <w:rFonts w:cs="Times New Roman"/>
                <w:color w:val="auto"/>
                <w:highlight w:val="none"/>
              </w:rPr>
            </w:pPr>
            <w:r>
              <w:rPr>
                <w:rFonts w:cs="Times New Roman"/>
                <w:color w:val="auto"/>
                <w:highlight w:val="none"/>
              </w:rPr>
              <w:t>日均</w:t>
            </w:r>
          </w:p>
        </w:tc>
        <w:tc>
          <w:tcPr>
            <w:tcW w:w="736" w:type="pct"/>
            <w:vAlign w:val="center"/>
          </w:tcPr>
          <w:p w14:paraId="1D30CFC5">
            <w:pPr>
              <w:pStyle w:val="69"/>
              <w:spacing w:before="62" w:after="62"/>
              <w:rPr>
                <w:rFonts w:cs="Times New Roman"/>
                <w:color w:val="auto"/>
                <w:highlight w:val="none"/>
              </w:rPr>
            </w:pPr>
          </w:p>
        </w:tc>
        <w:tc>
          <w:tcPr>
            <w:tcW w:w="976" w:type="pct"/>
            <w:vAlign w:val="center"/>
          </w:tcPr>
          <w:p w14:paraId="749F83DE">
            <w:pPr>
              <w:pStyle w:val="69"/>
              <w:spacing w:before="62" w:after="62"/>
              <w:rPr>
                <w:rFonts w:cs="Times New Roman"/>
                <w:color w:val="auto"/>
                <w:highlight w:val="none"/>
              </w:rPr>
            </w:pPr>
          </w:p>
        </w:tc>
        <w:tc>
          <w:tcPr>
            <w:tcW w:w="752" w:type="pct"/>
            <w:vAlign w:val="center"/>
          </w:tcPr>
          <w:p w14:paraId="2692CA8B">
            <w:pPr>
              <w:pStyle w:val="69"/>
              <w:spacing w:before="62" w:after="62"/>
              <w:rPr>
                <w:rFonts w:cs="Times New Roman"/>
                <w:color w:val="auto"/>
                <w:highlight w:val="none"/>
              </w:rPr>
            </w:pPr>
          </w:p>
        </w:tc>
        <w:tc>
          <w:tcPr>
            <w:tcW w:w="539" w:type="pct"/>
            <w:vAlign w:val="center"/>
          </w:tcPr>
          <w:p w14:paraId="687109BD">
            <w:pPr>
              <w:pStyle w:val="69"/>
              <w:spacing w:before="62" w:after="62"/>
              <w:rPr>
                <w:rFonts w:cs="Times New Roman"/>
                <w:color w:val="auto"/>
                <w:highlight w:val="none"/>
              </w:rPr>
            </w:pPr>
          </w:p>
        </w:tc>
        <w:tc>
          <w:tcPr>
            <w:tcW w:w="442" w:type="pct"/>
            <w:vAlign w:val="center"/>
          </w:tcPr>
          <w:p w14:paraId="538F904B">
            <w:pPr>
              <w:pStyle w:val="69"/>
              <w:spacing w:before="62" w:after="62"/>
              <w:rPr>
                <w:rFonts w:cs="Times New Roman"/>
                <w:color w:val="auto"/>
                <w:highlight w:val="none"/>
              </w:rPr>
            </w:pPr>
            <w:r>
              <w:rPr>
                <w:rFonts w:cs="Times New Roman"/>
                <w:color w:val="auto"/>
                <w:highlight w:val="none"/>
              </w:rPr>
              <w:t>达标</w:t>
            </w:r>
          </w:p>
        </w:tc>
      </w:tr>
    </w:tbl>
    <w:p w14:paraId="11CC2B71">
      <w:pPr>
        <w:adjustRightInd w:val="0"/>
        <w:ind w:firstLine="480"/>
        <w:rPr>
          <w:rFonts w:cs="Times New Roman"/>
          <w:color w:val="auto"/>
          <w:highlight w:val="none"/>
        </w:rPr>
      </w:pPr>
      <w:r>
        <w:rPr>
          <w:rFonts w:cs="Times New Roman"/>
          <w:color w:val="auto"/>
          <w:highlight w:val="none"/>
        </w:rPr>
        <w:t>由上表可知，项目所在地大气环境因子TSP的监测值能够满足《环境空气质量标准》（GB3095-20</w:t>
      </w:r>
      <w:r>
        <w:rPr>
          <w:rFonts w:hint="eastAsia" w:cs="Times New Roman"/>
          <w:color w:val="auto"/>
          <w:highlight w:val="none"/>
          <w:lang w:val="en-US" w:eastAsia="zh-CN"/>
        </w:rPr>
        <w:t>26</w:t>
      </w:r>
      <w:r>
        <w:rPr>
          <w:rFonts w:cs="Times New Roman"/>
          <w:color w:val="auto"/>
          <w:highlight w:val="none"/>
        </w:rPr>
        <w:t>）二级标准要求，区域环境质量良好。</w:t>
      </w:r>
    </w:p>
    <w:p w14:paraId="60AB366F">
      <w:pPr>
        <w:pStyle w:val="4"/>
        <w:rPr>
          <w:color w:val="auto"/>
          <w:highlight w:val="none"/>
        </w:rPr>
      </w:pPr>
      <w:bookmarkStart w:id="152" w:name="_Toc5814"/>
      <w:bookmarkStart w:id="153" w:name="_Toc4638"/>
      <w:bookmarkStart w:id="154" w:name="_Toc10321"/>
      <w:r>
        <w:rPr>
          <w:color w:val="auto"/>
          <w:highlight w:val="none"/>
        </w:rPr>
        <w:t>地表水环境质量现状与评价</w:t>
      </w:r>
      <w:bookmarkEnd w:id="152"/>
      <w:bookmarkEnd w:id="153"/>
      <w:bookmarkEnd w:id="154"/>
    </w:p>
    <w:p w14:paraId="23543CDB">
      <w:pPr>
        <w:adjustRightInd w:val="0"/>
        <w:ind w:firstLine="480"/>
        <w:rPr>
          <w:rFonts w:cs="Times New Roman"/>
          <w:color w:val="auto"/>
          <w:highlight w:val="none"/>
        </w:rPr>
      </w:pPr>
      <w:r>
        <w:rPr>
          <w:rFonts w:cs="Times New Roman"/>
          <w:color w:val="auto"/>
          <w:highlight w:val="none"/>
        </w:rPr>
        <w:t>本项目位于乐山市沙湾区，根据《环境影响评价技术导则 地表水环境》（HJ2.3-2018）中有关水环境质量现状调查的规定，应优先采用国务院生态环境保护主管部门统一发布的水环境状况信息。</w:t>
      </w:r>
    </w:p>
    <w:p w14:paraId="71AF730D">
      <w:pPr>
        <w:adjustRightInd w:val="0"/>
        <w:ind w:firstLine="480"/>
        <w:rPr>
          <w:rFonts w:cs="Times New Roman"/>
          <w:color w:val="auto"/>
          <w:highlight w:val="none"/>
        </w:rPr>
      </w:pPr>
      <w:r>
        <w:rPr>
          <w:rFonts w:cs="Times New Roman"/>
          <w:color w:val="auto"/>
          <w:highlight w:val="none"/>
        </w:rPr>
        <w:t>本项目最近河流为大渡河，根据乐山市沙湾生态环境监测站于2025年5月发布的《2024年乐山市沙湾区环境质量报告书》：各断面水质均满足《地表水环境质量标准》（GB3838-2002）中</w:t>
      </w:r>
      <w:r>
        <w:rPr>
          <w:rFonts w:hint="eastAsia" w:cs="Times New Roman"/>
          <w:color w:val="auto"/>
          <w:highlight w:val="none"/>
        </w:rPr>
        <w:t>Ⅲ类</w:t>
      </w:r>
      <w:r>
        <w:rPr>
          <w:rFonts w:cs="Times New Roman"/>
          <w:color w:val="auto"/>
          <w:highlight w:val="none"/>
        </w:rPr>
        <w:t>标准要求，区域地表水环境质量良好。</w:t>
      </w:r>
    </w:p>
    <w:p w14:paraId="72DD9D3A">
      <w:pPr>
        <w:pStyle w:val="4"/>
        <w:rPr>
          <w:color w:val="auto"/>
          <w:highlight w:val="none"/>
        </w:rPr>
      </w:pPr>
      <w:bookmarkStart w:id="155" w:name="_Toc23858"/>
      <w:r>
        <w:rPr>
          <w:color w:val="auto"/>
          <w:highlight w:val="none"/>
        </w:rPr>
        <w:t>声环境质量现状与评价</w:t>
      </w:r>
      <w:bookmarkEnd w:id="155"/>
    </w:p>
    <w:p w14:paraId="3AE59C4D">
      <w:pPr>
        <w:adjustRightInd w:val="0"/>
        <w:ind w:firstLine="480"/>
        <w:rPr>
          <w:rFonts w:cs="Times New Roman"/>
          <w:color w:val="auto"/>
          <w:highlight w:val="none"/>
        </w:rPr>
      </w:pPr>
      <w:r>
        <w:rPr>
          <w:rFonts w:cs="Times New Roman"/>
          <w:color w:val="auto"/>
          <w:highlight w:val="none"/>
        </w:rPr>
        <w:t>为了解拟建地周边声环境质量状况，本次评价委托</w:t>
      </w:r>
      <w:r>
        <w:rPr>
          <w:rFonts w:hint="eastAsia" w:cs="Times New Roman"/>
          <w:color w:val="auto"/>
          <w:highlight w:val="none"/>
        </w:rPr>
        <w:t>四川华皓检测技术有限公司</w:t>
      </w:r>
      <w:r>
        <w:rPr>
          <w:rFonts w:cs="Times New Roman"/>
          <w:color w:val="auto"/>
          <w:highlight w:val="none"/>
        </w:rPr>
        <w:t>于202</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3</w:t>
      </w:r>
      <w:r>
        <w:rPr>
          <w:rFonts w:cs="Times New Roman"/>
          <w:color w:val="auto"/>
          <w:highlight w:val="none"/>
        </w:rPr>
        <w:t>月</w:t>
      </w:r>
      <w:r>
        <w:rPr>
          <w:rFonts w:hint="eastAsia" w:cs="Times New Roman"/>
          <w:color w:val="auto"/>
          <w:highlight w:val="none"/>
        </w:rPr>
        <w:t>8</w:t>
      </w:r>
      <w:r>
        <w:rPr>
          <w:rFonts w:cs="Times New Roman"/>
          <w:color w:val="auto"/>
          <w:highlight w:val="none"/>
        </w:rPr>
        <w:t>日-202</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3</w:t>
      </w:r>
      <w:r>
        <w:rPr>
          <w:rFonts w:cs="Times New Roman"/>
          <w:color w:val="auto"/>
          <w:highlight w:val="none"/>
        </w:rPr>
        <w:t>月</w:t>
      </w:r>
      <w:r>
        <w:rPr>
          <w:rFonts w:hint="eastAsia" w:cs="Times New Roman"/>
          <w:color w:val="auto"/>
          <w:highlight w:val="none"/>
        </w:rPr>
        <w:t>9</w:t>
      </w:r>
      <w:r>
        <w:rPr>
          <w:rFonts w:cs="Times New Roman"/>
          <w:color w:val="auto"/>
          <w:highlight w:val="none"/>
        </w:rPr>
        <w:t>日对拟建项目厂界进行噪声现状监测。</w:t>
      </w:r>
    </w:p>
    <w:p w14:paraId="15AA14E9">
      <w:pPr>
        <w:adjustRightInd w:val="0"/>
        <w:ind w:firstLine="482"/>
        <w:rPr>
          <w:rFonts w:cs="Times New Roman"/>
          <w:b/>
          <w:bCs/>
          <w:color w:val="auto"/>
          <w:highlight w:val="none"/>
        </w:rPr>
      </w:pPr>
      <w:r>
        <w:rPr>
          <w:rFonts w:cs="Times New Roman"/>
          <w:b/>
          <w:bCs/>
          <w:color w:val="auto"/>
          <w:highlight w:val="none"/>
        </w:rPr>
        <w:t>一、监测点位及监测因子</w:t>
      </w:r>
    </w:p>
    <w:p w14:paraId="38F0E771">
      <w:pPr>
        <w:adjustRightInd w:val="0"/>
        <w:ind w:firstLine="480"/>
        <w:rPr>
          <w:rFonts w:cs="Times New Roman"/>
          <w:color w:val="auto"/>
          <w:highlight w:val="none"/>
        </w:rPr>
      </w:pPr>
      <w:r>
        <w:rPr>
          <w:rFonts w:cs="Times New Roman"/>
          <w:color w:val="auto"/>
          <w:highlight w:val="none"/>
        </w:rPr>
        <w:t>声环境质量监测内容见下表。</w:t>
      </w:r>
    </w:p>
    <w:p w14:paraId="0CEBA7C1">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声环境质量监测方案</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3341"/>
        <w:gridCol w:w="2393"/>
        <w:gridCol w:w="1207"/>
        <w:gridCol w:w="1185"/>
      </w:tblGrid>
      <w:tr w14:paraId="3353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blHeader/>
          <w:jc w:val="center"/>
        </w:trPr>
        <w:tc>
          <w:tcPr>
            <w:tcW w:w="513" w:type="pct"/>
            <w:vAlign w:val="center"/>
          </w:tcPr>
          <w:p w14:paraId="478F5873">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序号</w:t>
            </w:r>
          </w:p>
        </w:tc>
        <w:tc>
          <w:tcPr>
            <w:tcW w:w="1844" w:type="pct"/>
            <w:vAlign w:val="center"/>
          </w:tcPr>
          <w:p w14:paraId="61411C9A">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监测位置</w:t>
            </w:r>
          </w:p>
        </w:tc>
        <w:tc>
          <w:tcPr>
            <w:tcW w:w="1321" w:type="pct"/>
          </w:tcPr>
          <w:p w14:paraId="19F31E35">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监测频次</w:t>
            </w:r>
          </w:p>
        </w:tc>
        <w:tc>
          <w:tcPr>
            <w:tcW w:w="666" w:type="pct"/>
          </w:tcPr>
          <w:p w14:paraId="1EDA9E10">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监测项目</w:t>
            </w:r>
          </w:p>
        </w:tc>
        <w:tc>
          <w:tcPr>
            <w:tcW w:w="654" w:type="pct"/>
            <w:vAlign w:val="center"/>
          </w:tcPr>
          <w:p w14:paraId="43EE983D">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备注</w:t>
            </w:r>
          </w:p>
        </w:tc>
      </w:tr>
      <w:tr w14:paraId="4A00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Align w:val="center"/>
          </w:tcPr>
          <w:p w14:paraId="1BDDDD9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N1</w:t>
            </w:r>
          </w:p>
        </w:tc>
        <w:tc>
          <w:tcPr>
            <w:tcW w:w="1844" w:type="pct"/>
            <w:vAlign w:val="center"/>
          </w:tcPr>
          <w:p w14:paraId="2989DB9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szCs w:val="22"/>
                <w:highlight w:val="none"/>
              </w:rPr>
              <w:t>厂界北侧</w:t>
            </w:r>
          </w:p>
        </w:tc>
        <w:tc>
          <w:tcPr>
            <w:tcW w:w="1321" w:type="pct"/>
            <w:vMerge w:val="restart"/>
            <w:vAlign w:val="center"/>
          </w:tcPr>
          <w:p w14:paraId="28B925FD">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连续监测2天，每天昼间、夜间各监测1次。</w:t>
            </w:r>
          </w:p>
          <w:p w14:paraId="61F32C5B">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昼间监测时段为6:00~22:00；夜间监测时段为22:00~6:00</w:t>
            </w:r>
          </w:p>
        </w:tc>
        <w:tc>
          <w:tcPr>
            <w:tcW w:w="666" w:type="pct"/>
            <w:vMerge w:val="restart"/>
            <w:vAlign w:val="center"/>
          </w:tcPr>
          <w:p w14:paraId="48F989E8">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等效连续A声级</w:t>
            </w:r>
          </w:p>
        </w:tc>
        <w:tc>
          <w:tcPr>
            <w:tcW w:w="654" w:type="pct"/>
            <w:vAlign w:val="center"/>
          </w:tcPr>
          <w:p w14:paraId="282C63DF">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现状值</w:t>
            </w:r>
          </w:p>
        </w:tc>
      </w:tr>
      <w:tr w14:paraId="4D47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Align w:val="center"/>
          </w:tcPr>
          <w:p w14:paraId="03BD662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N2</w:t>
            </w:r>
          </w:p>
        </w:tc>
        <w:tc>
          <w:tcPr>
            <w:tcW w:w="1844" w:type="pct"/>
            <w:vAlign w:val="center"/>
          </w:tcPr>
          <w:p w14:paraId="1403853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szCs w:val="22"/>
                <w:highlight w:val="none"/>
              </w:rPr>
              <w:t>厂界西侧</w:t>
            </w:r>
          </w:p>
        </w:tc>
        <w:tc>
          <w:tcPr>
            <w:tcW w:w="1321" w:type="pct"/>
            <w:vMerge w:val="continue"/>
          </w:tcPr>
          <w:p w14:paraId="661B1DB2">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66" w:type="pct"/>
            <w:vMerge w:val="continue"/>
          </w:tcPr>
          <w:p w14:paraId="394F19C5">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54" w:type="pct"/>
            <w:vAlign w:val="center"/>
          </w:tcPr>
          <w:p w14:paraId="2A9C67D2">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现状值</w:t>
            </w:r>
          </w:p>
        </w:tc>
      </w:tr>
      <w:tr w14:paraId="3A68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Align w:val="center"/>
          </w:tcPr>
          <w:p w14:paraId="4FFF3CE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N3</w:t>
            </w:r>
          </w:p>
        </w:tc>
        <w:tc>
          <w:tcPr>
            <w:tcW w:w="1844" w:type="pct"/>
            <w:vAlign w:val="center"/>
          </w:tcPr>
          <w:p w14:paraId="0DD01F9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szCs w:val="22"/>
                <w:highlight w:val="none"/>
              </w:rPr>
              <w:t>厂界</w:t>
            </w:r>
            <w:r>
              <w:rPr>
                <w:rFonts w:hint="eastAsia" w:cs="Times New Roman"/>
                <w:color w:val="auto"/>
                <w:kern w:val="21"/>
                <w:sz w:val="21"/>
                <w:szCs w:val="22"/>
                <w:highlight w:val="none"/>
              </w:rPr>
              <w:t>南</w:t>
            </w:r>
            <w:r>
              <w:rPr>
                <w:rFonts w:cs="Times New Roman"/>
                <w:color w:val="auto"/>
                <w:kern w:val="21"/>
                <w:sz w:val="21"/>
                <w:szCs w:val="22"/>
                <w:highlight w:val="none"/>
              </w:rPr>
              <w:t>侧</w:t>
            </w:r>
          </w:p>
        </w:tc>
        <w:tc>
          <w:tcPr>
            <w:tcW w:w="1321" w:type="pct"/>
            <w:vMerge w:val="continue"/>
          </w:tcPr>
          <w:p w14:paraId="0457D99E">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66" w:type="pct"/>
            <w:vMerge w:val="continue"/>
          </w:tcPr>
          <w:p w14:paraId="39443101">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54" w:type="pct"/>
            <w:vAlign w:val="center"/>
          </w:tcPr>
          <w:p w14:paraId="0818CC75">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现状值</w:t>
            </w:r>
          </w:p>
        </w:tc>
      </w:tr>
      <w:tr w14:paraId="2AAF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3" w:type="pct"/>
            <w:vAlign w:val="center"/>
          </w:tcPr>
          <w:p w14:paraId="4FD8EBC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N4</w:t>
            </w:r>
          </w:p>
        </w:tc>
        <w:tc>
          <w:tcPr>
            <w:tcW w:w="1844" w:type="pct"/>
            <w:vAlign w:val="center"/>
          </w:tcPr>
          <w:p w14:paraId="4FDABB9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szCs w:val="22"/>
                <w:highlight w:val="none"/>
              </w:rPr>
              <w:t>厂界</w:t>
            </w:r>
            <w:r>
              <w:rPr>
                <w:rFonts w:hint="eastAsia" w:cs="Times New Roman"/>
                <w:color w:val="auto"/>
                <w:kern w:val="21"/>
                <w:sz w:val="21"/>
                <w:szCs w:val="22"/>
                <w:highlight w:val="none"/>
              </w:rPr>
              <w:t>东</w:t>
            </w:r>
            <w:r>
              <w:rPr>
                <w:rFonts w:cs="Times New Roman"/>
                <w:color w:val="auto"/>
                <w:kern w:val="21"/>
                <w:sz w:val="21"/>
                <w:szCs w:val="22"/>
                <w:highlight w:val="none"/>
              </w:rPr>
              <w:t>侧</w:t>
            </w:r>
          </w:p>
        </w:tc>
        <w:tc>
          <w:tcPr>
            <w:tcW w:w="1321" w:type="pct"/>
            <w:vMerge w:val="continue"/>
          </w:tcPr>
          <w:p w14:paraId="155B5877">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66" w:type="pct"/>
            <w:vMerge w:val="continue"/>
          </w:tcPr>
          <w:p w14:paraId="6C5D8114">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54" w:type="pct"/>
            <w:vAlign w:val="center"/>
          </w:tcPr>
          <w:p w14:paraId="5A2DD0C7">
            <w:pPr>
              <w:tabs>
                <w:tab w:val="left" w:pos="2130"/>
              </w:tabs>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现状值</w:t>
            </w:r>
          </w:p>
        </w:tc>
      </w:tr>
    </w:tbl>
    <w:p w14:paraId="223D9806">
      <w:pPr>
        <w:adjustRightInd w:val="0"/>
        <w:ind w:firstLine="482"/>
        <w:rPr>
          <w:rFonts w:cs="Times New Roman"/>
          <w:b/>
          <w:bCs/>
          <w:color w:val="auto"/>
          <w:highlight w:val="none"/>
        </w:rPr>
      </w:pPr>
      <w:r>
        <w:rPr>
          <w:rFonts w:cs="Times New Roman"/>
          <w:b/>
          <w:bCs/>
          <w:color w:val="auto"/>
          <w:highlight w:val="none"/>
        </w:rPr>
        <w:t>二、评价标准</w:t>
      </w:r>
    </w:p>
    <w:p w14:paraId="2FFDD434">
      <w:pPr>
        <w:adjustRightInd w:val="0"/>
        <w:ind w:firstLine="480"/>
        <w:rPr>
          <w:rFonts w:cs="Times New Roman"/>
          <w:color w:val="auto"/>
          <w:highlight w:val="none"/>
        </w:rPr>
      </w:pPr>
      <w:r>
        <w:rPr>
          <w:rFonts w:cs="Times New Roman"/>
          <w:color w:val="auto"/>
          <w:highlight w:val="none"/>
        </w:rPr>
        <w:t>N1、N2、N3、N4执行《声环境质量标准》（GB3096-2008）3类标准。</w:t>
      </w:r>
    </w:p>
    <w:p w14:paraId="37C2A74F">
      <w:pPr>
        <w:adjustRightInd w:val="0"/>
        <w:ind w:firstLine="482"/>
        <w:rPr>
          <w:rFonts w:cs="Times New Roman"/>
          <w:b/>
          <w:bCs/>
          <w:color w:val="auto"/>
          <w:highlight w:val="none"/>
        </w:rPr>
      </w:pPr>
      <w:r>
        <w:rPr>
          <w:rFonts w:cs="Times New Roman"/>
          <w:b/>
          <w:bCs/>
          <w:color w:val="auto"/>
          <w:highlight w:val="none"/>
        </w:rPr>
        <w:t>三、监测结果</w:t>
      </w:r>
    </w:p>
    <w:p w14:paraId="41994210">
      <w:pPr>
        <w:adjustRightInd w:val="0"/>
        <w:ind w:firstLine="480"/>
        <w:rPr>
          <w:rFonts w:cs="Times New Roman"/>
          <w:color w:val="auto"/>
          <w:highlight w:val="none"/>
        </w:rPr>
      </w:pPr>
      <w:r>
        <w:rPr>
          <w:rFonts w:cs="Times New Roman"/>
          <w:color w:val="auto"/>
          <w:highlight w:val="none"/>
        </w:rPr>
        <w:t>本项目声环境质量现状监测结果见下表。</w:t>
      </w:r>
    </w:p>
    <w:p w14:paraId="2F883AC7">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声环境质量监测结果单位：dB（A）</w:t>
      </w:r>
    </w:p>
    <w:tbl>
      <w:tblPr>
        <w:tblStyle w:val="31"/>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614"/>
        <w:gridCol w:w="1614"/>
        <w:gridCol w:w="1937"/>
        <w:gridCol w:w="971"/>
        <w:gridCol w:w="973"/>
        <w:gridCol w:w="971"/>
        <w:gridCol w:w="975"/>
      </w:tblGrid>
      <w:tr w14:paraId="2B390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blHeader/>
          <w:jc w:val="center"/>
        </w:trPr>
        <w:tc>
          <w:tcPr>
            <w:tcW w:w="891"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1843AB67">
            <w:pPr>
              <w:pStyle w:val="69"/>
              <w:spacing w:before="62" w:after="62"/>
              <w:rPr>
                <w:rFonts w:cs="Times New Roman"/>
                <w:b/>
                <w:bCs w:val="0"/>
                <w:color w:val="auto"/>
                <w:highlight w:val="none"/>
              </w:rPr>
            </w:pPr>
            <w:r>
              <w:rPr>
                <w:rFonts w:cs="Times New Roman"/>
                <w:b/>
                <w:bCs w:val="0"/>
                <w:color w:val="auto"/>
                <w:highlight w:val="none"/>
              </w:rPr>
              <w:t>监测项目</w:t>
            </w:r>
          </w:p>
        </w:tc>
        <w:tc>
          <w:tcPr>
            <w:tcW w:w="89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713505A">
            <w:pPr>
              <w:pStyle w:val="69"/>
              <w:spacing w:before="62" w:after="62"/>
              <w:rPr>
                <w:rFonts w:cs="Times New Roman"/>
                <w:b/>
                <w:bCs w:val="0"/>
                <w:color w:val="auto"/>
                <w:highlight w:val="none"/>
              </w:rPr>
            </w:pPr>
            <w:r>
              <w:rPr>
                <w:rFonts w:cs="Times New Roman"/>
                <w:b/>
                <w:bCs w:val="0"/>
                <w:color w:val="auto"/>
                <w:highlight w:val="none"/>
              </w:rPr>
              <w:t>监测日期</w:t>
            </w:r>
          </w:p>
        </w:tc>
        <w:tc>
          <w:tcPr>
            <w:tcW w:w="1069"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FE86E7">
            <w:pPr>
              <w:pStyle w:val="69"/>
              <w:spacing w:before="62" w:after="62"/>
              <w:rPr>
                <w:rFonts w:cs="Times New Roman"/>
                <w:b/>
                <w:bCs w:val="0"/>
                <w:color w:val="auto"/>
                <w:highlight w:val="none"/>
              </w:rPr>
            </w:pPr>
            <w:r>
              <w:rPr>
                <w:rFonts w:cs="Times New Roman"/>
                <w:b/>
                <w:bCs w:val="0"/>
                <w:color w:val="auto"/>
                <w:highlight w:val="none"/>
              </w:rPr>
              <w:t>监测点编号</w:t>
            </w:r>
          </w:p>
        </w:tc>
        <w:tc>
          <w:tcPr>
            <w:tcW w:w="1073"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18A2FA6">
            <w:pPr>
              <w:pStyle w:val="69"/>
              <w:spacing w:before="62" w:after="62"/>
              <w:rPr>
                <w:rFonts w:cs="Times New Roman"/>
                <w:b/>
                <w:bCs w:val="0"/>
                <w:color w:val="auto"/>
                <w:highlight w:val="none"/>
              </w:rPr>
            </w:pPr>
            <w:r>
              <w:rPr>
                <w:rFonts w:cs="Times New Roman"/>
                <w:b/>
                <w:bCs w:val="0"/>
                <w:color w:val="auto"/>
                <w:highlight w:val="none"/>
              </w:rPr>
              <w:t>监测结果</w:t>
            </w:r>
          </w:p>
        </w:tc>
        <w:tc>
          <w:tcPr>
            <w:tcW w:w="1074" w:type="pct"/>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D52C414">
            <w:pPr>
              <w:pStyle w:val="69"/>
              <w:spacing w:before="62" w:after="62"/>
              <w:rPr>
                <w:rFonts w:cs="Times New Roman"/>
                <w:b/>
                <w:bCs w:val="0"/>
                <w:color w:val="auto"/>
                <w:highlight w:val="none"/>
              </w:rPr>
            </w:pPr>
            <w:r>
              <w:rPr>
                <w:rFonts w:cs="Times New Roman"/>
                <w:b/>
                <w:bCs w:val="0"/>
                <w:color w:val="auto"/>
                <w:highlight w:val="none"/>
              </w:rPr>
              <w:t>标准限值</w:t>
            </w:r>
          </w:p>
        </w:tc>
      </w:tr>
      <w:tr w14:paraId="4D0F80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tblHeader/>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9EE328">
            <w:pPr>
              <w:pStyle w:val="69"/>
              <w:spacing w:before="62" w:after="62"/>
              <w:rPr>
                <w:rFonts w:cs="Times New Roman"/>
                <w:b/>
                <w:bCs w:val="0"/>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B7D3CC9">
            <w:pPr>
              <w:pStyle w:val="69"/>
              <w:spacing w:before="62" w:after="62"/>
              <w:rPr>
                <w:rFonts w:cs="Times New Roman"/>
                <w:b/>
                <w:bCs w:val="0"/>
                <w:color w:val="auto"/>
                <w:highlight w:val="none"/>
              </w:rPr>
            </w:pPr>
          </w:p>
        </w:tc>
        <w:tc>
          <w:tcPr>
            <w:tcW w:w="106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E91E142">
            <w:pPr>
              <w:pStyle w:val="69"/>
              <w:spacing w:before="62" w:after="62"/>
              <w:rPr>
                <w:rFonts w:cs="Times New Roman"/>
                <w:b/>
                <w:bCs w:val="0"/>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7B6CBC">
            <w:pPr>
              <w:pStyle w:val="69"/>
              <w:spacing w:before="62" w:after="62"/>
              <w:rPr>
                <w:rFonts w:cs="Times New Roman"/>
                <w:b/>
                <w:bCs w:val="0"/>
                <w:color w:val="auto"/>
                <w:highlight w:val="none"/>
              </w:rPr>
            </w:pPr>
            <w:r>
              <w:rPr>
                <w:rFonts w:cs="Times New Roman"/>
                <w:b/>
                <w:bCs w:val="0"/>
                <w:color w:val="auto"/>
                <w:highlight w:val="none"/>
              </w:rPr>
              <w:t>昼间</w:t>
            </w: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70DE9">
            <w:pPr>
              <w:pStyle w:val="69"/>
              <w:spacing w:before="62" w:after="62"/>
              <w:rPr>
                <w:rFonts w:cs="Times New Roman"/>
                <w:b/>
                <w:bCs w:val="0"/>
                <w:color w:val="auto"/>
                <w:highlight w:val="none"/>
              </w:rPr>
            </w:pPr>
            <w:r>
              <w:rPr>
                <w:rFonts w:cs="Times New Roman"/>
                <w:b/>
                <w:bCs w:val="0"/>
                <w:color w:val="auto"/>
                <w:highlight w:val="none"/>
              </w:rPr>
              <w:t>夜间</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D8487">
            <w:pPr>
              <w:pStyle w:val="69"/>
              <w:spacing w:before="62" w:after="62"/>
              <w:rPr>
                <w:rFonts w:cs="Times New Roman"/>
                <w:b/>
                <w:bCs w:val="0"/>
                <w:color w:val="auto"/>
                <w:highlight w:val="none"/>
              </w:rPr>
            </w:pPr>
            <w:r>
              <w:rPr>
                <w:rFonts w:cs="Times New Roman"/>
                <w:b/>
                <w:bCs w:val="0"/>
                <w:color w:val="auto"/>
                <w:highlight w:val="none"/>
              </w:rPr>
              <w:t>昼间</w:t>
            </w: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20390">
            <w:pPr>
              <w:pStyle w:val="69"/>
              <w:spacing w:before="62" w:after="62"/>
              <w:rPr>
                <w:rFonts w:cs="Times New Roman"/>
                <w:b/>
                <w:bCs w:val="0"/>
                <w:color w:val="auto"/>
                <w:highlight w:val="none"/>
              </w:rPr>
            </w:pPr>
            <w:r>
              <w:rPr>
                <w:rFonts w:cs="Times New Roman"/>
                <w:b/>
                <w:bCs w:val="0"/>
                <w:color w:val="auto"/>
                <w:highlight w:val="none"/>
              </w:rPr>
              <w:t>夜间</w:t>
            </w:r>
          </w:p>
        </w:tc>
      </w:tr>
      <w:tr w14:paraId="2C6325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D30214">
            <w:pPr>
              <w:pStyle w:val="69"/>
              <w:spacing w:before="62" w:after="62"/>
              <w:rPr>
                <w:rFonts w:cs="Times New Roman"/>
                <w:color w:val="auto"/>
                <w:highlight w:val="none"/>
              </w:rPr>
            </w:pPr>
            <w:r>
              <w:rPr>
                <w:rFonts w:cs="Times New Roman"/>
                <w:color w:val="auto"/>
                <w:highlight w:val="none"/>
              </w:rPr>
              <w:t>环境噪声</w:t>
            </w:r>
          </w:p>
        </w:tc>
        <w:tc>
          <w:tcPr>
            <w:tcW w:w="89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803B99E">
            <w:pPr>
              <w:pStyle w:val="69"/>
              <w:spacing w:before="62" w:after="62"/>
              <w:rPr>
                <w:rFonts w:cs="Times New Roman"/>
                <w:color w:val="auto"/>
                <w:highlight w:val="none"/>
              </w:rPr>
            </w:pPr>
            <w:r>
              <w:rPr>
                <w:rFonts w:cs="Times New Roman"/>
                <w:color w:val="auto"/>
                <w:highlight w:val="none"/>
              </w:rPr>
              <w:t>202</w:t>
            </w:r>
            <w:r>
              <w:rPr>
                <w:rFonts w:hint="eastAsia" w:cs="Times New Roman"/>
                <w:color w:val="auto"/>
                <w:highlight w:val="none"/>
              </w:rPr>
              <w:t>6</w:t>
            </w:r>
            <w:r>
              <w:rPr>
                <w:rFonts w:cs="Times New Roman"/>
                <w:color w:val="auto"/>
                <w:highlight w:val="none"/>
              </w:rPr>
              <w:t>.</w:t>
            </w:r>
            <w:r>
              <w:rPr>
                <w:rFonts w:hint="eastAsia" w:cs="Times New Roman"/>
                <w:color w:val="auto"/>
                <w:highlight w:val="none"/>
              </w:rPr>
              <w:t>3</w:t>
            </w:r>
            <w:r>
              <w:rPr>
                <w:rFonts w:cs="Times New Roman"/>
                <w:color w:val="auto"/>
                <w:highlight w:val="none"/>
              </w:rPr>
              <w:t>.</w:t>
            </w:r>
            <w:r>
              <w:rPr>
                <w:rFonts w:hint="eastAsia" w:cs="Times New Roman"/>
                <w:color w:val="auto"/>
                <w:highlight w:val="none"/>
              </w:rPr>
              <w:t>8</w:t>
            </w: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F4C202">
            <w:pPr>
              <w:pStyle w:val="69"/>
              <w:spacing w:before="62" w:after="62"/>
              <w:rPr>
                <w:rFonts w:cs="Times New Roman"/>
                <w:color w:val="auto"/>
                <w:highlight w:val="none"/>
              </w:rPr>
            </w:pPr>
            <w:r>
              <w:rPr>
                <w:rFonts w:cs="Times New Roman"/>
                <w:color w:val="auto"/>
                <w:highlight w:val="none"/>
              </w:rPr>
              <w:t>N1</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C397E0">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63B5A">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3FB068">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5F4EE9">
            <w:pPr>
              <w:pStyle w:val="69"/>
              <w:spacing w:before="62" w:after="62"/>
              <w:rPr>
                <w:rFonts w:cs="Times New Roman"/>
                <w:color w:val="auto"/>
                <w:highlight w:val="none"/>
              </w:rPr>
            </w:pPr>
          </w:p>
        </w:tc>
      </w:tr>
      <w:tr w14:paraId="2C7A92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299C618">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51747E">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EEBD4C">
            <w:pPr>
              <w:pStyle w:val="69"/>
              <w:spacing w:before="62" w:after="62"/>
              <w:rPr>
                <w:rFonts w:cs="Times New Roman"/>
                <w:color w:val="auto"/>
                <w:highlight w:val="none"/>
              </w:rPr>
            </w:pPr>
            <w:r>
              <w:rPr>
                <w:rFonts w:cs="Times New Roman"/>
                <w:color w:val="auto"/>
                <w:highlight w:val="none"/>
              </w:rPr>
              <w:t>N2</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0D6F1">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A29638">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9C4CC">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AFB9DF">
            <w:pPr>
              <w:pStyle w:val="69"/>
              <w:spacing w:before="62" w:after="62"/>
              <w:rPr>
                <w:rFonts w:cs="Times New Roman"/>
                <w:color w:val="auto"/>
                <w:highlight w:val="none"/>
              </w:rPr>
            </w:pPr>
          </w:p>
        </w:tc>
      </w:tr>
      <w:tr w14:paraId="7F679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47A7D5">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FE9981">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3BEE8">
            <w:pPr>
              <w:pStyle w:val="69"/>
              <w:spacing w:before="62" w:after="62"/>
              <w:rPr>
                <w:rFonts w:cs="Times New Roman"/>
                <w:color w:val="auto"/>
                <w:highlight w:val="none"/>
              </w:rPr>
            </w:pPr>
            <w:r>
              <w:rPr>
                <w:rFonts w:cs="Times New Roman"/>
                <w:color w:val="auto"/>
                <w:highlight w:val="none"/>
              </w:rPr>
              <w:t>N3</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FAA57">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C6A032">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FCA123">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EA908">
            <w:pPr>
              <w:pStyle w:val="69"/>
              <w:spacing w:before="62" w:after="62"/>
              <w:rPr>
                <w:rFonts w:cs="Times New Roman"/>
                <w:color w:val="auto"/>
                <w:highlight w:val="none"/>
              </w:rPr>
            </w:pPr>
          </w:p>
        </w:tc>
      </w:tr>
      <w:tr w14:paraId="78065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4575B17">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4E4BE8">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C2F937">
            <w:pPr>
              <w:pStyle w:val="69"/>
              <w:spacing w:before="62" w:after="62"/>
              <w:rPr>
                <w:rFonts w:cs="Times New Roman"/>
                <w:color w:val="auto"/>
                <w:highlight w:val="none"/>
              </w:rPr>
            </w:pPr>
            <w:r>
              <w:rPr>
                <w:rFonts w:cs="Times New Roman"/>
                <w:color w:val="auto"/>
                <w:highlight w:val="none"/>
              </w:rPr>
              <w:t>N4</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FAF70">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5A2A36">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12413F">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DC975">
            <w:pPr>
              <w:pStyle w:val="69"/>
              <w:spacing w:before="62" w:after="62"/>
              <w:rPr>
                <w:rFonts w:cs="Times New Roman"/>
                <w:color w:val="auto"/>
                <w:highlight w:val="none"/>
              </w:rPr>
            </w:pPr>
          </w:p>
        </w:tc>
      </w:tr>
      <w:tr w14:paraId="5B42FA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4AB416">
            <w:pPr>
              <w:pStyle w:val="69"/>
              <w:spacing w:before="62" w:after="62"/>
              <w:rPr>
                <w:rFonts w:cs="Times New Roman"/>
                <w:color w:val="auto"/>
                <w:highlight w:val="none"/>
              </w:rPr>
            </w:pPr>
          </w:p>
        </w:tc>
        <w:tc>
          <w:tcPr>
            <w:tcW w:w="89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DEB8064">
            <w:pPr>
              <w:pStyle w:val="69"/>
              <w:spacing w:before="62" w:after="62"/>
              <w:rPr>
                <w:rFonts w:cs="Times New Roman"/>
                <w:color w:val="auto"/>
                <w:highlight w:val="none"/>
              </w:rPr>
            </w:pPr>
            <w:r>
              <w:rPr>
                <w:rFonts w:cs="Times New Roman"/>
                <w:color w:val="auto"/>
                <w:highlight w:val="none"/>
              </w:rPr>
              <w:t>202</w:t>
            </w:r>
            <w:r>
              <w:rPr>
                <w:rFonts w:hint="eastAsia" w:cs="Times New Roman"/>
                <w:color w:val="auto"/>
                <w:highlight w:val="none"/>
              </w:rPr>
              <w:t>6</w:t>
            </w:r>
            <w:r>
              <w:rPr>
                <w:rFonts w:cs="Times New Roman"/>
                <w:color w:val="auto"/>
                <w:highlight w:val="none"/>
              </w:rPr>
              <w:t>.</w:t>
            </w:r>
            <w:r>
              <w:rPr>
                <w:rFonts w:hint="eastAsia" w:cs="Times New Roman"/>
                <w:color w:val="auto"/>
                <w:highlight w:val="none"/>
              </w:rPr>
              <w:t>3</w:t>
            </w:r>
            <w:r>
              <w:rPr>
                <w:rFonts w:cs="Times New Roman"/>
                <w:color w:val="auto"/>
                <w:highlight w:val="none"/>
              </w:rPr>
              <w:t>.</w:t>
            </w:r>
            <w:r>
              <w:rPr>
                <w:rFonts w:hint="eastAsia" w:cs="Times New Roman"/>
                <w:color w:val="auto"/>
                <w:highlight w:val="none"/>
              </w:rPr>
              <w:t>9</w:t>
            </w: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95259">
            <w:pPr>
              <w:pStyle w:val="69"/>
              <w:spacing w:before="62" w:after="62"/>
              <w:rPr>
                <w:rFonts w:cs="Times New Roman"/>
                <w:color w:val="auto"/>
                <w:highlight w:val="none"/>
              </w:rPr>
            </w:pPr>
            <w:r>
              <w:rPr>
                <w:rFonts w:cs="Times New Roman"/>
                <w:color w:val="auto"/>
                <w:highlight w:val="none"/>
              </w:rPr>
              <w:t>N1</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C8E7E4">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4DB37">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A8819">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40CFC">
            <w:pPr>
              <w:pStyle w:val="69"/>
              <w:spacing w:before="62" w:after="62"/>
              <w:rPr>
                <w:rFonts w:cs="Times New Roman"/>
                <w:color w:val="auto"/>
                <w:highlight w:val="none"/>
              </w:rPr>
            </w:pPr>
          </w:p>
        </w:tc>
      </w:tr>
      <w:tr w14:paraId="0BCE80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3941A92">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CC10DB">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AF75C7">
            <w:pPr>
              <w:pStyle w:val="69"/>
              <w:spacing w:before="62" w:after="62"/>
              <w:rPr>
                <w:rFonts w:cs="Times New Roman"/>
                <w:color w:val="auto"/>
                <w:highlight w:val="none"/>
              </w:rPr>
            </w:pPr>
            <w:r>
              <w:rPr>
                <w:rFonts w:cs="Times New Roman"/>
                <w:color w:val="auto"/>
                <w:highlight w:val="none"/>
              </w:rPr>
              <w:t>N2</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6336E">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FB829">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B8D563">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EFE4C">
            <w:pPr>
              <w:pStyle w:val="69"/>
              <w:spacing w:before="62" w:after="62"/>
              <w:rPr>
                <w:rFonts w:cs="Times New Roman"/>
                <w:color w:val="auto"/>
                <w:highlight w:val="none"/>
              </w:rPr>
            </w:pPr>
          </w:p>
        </w:tc>
      </w:tr>
      <w:tr w14:paraId="6B4B8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C22A9A0">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D21D8B">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C41CBD">
            <w:pPr>
              <w:pStyle w:val="69"/>
              <w:spacing w:before="62" w:after="62"/>
              <w:rPr>
                <w:rFonts w:cs="Times New Roman"/>
                <w:color w:val="auto"/>
                <w:highlight w:val="none"/>
              </w:rPr>
            </w:pPr>
            <w:r>
              <w:rPr>
                <w:rFonts w:cs="Times New Roman"/>
                <w:color w:val="auto"/>
                <w:highlight w:val="none"/>
              </w:rPr>
              <w:t>N3</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F3DD3">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43A637">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4C484C">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E6DEA">
            <w:pPr>
              <w:pStyle w:val="69"/>
              <w:spacing w:before="62" w:after="62"/>
              <w:rPr>
                <w:rFonts w:cs="Times New Roman"/>
                <w:color w:val="auto"/>
                <w:highlight w:val="none"/>
              </w:rPr>
            </w:pPr>
          </w:p>
        </w:tc>
      </w:tr>
      <w:tr w14:paraId="3D6CD4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 w:hRule="atLeast"/>
          <w:jc w:val="center"/>
        </w:trPr>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CD9D8E3">
            <w:pPr>
              <w:pStyle w:val="69"/>
              <w:spacing w:before="62" w:after="62"/>
              <w:rPr>
                <w:rFonts w:cs="Times New Roman"/>
                <w:color w:val="auto"/>
                <w:highlight w:val="none"/>
              </w:rPr>
            </w:pPr>
          </w:p>
        </w:tc>
        <w:tc>
          <w:tcPr>
            <w:tcW w:w="89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C6255B4">
            <w:pPr>
              <w:pStyle w:val="69"/>
              <w:spacing w:before="62" w:after="62"/>
              <w:rPr>
                <w:rFonts w:cs="Times New Roman"/>
                <w:color w:val="auto"/>
                <w:highlight w:val="none"/>
              </w:rPr>
            </w:pPr>
          </w:p>
        </w:tc>
        <w:tc>
          <w:tcPr>
            <w:tcW w:w="106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7EC10B">
            <w:pPr>
              <w:pStyle w:val="69"/>
              <w:spacing w:before="62" w:after="62"/>
              <w:rPr>
                <w:rFonts w:cs="Times New Roman"/>
                <w:color w:val="auto"/>
                <w:highlight w:val="none"/>
              </w:rPr>
            </w:pPr>
            <w:r>
              <w:rPr>
                <w:rFonts w:cs="Times New Roman"/>
                <w:color w:val="auto"/>
                <w:highlight w:val="none"/>
              </w:rPr>
              <w:t>N4</w:t>
            </w: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C096FD">
            <w:pPr>
              <w:pStyle w:val="69"/>
              <w:spacing w:before="62" w:after="62"/>
              <w:rPr>
                <w:rFonts w:cs="Times New Roman"/>
                <w:color w:val="auto"/>
                <w:highlight w:val="none"/>
              </w:rPr>
            </w:pPr>
          </w:p>
        </w:tc>
        <w:tc>
          <w:tcPr>
            <w:tcW w:w="53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6D5981">
            <w:pPr>
              <w:pStyle w:val="69"/>
              <w:spacing w:before="62" w:after="62"/>
              <w:rPr>
                <w:rFonts w:cs="Times New Roman"/>
                <w:color w:val="auto"/>
                <w:highlight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F6B6D">
            <w:pPr>
              <w:pStyle w:val="69"/>
              <w:spacing w:before="62" w:after="62"/>
              <w:rPr>
                <w:rFonts w:cs="Times New Roman"/>
                <w:color w:val="auto"/>
                <w:highlight w:val="none"/>
              </w:rPr>
            </w:pPr>
          </w:p>
        </w:tc>
        <w:tc>
          <w:tcPr>
            <w:tcW w:w="53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990BF7">
            <w:pPr>
              <w:pStyle w:val="69"/>
              <w:spacing w:before="62" w:after="62"/>
              <w:rPr>
                <w:rFonts w:cs="Times New Roman"/>
                <w:color w:val="auto"/>
                <w:highlight w:val="none"/>
              </w:rPr>
            </w:pPr>
          </w:p>
        </w:tc>
      </w:tr>
    </w:tbl>
    <w:p w14:paraId="1325EC6C">
      <w:pPr>
        <w:adjustRightInd w:val="0"/>
        <w:ind w:firstLine="480"/>
        <w:rPr>
          <w:color w:val="auto"/>
          <w:highlight w:val="none"/>
        </w:rPr>
      </w:pPr>
      <w:r>
        <w:rPr>
          <w:color w:val="auto"/>
          <w:highlight w:val="none"/>
        </w:rPr>
        <w:t>由上表可知，本项目厂界噪声监测点噪声值均满足《声环境质量标准》（GB3096-2008）中3类标准要求，区域环境质量良好。</w:t>
      </w:r>
    </w:p>
    <w:p w14:paraId="30EBAD19">
      <w:pPr>
        <w:pStyle w:val="4"/>
        <w:rPr>
          <w:color w:val="auto"/>
          <w:highlight w:val="none"/>
        </w:rPr>
      </w:pPr>
      <w:bookmarkStart w:id="156" w:name="_Toc26064"/>
      <w:bookmarkStart w:id="157" w:name="_Toc14005"/>
      <w:bookmarkStart w:id="158" w:name="_Toc11972"/>
      <w:r>
        <w:rPr>
          <w:color w:val="auto"/>
          <w:highlight w:val="none"/>
        </w:rPr>
        <w:t>地下水环境质量现状与评价</w:t>
      </w:r>
      <w:bookmarkEnd w:id="156"/>
      <w:bookmarkEnd w:id="157"/>
      <w:bookmarkEnd w:id="158"/>
    </w:p>
    <w:p w14:paraId="5C5C64F5">
      <w:pPr>
        <w:pStyle w:val="5"/>
        <w:rPr>
          <w:color w:val="auto"/>
          <w:highlight w:val="none"/>
          <w:lang w:val="zh-CN"/>
        </w:rPr>
      </w:pPr>
      <w:r>
        <w:rPr>
          <w:rFonts w:hint="eastAsia"/>
          <w:color w:val="auto"/>
          <w:highlight w:val="none"/>
          <w:lang w:val="zh-CN"/>
        </w:rPr>
        <w:t>水文地质条件调查</w:t>
      </w:r>
    </w:p>
    <w:p w14:paraId="5F99F2C7">
      <w:pPr>
        <w:ind w:firstLine="480"/>
        <w:rPr>
          <w:color w:val="auto"/>
          <w:highlight w:val="none"/>
        </w:rPr>
      </w:pPr>
      <w:r>
        <w:rPr>
          <w:rFonts w:hint="eastAsia"/>
          <w:color w:val="auto"/>
          <w:highlight w:val="none"/>
        </w:rPr>
        <w:t>（一）地形地貌</w:t>
      </w:r>
    </w:p>
    <w:p w14:paraId="3003AC16">
      <w:pPr>
        <w:adjustRightInd w:val="0"/>
        <w:ind w:firstLine="480"/>
        <w:rPr>
          <w:color w:val="auto"/>
          <w:highlight w:val="none"/>
        </w:rPr>
      </w:pPr>
      <w:r>
        <w:rPr>
          <w:color w:val="auto"/>
          <w:highlight w:val="none"/>
        </w:rPr>
        <w:t>场地地形地貌属大渡河右岸Ⅰ级阶地，属侵蚀堆积类型，人工回填及冲洪积堆积成因。因原厂区及工业园区的建设，场地已经回填，部分地段地面已经硬化。地形相对较平坦开阔，经实地测放，钻孔孔口标高约385.50～386.75m，相对高差1.25m。</w:t>
      </w:r>
    </w:p>
    <w:p w14:paraId="17EDA222">
      <w:pPr>
        <w:ind w:firstLine="480"/>
        <w:rPr>
          <w:color w:val="auto"/>
          <w:highlight w:val="none"/>
        </w:rPr>
      </w:pPr>
      <w:r>
        <w:rPr>
          <w:rFonts w:hint="eastAsia"/>
          <w:color w:val="auto"/>
          <w:highlight w:val="none"/>
        </w:rPr>
        <w:t>（二）地层岩性</w:t>
      </w:r>
    </w:p>
    <w:p w14:paraId="1271B989">
      <w:pPr>
        <w:adjustRightInd w:val="0"/>
        <w:ind w:firstLine="472" w:firstLineChars="0"/>
        <w:rPr>
          <w:rFonts w:cs="Times New Roman"/>
          <w:color w:val="auto"/>
          <w:szCs w:val="24"/>
          <w:highlight w:val="none"/>
        </w:rPr>
      </w:pPr>
      <w:bookmarkStart w:id="159" w:name="_Toc157826337"/>
      <w:r>
        <w:rPr>
          <w:rFonts w:cs="Times New Roman"/>
          <w:color w:val="auto"/>
          <w:szCs w:val="24"/>
          <w:highlight w:val="none"/>
        </w:rPr>
        <w:t>根据</w:t>
      </w:r>
      <w:r>
        <w:rPr>
          <w:rFonts w:hint="eastAsia" w:cs="Times New Roman"/>
          <w:color w:val="auto"/>
          <w:szCs w:val="24"/>
          <w:highlight w:val="none"/>
        </w:rPr>
        <w:t>《沙湾区新建50万吨锂矿加工综合利用项目岩土工程勘察报告（详细勘察）》</w:t>
      </w:r>
      <w:r>
        <w:rPr>
          <w:rFonts w:cs="Times New Roman"/>
          <w:color w:val="auto"/>
          <w:szCs w:val="24"/>
          <w:highlight w:val="none"/>
        </w:rPr>
        <w:t>，场地表层</w:t>
      </w:r>
      <w:r>
        <w:rPr>
          <w:rFonts w:cs="Times New Roman"/>
          <w:color w:val="auto"/>
          <w:szCs w:val="24"/>
          <w:highlight w:val="none"/>
          <w:lang w:val="zh-CN"/>
        </w:rPr>
        <w:t>覆盖</w:t>
      </w:r>
      <w:r>
        <w:rPr>
          <w:rFonts w:cs="Times New Roman"/>
          <w:snapToGrid w:val="0"/>
          <w:color w:val="auto"/>
          <w:spacing w:val="-2"/>
          <w:szCs w:val="24"/>
          <w:highlight w:val="none"/>
        </w:rPr>
        <w:t>第四系全新统人工填土层</w:t>
      </w:r>
      <w:r>
        <w:rPr>
          <w:rFonts w:cs="Times New Roman"/>
          <w:snapToGrid w:val="0"/>
          <w:color w:val="auto"/>
          <w:spacing w:val="-2"/>
          <w:szCs w:val="22"/>
          <w:highlight w:val="none"/>
        </w:rPr>
        <w:t>素填土</w:t>
      </w:r>
      <w:r>
        <w:rPr>
          <w:rFonts w:cs="Times New Roman"/>
          <w:snapToGrid w:val="0"/>
          <w:color w:val="auto"/>
          <w:spacing w:val="-2"/>
          <w:szCs w:val="24"/>
          <w:highlight w:val="none"/>
        </w:rPr>
        <w:t>（Q</w:t>
      </w:r>
      <w:r>
        <w:rPr>
          <w:rFonts w:cs="Times New Roman"/>
          <w:snapToGrid w:val="0"/>
          <w:color w:val="auto"/>
          <w:spacing w:val="-2"/>
          <w:szCs w:val="24"/>
          <w:highlight w:val="none"/>
          <w:vertAlign w:val="subscript"/>
        </w:rPr>
        <w:t>4</w:t>
      </w:r>
      <w:r>
        <w:rPr>
          <w:rFonts w:cs="Times New Roman"/>
          <w:i/>
          <w:snapToGrid w:val="0"/>
          <w:color w:val="auto"/>
          <w:spacing w:val="-2"/>
          <w:szCs w:val="24"/>
          <w:highlight w:val="none"/>
          <w:vertAlign w:val="superscript"/>
        </w:rPr>
        <w:t>ml</w:t>
      </w:r>
      <w:r>
        <w:rPr>
          <w:rFonts w:cs="Times New Roman"/>
          <w:snapToGrid w:val="0"/>
          <w:color w:val="auto"/>
          <w:spacing w:val="-2"/>
          <w:szCs w:val="24"/>
          <w:highlight w:val="none"/>
        </w:rPr>
        <w:t>），</w:t>
      </w:r>
      <w:r>
        <w:rPr>
          <w:rFonts w:cs="Times New Roman"/>
          <w:color w:val="auto"/>
          <w:szCs w:val="22"/>
          <w:highlight w:val="none"/>
        </w:rPr>
        <w:t>第四系全新统冲洪积堆积层粉质黏土</w:t>
      </w:r>
      <w:r>
        <w:rPr>
          <w:rFonts w:cs="Times New Roman"/>
          <w:color w:val="auto"/>
          <w:szCs w:val="24"/>
          <w:highlight w:val="none"/>
        </w:rPr>
        <w:t>及卵石土（</w:t>
      </w:r>
      <w:r>
        <w:rPr>
          <w:rFonts w:cs="Times New Roman"/>
          <w:color w:val="auto"/>
          <w:kern w:val="10"/>
          <w:szCs w:val="24"/>
          <w:highlight w:val="none"/>
        </w:rPr>
        <w:t>Q</w:t>
      </w:r>
      <w:r>
        <w:rPr>
          <w:rFonts w:cs="Times New Roman"/>
          <w:color w:val="auto"/>
          <w:kern w:val="10"/>
          <w:szCs w:val="24"/>
          <w:highlight w:val="none"/>
          <w:vertAlign w:val="subscript"/>
        </w:rPr>
        <w:t>4</w:t>
      </w:r>
      <w:r>
        <w:rPr>
          <w:rFonts w:cs="Times New Roman"/>
          <w:iCs/>
          <w:color w:val="auto"/>
          <w:kern w:val="10"/>
          <w:szCs w:val="24"/>
          <w:highlight w:val="none"/>
          <w:vertAlign w:val="superscript"/>
        </w:rPr>
        <w:t>al+pl</w:t>
      </w:r>
      <w:r>
        <w:rPr>
          <w:rFonts w:cs="Times New Roman"/>
          <w:color w:val="auto"/>
          <w:szCs w:val="24"/>
          <w:highlight w:val="none"/>
        </w:rPr>
        <w:t>），共分为三层，岩土特征自上而下简述如下：</w:t>
      </w:r>
    </w:p>
    <w:p w14:paraId="2FE785AD">
      <w:pPr>
        <w:adjustRightInd w:val="0"/>
        <w:ind w:firstLine="474"/>
        <w:jc w:val="left"/>
        <w:rPr>
          <w:rFonts w:cs="Times New Roman"/>
          <w:b/>
          <w:bCs/>
          <w:snapToGrid w:val="0"/>
          <w:color w:val="auto"/>
          <w:szCs w:val="24"/>
          <w:highlight w:val="none"/>
        </w:rPr>
      </w:pPr>
      <w:r>
        <w:rPr>
          <w:rFonts w:hint="eastAsia" w:cs="Times New Roman"/>
          <w:b/>
          <w:bCs/>
          <w:snapToGrid w:val="0"/>
          <w:color w:val="auto"/>
          <w:spacing w:val="-2"/>
          <w:szCs w:val="24"/>
          <w:highlight w:val="none"/>
        </w:rPr>
        <w:t>（1）</w:t>
      </w:r>
      <w:r>
        <w:rPr>
          <w:rFonts w:cs="Times New Roman"/>
          <w:b/>
          <w:bCs/>
          <w:snapToGrid w:val="0"/>
          <w:color w:val="auto"/>
          <w:spacing w:val="-2"/>
          <w:szCs w:val="24"/>
          <w:highlight w:val="none"/>
        </w:rPr>
        <w:t>第四系全新统</w:t>
      </w:r>
      <w:r>
        <w:rPr>
          <w:rFonts w:cs="Times New Roman"/>
          <w:b/>
          <w:bCs/>
          <w:snapToGrid w:val="0"/>
          <w:color w:val="auto"/>
          <w:spacing w:val="-2"/>
          <w:szCs w:val="22"/>
          <w:highlight w:val="none"/>
        </w:rPr>
        <w:t>人素填土</w:t>
      </w:r>
      <w:r>
        <w:rPr>
          <w:rFonts w:cs="Times New Roman"/>
          <w:b/>
          <w:bCs/>
          <w:snapToGrid w:val="0"/>
          <w:color w:val="auto"/>
          <w:spacing w:val="-2"/>
          <w:szCs w:val="24"/>
          <w:highlight w:val="none"/>
        </w:rPr>
        <w:t>（Q</w:t>
      </w:r>
      <w:r>
        <w:rPr>
          <w:rFonts w:cs="Times New Roman"/>
          <w:b/>
          <w:bCs/>
          <w:snapToGrid w:val="0"/>
          <w:color w:val="auto"/>
          <w:spacing w:val="-2"/>
          <w:szCs w:val="24"/>
          <w:highlight w:val="none"/>
          <w:vertAlign w:val="subscript"/>
        </w:rPr>
        <w:t>4</w:t>
      </w:r>
      <w:r>
        <w:rPr>
          <w:rFonts w:cs="Times New Roman"/>
          <w:b/>
          <w:bCs/>
          <w:i/>
          <w:snapToGrid w:val="0"/>
          <w:color w:val="auto"/>
          <w:spacing w:val="-2"/>
          <w:szCs w:val="24"/>
          <w:highlight w:val="none"/>
          <w:vertAlign w:val="superscript"/>
        </w:rPr>
        <w:t>ml</w:t>
      </w:r>
      <w:r>
        <w:rPr>
          <w:rFonts w:cs="Times New Roman"/>
          <w:b/>
          <w:bCs/>
          <w:snapToGrid w:val="0"/>
          <w:color w:val="auto"/>
          <w:spacing w:val="-2"/>
          <w:szCs w:val="24"/>
          <w:highlight w:val="none"/>
        </w:rPr>
        <w:t>）</w:t>
      </w:r>
    </w:p>
    <w:p w14:paraId="60000D92">
      <w:pPr>
        <w:autoSpaceDE w:val="0"/>
        <w:autoSpaceDN w:val="0"/>
        <w:adjustRightInd w:val="0"/>
        <w:ind w:firstLine="590" w:firstLineChars="245"/>
        <w:rPr>
          <w:rFonts w:cs="Times New Roman"/>
          <w:b/>
          <w:bCs/>
          <w:color w:val="auto"/>
          <w:szCs w:val="24"/>
          <w:highlight w:val="none"/>
        </w:rPr>
      </w:pPr>
      <w:r>
        <w:rPr>
          <w:rFonts w:cs="Times New Roman"/>
          <w:b/>
          <w:bCs/>
          <w:color w:val="auto"/>
          <w:szCs w:val="24"/>
          <w:highlight w:val="none"/>
          <w:lang w:bidi="ar"/>
        </w:rPr>
        <w:t>①层：素填土（Q</w:t>
      </w:r>
      <w:r>
        <w:rPr>
          <w:rFonts w:cs="Times New Roman"/>
          <w:b/>
          <w:bCs/>
          <w:color w:val="auto"/>
          <w:szCs w:val="24"/>
          <w:highlight w:val="none"/>
          <w:vertAlign w:val="subscript"/>
          <w:lang w:bidi="ar"/>
        </w:rPr>
        <w:t>4</w:t>
      </w:r>
      <w:r>
        <w:rPr>
          <w:rFonts w:cs="Times New Roman"/>
          <w:b/>
          <w:bCs/>
          <w:color w:val="auto"/>
          <w:szCs w:val="24"/>
          <w:highlight w:val="none"/>
          <w:vertAlign w:val="superscript"/>
          <w:lang w:bidi="ar"/>
        </w:rPr>
        <w:t>ml</w:t>
      </w:r>
      <w:r>
        <w:rPr>
          <w:rFonts w:cs="Times New Roman"/>
          <w:b/>
          <w:bCs/>
          <w:color w:val="auto"/>
          <w:szCs w:val="24"/>
          <w:highlight w:val="none"/>
          <w:lang w:bidi="ar"/>
        </w:rPr>
        <w:t>）</w:t>
      </w:r>
    </w:p>
    <w:p w14:paraId="7D157E11">
      <w:pPr>
        <w:adjustRightInd w:val="0"/>
        <w:ind w:firstLine="480"/>
        <w:rPr>
          <w:rFonts w:cs="Times New Roman"/>
          <w:color w:val="auto"/>
          <w:szCs w:val="24"/>
          <w:highlight w:val="none"/>
          <w:lang w:bidi="ar"/>
        </w:rPr>
      </w:pPr>
      <w:r>
        <w:rPr>
          <w:rFonts w:cs="Times New Roman"/>
          <w:color w:val="auto"/>
          <w:szCs w:val="24"/>
          <w:highlight w:val="none"/>
          <w:lang w:bidi="ar"/>
        </w:rPr>
        <w:t>人工回填成因，全区分布。呈灰褐色，松散，稍湿，成分主要以</w:t>
      </w:r>
      <w:r>
        <w:rPr>
          <w:rFonts w:cs="Times New Roman"/>
          <w:snapToGrid w:val="0"/>
          <w:color w:val="auto"/>
          <w:spacing w:val="-2"/>
          <w:szCs w:val="24"/>
          <w:highlight w:val="none"/>
        </w:rPr>
        <w:t>卵石、粉质黏土为主，</w:t>
      </w:r>
      <w:r>
        <w:rPr>
          <w:rFonts w:cs="Times New Roman"/>
          <w:color w:val="auto"/>
          <w:szCs w:val="24"/>
          <w:highlight w:val="none"/>
          <w:lang w:bidi="ar"/>
        </w:rPr>
        <w:t>含少量的建筑垃圾。粗颗粒含量约25～35%，回填时间约6～10年。为原厂区及周边项目建设开挖的弃土自然堆积形成，未经碾压夯实，均匀性差，压缩性高，固结性差，无震陷、湿陷现象。固结历史属欠固结，结构性差。部分地段表层为厚度约0.25～0.40m的混凝土路面。超重型动力触探试验（N</w:t>
      </w:r>
      <w:r>
        <w:rPr>
          <w:rFonts w:cs="Times New Roman"/>
          <w:color w:val="auto"/>
          <w:szCs w:val="24"/>
          <w:highlight w:val="none"/>
          <w:vertAlign w:val="subscript"/>
          <w:lang w:bidi="ar"/>
        </w:rPr>
        <w:t>120</w:t>
      </w:r>
      <w:r>
        <w:rPr>
          <w:rFonts w:cs="Times New Roman"/>
          <w:color w:val="auto"/>
          <w:szCs w:val="24"/>
          <w:highlight w:val="none"/>
          <w:lang w:bidi="ar"/>
        </w:rPr>
        <w:t>）1～6击。</w:t>
      </w:r>
      <w:r>
        <w:rPr>
          <w:rFonts w:cs="Times New Roman"/>
          <w:color w:val="auto"/>
          <w:szCs w:val="24"/>
          <w:highlight w:val="none"/>
        </w:rPr>
        <w:t>岩芯采取率75%～90%，</w:t>
      </w:r>
      <w:r>
        <w:rPr>
          <w:rFonts w:cs="Times New Roman"/>
          <w:color w:val="auto"/>
          <w:szCs w:val="24"/>
          <w:highlight w:val="none"/>
          <w:lang w:bidi="ar"/>
        </w:rPr>
        <w:t>钻孔揭露厚度1.30～2.70m。</w:t>
      </w:r>
    </w:p>
    <w:p w14:paraId="3C923ED3">
      <w:pPr>
        <w:adjustRightInd w:val="0"/>
        <w:ind w:firstLine="474"/>
        <w:rPr>
          <w:rFonts w:cs="Times New Roman"/>
          <w:b/>
          <w:bCs/>
          <w:color w:val="auto"/>
          <w:szCs w:val="24"/>
          <w:highlight w:val="none"/>
          <w:lang w:bidi="ar"/>
        </w:rPr>
      </w:pPr>
      <w:r>
        <w:rPr>
          <w:rFonts w:hint="eastAsia" w:cs="Times New Roman"/>
          <w:b/>
          <w:bCs/>
          <w:snapToGrid w:val="0"/>
          <w:color w:val="auto"/>
          <w:spacing w:val="-2"/>
          <w:szCs w:val="24"/>
          <w:highlight w:val="none"/>
        </w:rPr>
        <w:t>（2）</w:t>
      </w:r>
      <w:r>
        <w:rPr>
          <w:rFonts w:cs="Times New Roman"/>
          <w:b/>
          <w:bCs/>
          <w:color w:val="auto"/>
          <w:szCs w:val="22"/>
          <w:highlight w:val="none"/>
        </w:rPr>
        <w:t>第四系全新统冲洪积堆积层</w:t>
      </w:r>
      <w:r>
        <w:rPr>
          <w:rFonts w:cs="Times New Roman"/>
          <w:b/>
          <w:bCs/>
          <w:color w:val="auto"/>
          <w:szCs w:val="24"/>
          <w:highlight w:val="none"/>
        </w:rPr>
        <w:t>（</w:t>
      </w:r>
      <w:r>
        <w:rPr>
          <w:rFonts w:cs="Times New Roman"/>
          <w:b/>
          <w:bCs/>
          <w:color w:val="auto"/>
          <w:kern w:val="10"/>
          <w:szCs w:val="24"/>
          <w:highlight w:val="none"/>
        </w:rPr>
        <w:t>Q</w:t>
      </w:r>
      <w:r>
        <w:rPr>
          <w:rFonts w:cs="Times New Roman"/>
          <w:b/>
          <w:bCs/>
          <w:color w:val="auto"/>
          <w:kern w:val="10"/>
          <w:szCs w:val="24"/>
          <w:highlight w:val="none"/>
          <w:vertAlign w:val="subscript"/>
        </w:rPr>
        <w:t>4</w:t>
      </w:r>
      <w:r>
        <w:rPr>
          <w:rFonts w:cs="Times New Roman"/>
          <w:b/>
          <w:bCs/>
          <w:iCs/>
          <w:color w:val="auto"/>
          <w:kern w:val="10"/>
          <w:szCs w:val="24"/>
          <w:highlight w:val="none"/>
          <w:vertAlign w:val="superscript"/>
        </w:rPr>
        <w:t>al+pl</w:t>
      </w:r>
      <w:r>
        <w:rPr>
          <w:rFonts w:cs="Times New Roman"/>
          <w:b/>
          <w:bCs/>
          <w:color w:val="auto"/>
          <w:szCs w:val="24"/>
          <w:highlight w:val="none"/>
        </w:rPr>
        <w:t>）</w:t>
      </w:r>
    </w:p>
    <w:p w14:paraId="5180E6D0">
      <w:pPr>
        <w:autoSpaceDE w:val="0"/>
        <w:autoSpaceDN w:val="0"/>
        <w:adjustRightInd w:val="0"/>
        <w:ind w:firstLine="590" w:firstLineChars="245"/>
        <w:rPr>
          <w:rFonts w:cs="Times New Roman"/>
          <w:b/>
          <w:bCs/>
          <w:color w:val="auto"/>
          <w:szCs w:val="28"/>
          <w:highlight w:val="none"/>
        </w:rPr>
      </w:pPr>
      <w:r>
        <w:rPr>
          <w:rFonts w:cs="Times New Roman"/>
          <w:b/>
          <w:bCs/>
          <w:color w:val="auto"/>
          <w:szCs w:val="28"/>
          <w:highlight w:val="none"/>
        </w:rPr>
        <w:t>②层：</w:t>
      </w:r>
      <w:r>
        <w:rPr>
          <w:rFonts w:hint="eastAsia" w:cs="Times New Roman"/>
          <w:b/>
          <w:bCs/>
          <w:color w:val="auto"/>
          <w:szCs w:val="28"/>
          <w:highlight w:val="none"/>
        </w:rPr>
        <w:t>粉质粘土</w:t>
      </w:r>
      <w:r>
        <w:rPr>
          <w:rFonts w:cs="Times New Roman"/>
          <w:b/>
          <w:bCs/>
          <w:color w:val="auto"/>
          <w:szCs w:val="24"/>
          <w:highlight w:val="none"/>
        </w:rPr>
        <w:t>（</w:t>
      </w:r>
      <w:r>
        <w:rPr>
          <w:rFonts w:cs="Times New Roman"/>
          <w:b/>
          <w:bCs/>
          <w:color w:val="auto"/>
          <w:kern w:val="10"/>
          <w:szCs w:val="24"/>
          <w:highlight w:val="none"/>
        </w:rPr>
        <w:t>Q</w:t>
      </w:r>
      <w:r>
        <w:rPr>
          <w:rFonts w:cs="Times New Roman"/>
          <w:b/>
          <w:bCs/>
          <w:color w:val="auto"/>
          <w:kern w:val="10"/>
          <w:szCs w:val="24"/>
          <w:highlight w:val="none"/>
          <w:vertAlign w:val="subscript"/>
        </w:rPr>
        <w:t>4</w:t>
      </w:r>
      <w:r>
        <w:rPr>
          <w:rFonts w:cs="Times New Roman"/>
          <w:b/>
          <w:bCs/>
          <w:iCs/>
          <w:color w:val="auto"/>
          <w:kern w:val="10"/>
          <w:szCs w:val="24"/>
          <w:highlight w:val="none"/>
          <w:vertAlign w:val="superscript"/>
        </w:rPr>
        <w:t>al+pl</w:t>
      </w:r>
      <w:r>
        <w:rPr>
          <w:rFonts w:cs="Times New Roman"/>
          <w:b/>
          <w:bCs/>
          <w:color w:val="auto"/>
          <w:szCs w:val="24"/>
          <w:highlight w:val="none"/>
        </w:rPr>
        <w:t>）</w:t>
      </w:r>
    </w:p>
    <w:p w14:paraId="5923A250">
      <w:pPr>
        <w:adjustRightInd w:val="0"/>
        <w:ind w:firstLine="480"/>
        <w:rPr>
          <w:rFonts w:cs="Times New Roman"/>
          <w:color w:val="auto"/>
          <w:szCs w:val="24"/>
          <w:highlight w:val="none"/>
        </w:rPr>
      </w:pPr>
      <w:r>
        <w:rPr>
          <w:rFonts w:cs="Times New Roman"/>
          <w:color w:val="auto"/>
          <w:szCs w:val="24"/>
          <w:highlight w:val="none"/>
        </w:rPr>
        <w:t>冲洪积堆积成因，大部分地段分布，局部地段缺失，呈灰褐色，可塑状，在湿条件下可搓成约2～3mm圆条，捻面有砂感，在湿条件下可搓成约2～3mm圆条，粘性、韧性中等，干强度中等，有光泽，</w:t>
      </w:r>
      <w:r>
        <w:rPr>
          <w:rFonts w:cs="Times New Roman"/>
          <w:color w:val="auto"/>
          <w:kern w:val="0"/>
          <w:szCs w:val="24"/>
          <w:highlight w:val="none"/>
          <w:lang w:bidi="ar"/>
        </w:rPr>
        <w:t>絮状结构为主，局部为蜂窝团聚结构，含黑灰色网脉，偶见铁锰质氧化物。</w:t>
      </w:r>
      <w:r>
        <w:rPr>
          <w:rFonts w:cs="Times New Roman"/>
          <w:color w:val="auto"/>
          <w:szCs w:val="24"/>
          <w:highlight w:val="none"/>
        </w:rPr>
        <w:t>岩芯采取率90%～100%，揭露厚度0.50～1.80m，顶板埋深1.30～2.30m，标高383.25～385.25m。标准贯入试验击数4～6击。</w:t>
      </w:r>
    </w:p>
    <w:p w14:paraId="4716AE5B">
      <w:pPr>
        <w:autoSpaceDE w:val="0"/>
        <w:autoSpaceDN w:val="0"/>
        <w:adjustRightInd w:val="0"/>
        <w:ind w:firstLine="560" w:firstLineChars="0"/>
        <w:rPr>
          <w:rFonts w:cs="Times New Roman"/>
          <w:color w:val="auto"/>
          <w:szCs w:val="24"/>
          <w:highlight w:val="none"/>
        </w:rPr>
      </w:pPr>
      <w:r>
        <w:rPr>
          <w:rFonts w:cs="Times New Roman"/>
          <w:color w:val="auto"/>
          <w:szCs w:val="24"/>
          <w:highlight w:val="none"/>
        </w:rPr>
        <w:t>据土工试验成果：天然含水率23.4～30.7%，天然密度1.80～1.97g/cm</w:t>
      </w:r>
      <w:r>
        <w:rPr>
          <w:rFonts w:cs="Times New Roman"/>
          <w:color w:val="auto"/>
          <w:szCs w:val="24"/>
          <w:highlight w:val="none"/>
          <w:vertAlign w:val="superscript"/>
        </w:rPr>
        <w:t>3</w:t>
      </w:r>
      <w:r>
        <w:rPr>
          <w:rFonts w:cs="Times New Roman"/>
          <w:color w:val="auto"/>
          <w:szCs w:val="24"/>
          <w:highlight w:val="none"/>
        </w:rPr>
        <w:t>，孔隙比0.723～0.908，液限29.0～35.1%，塑限17.1～20.8%，液性指数0.35～0.71，塑性指数10.3～15.3。</w:t>
      </w:r>
    </w:p>
    <w:p w14:paraId="4C2BA3FD">
      <w:pPr>
        <w:adjustRightInd w:val="0"/>
        <w:ind w:firstLine="471" w:firstLineChars="0"/>
        <w:rPr>
          <w:rFonts w:cs="Times New Roman"/>
          <w:b/>
          <w:bCs/>
          <w:color w:val="auto"/>
          <w:szCs w:val="24"/>
          <w:highlight w:val="none"/>
        </w:rPr>
      </w:pPr>
      <w:r>
        <w:rPr>
          <w:rFonts w:cs="Times New Roman"/>
          <w:b/>
          <w:bCs/>
          <w:color w:val="auto"/>
          <w:szCs w:val="28"/>
          <w:highlight w:val="none"/>
        </w:rPr>
        <w:t>③</w:t>
      </w:r>
      <w:r>
        <w:rPr>
          <w:rFonts w:cs="Times New Roman"/>
          <w:b/>
          <w:bCs/>
          <w:color w:val="auto"/>
          <w:szCs w:val="24"/>
          <w:highlight w:val="none"/>
        </w:rPr>
        <w:t>层：卵石（Q</w:t>
      </w:r>
      <w:r>
        <w:rPr>
          <w:rFonts w:cs="Times New Roman"/>
          <w:b/>
          <w:bCs/>
          <w:color w:val="auto"/>
          <w:szCs w:val="24"/>
          <w:highlight w:val="none"/>
          <w:vertAlign w:val="subscript"/>
        </w:rPr>
        <w:t>4</w:t>
      </w:r>
      <w:r>
        <w:rPr>
          <w:rFonts w:cs="Times New Roman"/>
          <w:b/>
          <w:bCs/>
          <w:iCs/>
          <w:color w:val="auto"/>
          <w:szCs w:val="24"/>
          <w:highlight w:val="none"/>
          <w:vertAlign w:val="superscript"/>
        </w:rPr>
        <w:t>al+pl</w:t>
      </w:r>
      <w:r>
        <w:rPr>
          <w:rFonts w:cs="Times New Roman"/>
          <w:b/>
          <w:bCs/>
          <w:color w:val="auto"/>
          <w:szCs w:val="24"/>
          <w:highlight w:val="none"/>
        </w:rPr>
        <w:t>）</w:t>
      </w:r>
    </w:p>
    <w:p w14:paraId="413EECF6">
      <w:pPr>
        <w:autoSpaceDE w:val="0"/>
        <w:autoSpaceDN w:val="0"/>
        <w:adjustRightInd w:val="0"/>
        <w:ind w:firstLine="480"/>
        <w:rPr>
          <w:rFonts w:cs="Times New Roman"/>
          <w:color w:val="auto"/>
          <w:szCs w:val="24"/>
          <w:highlight w:val="none"/>
        </w:rPr>
      </w:pPr>
      <w:r>
        <w:rPr>
          <w:rFonts w:cs="Times New Roman"/>
          <w:bCs/>
          <w:color w:val="auto"/>
          <w:szCs w:val="24"/>
          <w:highlight w:val="none"/>
        </w:rPr>
        <w:t>冲洪积堆积成因，全区分布，</w:t>
      </w:r>
      <w:r>
        <w:rPr>
          <w:rFonts w:cs="Times New Roman"/>
          <w:color w:val="auto"/>
          <w:szCs w:val="28"/>
          <w:highlight w:val="none"/>
        </w:rPr>
        <w:t>呈</w:t>
      </w:r>
      <w:r>
        <w:rPr>
          <w:rFonts w:cs="Times New Roman"/>
          <w:color w:val="auto"/>
          <w:szCs w:val="24"/>
          <w:highlight w:val="none"/>
        </w:rPr>
        <w:t>杂色，很湿～饱水，</w:t>
      </w:r>
      <w:r>
        <w:rPr>
          <w:rFonts w:hint="eastAsia" w:cs="Times New Roman"/>
          <w:color w:val="auto"/>
          <w:szCs w:val="24"/>
          <w:highlight w:val="none"/>
        </w:rPr>
        <w:t>成分</w:t>
      </w:r>
      <w:r>
        <w:rPr>
          <w:rFonts w:cs="Times New Roman"/>
          <w:color w:val="auto"/>
          <w:szCs w:val="24"/>
          <w:highlight w:val="none"/>
        </w:rPr>
        <w:t>为</w:t>
      </w:r>
      <w:r>
        <w:rPr>
          <w:rFonts w:cs="Times New Roman"/>
          <w:snapToGrid w:val="0"/>
          <w:color w:val="auto"/>
          <w:spacing w:val="-2"/>
          <w:szCs w:val="24"/>
          <w:highlight w:val="none"/>
        </w:rPr>
        <w:t>灰岩、</w:t>
      </w:r>
      <w:r>
        <w:rPr>
          <w:rFonts w:cs="Times New Roman"/>
          <w:color w:val="auto"/>
          <w:szCs w:val="24"/>
          <w:highlight w:val="none"/>
        </w:rPr>
        <w:t>花岗岩、石英岩、玄武岩等，质硬，未风化，磨圆度较好，卵石呈次圆状～圆状。细砂充填，部分地段充填物富集。含有约15～30%的漂石，漂石最大粒径达500mm以上。据筛分试验： ＞20mm占55.5～66.8%，20～2mm占9.2～23.4%，2～0.50mm占1.5～6.4%，0.5～0.25mm占0.8～4.2%，0.25～0.075mm占6.4～17.3%，0.075～0.005mm占1.6～9.9%。据N</w:t>
      </w:r>
      <w:r>
        <w:rPr>
          <w:rFonts w:cs="Times New Roman"/>
          <w:color w:val="auto"/>
          <w:szCs w:val="24"/>
          <w:highlight w:val="none"/>
          <w:vertAlign w:val="subscript"/>
        </w:rPr>
        <w:t>120</w:t>
      </w:r>
      <w:r>
        <w:rPr>
          <w:rFonts w:cs="Times New Roman"/>
          <w:color w:val="auto"/>
          <w:szCs w:val="24"/>
          <w:highlight w:val="none"/>
        </w:rPr>
        <w:t>动力触探试验</w:t>
      </w:r>
      <w:r>
        <w:rPr>
          <w:rFonts w:cs="Times New Roman"/>
          <w:snapToGrid w:val="0"/>
          <w:color w:val="auto"/>
          <w:spacing w:val="-2"/>
          <w:szCs w:val="24"/>
          <w:highlight w:val="none"/>
        </w:rPr>
        <w:t>及钻探取芯情况，依据《岩土工程勘察规范》（GB50021-2001）（2009年版）第3.3.8条表3.3.8-2，</w:t>
      </w:r>
      <w:r>
        <w:rPr>
          <w:rFonts w:cs="Times New Roman"/>
          <w:color w:val="auto"/>
          <w:szCs w:val="24"/>
          <w:highlight w:val="none"/>
        </w:rPr>
        <w:t>卵石按密实度分为3亚层：</w:t>
      </w:r>
      <w:r>
        <w:rPr>
          <w:rFonts w:cs="Times New Roman"/>
          <w:color w:val="auto"/>
          <w:szCs w:val="28"/>
          <w:highlight w:val="none"/>
        </w:rPr>
        <w:t>③-1</w:t>
      </w:r>
      <w:r>
        <w:rPr>
          <w:rFonts w:cs="Times New Roman"/>
          <w:color w:val="auto"/>
          <w:szCs w:val="24"/>
          <w:highlight w:val="none"/>
        </w:rPr>
        <w:t>稍密卵石（3＜N</w:t>
      </w:r>
      <w:r>
        <w:rPr>
          <w:rFonts w:cs="Times New Roman"/>
          <w:color w:val="auto"/>
          <w:szCs w:val="24"/>
          <w:highlight w:val="none"/>
          <w:vertAlign w:val="subscript"/>
        </w:rPr>
        <w:t>120</w:t>
      </w:r>
      <w:r>
        <w:rPr>
          <w:rFonts w:cs="Times New Roman"/>
          <w:color w:val="auto"/>
          <w:szCs w:val="24"/>
          <w:highlight w:val="none"/>
        </w:rPr>
        <w:t>≤6击）；</w:t>
      </w:r>
      <w:r>
        <w:rPr>
          <w:rFonts w:cs="Times New Roman"/>
          <w:color w:val="auto"/>
          <w:szCs w:val="28"/>
          <w:highlight w:val="none"/>
        </w:rPr>
        <w:t>③-2中密</w:t>
      </w:r>
      <w:r>
        <w:rPr>
          <w:rFonts w:cs="Times New Roman"/>
          <w:color w:val="auto"/>
          <w:szCs w:val="24"/>
          <w:highlight w:val="none"/>
        </w:rPr>
        <w:t>卵石（6＜N</w:t>
      </w:r>
      <w:r>
        <w:rPr>
          <w:rFonts w:cs="Times New Roman"/>
          <w:color w:val="auto"/>
          <w:szCs w:val="24"/>
          <w:highlight w:val="none"/>
          <w:vertAlign w:val="subscript"/>
        </w:rPr>
        <w:t>120</w:t>
      </w:r>
      <w:r>
        <w:rPr>
          <w:rFonts w:cs="Times New Roman"/>
          <w:color w:val="auto"/>
          <w:szCs w:val="24"/>
          <w:highlight w:val="none"/>
        </w:rPr>
        <w:t>≤11击）及</w:t>
      </w:r>
      <w:r>
        <w:rPr>
          <w:rFonts w:cs="Times New Roman"/>
          <w:color w:val="auto"/>
          <w:szCs w:val="28"/>
          <w:highlight w:val="none"/>
        </w:rPr>
        <w:t>③-3密实</w:t>
      </w:r>
      <w:r>
        <w:rPr>
          <w:rFonts w:cs="Times New Roman"/>
          <w:color w:val="auto"/>
          <w:szCs w:val="24"/>
          <w:highlight w:val="none"/>
        </w:rPr>
        <w:t>卵石（11＜N</w:t>
      </w:r>
      <w:r>
        <w:rPr>
          <w:rFonts w:cs="Times New Roman"/>
          <w:color w:val="auto"/>
          <w:szCs w:val="24"/>
          <w:highlight w:val="none"/>
          <w:vertAlign w:val="subscript"/>
        </w:rPr>
        <w:t>120</w:t>
      </w:r>
      <w:r>
        <w:rPr>
          <w:rFonts w:cs="Times New Roman"/>
          <w:color w:val="auto"/>
          <w:szCs w:val="24"/>
          <w:highlight w:val="none"/>
        </w:rPr>
        <w:t>≤14击），分述如下：</w:t>
      </w:r>
    </w:p>
    <w:p w14:paraId="26158138">
      <w:pPr>
        <w:autoSpaceDE w:val="0"/>
        <w:autoSpaceDN w:val="0"/>
        <w:adjustRightInd w:val="0"/>
        <w:ind w:firstLine="480"/>
        <w:rPr>
          <w:rFonts w:cs="Times New Roman"/>
          <w:bCs/>
          <w:color w:val="auto"/>
          <w:szCs w:val="28"/>
          <w:highlight w:val="none"/>
        </w:rPr>
      </w:pPr>
      <w:r>
        <w:rPr>
          <w:rFonts w:cs="Times New Roman"/>
          <w:color w:val="auto"/>
          <w:szCs w:val="28"/>
          <w:highlight w:val="none"/>
        </w:rPr>
        <w:t>③-1</w:t>
      </w:r>
      <w:r>
        <w:rPr>
          <w:rFonts w:cs="Times New Roman"/>
          <w:bCs/>
          <w:color w:val="auto"/>
          <w:szCs w:val="28"/>
          <w:highlight w:val="none"/>
        </w:rPr>
        <w:t>稍密卵石。</w:t>
      </w:r>
      <w:r>
        <w:rPr>
          <w:rFonts w:cs="Times New Roman"/>
          <w:color w:val="auto"/>
          <w:szCs w:val="28"/>
          <w:highlight w:val="none"/>
        </w:rPr>
        <w:t>全区分布，呈层状分布卵石层中部，为细砂充填，含量约占15～20%，含约15～20%的漂石，卵石部分接触，＞20mm占55～60%，密实度以稍密为主</w:t>
      </w:r>
      <w:r>
        <w:rPr>
          <w:rFonts w:cs="Times New Roman"/>
          <w:bCs/>
          <w:color w:val="auto"/>
          <w:szCs w:val="28"/>
          <w:highlight w:val="none"/>
        </w:rPr>
        <w:t>。</w:t>
      </w:r>
      <w:r>
        <w:rPr>
          <w:rFonts w:cs="Times New Roman"/>
          <w:color w:val="auto"/>
          <w:szCs w:val="24"/>
          <w:highlight w:val="none"/>
        </w:rPr>
        <w:t>岩芯采取率75%～90%，</w:t>
      </w:r>
      <w:r>
        <w:rPr>
          <w:rFonts w:cs="Times New Roman"/>
          <w:bCs/>
          <w:color w:val="auto"/>
          <w:szCs w:val="28"/>
          <w:highlight w:val="none"/>
        </w:rPr>
        <w:t>钻孔揭露厚度0.50～3.20m，顶板埋深2.20～3.80m，顶板标高382.25～382.40m。</w:t>
      </w:r>
      <w:r>
        <w:rPr>
          <w:rFonts w:cs="Times New Roman"/>
          <w:color w:val="auto"/>
          <w:szCs w:val="24"/>
          <w:highlight w:val="none"/>
          <w:lang w:bidi="ar"/>
        </w:rPr>
        <w:t>超重型动力触探试验（N</w:t>
      </w:r>
      <w:r>
        <w:rPr>
          <w:rFonts w:cs="Times New Roman"/>
          <w:color w:val="auto"/>
          <w:szCs w:val="24"/>
          <w:highlight w:val="none"/>
          <w:vertAlign w:val="subscript"/>
          <w:lang w:bidi="ar"/>
        </w:rPr>
        <w:t>120</w:t>
      </w:r>
      <w:r>
        <w:rPr>
          <w:rFonts w:cs="Times New Roman"/>
          <w:color w:val="auto"/>
          <w:szCs w:val="24"/>
          <w:highlight w:val="none"/>
          <w:lang w:bidi="ar"/>
        </w:rPr>
        <w:t>）</w:t>
      </w:r>
      <w:r>
        <w:rPr>
          <w:rFonts w:cs="Times New Roman"/>
          <w:bCs/>
          <w:color w:val="auto"/>
          <w:szCs w:val="28"/>
          <w:highlight w:val="none"/>
        </w:rPr>
        <w:t>3～6击。</w:t>
      </w:r>
    </w:p>
    <w:p w14:paraId="220B11BE">
      <w:pPr>
        <w:adjustRightInd w:val="0"/>
        <w:ind w:firstLine="471" w:firstLineChars="0"/>
        <w:rPr>
          <w:rFonts w:cs="Times New Roman"/>
          <w:bCs/>
          <w:color w:val="auto"/>
          <w:szCs w:val="28"/>
          <w:highlight w:val="none"/>
        </w:rPr>
      </w:pPr>
      <w:r>
        <w:rPr>
          <w:rFonts w:cs="Times New Roman"/>
          <w:color w:val="auto"/>
          <w:szCs w:val="28"/>
          <w:highlight w:val="none"/>
        </w:rPr>
        <w:t>③-2</w:t>
      </w:r>
      <w:r>
        <w:rPr>
          <w:rFonts w:cs="Times New Roman"/>
          <w:bCs/>
          <w:color w:val="auto"/>
          <w:szCs w:val="28"/>
          <w:highlight w:val="none"/>
        </w:rPr>
        <w:t>中密卵石。</w:t>
      </w:r>
      <w:r>
        <w:rPr>
          <w:rFonts w:cs="Times New Roman"/>
          <w:color w:val="auto"/>
          <w:szCs w:val="28"/>
          <w:highlight w:val="none"/>
        </w:rPr>
        <w:t>全区分布，呈层状分布卵石层中部，为细砂充填，含量约占10～18%，含约15～25%的漂石，卵石大部分接触，＞20mm占60～70%，密实度以中密为主</w:t>
      </w:r>
      <w:r>
        <w:rPr>
          <w:rFonts w:cs="Times New Roman"/>
          <w:bCs/>
          <w:color w:val="auto"/>
          <w:szCs w:val="28"/>
          <w:highlight w:val="none"/>
        </w:rPr>
        <w:t>。</w:t>
      </w:r>
      <w:r>
        <w:rPr>
          <w:rFonts w:cs="Times New Roman"/>
          <w:color w:val="auto"/>
          <w:szCs w:val="24"/>
          <w:highlight w:val="none"/>
        </w:rPr>
        <w:t>岩芯采取率75%～95%，</w:t>
      </w:r>
      <w:r>
        <w:rPr>
          <w:rFonts w:cs="Times New Roman"/>
          <w:bCs/>
          <w:color w:val="auto"/>
          <w:szCs w:val="28"/>
          <w:highlight w:val="none"/>
        </w:rPr>
        <w:t>钻孔揭露厚度0.60～2.70m，顶板埋深2.00～6.10m，顶板标高380.60～384.55m。</w:t>
      </w:r>
      <w:r>
        <w:rPr>
          <w:rFonts w:cs="Times New Roman"/>
          <w:color w:val="auto"/>
          <w:szCs w:val="24"/>
          <w:highlight w:val="none"/>
          <w:lang w:bidi="ar"/>
        </w:rPr>
        <w:t>超重型动力触探试验（N</w:t>
      </w:r>
      <w:r>
        <w:rPr>
          <w:rFonts w:cs="Times New Roman"/>
          <w:color w:val="auto"/>
          <w:szCs w:val="24"/>
          <w:highlight w:val="none"/>
          <w:vertAlign w:val="subscript"/>
          <w:lang w:bidi="ar"/>
        </w:rPr>
        <w:t>120</w:t>
      </w:r>
      <w:r>
        <w:rPr>
          <w:rFonts w:cs="Times New Roman"/>
          <w:color w:val="auto"/>
          <w:szCs w:val="24"/>
          <w:highlight w:val="none"/>
          <w:lang w:bidi="ar"/>
        </w:rPr>
        <w:t>）</w:t>
      </w:r>
      <w:r>
        <w:rPr>
          <w:rFonts w:cs="Times New Roman"/>
          <w:bCs/>
          <w:color w:val="auto"/>
          <w:szCs w:val="28"/>
          <w:highlight w:val="none"/>
        </w:rPr>
        <w:t>6～11击。</w:t>
      </w:r>
    </w:p>
    <w:p w14:paraId="1DB47C0B">
      <w:pPr>
        <w:autoSpaceDE w:val="0"/>
        <w:autoSpaceDN w:val="0"/>
        <w:adjustRightInd w:val="0"/>
        <w:ind w:firstLine="480"/>
        <w:rPr>
          <w:rFonts w:cs="Times New Roman"/>
          <w:bCs/>
          <w:color w:val="auto"/>
          <w:szCs w:val="28"/>
          <w:highlight w:val="none"/>
        </w:rPr>
      </w:pPr>
      <w:r>
        <w:rPr>
          <w:rFonts w:cs="Times New Roman"/>
          <w:color w:val="auto"/>
          <w:szCs w:val="28"/>
          <w:highlight w:val="none"/>
        </w:rPr>
        <w:t>③</w:t>
      </w:r>
      <w:r>
        <w:rPr>
          <w:rFonts w:cs="Times New Roman"/>
          <w:color w:val="auto"/>
          <w:szCs w:val="24"/>
          <w:highlight w:val="none"/>
        </w:rPr>
        <w:t>-3密实</w:t>
      </w:r>
      <w:r>
        <w:rPr>
          <w:rFonts w:cs="Times New Roman"/>
          <w:bCs/>
          <w:color w:val="auto"/>
          <w:szCs w:val="28"/>
          <w:highlight w:val="none"/>
        </w:rPr>
        <w:t>卵石。</w:t>
      </w:r>
      <w:r>
        <w:rPr>
          <w:rFonts w:cs="Times New Roman"/>
          <w:color w:val="auto"/>
          <w:szCs w:val="28"/>
          <w:highlight w:val="none"/>
        </w:rPr>
        <w:t>全区分布，呈层状分布卵石层中下部，为细砂充填，含量约占8～15%，含约20～30%的漂石，卵石大部分接触，＞20mm占70～85%，密实度以密实为主</w:t>
      </w:r>
      <w:r>
        <w:rPr>
          <w:rFonts w:cs="Times New Roman"/>
          <w:bCs/>
          <w:color w:val="auto"/>
          <w:szCs w:val="28"/>
          <w:highlight w:val="none"/>
        </w:rPr>
        <w:t>。</w:t>
      </w:r>
      <w:r>
        <w:rPr>
          <w:rFonts w:cs="Times New Roman"/>
          <w:color w:val="auto"/>
          <w:szCs w:val="24"/>
          <w:highlight w:val="none"/>
        </w:rPr>
        <w:t>岩芯采取率80%～95%，</w:t>
      </w:r>
      <w:r>
        <w:rPr>
          <w:rFonts w:cs="Times New Roman"/>
          <w:bCs/>
          <w:color w:val="auto"/>
          <w:szCs w:val="28"/>
          <w:highlight w:val="none"/>
        </w:rPr>
        <w:t>钻孔揭露厚度5.60～17.40m，顶板埋深2.60～8.00m，顶板标高378.370～383.95m。</w:t>
      </w:r>
      <w:r>
        <w:rPr>
          <w:rFonts w:cs="Times New Roman"/>
          <w:color w:val="auto"/>
          <w:szCs w:val="24"/>
          <w:highlight w:val="none"/>
          <w:lang w:bidi="ar"/>
        </w:rPr>
        <w:t>超重型动力触探试验（N</w:t>
      </w:r>
      <w:r>
        <w:rPr>
          <w:rFonts w:cs="Times New Roman"/>
          <w:color w:val="auto"/>
          <w:szCs w:val="24"/>
          <w:highlight w:val="none"/>
          <w:vertAlign w:val="subscript"/>
          <w:lang w:bidi="ar"/>
        </w:rPr>
        <w:t>120</w:t>
      </w:r>
      <w:r>
        <w:rPr>
          <w:rFonts w:cs="Times New Roman"/>
          <w:color w:val="auto"/>
          <w:szCs w:val="24"/>
          <w:highlight w:val="none"/>
          <w:lang w:bidi="ar"/>
        </w:rPr>
        <w:t>）</w:t>
      </w:r>
      <w:r>
        <w:rPr>
          <w:rFonts w:cs="Times New Roman"/>
          <w:bCs/>
          <w:color w:val="auto"/>
          <w:szCs w:val="28"/>
          <w:highlight w:val="none"/>
        </w:rPr>
        <w:t>11～＞14击。</w:t>
      </w:r>
    </w:p>
    <w:bookmarkEnd w:id="159"/>
    <w:p w14:paraId="3007798E">
      <w:pPr>
        <w:adjustRightInd w:val="0"/>
        <w:ind w:firstLine="480"/>
        <w:jc w:val="left"/>
        <w:rPr>
          <w:rFonts w:cs="Times New Roman"/>
          <w:bCs/>
          <w:color w:val="auto"/>
          <w:szCs w:val="24"/>
          <w:highlight w:val="none"/>
        </w:rPr>
      </w:pPr>
      <w:r>
        <w:rPr>
          <w:rFonts w:hint="eastAsia" w:cs="Times New Roman"/>
          <w:bCs/>
          <w:color w:val="auto"/>
          <w:szCs w:val="24"/>
          <w:highlight w:val="none"/>
        </w:rPr>
        <w:t>地质图和典型钻孔柱状图如下：</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58B6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9CF01F9">
            <w:pPr>
              <w:adjustRightInd w:val="0"/>
              <w:spacing w:before="62" w:beforeLines="20" w:after="62" w:afterLines="20" w:line="240" w:lineRule="auto"/>
              <w:ind w:firstLine="0" w:firstLineChars="0"/>
              <w:jc w:val="center"/>
              <w:rPr>
                <w:rFonts w:cs="Times New Roman"/>
                <w:color w:val="auto"/>
                <w:sz w:val="21"/>
                <w:szCs w:val="24"/>
                <w:highlight w:val="none"/>
              </w:rPr>
            </w:pPr>
            <w:r>
              <w:rPr>
                <w:rFonts w:cs="Times New Roman"/>
                <w:color w:val="auto"/>
                <w:sz w:val="21"/>
                <w:szCs w:val="24"/>
                <w:highlight w:val="none"/>
              </w:rPr>
              <w:drawing>
                <wp:inline distT="0" distB="0" distL="114300" distR="114300">
                  <wp:extent cx="5271770" cy="2022475"/>
                  <wp:effectExtent l="0" t="0" r="1270" b="4445"/>
                  <wp:docPr id="73"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7"/>
                          <pic:cNvPicPr>
                            <a:picLocks noChangeAspect="1"/>
                          </pic:cNvPicPr>
                        </pic:nvPicPr>
                        <pic:blipFill>
                          <a:blip r:embed="rId45"/>
                          <a:stretch>
                            <a:fillRect/>
                          </a:stretch>
                        </pic:blipFill>
                        <pic:spPr>
                          <a:xfrm>
                            <a:off x="0" y="0"/>
                            <a:ext cx="5271770" cy="2022475"/>
                          </a:xfrm>
                          <a:prstGeom prst="rect">
                            <a:avLst/>
                          </a:prstGeom>
                          <a:noFill/>
                          <a:ln>
                            <a:noFill/>
                          </a:ln>
                        </pic:spPr>
                      </pic:pic>
                    </a:graphicData>
                  </a:graphic>
                </wp:inline>
              </w:drawing>
            </w:r>
          </w:p>
        </w:tc>
      </w:tr>
    </w:tbl>
    <w:p w14:paraId="5037B54E">
      <w:pPr>
        <w:pStyle w:val="12"/>
        <w:keepNext w:val="0"/>
        <w:adjustRightInd w:val="0"/>
        <w:rPr>
          <w:rFonts w:ascii="宋体" w:hAnsi="宋体" w:cs="宋体"/>
          <w:color w:val="auto"/>
          <w:kern w:val="0"/>
          <w:sz w:val="20"/>
          <w:szCs w:val="21"/>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1</w:t>
      </w:r>
      <w:r>
        <w:rPr>
          <w:color w:val="auto"/>
          <w:highlight w:val="none"/>
        </w:rPr>
        <w:fldChar w:fldCharType="end"/>
      </w:r>
      <w:r>
        <w:rPr>
          <w:rFonts w:hint="eastAsia" w:cs="Times New Roman"/>
          <w:color w:val="auto"/>
          <w:kern w:val="0"/>
          <w:sz w:val="20"/>
          <w:szCs w:val="21"/>
          <w:highlight w:val="none"/>
        </w:rPr>
        <w:t>项目所在地地质图</w:t>
      </w:r>
      <w:r>
        <w:rPr>
          <w:rFonts w:hint="eastAsia" w:ascii="宋体" w:hAnsi="宋体" w:cs="宋体"/>
          <w:color w:val="auto"/>
          <w:kern w:val="0"/>
          <w:sz w:val="20"/>
          <w:szCs w:val="21"/>
          <w:highlight w:val="none"/>
        </w:rPr>
        <w:t>（1:50000）</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0"/>
      </w:tblGrid>
      <w:tr w14:paraId="3F05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vAlign w:val="center"/>
          </w:tcPr>
          <w:p w14:paraId="04334C61">
            <w:pPr>
              <w:adjustRightInd w:val="0"/>
              <w:spacing w:before="62" w:beforeLines="20" w:after="62" w:afterLines="20"/>
              <w:ind w:firstLine="420"/>
              <w:jc w:val="left"/>
              <w:rPr>
                <w:rFonts w:ascii="Calibri" w:hAnsi="Calibri" w:cs="Times New Roman"/>
                <w:bCs/>
                <w:color w:val="auto"/>
                <w:szCs w:val="24"/>
                <w:highlight w:val="none"/>
              </w:rPr>
            </w:pPr>
            <w:r>
              <w:rPr>
                <w:rFonts w:ascii="Calibri" w:hAnsi="Calibri" w:cs="Times New Roman"/>
                <w:color w:val="auto"/>
                <w:sz w:val="21"/>
                <w:szCs w:val="24"/>
                <w:highlight w:val="none"/>
              </w:rPr>
              <w:drawing>
                <wp:inline distT="0" distB="0" distL="114300" distR="114300">
                  <wp:extent cx="5268595" cy="7543165"/>
                  <wp:effectExtent l="0" t="0" r="4445" b="635"/>
                  <wp:docPr id="72"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6"/>
                          <pic:cNvPicPr>
                            <a:picLocks noChangeAspect="1"/>
                          </pic:cNvPicPr>
                        </pic:nvPicPr>
                        <pic:blipFill>
                          <a:blip r:embed="rId46"/>
                          <a:stretch>
                            <a:fillRect/>
                          </a:stretch>
                        </pic:blipFill>
                        <pic:spPr>
                          <a:xfrm>
                            <a:off x="0" y="0"/>
                            <a:ext cx="5268595" cy="7543165"/>
                          </a:xfrm>
                          <a:prstGeom prst="rect">
                            <a:avLst/>
                          </a:prstGeom>
                          <a:noFill/>
                          <a:ln>
                            <a:noFill/>
                          </a:ln>
                        </pic:spPr>
                      </pic:pic>
                    </a:graphicData>
                  </a:graphic>
                </wp:inline>
              </w:drawing>
            </w:r>
          </w:p>
        </w:tc>
      </w:tr>
    </w:tbl>
    <w:p w14:paraId="5C946A74">
      <w:pPr>
        <w:adjustRightInd w:val="0"/>
        <w:ind w:firstLine="480"/>
        <w:jc w:val="center"/>
        <w:rPr>
          <w:rFonts w:ascii="宋体" w:hAnsi="宋体" w:cs="宋体"/>
          <w:b/>
          <w:color w:val="auto"/>
          <w:kern w:val="0"/>
          <w:sz w:val="20"/>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b/>
          <w:color w:val="auto"/>
          <w:kern w:val="0"/>
          <w:sz w:val="20"/>
          <w:szCs w:val="20"/>
          <w:highlight w:val="none"/>
        </w:rPr>
        <w:t>典型钻孔柱状图</w:t>
      </w:r>
    </w:p>
    <w:p w14:paraId="44C4DEB9">
      <w:pPr>
        <w:ind w:firstLine="480"/>
        <w:rPr>
          <w:color w:val="auto"/>
          <w:highlight w:val="none"/>
        </w:rPr>
      </w:pPr>
      <w:r>
        <w:rPr>
          <w:rFonts w:hint="eastAsia"/>
          <w:color w:val="auto"/>
          <w:highlight w:val="none"/>
        </w:rPr>
        <w:t>（三）地质构造</w:t>
      </w:r>
    </w:p>
    <w:p w14:paraId="4FA13F57">
      <w:pPr>
        <w:autoSpaceDE w:val="0"/>
        <w:autoSpaceDN w:val="0"/>
        <w:adjustRightInd w:val="0"/>
        <w:ind w:firstLine="480"/>
        <w:jc w:val="left"/>
        <w:rPr>
          <w:rFonts w:cs="Times New Roman"/>
          <w:color w:val="auto"/>
          <w:szCs w:val="24"/>
          <w:highlight w:val="none"/>
        </w:rPr>
      </w:pPr>
      <w:r>
        <w:rPr>
          <w:rFonts w:hint="eastAsia" w:cs="Times New Roman"/>
          <w:color w:val="auto"/>
          <w:szCs w:val="24"/>
          <w:highlight w:val="none"/>
        </w:rPr>
        <w:t>项目</w:t>
      </w:r>
      <w:r>
        <w:rPr>
          <w:rFonts w:cs="Times New Roman"/>
          <w:color w:val="auto"/>
          <w:szCs w:val="24"/>
          <w:highlight w:val="none"/>
        </w:rPr>
        <w:t>区构造上位于扬子准地台西缘所辖的峨边穹断束与威远～龙女寺台穹两个Ⅳ级单元接合部位，</w:t>
      </w:r>
      <w:r>
        <w:rPr>
          <w:rFonts w:hint="eastAsia" w:cs="Times New Roman"/>
          <w:color w:val="auto"/>
          <w:szCs w:val="24"/>
          <w:highlight w:val="none"/>
        </w:rPr>
        <w:t>项目</w:t>
      </w:r>
      <w:r>
        <w:rPr>
          <w:rFonts w:cs="Times New Roman"/>
          <w:color w:val="auto"/>
          <w:szCs w:val="24"/>
          <w:highlight w:val="none"/>
        </w:rPr>
        <w:t>区北侧的丰都庙断层是两构造单元的分界，峨边穹断束西部二峨山背斜与沙湾断裂带（由沙湾断层及文昌庙断层组成），褶皱紧凑，断层构造发育。</w:t>
      </w:r>
    </w:p>
    <w:p w14:paraId="7807C82A">
      <w:pPr>
        <w:autoSpaceDE w:val="0"/>
        <w:autoSpaceDN w:val="0"/>
        <w:adjustRightInd w:val="0"/>
        <w:ind w:firstLine="480"/>
        <w:jc w:val="left"/>
        <w:rPr>
          <w:rFonts w:cs="Times New Roman"/>
          <w:color w:val="auto"/>
          <w:szCs w:val="24"/>
          <w:highlight w:val="none"/>
        </w:rPr>
      </w:pPr>
      <w:r>
        <w:rPr>
          <w:rFonts w:hint="eastAsia" w:cs="Times New Roman"/>
          <w:color w:val="auto"/>
          <w:szCs w:val="24"/>
          <w:highlight w:val="none"/>
        </w:rPr>
        <w:t>项目</w:t>
      </w:r>
      <w:r>
        <w:rPr>
          <w:rFonts w:cs="Times New Roman"/>
          <w:color w:val="auto"/>
          <w:szCs w:val="24"/>
          <w:highlight w:val="none"/>
        </w:rPr>
        <w:t>区恰位于沙湾断裂带之沙湾断层与文昌庙断层之间，沙湾断层从场地南西侧通过，距沙湾断层约12公里，东距文昌庙断层（隐伏于大渡河之中）。两条断层向北延伸与北西向的丰都庙断层合并，受此影响，该断裂带在沙湾大渡河西岸形成一条南北走向，东西宽约1km的陡带，陡带内二叠系宣威组（P</w:t>
      </w:r>
      <w:r>
        <w:rPr>
          <w:rFonts w:cs="Times New Roman"/>
          <w:color w:val="auto"/>
          <w:szCs w:val="28"/>
          <w:highlight w:val="none"/>
          <w:vertAlign w:val="subscript"/>
        </w:rPr>
        <w:t>2</w:t>
      </w:r>
      <w:r>
        <w:rPr>
          <w:rFonts w:cs="Times New Roman"/>
          <w:i/>
          <w:iCs/>
          <w:color w:val="auto"/>
          <w:szCs w:val="24"/>
          <w:highlight w:val="none"/>
        </w:rPr>
        <w:t>x</w:t>
      </w:r>
      <w:r>
        <w:rPr>
          <w:rFonts w:cs="Times New Roman"/>
          <w:color w:val="auto"/>
          <w:szCs w:val="24"/>
          <w:highlight w:val="none"/>
        </w:rPr>
        <w:t>）、下统嘉陵江组（T</w:t>
      </w:r>
      <w:r>
        <w:rPr>
          <w:rFonts w:cs="Times New Roman"/>
          <w:color w:val="auto"/>
          <w:szCs w:val="28"/>
          <w:highlight w:val="none"/>
          <w:vertAlign w:val="subscript"/>
        </w:rPr>
        <w:t>1</w:t>
      </w:r>
      <w:r>
        <w:rPr>
          <w:rFonts w:cs="Times New Roman"/>
          <w:i/>
          <w:iCs/>
          <w:color w:val="auto"/>
          <w:szCs w:val="24"/>
          <w:highlight w:val="none"/>
        </w:rPr>
        <w:t>j</w:t>
      </w:r>
      <w:r>
        <w:rPr>
          <w:rFonts w:cs="Times New Roman"/>
          <w:color w:val="auto"/>
          <w:szCs w:val="24"/>
          <w:highlight w:val="none"/>
        </w:rPr>
        <w:t>）及飞仙关组（T</w:t>
      </w:r>
      <w:r>
        <w:rPr>
          <w:rFonts w:cs="Times New Roman"/>
          <w:color w:val="auto"/>
          <w:szCs w:val="28"/>
          <w:highlight w:val="none"/>
          <w:vertAlign w:val="subscript"/>
        </w:rPr>
        <w:t>1</w:t>
      </w:r>
      <w:r>
        <w:rPr>
          <w:rFonts w:cs="Times New Roman"/>
          <w:i/>
          <w:iCs/>
          <w:color w:val="auto"/>
          <w:szCs w:val="24"/>
          <w:highlight w:val="none"/>
        </w:rPr>
        <w:t>f</w:t>
      </w:r>
      <w:r>
        <w:rPr>
          <w:rFonts w:cs="Times New Roman"/>
          <w:color w:val="auto"/>
          <w:szCs w:val="24"/>
          <w:highlight w:val="none"/>
        </w:rPr>
        <w:t>）、三叠系中统雷口坡组（T</w:t>
      </w:r>
      <w:r>
        <w:rPr>
          <w:rFonts w:cs="Times New Roman"/>
          <w:color w:val="auto"/>
          <w:szCs w:val="28"/>
          <w:highlight w:val="none"/>
          <w:vertAlign w:val="subscript"/>
        </w:rPr>
        <w:t>2</w:t>
      </w:r>
      <w:r>
        <w:rPr>
          <w:rFonts w:cs="Times New Roman"/>
          <w:i/>
          <w:iCs/>
          <w:color w:val="auto"/>
          <w:szCs w:val="24"/>
          <w:highlight w:val="none"/>
        </w:rPr>
        <w:t>l</w:t>
      </w:r>
      <w:r>
        <w:rPr>
          <w:rFonts w:cs="Times New Roman"/>
          <w:color w:val="auto"/>
          <w:szCs w:val="24"/>
          <w:highlight w:val="none"/>
        </w:rPr>
        <w:t>）等地层，地层产状呈陡倾、直立甚至倒转，构造裂隙十分发育。其断层特征简述如下：</w:t>
      </w:r>
    </w:p>
    <w:p w14:paraId="5D96F21C">
      <w:pPr>
        <w:autoSpaceDE w:val="0"/>
        <w:autoSpaceDN w:val="0"/>
        <w:adjustRightInd w:val="0"/>
        <w:ind w:firstLine="480"/>
        <w:jc w:val="left"/>
        <w:rPr>
          <w:rFonts w:cs="Times New Roman"/>
          <w:color w:val="auto"/>
          <w:szCs w:val="24"/>
          <w:highlight w:val="none"/>
        </w:rPr>
      </w:pPr>
      <w:r>
        <w:rPr>
          <w:rFonts w:cs="Times New Roman"/>
          <w:color w:val="auto"/>
          <w:szCs w:val="24"/>
          <w:highlight w:val="none"/>
        </w:rPr>
        <w:t>沙湾断层。位于勘察区西侧约450m，呈近南北向展布，为逆冲断层，断面倾向西，倾角70度左右；发育3～5m宽的破碎带，带内岩石受挤压而破碎，地层普遍陡立甚至倒转，多牵引褶皱。该断层垂直断距100～250m，水平断距400～600m，断距由南往北逐渐缩小。</w:t>
      </w:r>
    </w:p>
    <w:p w14:paraId="02D309F2">
      <w:pPr>
        <w:autoSpaceDE w:val="0"/>
        <w:autoSpaceDN w:val="0"/>
        <w:adjustRightInd w:val="0"/>
        <w:ind w:firstLine="480"/>
        <w:jc w:val="left"/>
        <w:rPr>
          <w:rFonts w:cs="Times New Roman"/>
          <w:color w:val="auto"/>
          <w:szCs w:val="24"/>
          <w:highlight w:val="none"/>
        </w:rPr>
      </w:pPr>
      <w:r>
        <w:rPr>
          <w:rFonts w:cs="Times New Roman"/>
          <w:color w:val="auto"/>
          <w:szCs w:val="24"/>
          <w:highlight w:val="none"/>
        </w:rPr>
        <w:t>文昌庙断层。位于勘察区东侧约180m外，隐伏于大渡河中，为逆冲断层，断面倾向南西及西，倾角60～70度，两盘地层破碎。上盘地层普遍倒转，下盘发育牵引褶皱，见5～10m宽破碎带，多为断层角砾岩，近断面见30～50厘m断层泥。</w:t>
      </w:r>
    </w:p>
    <w:p w14:paraId="7531405C">
      <w:pPr>
        <w:autoSpaceDE w:val="0"/>
        <w:autoSpaceDN w:val="0"/>
        <w:adjustRightInd w:val="0"/>
        <w:ind w:firstLine="480"/>
        <w:jc w:val="left"/>
        <w:rPr>
          <w:rFonts w:cs="Times New Roman"/>
          <w:color w:val="auto"/>
          <w:szCs w:val="24"/>
          <w:highlight w:val="none"/>
        </w:rPr>
      </w:pPr>
      <w:bookmarkStart w:id="160" w:name="_Toc324613010"/>
      <w:bookmarkStart w:id="161" w:name="_Toc316571691"/>
      <w:bookmarkStart w:id="162" w:name="_Toc324333176"/>
      <w:bookmarkStart w:id="163" w:name="_Toc324613013"/>
      <w:bookmarkStart w:id="164" w:name="_Toc324333179"/>
      <w:bookmarkStart w:id="165" w:name="_Toc316571694"/>
      <w:r>
        <w:rPr>
          <w:rFonts w:cs="Times New Roman"/>
          <w:color w:val="auto"/>
          <w:szCs w:val="24"/>
          <w:highlight w:val="none"/>
        </w:rPr>
        <w:t>丰都庙</w:t>
      </w:r>
      <w:bookmarkEnd w:id="160"/>
      <w:bookmarkEnd w:id="161"/>
      <w:bookmarkEnd w:id="162"/>
      <w:bookmarkStart w:id="166" w:name="_Toc324333177"/>
      <w:bookmarkStart w:id="167" w:name="_Toc324613011"/>
      <w:bookmarkStart w:id="168" w:name="_Toc316571692"/>
      <w:r>
        <w:rPr>
          <w:rFonts w:cs="Times New Roman"/>
          <w:color w:val="auto"/>
          <w:szCs w:val="24"/>
          <w:highlight w:val="none"/>
        </w:rPr>
        <w:t>断层</w:t>
      </w:r>
      <w:bookmarkEnd w:id="166"/>
      <w:bookmarkEnd w:id="167"/>
      <w:bookmarkEnd w:id="168"/>
      <w:r>
        <w:rPr>
          <w:rFonts w:cs="Times New Roman"/>
          <w:color w:val="auto"/>
          <w:szCs w:val="24"/>
          <w:highlight w:val="none"/>
        </w:rPr>
        <w:t>：断面倾向南西，北西段倾角70°左右，南东段倾角40°。由丰都庙断层、文昌庙断层、鱼洞口断层组成宽度300～500m的断裂带，断裂带内岩层破碎、扭曲，地层产状紊乱，多发生倒转，不同时代的底层往往沿走向相交。</w:t>
      </w:r>
      <w:bookmarkEnd w:id="163"/>
      <w:bookmarkEnd w:id="164"/>
      <w:bookmarkEnd w:id="165"/>
    </w:p>
    <w:p w14:paraId="7D7EF325">
      <w:pPr>
        <w:autoSpaceDE w:val="0"/>
        <w:autoSpaceDN w:val="0"/>
        <w:adjustRightInd w:val="0"/>
        <w:ind w:firstLine="480"/>
        <w:jc w:val="left"/>
        <w:rPr>
          <w:rFonts w:cs="Times New Roman"/>
          <w:color w:val="auto"/>
          <w:szCs w:val="24"/>
          <w:highlight w:val="none"/>
        </w:rPr>
      </w:pPr>
      <w:r>
        <w:rPr>
          <w:rFonts w:hint="eastAsia" w:cs="Times New Roman"/>
          <w:color w:val="auto"/>
          <w:szCs w:val="24"/>
          <w:highlight w:val="none"/>
        </w:rPr>
        <w:t>项目</w:t>
      </w:r>
      <w:r>
        <w:rPr>
          <w:rFonts w:cs="Times New Roman"/>
          <w:color w:val="auto"/>
          <w:szCs w:val="24"/>
          <w:highlight w:val="none"/>
        </w:rPr>
        <w:t>区受丰都庙断层影响，该断层不属于全新世的发震断裂。场地西侧距丰都庙断层约12公里，覆盖层为第四系全新统冲洪积堆积层，厚度大于20m，下覆层为白垩系中统灌口镇粉砂质泥岩（K</w:t>
      </w:r>
      <w:r>
        <w:rPr>
          <w:rFonts w:cs="Times New Roman"/>
          <w:color w:val="auto"/>
          <w:szCs w:val="24"/>
          <w:highlight w:val="none"/>
          <w:vertAlign w:val="subscript"/>
        </w:rPr>
        <w:t>2g</w:t>
      </w:r>
      <w:r>
        <w:rPr>
          <w:rFonts w:cs="Times New Roman"/>
          <w:color w:val="auto"/>
          <w:szCs w:val="24"/>
          <w:highlight w:val="none"/>
        </w:rPr>
        <w:t>），倾向北西，产状：280</w:t>
      </w:r>
      <w:r>
        <w:rPr>
          <w:rFonts w:cs="Times New Roman"/>
          <w:color w:val="auto"/>
          <w:szCs w:val="24"/>
          <w:highlight w:val="none"/>
          <w:vertAlign w:val="superscript"/>
        </w:rPr>
        <w:t>0</w:t>
      </w:r>
      <w:r>
        <w:rPr>
          <w:rFonts w:cs="Times New Roman"/>
          <w:color w:val="auto"/>
          <w:szCs w:val="24"/>
          <w:highlight w:val="none"/>
        </w:rPr>
        <w:t>∠6</w:t>
      </w:r>
      <w:r>
        <w:rPr>
          <w:rFonts w:cs="Times New Roman"/>
          <w:color w:val="auto"/>
          <w:szCs w:val="24"/>
          <w:highlight w:val="none"/>
          <w:vertAlign w:val="superscript"/>
        </w:rPr>
        <w:t>0</w:t>
      </w:r>
      <w:r>
        <w:rPr>
          <w:rFonts w:hint="eastAsia" w:cs="Times New Roman"/>
          <w:color w:val="auto"/>
          <w:szCs w:val="24"/>
          <w:highlight w:val="none"/>
        </w:rPr>
        <w:t>，</w:t>
      </w:r>
      <w:r>
        <w:rPr>
          <w:rFonts w:cs="Times New Roman"/>
          <w:color w:val="auto"/>
          <w:szCs w:val="24"/>
          <w:highlight w:val="none"/>
        </w:rPr>
        <w:t>与下伏基岩呈不整合接触。钻探取芯岩序正常、单一</w:t>
      </w:r>
      <w:r>
        <w:rPr>
          <w:rFonts w:hint="eastAsia" w:cs="Times New Roman"/>
          <w:color w:val="auto"/>
          <w:szCs w:val="24"/>
          <w:highlight w:val="none"/>
        </w:rPr>
        <w:t>，根</w:t>
      </w:r>
      <w:r>
        <w:rPr>
          <w:rFonts w:cs="Times New Roman"/>
          <w:color w:val="auto"/>
          <w:szCs w:val="24"/>
          <w:highlight w:val="none"/>
        </w:rPr>
        <w:t>据钻探成果，岩芯层序正常、单一，场区及场地周边10公里内全新世的无发震断裂及隐伏断裂。</w:t>
      </w:r>
    </w:p>
    <w:p w14:paraId="0A42CE9A">
      <w:pPr>
        <w:adjustRightInd w:val="0"/>
        <w:ind w:firstLine="480"/>
        <w:jc w:val="left"/>
        <w:rPr>
          <w:rFonts w:cs="Times New Roman"/>
          <w:color w:val="auto"/>
          <w:szCs w:val="24"/>
          <w:highlight w:val="none"/>
        </w:rPr>
      </w:pPr>
      <w:r>
        <w:rPr>
          <w:rFonts w:cs="Times New Roman"/>
          <w:color w:val="auto"/>
          <w:szCs w:val="24"/>
          <w:highlight w:val="none"/>
        </w:rPr>
        <w:t>在第三纪前，</w:t>
      </w:r>
      <w:r>
        <w:rPr>
          <w:rFonts w:hint="eastAsia" w:cs="Times New Roman"/>
          <w:color w:val="auto"/>
          <w:szCs w:val="24"/>
          <w:highlight w:val="none"/>
        </w:rPr>
        <w:t>项目</w:t>
      </w:r>
      <w:r>
        <w:rPr>
          <w:rFonts w:cs="Times New Roman"/>
          <w:color w:val="auto"/>
          <w:szCs w:val="24"/>
          <w:highlight w:val="none"/>
        </w:rPr>
        <w:t>区地貌架构已基本形成，新构造运动微弱，目前属相对稳定期。</w:t>
      </w:r>
      <w:r>
        <w:rPr>
          <w:rFonts w:hint="eastAsia" w:cs="Times New Roman"/>
          <w:color w:val="auto"/>
          <w:szCs w:val="24"/>
          <w:highlight w:val="none"/>
        </w:rPr>
        <w:t>项目</w:t>
      </w:r>
      <w:r>
        <w:rPr>
          <w:rFonts w:cs="Times New Roman"/>
          <w:color w:val="auto"/>
          <w:szCs w:val="24"/>
          <w:highlight w:val="none"/>
        </w:rPr>
        <w:t>区地震构造略图</w:t>
      </w:r>
      <w:r>
        <w:rPr>
          <w:rFonts w:hint="eastAsia" w:cs="Times New Roman"/>
          <w:color w:val="auto"/>
          <w:szCs w:val="24"/>
          <w:highlight w:val="none"/>
        </w:rPr>
        <w:t>如下：</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9134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vAlign w:val="center"/>
          </w:tcPr>
          <w:p w14:paraId="3FFC9CAC">
            <w:pPr>
              <w:adjustRightInd w:val="0"/>
              <w:spacing w:before="62" w:beforeLines="20" w:after="62" w:afterLines="20"/>
              <w:ind w:firstLine="420"/>
              <w:jc w:val="center"/>
              <w:rPr>
                <w:rFonts w:ascii="Calibri" w:hAnsi="Calibri" w:cs="Times New Roman"/>
                <w:color w:val="auto"/>
                <w:sz w:val="21"/>
                <w:szCs w:val="24"/>
                <w:highlight w:val="none"/>
              </w:rPr>
            </w:pPr>
            <w:r>
              <w:rPr>
                <w:rFonts w:ascii="Calibri" w:hAnsi="Calibri" w:cs="Times New Roman"/>
                <w:color w:val="auto"/>
                <w:sz w:val="21"/>
                <w:szCs w:val="24"/>
                <w:highlight w:val="none"/>
              </w:rPr>
              <w:drawing>
                <wp:inline distT="0" distB="0" distL="114300" distR="114300">
                  <wp:extent cx="5269865" cy="4739005"/>
                  <wp:effectExtent l="0" t="0" r="3175" b="635"/>
                  <wp:docPr id="74"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8"/>
                          <pic:cNvPicPr>
                            <a:picLocks noChangeAspect="1"/>
                          </pic:cNvPicPr>
                        </pic:nvPicPr>
                        <pic:blipFill>
                          <a:blip r:embed="rId47"/>
                          <a:stretch>
                            <a:fillRect/>
                          </a:stretch>
                        </pic:blipFill>
                        <pic:spPr>
                          <a:xfrm>
                            <a:off x="0" y="0"/>
                            <a:ext cx="5269865" cy="4739005"/>
                          </a:xfrm>
                          <a:prstGeom prst="rect">
                            <a:avLst/>
                          </a:prstGeom>
                          <a:noFill/>
                          <a:ln>
                            <a:noFill/>
                          </a:ln>
                        </pic:spPr>
                      </pic:pic>
                    </a:graphicData>
                  </a:graphic>
                </wp:inline>
              </w:drawing>
            </w:r>
          </w:p>
        </w:tc>
      </w:tr>
    </w:tbl>
    <w:p w14:paraId="5438BFC3">
      <w:pPr>
        <w:pStyle w:val="12"/>
        <w:adjustRightInd w:val="0"/>
        <w:rPr>
          <w:rFonts w:ascii="宋体" w:hAnsi="宋体" w:cs="宋体"/>
          <w:color w:val="auto"/>
          <w:kern w:val="0"/>
          <w:sz w:val="20"/>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3</w:t>
      </w:r>
      <w:r>
        <w:rPr>
          <w:color w:val="auto"/>
          <w:highlight w:val="none"/>
        </w:rPr>
        <w:fldChar w:fldCharType="end"/>
      </w:r>
      <w:r>
        <w:rPr>
          <w:rFonts w:hint="eastAsia" w:ascii="宋体" w:hAnsi="宋体" w:cs="宋体"/>
          <w:color w:val="auto"/>
          <w:kern w:val="0"/>
          <w:sz w:val="20"/>
          <w:highlight w:val="none"/>
        </w:rPr>
        <w:t>项目区构造地质图</w:t>
      </w:r>
    </w:p>
    <w:p w14:paraId="20218CAF">
      <w:pPr>
        <w:ind w:firstLine="480"/>
        <w:rPr>
          <w:color w:val="auto"/>
          <w:highlight w:val="none"/>
        </w:rPr>
      </w:pPr>
      <w:r>
        <w:rPr>
          <w:rFonts w:hint="eastAsia"/>
          <w:color w:val="auto"/>
          <w:highlight w:val="none"/>
        </w:rPr>
        <w:t>（4）包气带特征</w:t>
      </w:r>
    </w:p>
    <w:p w14:paraId="421EDE2E">
      <w:pPr>
        <w:adjustRightInd w:val="0"/>
        <w:ind w:firstLine="480" w:firstLineChars="0"/>
        <w:rPr>
          <w:rFonts w:cs="Times New Roman"/>
          <w:color w:val="auto"/>
          <w:szCs w:val="32"/>
          <w:highlight w:val="none"/>
        </w:rPr>
      </w:pPr>
      <w:r>
        <w:rPr>
          <w:rFonts w:cs="Times New Roman"/>
          <w:color w:val="auto"/>
          <w:szCs w:val="24"/>
          <w:highlight w:val="none"/>
        </w:rPr>
        <w:t>根据</w:t>
      </w:r>
      <w:r>
        <w:rPr>
          <w:rFonts w:hint="eastAsia" w:cs="Times New Roman"/>
          <w:color w:val="auto"/>
          <w:szCs w:val="24"/>
          <w:highlight w:val="none"/>
        </w:rPr>
        <w:t>《沙湾区新建50万吨锂矿加工综合利用项目岩土工程勘察报告（详细勘察）》</w:t>
      </w:r>
      <w:r>
        <w:rPr>
          <w:rFonts w:cs="Times New Roman"/>
          <w:color w:val="auto"/>
          <w:szCs w:val="24"/>
          <w:highlight w:val="none"/>
        </w:rPr>
        <w:t>，场地表层</w:t>
      </w:r>
      <w:r>
        <w:rPr>
          <w:rFonts w:cs="Times New Roman"/>
          <w:color w:val="auto"/>
          <w:szCs w:val="24"/>
          <w:highlight w:val="none"/>
          <w:lang w:val="zh-CN"/>
        </w:rPr>
        <w:t>覆盖</w:t>
      </w:r>
      <w:r>
        <w:rPr>
          <w:rFonts w:cs="Times New Roman"/>
          <w:snapToGrid w:val="0"/>
          <w:color w:val="auto"/>
          <w:spacing w:val="-2"/>
          <w:szCs w:val="24"/>
          <w:highlight w:val="none"/>
        </w:rPr>
        <w:t>第四系全新统人工填土层</w:t>
      </w:r>
      <w:r>
        <w:rPr>
          <w:rFonts w:cs="Times New Roman"/>
          <w:snapToGrid w:val="0"/>
          <w:color w:val="auto"/>
          <w:spacing w:val="-2"/>
          <w:szCs w:val="22"/>
          <w:highlight w:val="none"/>
        </w:rPr>
        <w:t>素填土</w:t>
      </w:r>
      <w:r>
        <w:rPr>
          <w:rFonts w:cs="Times New Roman"/>
          <w:snapToGrid w:val="0"/>
          <w:color w:val="auto"/>
          <w:spacing w:val="-2"/>
          <w:szCs w:val="24"/>
          <w:highlight w:val="none"/>
        </w:rPr>
        <w:t>（Q</w:t>
      </w:r>
      <w:r>
        <w:rPr>
          <w:rFonts w:cs="Times New Roman"/>
          <w:snapToGrid w:val="0"/>
          <w:color w:val="auto"/>
          <w:spacing w:val="-2"/>
          <w:szCs w:val="24"/>
          <w:highlight w:val="none"/>
          <w:vertAlign w:val="subscript"/>
        </w:rPr>
        <w:t>4</w:t>
      </w:r>
      <w:r>
        <w:rPr>
          <w:rFonts w:cs="Times New Roman"/>
          <w:i/>
          <w:snapToGrid w:val="0"/>
          <w:color w:val="auto"/>
          <w:spacing w:val="-2"/>
          <w:szCs w:val="24"/>
          <w:highlight w:val="none"/>
          <w:vertAlign w:val="superscript"/>
        </w:rPr>
        <w:t>ml</w:t>
      </w:r>
      <w:r>
        <w:rPr>
          <w:rFonts w:cs="Times New Roman"/>
          <w:snapToGrid w:val="0"/>
          <w:color w:val="auto"/>
          <w:spacing w:val="-2"/>
          <w:szCs w:val="24"/>
          <w:highlight w:val="none"/>
        </w:rPr>
        <w:t>），</w:t>
      </w:r>
      <w:r>
        <w:rPr>
          <w:rFonts w:cs="Times New Roman"/>
          <w:color w:val="auto"/>
          <w:szCs w:val="22"/>
          <w:highlight w:val="none"/>
        </w:rPr>
        <w:t>第四系全新统冲洪积堆积层粉质黏土</w:t>
      </w:r>
      <w:r>
        <w:rPr>
          <w:rFonts w:cs="Times New Roman"/>
          <w:color w:val="auto"/>
          <w:szCs w:val="24"/>
          <w:highlight w:val="none"/>
        </w:rPr>
        <w:t>及卵石土（</w:t>
      </w:r>
      <w:r>
        <w:rPr>
          <w:rFonts w:cs="Times New Roman"/>
          <w:color w:val="auto"/>
          <w:kern w:val="10"/>
          <w:szCs w:val="24"/>
          <w:highlight w:val="none"/>
        </w:rPr>
        <w:t>Q</w:t>
      </w:r>
      <w:r>
        <w:rPr>
          <w:rFonts w:cs="Times New Roman"/>
          <w:color w:val="auto"/>
          <w:kern w:val="10"/>
          <w:szCs w:val="24"/>
          <w:highlight w:val="none"/>
          <w:vertAlign w:val="subscript"/>
        </w:rPr>
        <w:t>4</w:t>
      </w:r>
      <w:r>
        <w:rPr>
          <w:rFonts w:cs="Times New Roman"/>
          <w:iCs/>
          <w:color w:val="auto"/>
          <w:kern w:val="10"/>
          <w:szCs w:val="24"/>
          <w:highlight w:val="none"/>
          <w:vertAlign w:val="superscript"/>
        </w:rPr>
        <w:t>al+pl</w:t>
      </w:r>
      <w:r>
        <w:rPr>
          <w:rFonts w:cs="Times New Roman"/>
          <w:color w:val="auto"/>
          <w:szCs w:val="24"/>
          <w:highlight w:val="none"/>
        </w:rPr>
        <w:t>）</w:t>
      </w:r>
      <w:r>
        <w:rPr>
          <w:rFonts w:hint="eastAsia" w:cs="Times New Roman"/>
          <w:color w:val="auto"/>
          <w:szCs w:val="32"/>
          <w:highlight w:val="none"/>
        </w:rPr>
        <w:t>，项目所在地包气带为第四系松散堆积体，主要为全新统粉质黏土、卵石层等；根据水位埋深确认调查范围内包气带厚度约4.6-5.7m。</w:t>
      </w:r>
    </w:p>
    <w:p w14:paraId="353E64ED">
      <w:pPr>
        <w:adjustRightInd w:val="0"/>
        <w:ind w:firstLine="480" w:firstLineChars="0"/>
        <w:rPr>
          <w:rFonts w:cs="Times New Roman"/>
          <w:color w:val="auto"/>
          <w:szCs w:val="32"/>
          <w:highlight w:val="none"/>
        </w:rPr>
      </w:pPr>
      <w:r>
        <w:rPr>
          <w:rFonts w:hint="eastAsia" w:cs="Times New Roman"/>
          <w:color w:val="auto"/>
          <w:szCs w:val="32"/>
          <w:highlight w:val="none"/>
        </w:rPr>
        <w:t>根据《环境影响评价技术导则-地下水环境》（HJ610-2016），“8.1.3对于一、二级评价的改、扩建类建设项目，应开展现有工业场地的包气带污染现状调查。”本项目地下水二级评价，属于新建项目，不再进行包气带污染现状调查。</w:t>
      </w:r>
    </w:p>
    <w:p w14:paraId="35B2A640">
      <w:pPr>
        <w:ind w:firstLine="480"/>
        <w:rPr>
          <w:color w:val="auto"/>
          <w:highlight w:val="none"/>
        </w:rPr>
      </w:pPr>
      <w:r>
        <w:rPr>
          <w:rFonts w:hint="eastAsia"/>
          <w:color w:val="auto"/>
          <w:highlight w:val="none"/>
        </w:rPr>
        <w:t>（五）含水层特征</w:t>
      </w:r>
    </w:p>
    <w:p w14:paraId="21A0AA09">
      <w:pPr>
        <w:adjustRightInd w:val="0"/>
        <w:ind w:firstLine="480" w:firstLineChars="0"/>
        <w:jc w:val="left"/>
        <w:rPr>
          <w:rFonts w:cs="Times New Roman"/>
          <w:b/>
          <w:color w:val="auto"/>
          <w:szCs w:val="32"/>
          <w:highlight w:val="none"/>
        </w:rPr>
      </w:pPr>
      <w:r>
        <w:rPr>
          <w:rFonts w:hint="eastAsia" w:cs="Times New Roman"/>
          <w:b/>
          <w:color w:val="auto"/>
          <w:szCs w:val="32"/>
          <w:highlight w:val="none"/>
        </w:rPr>
        <w:t>（1）项目附近地表水和地下水分布情况</w:t>
      </w:r>
    </w:p>
    <w:p w14:paraId="2BA7EB5F">
      <w:pPr>
        <w:adjustRightInd w:val="0"/>
        <w:ind w:firstLine="480" w:firstLineChars="0"/>
        <w:jc w:val="left"/>
        <w:rPr>
          <w:rFonts w:cs="Times New Roman"/>
          <w:bCs/>
          <w:color w:val="auto"/>
          <w:szCs w:val="32"/>
          <w:highlight w:val="none"/>
        </w:rPr>
      </w:pPr>
      <w:r>
        <w:rPr>
          <w:rFonts w:hint="eastAsia" w:cs="Times New Roman"/>
          <w:bCs/>
          <w:color w:val="auto"/>
          <w:szCs w:val="32"/>
          <w:highlight w:val="none"/>
        </w:rPr>
        <w:t>场地北侧约10m为红猫堰，低于场地约2.00m，现水深约0.20m；据访问，最大水深约1.00m，标高约384.50m。场地内已经回填，无积水坑等地表水体。场区地表水主要为北侧</w:t>
      </w:r>
      <w:r>
        <w:rPr>
          <w:rFonts w:hint="eastAsia" w:cs="Times New Roman"/>
          <w:bCs/>
          <w:color w:val="auto"/>
          <w:szCs w:val="32"/>
          <w:highlight w:val="none"/>
          <w:lang w:val="en-US" w:eastAsia="zh-CN"/>
        </w:rPr>
        <w:t>10m</w:t>
      </w:r>
      <w:r>
        <w:rPr>
          <w:rFonts w:hint="eastAsia" w:cs="Times New Roman"/>
          <w:bCs/>
          <w:color w:val="auto"/>
          <w:szCs w:val="32"/>
          <w:highlight w:val="none"/>
        </w:rPr>
        <w:t>红猫堰，与拟建项目关系较密切。</w:t>
      </w:r>
    </w:p>
    <w:p w14:paraId="63FD55A7">
      <w:pPr>
        <w:adjustRightInd w:val="0"/>
        <w:ind w:firstLine="480" w:firstLineChars="0"/>
        <w:jc w:val="left"/>
        <w:rPr>
          <w:rFonts w:cs="Times New Roman"/>
          <w:bCs/>
          <w:color w:val="auto"/>
          <w:szCs w:val="32"/>
          <w:highlight w:val="none"/>
        </w:rPr>
      </w:pPr>
      <w:r>
        <w:rPr>
          <w:rFonts w:hint="eastAsia" w:cs="Times New Roman"/>
          <w:bCs/>
          <w:color w:val="auto"/>
          <w:szCs w:val="32"/>
          <w:highlight w:val="none"/>
        </w:rPr>
        <w:t>据区域水文地质资料及钻孔揭露，场区地下水为松散堆积层孔隙水，属潜水。主要赋存于③层卵石中，属潜水，其透水性好，含水量丰富，接受大气降雨、地表水、红猫堰水的补给，顺层径流往低处排泄，并与红猫堰水呈相互补排关系。根据访问，拟建场地地下水年变幅2～4m；②层粉质粘土渗透系数约0.5～1m/d；③层卵石渗透系数约35～45m/d。根据调查访问，常年最高地下水位标高约383m，近3～5年最高地下水位标高约384m，历史最高地下水位标高约385m。可见，该层地下水与拟建工程关系密切，施工时应考虑排水措施。</w:t>
      </w:r>
    </w:p>
    <w:p w14:paraId="08CBE613">
      <w:pPr>
        <w:adjustRightInd w:val="0"/>
        <w:ind w:firstLine="480" w:firstLineChars="0"/>
        <w:jc w:val="left"/>
        <w:rPr>
          <w:rFonts w:cs="Times New Roman"/>
          <w:b/>
          <w:color w:val="auto"/>
          <w:szCs w:val="32"/>
          <w:highlight w:val="none"/>
        </w:rPr>
      </w:pPr>
      <w:r>
        <w:rPr>
          <w:rFonts w:hint="eastAsia" w:cs="Times New Roman"/>
          <w:b/>
          <w:color w:val="auto"/>
          <w:szCs w:val="32"/>
          <w:highlight w:val="none"/>
        </w:rPr>
        <w:t>（2）水文地质条件复杂程度</w:t>
      </w:r>
    </w:p>
    <w:p w14:paraId="11462ACA">
      <w:pPr>
        <w:adjustRightInd w:val="0"/>
        <w:ind w:firstLine="480" w:firstLineChars="0"/>
        <w:jc w:val="left"/>
        <w:rPr>
          <w:rFonts w:cs="Times New Roman"/>
          <w:bCs/>
          <w:color w:val="auto"/>
          <w:szCs w:val="32"/>
          <w:highlight w:val="none"/>
        </w:rPr>
      </w:pPr>
      <w:r>
        <w:rPr>
          <w:rFonts w:hint="eastAsia" w:cs="Times New Roman"/>
          <w:bCs/>
          <w:color w:val="auto"/>
          <w:szCs w:val="32"/>
          <w:highlight w:val="none"/>
        </w:rPr>
        <w:t>根据上述分析，场地地下水位埋深较大，年变幅较大，本项目场地水文地质条件复杂程度属中等复杂。</w:t>
      </w:r>
    </w:p>
    <w:p w14:paraId="4BE45096">
      <w:pPr>
        <w:adjustRightInd w:val="0"/>
        <w:ind w:firstLine="480" w:firstLineChars="0"/>
        <w:jc w:val="left"/>
        <w:rPr>
          <w:rFonts w:cs="Times New Roman"/>
          <w:b/>
          <w:color w:val="auto"/>
          <w:szCs w:val="32"/>
          <w:highlight w:val="none"/>
        </w:rPr>
      </w:pPr>
      <w:r>
        <w:rPr>
          <w:rFonts w:hint="eastAsia" w:cs="Times New Roman"/>
          <w:b/>
          <w:color w:val="auto"/>
          <w:szCs w:val="32"/>
          <w:highlight w:val="none"/>
        </w:rPr>
        <w:t>（3）富水性特征</w:t>
      </w:r>
    </w:p>
    <w:p w14:paraId="10F47618">
      <w:pPr>
        <w:adjustRightInd w:val="0"/>
        <w:ind w:firstLine="480" w:firstLineChars="0"/>
        <w:jc w:val="left"/>
        <w:rPr>
          <w:rFonts w:cs="Times New Roman"/>
          <w:bCs/>
          <w:color w:val="auto"/>
          <w:szCs w:val="32"/>
          <w:highlight w:val="none"/>
        </w:rPr>
      </w:pPr>
      <w:r>
        <w:rPr>
          <w:rFonts w:hint="eastAsia" w:cs="Times New Roman"/>
          <w:bCs/>
          <w:color w:val="auto"/>
          <w:szCs w:val="32"/>
          <w:highlight w:val="none"/>
        </w:rPr>
        <w:t xml:space="preserve">场区地下水为赋存于卵石中的潜水，场区岩土层主要为第四系冲洪积堆积层，其厚度约20m左右，而卵石厚度约15～18m左右。根据区域地质资料，其下为白垩系中统灌口组粉砂质泥岩，渗透系数较小，可视为隔水层，故含水层厚度约15～18m。 </w:t>
      </w:r>
    </w:p>
    <w:p w14:paraId="0D6323E7">
      <w:pPr>
        <w:adjustRightInd w:val="0"/>
        <w:ind w:firstLine="480" w:firstLineChars="0"/>
        <w:jc w:val="left"/>
        <w:rPr>
          <w:rFonts w:cs="Times New Roman"/>
          <w:bCs/>
          <w:color w:val="auto"/>
          <w:szCs w:val="32"/>
          <w:highlight w:val="none"/>
        </w:rPr>
      </w:pPr>
      <w:r>
        <w:rPr>
          <w:rFonts w:hint="eastAsia" w:cs="Times New Roman"/>
          <w:bCs/>
          <w:color w:val="auto"/>
          <w:szCs w:val="32"/>
          <w:highlight w:val="none"/>
        </w:rPr>
        <w:t>项目区属于强富水区（涌水量5≤q＜10m</w:t>
      </w:r>
      <w:r>
        <w:rPr>
          <w:rFonts w:hint="eastAsia" w:cs="Times New Roman"/>
          <w:bCs/>
          <w:color w:val="auto"/>
          <w:szCs w:val="32"/>
          <w:highlight w:val="none"/>
          <w:vertAlign w:val="superscript"/>
        </w:rPr>
        <w:t>3</w:t>
      </w:r>
      <w:r>
        <w:rPr>
          <w:rFonts w:hint="eastAsia" w:cs="Times New Roman"/>
          <w:bCs/>
          <w:color w:val="auto"/>
          <w:szCs w:val="32"/>
          <w:highlight w:val="none"/>
        </w:rPr>
        <w:t>/h.m），位于一级阶地，含水层以卵砾石为主，水位埋深</w:t>
      </w:r>
      <w:r>
        <w:rPr>
          <w:rFonts w:hint="eastAsia" w:cs="Times New Roman"/>
          <w:color w:val="auto"/>
          <w:szCs w:val="32"/>
          <w:highlight w:val="none"/>
        </w:rPr>
        <w:t>4.6-5.7m</w:t>
      </w:r>
      <w:r>
        <w:rPr>
          <w:rFonts w:hint="eastAsia" w:cs="Times New Roman"/>
          <w:bCs/>
          <w:color w:val="auto"/>
          <w:szCs w:val="32"/>
          <w:highlight w:val="none"/>
        </w:rPr>
        <w:t>，层厚15-18m，最大可能涌水量25.03m</w:t>
      </w:r>
      <w:r>
        <w:rPr>
          <w:rFonts w:hint="eastAsia" w:cs="Times New Roman"/>
          <w:bCs/>
          <w:color w:val="auto"/>
          <w:szCs w:val="32"/>
          <w:highlight w:val="none"/>
          <w:vertAlign w:val="superscript"/>
        </w:rPr>
        <w:t>3</w:t>
      </w:r>
      <w:r>
        <w:rPr>
          <w:rFonts w:hint="eastAsia" w:cs="Times New Roman"/>
          <w:bCs/>
          <w:color w:val="auto"/>
          <w:szCs w:val="32"/>
          <w:highlight w:val="none"/>
        </w:rPr>
        <w:t>/h.m。</w:t>
      </w:r>
    </w:p>
    <w:p w14:paraId="2F651CB3">
      <w:pPr>
        <w:adjustRightInd w:val="0"/>
        <w:ind w:firstLine="480" w:firstLineChars="0"/>
        <w:jc w:val="left"/>
        <w:rPr>
          <w:rFonts w:cs="Times New Roman"/>
          <w:b/>
          <w:color w:val="auto"/>
          <w:szCs w:val="32"/>
          <w:highlight w:val="none"/>
        </w:rPr>
      </w:pPr>
      <w:r>
        <w:rPr>
          <w:rFonts w:hint="eastAsia" w:cs="Times New Roman"/>
          <w:b/>
          <w:color w:val="auto"/>
          <w:szCs w:val="32"/>
          <w:highlight w:val="none"/>
        </w:rPr>
        <w:t>（4）含水层特征</w:t>
      </w:r>
    </w:p>
    <w:p w14:paraId="550AD951">
      <w:pPr>
        <w:adjustRightInd w:val="0"/>
        <w:ind w:firstLine="480" w:firstLineChars="0"/>
        <w:rPr>
          <w:rFonts w:cs="Times New Roman"/>
          <w:color w:val="auto"/>
          <w:szCs w:val="24"/>
          <w:highlight w:val="none"/>
        </w:rPr>
      </w:pPr>
      <w:r>
        <w:rPr>
          <w:rFonts w:hint="eastAsia" w:hAnsi="宋体" w:cs="Times New Roman"/>
          <w:color w:val="auto"/>
          <w:szCs w:val="24"/>
          <w:highlight w:val="none"/>
        </w:rPr>
        <w:t>本项目场地</w:t>
      </w:r>
      <w:r>
        <w:rPr>
          <w:rFonts w:hAnsi="宋体" w:cs="Times New Roman"/>
          <w:color w:val="auto"/>
          <w:szCs w:val="24"/>
          <w:highlight w:val="none"/>
        </w:rPr>
        <w:t>位于</w:t>
      </w:r>
      <w:r>
        <w:rPr>
          <w:rFonts w:hint="eastAsia" w:hAnsi="宋体" w:cs="Times New Roman"/>
          <w:color w:val="auto"/>
          <w:szCs w:val="24"/>
          <w:highlight w:val="none"/>
        </w:rPr>
        <w:t>大渡河</w:t>
      </w:r>
      <w:r>
        <w:rPr>
          <w:rFonts w:hAnsi="宋体" w:cs="Times New Roman"/>
          <w:color w:val="auto"/>
          <w:szCs w:val="24"/>
          <w:highlight w:val="none"/>
        </w:rPr>
        <w:t>以北的冲、洪积平原</w:t>
      </w:r>
      <w:r>
        <w:rPr>
          <w:rFonts w:hint="eastAsia" w:cs="Times New Roman"/>
          <w:color w:val="auto"/>
          <w:szCs w:val="24"/>
          <w:highlight w:val="none"/>
        </w:rPr>
        <w:t>I</w:t>
      </w:r>
      <w:r>
        <w:rPr>
          <w:rFonts w:hAnsi="宋体" w:cs="Times New Roman"/>
          <w:color w:val="auto"/>
          <w:szCs w:val="24"/>
          <w:highlight w:val="none"/>
        </w:rPr>
        <w:t>级阶地之上，地下水按埋藏条件可分为上层滞水、潜水含水层</w:t>
      </w:r>
      <w:r>
        <w:rPr>
          <w:rFonts w:hint="eastAsia" w:cs="Times New Roman"/>
          <w:color w:val="auto"/>
          <w:szCs w:val="24"/>
          <w:highlight w:val="none"/>
        </w:rPr>
        <w:t>两</w:t>
      </w:r>
      <w:r>
        <w:rPr>
          <w:rFonts w:hAnsi="宋体" w:cs="Times New Roman"/>
          <w:color w:val="auto"/>
          <w:szCs w:val="24"/>
          <w:highlight w:val="none"/>
        </w:rPr>
        <w:t>类。</w:t>
      </w:r>
    </w:p>
    <w:p w14:paraId="1C3FCD8C">
      <w:pPr>
        <w:adjustRightInd w:val="0"/>
        <w:ind w:left="482" w:firstLine="0" w:firstLineChars="0"/>
        <w:rPr>
          <w:rFonts w:cs="Times New Roman"/>
          <w:b/>
          <w:bCs/>
          <w:color w:val="auto"/>
          <w:szCs w:val="24"/>
          <w:highlight w:val="none"/>
        </w:rPr>
      </w:pPr>
      <w:r>
        <w:rPr>
          <w:rFonts w:hint="eastAsia" w:hAnsi="宋体" w:cs="Times New Roman"/>
          <w:b/>
          <w:bCs/>
          <w:color w:val="auto"/>
          <w:szCs w:val="24"/>
          <w:highlight w:val="none"/>
        </w:rPr>
        <w:t>①</w:t>
      </w:r>
      <w:r>
        <w:rPr>
          <w:rFonts w:hAnsi="宋体" w:cs="Times New Roman"/>
          <w:b/>
          <w:bCs/>
          <w:color w:val="auto"/>
          <w:szCs w:val="24"/>
          <w:highlight w:val="none"/>
        </w:rPr>
        <w:t>上层滞水</w:t>
      </w:r>
    </w:p>
    <w:p w14:paraId="56BD3485">
      <w:pPr>
        <w:adjustRightInd w:val="0"/>
        <w:ind w:firstLine="480" w:firstLineChars="0"/>
        <w:rPr>
          <w:rFonts w:cs="Times New Roman"/>
          <w:color w:val="auto"/>
          <w:szCs w:val="24"/>
          <w:highlight w:val="none"/>
        </w:rPr>
      </w:pPr>
      <w:r>
        <w:rPr>
          <w:rFonts w:hint="eastAsia" w:hAnsi="宋体" w:cs="Times New Roman"/>
          <w:color w:val="auto"/>
          <w:szCs w:val="24"/>
          <w:highlight w:val="none"/>
        </w:rPr>
        <w:t>本项目场地</w:t>
      </w:r>
      <w:r>
        <w:rPr>
          <w:rFonts w:hAnsi="宋体" w:cs="Times New Roman"/>
          <w:color w:val="auto"/>
          <w:szCs w:val="24"/>
          <w:highlight w:val="none"/>
        </w:rPr>
        <w:t>位于冲积平原之上，区内分布大范围的粉质粘土组成的覆盖层，由于粘土层渗透性差，形成局部隔水层。上部粉质粘土一般具有微膨胀性，在大气影响带多发育裂隙。区内降雨充沛，地表水系发育，尤其以</w:t>
      </w:r>
      <w:r>
        <w:rPr>
          <w:rFonts w:hint="eastAsia" w:cs="Times New Roman"/>
          <w:bCs/>
          <w:color w:val="auto"/>
          <w:szCs w:val="32"/>
          <w:highlight w:val="none"/>
        </w:rPr>
        <w:t>红猫堰和大渡河生态河</w:t>
      </w:r>
      <w:r>
        <w:rPr>
          <w:rFonts w:hAnsi="宋体" w:cs="Times New Roman"/>
          <w:color w:val="auto"/>
          <w:szCs w:val="24"/>
          <w:highlight w:val="none"/>
        </w:rPr>
        <w:t>为主干构成的灌溉网，为土壤水的形成提供了条件。所以区内土壤水分布普遍，且较为丰富。土壤水随大气降水和渠道水的影响，其分布范围和水位变化较大，一般沿</w:t>
      </w:r>
      <w:r>
        <w:rPr>
          <w:rFonts w:hint="eastAsia" w:hAnsi="宋体" w:cs="Times New Roman"/>
          <w:color w:val="auto"/>
          <w:szCs w:val="24"/>
          <w:highlight w:val="none"/>
        </w:rPr>
        <w:t>地形坡度</w:t>
      </w:r>
      <w:r>
        <w:rPr>
          <w:rFonts w:hAnsi="宋体" w:cs="Times New Roman"/>
          <w:color w:val="auto"/>
          <w:szCs w:val="24"/>
          <w:highlight w:val="none"/>
        </w:rPr>
        <w:t>缓慢流动，大部分入渗补充下层潜水含水层。雨季降水较多时，地表水下渗，上层滞水水位较浅。</w:t>
      </w:r>
    </w:p>
    <w:p w14:paraId="3394C927">
      <w:pPr>
        <w:adjustRightInd w:val="0"/>
        <w:ind w:left="482" w:firstLine="0" w:firstLineChars="0"/>
        <w:rPr>
          <w:rFonts w:hAnsi="宋体" w:cs="Times New Roman"/>
          <w:b/>
          <w:bCs/>
          <w:color w:val="auto"/>
          <w:szCs w:val="24"/>
          <w:highlight w:val="none"/>
        </w:rPr>
      </w:pPr>
      <w:r>
        <w:rPr>
          <w:rFonts w:hint="eastAsia" w:hAnsi="宋体" w:cs="Times New Roman"/>
          <w:b/>
          <w:bCs/>
          <w:color w:val="auto"/>
          <w:szCs w:val="24"/>
          <w:highlight w:val="none"/>
        </w:rPr>
        <w:t>②</w:t>
      </w:r>
      <w:r>
        <w:rPr>
          <w:rFonts w:hAnsi="宋体" w:cs="Times New Roman"/>
          <w:b/>
          <w:bCs/>
          <w:color w:val="auto"/>
          <w:szCs w:val="24"/>
          <w:highlight w:val="none"/>
        </w:rPr>
        <w:t>潜水含水层</w:t>
      </w:r>
    </w:p>
    <w:p w14:paraId="6DF5BA27">
      <w:pPr>
        <w:adjustRightInd w:val="0"/>
        <w:ind w:firstLine="480" w:firstLineChars="0"/>
        <w:rPr>
          <w:rFonts w:hAnsi="宋体" w:cs="Times New Roman"/>
          <w:color w:val="auto"/>
          <w:szCs w:val="24"/>
          <w:highlight w:val="none"/>
        </w:rPr>
      </w:pPr>
      <w:r>
        <w:rPr>
          <w:rFonts w:hint="eastAsia" w:hAnsi="宋体" w:cs="Times New Roman"/>
          <w:color w:val="auto"/>
          <w:szCs w:val="24"/>
          <w:highlight w:val="none"/>
        </w:rPr>
        <w:t>本项目场地</w:t>
      </w:r>
      <w:r>
        <w:rPr>
          <w:rFonts w:hAnsi="宋体" w:cs="Times New Roman"/>
          <w:color w:val="auto"/>
          <w:szCs w:val="24"/>
          <w:highlight w:val="none"/>
        </w:rPr>
        <w:t>位于</w:t>
      </w:r>
      <w:r>
        <w:rPr>
          <w:rFonts w:hint="eastAsia" w:hAnsi="宋体" w:cs="Times New Roman"/>
          <w:color w:val="auto"/>
          <w:szCs w:val="24"/>
          <w:highlight w:val="none"/>
        </w:rPr>
        <w:t>大渡河</w:t>
      </w:r>
      <w:r>
        <w:rPr>
          <w:rFonts w:hAnsi="宋体" w:cs="Times New Roman"/>
          <w:color w:val="auto"/>
          <w:szCs w:val="24"/>
          <w:highlight w:val="none"/>
        </w:rPr>
        <w:t>北岸</w:t>
      </w:r>
      <w:r>
        <w:rPr>
          <w:rFonts w:hint="eastAsia" w:cs="Times New Roman"/>
          <w:color w:val="auto"/>
          <w:szCs w:val="24"/>
          <w:highlight w:val="none"/>
        </w:rPr>
        <w:t>I</w:t>
      </w:r>
      <w:r>
        <w:rPr>
          <w:rFonts w:hAnsi="宋体" w:cs="Times New Roman"/>
          <w:color w:val="auto"/>
          <w:szCs w:val="24"/>
          <w:highlight w:val="none"/>
        </w:rPr>
        <w:t>级阶地，潜水含水层岩性</w:t>
      </w:r>
      <w:r>
        <w:rPr>
          <w:rFonts w:hint="eastAsia" w:hAnsi="宋体" w:cs="Times New Roman"/>
          <w:color w:val="auto"/>
          <w:szCs w:val="24"/>
          <w:highlight w:val="none"/>
        </w:rPr>
        <w:t>以第四系全新统冲积砂砾卵石层为主，</w:t>
      </w:r>
      <w:r>
        <w:rPr>
          <w:rFonts w:hint="eastAsia" w:cs="Times New Roman"/>
          <w:bCs/>
          <w:color w:val="auto"/>
          <w:szCs w:val="32"/>
          <w:highlight w:val="none"/>
        </w:rPr>
        <w:t>卵石厚度约15～18m左右。</w:t>
      </w:r>
      <w:r>
        <w:rPr>
          <w:rFonts w:hint="eastAsia" w:hAnsi="宋体" w:cs="Times New Roman"/>
          <w:color w:val="auto"/>
          <w:szCs w:val="24"/>
          <w:highlight w:val="none"/>
        </w:rPr>
        <w:t>根据实测水位，</w:t>
      </w:r>
      <w:r>
        <w:rPr>
          <w:rFonts w:hAnsi="宋体" w:cs="Times New Roman"/>
          <w:color w:val="auto"/>
          <w:szCs w:val="24"/>
          <w:highlight w:val="none"/>
        </w:rPr>
        <w:t>潜水位埋深在</w:t>
      </w:r>
      <w:r>
        <w:rPr>
          <w:rFonts w:hint="eastAsia" w:cs="Times New Roman"/>
          <w:color w:val="auto"/>
          <w:szCs w:val="24"/>
          <w:highlight w:val="none"/>
        </w:rPr>
        <w:t>4.6</w:t>
      </w:r>
      <w:r>
        <w:rPr>
          <w:rFonts w:cs="Times New Roman"/>
          <w:color w:val="auto"/>
          <w:szCs w:val="24"/>
          <w:highlight w:val="none"/>
        </w:rPr>
        <w:t>~</w:t>
      </w:r>
      <w:r>
        <w:rPr>
          <w:rFonts w:hint="eastAsia" w:cs="Times New Roman"/>
          <w:color w:val="auto"/>
          <w:szCs w:val="24"/>
          <w:highlight w:val="none"/>
        </w:rPr>
        <w:t>5.7</w:t>
      </w:r>
      <w:r>
        <w:rPr>
          <w:rFonts w:cs="Times New Roman"/>
          <w:color w:val="auto"/>
          <w:szCs w:val="24"/>
          <w:highlight w:val="none"/>
        </w:rPr>
        <w:t>m</w:t>
      </w:r>
      <w:r>
        <w:rPr>
          <w:rFonts w:hAnsi="宋体" w:cs="Times New Roman"/>
          <w:color w:val="auto"/>
          <w:szCs w:val="24"/>
          <w:highlight w:val="none"/>
        </w:rPr>
        <w:t>之间，含水层厚度约</w:t>
      </w:r>
      <w:r>
        <w:rPr>
          <w:rFonts w:hint="eastAsia" w:cs="Times New Roman"/>
          <w:bCs/>
          <w:color w:val="auto"/>
          <w:szCs w:val="32"/>
          <w:highlight w:val="none"/>
        </w:rPr>
        <w:t>15～18m，其下白垩系中统灌口组粉砂质泥岩，渗透系数较小，属于隔水层</w:t>
      </w:r>
      <w:r>
        <w:rPr>
          <w:rFonts w:hAnsi="宋体" w:cs="Times New Roman"/>
          <w:color w:val="auto"/>
          <w:szCs w:val="24"/>
          <w:highlight w:val="none"/>
        </w:rPr>
        <w:t>。据勘探孔资料显示，富水性较强，单孔涌水量达到</w:t>
      </w:r>
      <w:r>
        <w:rPr>
          <w:rFonts w:hint="eastAsia" w:cs="Times New Roman"/>
          <w:bCs/>
          <w:color w:val="auto"/>
          <w:szCs w:val="32"/>
          <w:highlight w:val="none"/>
        </w:rPr>
        <w:t>涌水量25.03m</w:t>
      </w:r>
      <w:r>
        <w:rPr>
          <w:rFonts w:hint="eastAsia" w:cs="Times New Roman"/>
          <w:bCs/>
          <w:color w:val="auto"/>
          <w:szCs w:val="32"/>
          <w:highlight w:val="none"/>
          <w:vertAlign w:val="superscript"/>
        </w:rPr>
        <w:t>3</w:t>
      </w:r>
      <w:r>
        <w:rPr>
          <w:rFonts w:hint="eastAsia" w:cs="Times New Roman"/>
          <w:bCs/>
          <w:color w:val="auto"/>
          <w:szCs w:val="32"/>
          <w:highlight w:val="none"/>
        </w:rPr>
        <w:t>/h.m</w:t>
      </w:r>
      <w:r>
        <w:rPr>
          <w:rFonts w:hAnsi="宋体" w:cs="Times New Roman"/>
          <w:color w:val="auto"/>
          <w:szCs w:val="24"/>
          <w:highlight w:val="none"/>
        </w:rPr>
        <w:t>。潜水含水层主要接受降水入渗补给、侧向径流补给，自北向南径流，最终排入</w:t>
      </w:r>
      <w:r>
        <w:rPr>
          <w:rFonts w:hint="eastAsia" w:hAnsi="宋体" w:cs="Times New Roman"/>
          <w:color w:val="auto"/>
          <w:szCs w:val="24"/>
          <w:highlight w:val="none"/>
        </w:rPr>
        <w:t>大渡河生态河</w:t>
      </w:r>
      <w:r>
        <w:rPr>
          <w:rFonts w:hAnsi="宋体" w:cs="Times New Roman"/>
          <w:color w:val="auto"/>
          <w:szCs w:val="24"/>
          <w:highlight w:val="none"/>
        </w:rPr>
        <w:t>。</w:t>
      </w:r>
    </w:p>
    <w:p w14:paraId="06F353F8">
      <w:pPr>
        <w:adjustRightInd w:val="0"/>
        <w:ind w:firstLine="480" w:firstLineChars="0"/>
        <w:rPr>
          <w:rFonts w:hAnsi="宋体" w:cs="Times New Roman"/>
          <w:color w:val="auto"/>
          <w:szCs w:val="24"/>
          <w:highlight w:val="none"/>
        </w:rPr>
      </w:pPr>
      <w:r>
        <w:rPr>
          <w:rFonts w:hint="eastAsia" w:hAnsi="宋体" w:cs="Times New Roman"/>
          <w:color w:val="auto"/>
          <w:szCs w:val="24"/>
          <w:highlight w:val="none"/>
        </w:rPr>
        <w:t>此外，在距离本项目东南侧约1.38km处为</w:t>
      </w:r>
      <w:r>
        <w:rPr>
          <w:rFonts w:cs="Times New Roman"/>
          <w:color w:val="auto"/>
          <w:szCs w:val="24"/>
          <w:highlight w:val="none"/>
        </w:rPr>
        <w:t>大渡河安谷电站</w:t>
      </w:r>
      <w:r>
        <w:rPr>
          <w:rFonts w:hint="eastAsia" w:cs="Times New Roman"/>
          <w:color w:val="auto"/>
          <w:szCs w:val="24"/>
          <w:highlight w:val="none"/>
        </w:rPr>
        <w:t>，由于</w:t>
      </w:r>
      <w:r>
        <w:rPr>
          <w:rFonts w:hint="eastAsia" w:hAnsi="宋体" w:cs="Times New Roman"/>
          <w:color w:val="auto"/>
          <w:szCs w:val="24"/>
          <w:highlight w:val="none"/>
        </w:rPr>
        <w:t>大渡河</w:t>
      </w:r>
      <w:r>
        <w:rPr>
          <w:rFonts w:cs="Times New Roman"/>
          <w:color w:val="auto"/>
          <w:szCs w:val="24"/>
          <w:highlight w:val="none"/>
        </w:rPr>
        <w:t>安谷电站</w:t>
      </w:r>
      <w:r>
        <w:rPr>
          <w:rFonts w:hint="eastAsia" w:cs="Times New Roman"/>
          <w:color w:val="auto"/>
          <w:szCs w:val="24"/>
          <w:highlight w:val="none"/>
        </w:rPr>
        <w:t>蓄水，造成</w:t>
      </w:r>
      <w:r>
        <w:rPr>
          <w:rFonts w:hint="eastAsia" w:hAnsi="宋体" w:cs="Times New Roman"/>
          <w:color w:val="auto"/>
          <w:szCs w:val="24"/>
          <w:highlight w:val="none"/>
        </w:rPr>
        <w:t>大渡河</w:t>
      </w:r>
      <w:r>
        <w:rPr>
          <w:rFonts w:cs="Times New Roman"/>
          <w:color w:val="auto"/>
          <w:szCs w:val="24"/>
          <w:highlight w:val="none"/>
        </w:rPr>
        <w:t>安谷电站</w:t>
      </w:r>
      <w:r>
        <w:rPr>
          <w:rFonts w:hint="eastAsia" w:cs="Times New Roman"/>
          <w:color w:val="auto"/>
          <w:szCs w:val="24"/>
          <w:highlight w:val="none"/>
        </w:rPr>
        <w:t>库区水位抬升，靠近安谷电站库区的区域，接受</w:t>
      </w:r>
      <w:r>
        <w:rPr>
          <w:rFonts w:cs="Times New Roman"/>
          <w:color w:val="auto"/>
          <w:szCs w:val="24"/>
          <w:highlight w:val="none"/>
        </w:rPr>
        <w:t>安谷电站</w:t>
      </w:r>
      <w:r>
        <w:rPr>
          <w:rFonts w:hint="eastAsia" w:cs="Times New Roman"/>
          <w:color w:val="auto"/>
          <w:szCs w:val="24"/>
          <w:highlight w:val="none"/>
        </w:rPr>
        <w:t>库区的地下水补给。</w:t>
      </w:r>
    </w:p>
    <w:p w14:paraId="3FE916DA">
      <w:pPr>
        <w:adjustRightInd w:val="0"/>
        <w:ind w:firstLine="480" w:firstLineChars="0"/>
        <w:jc w:val="left"/>
        <w:rPr>
          <w:rFonts w:cs="Times New Roman"/>
          <w:b/>
          <w:color w:val="auto"/>
          <w:szCs w:val="32"/>
          <w:highlight w:val="none"/>
        </w:rPr>
      </w:pPr>
      <w:r>
        <w:rPr>
          <w:rFonts w:hint="eastAsia" w:cs="Times New Roman"/>
          <w:b/>
          <w:color w:val="auto"/>
          <w:szCs w:val="32"/>
          <w:highlight w:val="none"/>
        </w:rPr>
        <w:t>（4）地下水动态特征</w:t>
      </w:r>
    </w:p>
    <w:p w14:paraId="6C1E8727">
      <w:pPr>
        <w:adjustRightInd w:val="0"/>
        <w:ind w:firstLine="480" w:firstLineChars="0"/>
        <w:jc w:val="left"/>
        <w:rPr>
          <w:rFonts w:hAnsi="宋体" w:cs="Times New Roman"/>
          <w:color w:val="auto"/>
          <w:szCs w:val="24"/>
          <w:highlight w:val="none"/>
        </w:rPr>
      </w:pPr>
      <w:r>
        <w:rPr>
          <w:rFonts w:cs="Times New Roman"/>
          <w:color w:val="auto"/>
          <w:szCs w:val="24"/>
          <w:highlight w:val="none"/>
        </w:rPr>
        <w:t>根据</w:t>
      </w:r>
      <w:r>
        <w:rPr>
          <w:rFonts w:hint="eastAsia" w:cs="Times New Roman"/>
          <w:color w:val="auto"/>
          <w:szCs w:val="24"/>
          <w:highlight w:val="none"/>
        </w:rPr>
        <w:t>《沙湾区新建50万吨锂矿加工综合利用项目岩土工程勘察报告（详细勘察）》</w:t>
      </w:r>
      <w:r>
        <w:rPr>
          <w:rFonts w:cs="Times New Roman"/>
          <w:color w:val="auto"/>
          <w:szCs w:val="24"/>
          <w:highlight w:val="none"/>
        </w:rPr>
        <w:t>，</w:t>
      </w:r>
      <w:r>
        <w:rPr>
          <w:rFonts w:hint="eastAsia" w:cs="Times New Roman"/>
          <w:bCs/>
          <w:color w:val="auto"/>
          <w:szCs w:val="32"/>
          <w:highlight w:val="none"/>
        </w:rPr>
        <w:t>场地揭露的地下水主要为赋存于③层卵石中的潜水，具埋藏较浅、季节性变化明显的特点。水位明显受大气降水影响，变化较大。调查时揭露稳定的地下水位4.60～5.70m，标高380.60～381.85m，年变幅2～4m，最高水位约385.00m。该层地下水与拟建项目关系较密切</w:t>
      </w:r>
      <w:r>
        <w:rPr>
          <w:rFonts w:hAnsi="宋体" w:cs="Times New Roman"/>
          <w:color w:val="auto"/>
          <w:szCs w:val="24"/>
          <w:highlight w:val="none"/>
        </w:rPr>
        <w:t>。</w:t>
      </w:r>
    </w:p>
    <w:p w14:paraId="6A33DAD4">
      <w:pPr>
        <w:ind w:firstLine="480"/>
        <w:rPr>
          <w:color w:val="auto"/>
          <w:highlight w:val="none"/>
        </w:rPr>
      </w:pPr>
      <w:r>
        <w:rPr>
          <w:rFonts w:hint="eastAsia"/>
          <w:color w:val="auto"/>
          <w:highlight w:val="none"/>
        </w:rPr>
        <w:t>（六）地下水化学类型</w:t>
      </w:r>
    </w:p>
    <w:p w14:paraId="625ED400">
      <w:pPr>
        <w:adjustRightInd w:val="0"/>
        <w:ind w:firstLine="480" w:firstLineChars="0"/>
        <w:rPr>
          <w:rFonts w:cs="Times New Roman"/>
          <w:color w:val="auto"/>
          <w:szCs w:val="24"/>
          <w:highlight w:val="none"/>
        </w:rPr>
      </w:pPr>
      <w:r>
        <w:rPr>
          <w:rFonts w:cs="Times New Roman"/>
          <w:color w:val="auto"/>
          <w:szCs w:val="24"/>
          <w:highlight w:val="none"/>
        </w:rPr>
        <w:t>为查明评价区地下水水化学特征，</w:t>
      </w:r>
      <w:r>
        <w:rPr>
          <w:rFonts w:hint="eastAsia" w:cs="Times New Roman"/>
          <w:color w:val="auto"/>
          <w:szCs w:val="24"/>
          <w:highlight w:val="none"/>
        </w:rPr>
        <w:t>本项目引用2025年9月15日至9月22日四川蓉诚优创环境科技有限公司对本项目周边开展的地下水</w:t>
      </w:r>
      <w:r>
        <w:rPr>
          <w:rFonts w:cs="Times New Roman"/>
          <w:color w:val="auto"/>
          <w:szCs w:val="24"/>
          <w:highlight w:val="none"/>
        </w:rPr>
        <w:t>现场采样及检测</w:t>
      </w:r>
      <w:r>
        <w:rPr>
          <w:rFonts w:hint="eastAsia" w:cs="Times New Roman"/>
          <w:color w:val="auto"/>
          <w:szCs w:val="24"/>
          <w:highlight w:val="none"/>
        </w:rPr>
        <w:t>数据</w:t>
      </w:r>
      <w:r>
        <w:rPr>
          <w:rFonts w:cs="Times New Roman"/>
          <w:color w:val="auto"/>
          <w:szCs w:val="24"/>
          <w:highlight w:val="none"/>
        </w:rPr>
        <w:t>，共布设7处地下水</w:t>
      </w:r>
      <w:r>
        <w:rPr>
          <w:rFonts w:hint="eastAsia" w:cs="Times New Roman"/>
          <w:color w:val="auto"/>
          <w:szCs w:val="24"/>
          <w:highlight w:val="none"/>
        </w:rPr>
        <w:t>水质</w:t>
      </w:r>
      <w:r>
        <w:rPr>
          <w:rFonts w:cs="Times New Roman"/>
          <w:color w:val="auto"/>
          <w:szCs w:val="24"/>
          <w:highlight w:val="none"/>
        </w:rPr>
        <w:t>监测点位。</w:t>
      </w:r>
    </w:p>
    <w:p w14:paraId="6AF7EDCC">
      <w:pPr>
        <w:adjustRightInd w:val="0"/>
        <w:ind w:firstLine="480" w:firstLineChars="0"/>
        <w:rPr>
          <w:rFonts w:cs="Times New Roman"/>
          <w:color w:val="auto"/>
          <w:szCs w:val="24"/>
          <w:highlight w:val="none"/>
        </w:rPr>
      </w:pPr>
      <w:r>
        <w:rPr>
          <w:rFonts w:cs="Times New Roman"/>
          <w:color w:val="auto"/>
          <w:szCs w:val="24"/>
          <w:highlight w:val="none"/>
        </w:rPr>
        <w:t>地下水八大离子监测结果如下：</w:t>
      </w:r>
    </w:p>
    <w:p w14:paraId="446A973B">
      <w:pPr>
        <w:pStyle w:val="12"/>
        <w:adjustRightInd w:val="0"/>
        <w:rPr>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项目区内地下水常量组分特征简表 单位：mg/L，pH除外</w:t>
      </w:r>
    </w:p>
    <w:tbl>
      <w:tblPr>
        <w:tblStyle w:val="31"/>
        <w:tblW w:w="4999" w:type="pct"/>
        <w:tblInd w:w="0" w:type="dxa"/>
        <w:tblLayout w:type="autofit"/>
        <w:tblCellMar>
          <w:top w:w="0" w:type="dxa"/>
          <w:left w:w="108" w:type="dxa"/>
          <w:bottom w:w="0" w:type="dxa"/>
          <w:right w:w="108" w:type="dxa"/>
        </w:tblCellMar>
      </w:tblPr>
      <w:tblGrid>
        <w:gridCol w:w="1523"/>
        <w:gridCol w:w="1074"/>
        <w:gridCol w:w="1076"/>
        <w:gridCol w:w="1076"/>
        <w:gridCol w:w="1076"/>
        <w:gridCol w:w="1076"/>
        <w:gridCol w:w="1076"/>
        <w:gridCol w:w="1081"/>
      </w:tblGrid>
      <w:tr w14:paraId="6F6B87B6">
        <w:tblPrEx>
          <w:tblCellMar>
            <w:top w:w="0" w:type="dxa"/>
            <w:left w:w="108" w:type="dxa"/>
            <w:bottom w:w="0" w:type="dxa"/>
            <w:right w:w="108" w:type="dxa"/>
          </w:tblCellMar>
        </w:tblPrEx>
        <w:trPr>
          <w:trHeight w:val="270" w:hRule="atLeast"/>
          <w:tblHeader/>
        </w:trPr>
        <w:tc>
          <w:tcPr>
            <w:tcW w:w="826"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48389078">
            <w:pPr>
              <w:pStyle w:val="37"/>
              <w:adjustRightInd w:val="0"/>
              <w:spacing w:before="62" w:after="62"/>
              <w:rPr>
                <w:b/>
                <w:bCs/>
                <w:color w:val="auto"/>
                <w:highlight w:val="none"/>
              </w:rPr>
            </w:pPr>
            <w:r>
              <w:rPr>
                <w:rFonts w:hint="eastAsia"/>
                <w:b/>
                <w:bCs/>
                <w:color w:val="auto"/>
                <w:highlight w:val="none"/>
              </w:rPr>
              <w:t>监测项目</w:t>
            </w:r>
          </w:p>
        </w:tc>
        <w:tc>
          <w:tcPr>
            <w:tcW w:w="4173" w:type="pct"/>
            <w:gridSpan w:val="7"/>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B23DC">
            <w:pPr>
              <w:pStyle w:val="37"/>
              <w:adjustRightInd w:val="0"/>
              <w:spacing w:before="62" w:after="62"/>
              <w:rPr>
                <w:b/>
                <w:bCs/>
                <w:color w:val="auto"/>
                <w:highlight w:val="none"/>
              </w:rPr>
            </w:pPr>
            <w:r>
              <w:rPr>
                <w:rFonts w:hint="eastAsia"/>
                <w:b/>
                <w:bCs/>
                <w:color w:val="auto"/>
                <w:highlight w:val="none"/>
              </w:rPr>
              <w:t>监测结果</w:t>
            </w:r>
          </w:p>
        </w:tc>
      </w:tr>
      <w:tr w14:paraId="44B61F20">
        <w:tblPrEx>
          <w:tblCellMar>
            <w:top w:w="0" w:type="dxa"/>
            <w:left w:w="108" w:type="dxa"/>
            <w:bottom w:w="0" w:type="dxa"/>
            <w:right w:w="108" w:type="dxa"/>
          </w:tblCellMar>
        </w:tblPrEx>
        <w:trPr>
          <w:trHeight w:val="270" w:hRule="atLeast"/>
          <w:tblHeader/>
        </w:trPr>
        <w:tc>
          <w:tcPr>
            <w:tcW w:w="82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23453">
            <w:pPr>
              <w:pStyle w:val="37"/>
              <w:adjustRightInd w:val="0"/>
              <w:spacing w:before="62" w:after="62"/>
              <w:rPr>
                <w:b/>
                <w:bCs/>
                <w:color w:val="auto"/>
                <w:highlight w:val="none"/>
              </w:rPr>
            </w:pP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E1A84">
            <w:pPr>
              <w:pStyle w:val="37"/>
              <w:adjustRightInd w:val="0"/>
              <w:spacing w:before="62" w:after="62"/>
              <w:rPr>
                <w:b/>
                <w:bCs/>
                <w:color w:val="auto"/>
                <w:highlight w:val="none"/>
              </w:rPr>
            </w:pPr>
            <w:r>
              <w:rPr>
                <w:rFonts w:hint="eastAsia"/>
                <w:b/>
                <w:bCs/>
                <w:color w:val="auto"/>
                <w:highlight w:val="none"/>
              </w:rPr>
              <w:t>W1</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ABDC92">
            <w:pPr>
              <w:pStyle w:val="37"/>
              <w:adjustRightInd w:val="0"/>
              <w:spacing w:before="62" w:after="62"/>
              <w:rPr>
                <w:b/>
                <w:bCs/>
                <w:color w:val="auto"/>
                <w:highlight w:val="none"/>
              </w:rPr>
            </w:pPr>
            <w:r>
              <w:rPr>
                <w:rFonts w:hint="eastAsia"/>
                <w:b/>
                <w:bCs/>
                <w:color w:val="auto"/>
                <w:highlight w:val="none"/>
              </w:rPr>
              <w:t>W2</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39A3BB">
            <w:pPr>
              <w:pStyle w:val="37"/>
              <w:adjustRightInd w:val="0"/>
              <w:spacing w:before="62" w:after="62"/>
              <w:rPr>
                <w:b/>
                <w:bCs/>
                <w:color w:val="auto"/>
                <w:highlight w:val="none"/>
              </w:rPr>
            </w:pPr>
            <w:r>
              <w:rPr>
                <w:rFonts w:hint="eastAsia"/>
                <w:b/>
                <w:bCs/>
                <w:color w:val="auto"/>
                <w:highlight w:val="none"/>
              </w:rPr>
              <w:t>W3</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B1CD7">
            <w:pPr>
              <w:pStyle w:val="37"/>
              <w:adjustRightInd w:val="0"/>
              <w:spacing w:before="62" w:after="62"/>
              <w:rPr>
                <w:b/>
                <w:bCs/>
                <w:color w:val="auto"/>
                <w:highlight w:val="none"/>
              </w:rPr>
            </w:pPr>
            <w:r>
              <w:rPr>
                <w:rFonts w:hint="eastAsia"/>
                <w:b/>
                <w:bCs/>
                <w:color w:val="auto"/>
                <w:highlight w:val="none"/>
              </w:rPr>
              <w:t>W4</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E5121">
            <w:pPr>
              <w:pStyle w:val="37"/>
              <w:adjustRightInd w:val="0"/>
              <w:spacing w:before="62" w:after="62"/>
              <w:rPr>
                <w:b/>
                <w:bCs/>
                <w:color w:val="auto"/>
                <w:highlight w:val="none"/>
              </w:rPr>
            </w:pPr>
            <w:r>
              <w:rPr>
                <w:rFonts w:hint="eastAsia"/>
                <w:b/>
                <w:bCs/>
                <w:color w:val="auto"/>
                <w:highlight w:val="none"/>
              </w:rPr>
              <w:t>W5</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B1D8E">
            <w:pPr>
              <w:pStyle w:val="37"/>
              <w:adjustRightInd w:val="0"/>
              <w:spacing w:before="62" w:after="62"/>
              <w:rPr>
                <w:b/>
                <w:bCs/>
                <w:color w:val="auto"/>
                <w:highlight w:val="none"/>
              </w:rPr>
            </w:pPr>
            <w:r>
              <w:rPr>
                <w:rFonts w:hint="eastAsia"/>
                <w:b/>
                <w:bCs/>
                <w:color w:val="auto"/>
                <w:highlight w:val="none"/>
              </w:rPr>
              <w:t>W6</w:t>
            </w: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C99DC4">
            <w:pPr>
              <w:pStyle w:val="37"/>
              <w:adjustRightInd w:val="0"/>
              <w:spacing w:before="62" w:after="62"/>
              <w:rPr>
                <w:b/>
                <w:bCs/>
                <w:color w:val="auto"/>
                <w:highlight w:val="none"/>
              </w:rPr>
            </w:pPr>
            <w:r>
              <w:rPr>
                <w:rFonts w:hint="eastAsia"/>
                <w:b/>
                <w:bCs/>
                <w:color w:val="auto"/>
                <w:highlight w:val="none"/>
              </w:rPr>
              <w:t>W7</w:t>
            </w:r>
          </w:p>
        </w:tc>
      </w:tr>
      <w:tr w14:paraId="7DF7A63E">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4EDF0">
            <w:pPr>
              <w:pStyle w:val="37"/>
              <w:adjustRightInd w:val="0"/>
              <w:spacing w:before="62" w:after="62"/>
              <w:rPr>
                <w:color w:val="auto"/>
                <w:highlight w:val="none"/>
              </w:rPr>
            </w:pPr>
            <w:r>
              <w:rPr>
                <w:rFonts w:hint="eastAsia"/>
                <w:color w:val="auto"/>
                <w:highlight w:val="none"/>
              </w:rPr>
              <w:t>pH（无量纲）</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B8C577">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C1F5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CA9CBA">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B62CA">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39A357">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C372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C47B4">
            <w:pPr>
              <w:pStyle w:val="37"/>
              <w:adjustRightInd w:val="0"/>
              <w:spacing w:before="62" w:after="62"/>
              <w:rPr>
                <w:color w:val="auto"/>
                <w:highlight w:val="none"/>
              </w:rPr>
            </w:pPr>
          </w:p>
        </w:tc>
      </w:tr>
      <w:tr w14:paraId="19B0C347">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B1A145">
            <w:pPr>
              <w:pStyle w:val="37"/>
              <w:adjustRightInd w:val="0"/>
              <w:spacing w:before="62" w:after="62"/>
              <w:rPr>
                <w:color w:val="auto"/>
                <w:highlight w:val="none"/>
              </w:rPr>
            </w:pPr>
            <w:r>
              <w:rPr>
                <w:rFonts w:hint="eastAsia"/>
                <w:color w:val="auto"/>
                <w:highlight w:val="none"/>
              </w:rPr>
              <w:t>镁</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49A93">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AD052">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6A83D">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10CD2">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8593E7">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7E6EC">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2DC0D">
            <w:pPr>
              <w:pStyle w:val="37"/>
              <w:adjustRightInd w:val="0"/>
              <w:spacing w:before="62" w:after="62"/>
              <w:rPr>
                <w:color w:val="auto"/>
                <w:highlight w:val="none"/>
              </w:rPr>
            </w:pPr>
          </w:p>
        </w:tc>
      </w:tr>
      <w:tr w14:paraId="18F52AFA">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04B7E">
            <w:pPr>
              <w:pStyle w:val="37"/>
              <w:adjustRightInd w:val="0"/>
              <w:spacing w:before="62" w:after="62"/>
              <w:rPr>
                <w:color w:val="auto"/>
                <w:highlight w:val="none"/>
              </w:rPr>
            </w:pPr>
            <w:r>
              <w:rPr>
                <w:rFonts w:hint="eastAsia"/>
                <w:color w:val="auto"/>
                <w:highlight w:val="none"/>
              </w:rPr>
              <w:t>钙</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CEC4E">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2236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B53A07">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FF1F0">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16466">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5593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CB413">
            <w:pPr>
              <w:pStyle w:val="37"/>
              <w:adjustRightInd w:val="0"/>
              <w:spacing w:before="62" w:after="62"/>
              <w:rPr>
                <w:color w:val="auto"/>
                <w:highlight w:val="none"/>
              </w:rPr>
            </w:pPr>
          </w:p>
        </w:tc>
      </w:tr>
      <w:tr w14:paraId="1267BF55">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E65C8">
            <w:pPr>
              <w:pStyle w:val="37"/>
              <w:adjustRightInd w:val="0"/>
              <w:spacing w:before="62" w:after="62"/>
              <w:rPr>
                <w:color w:val="auto"/>
                <w:highlight w:val="none"/>
              </w:rPr>
            </w:pPr>
            <w:r>
              <w:rPr>
                <w:rFonts w:hint="eastAsia"/>
                <w:color w:val="auto"/>
                <w:highlight w:val="none"/>
              </w:rPr>
              <w:t>钾</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35C88">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1B40E">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F57772">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41BB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82A60">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DE781E">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30F89">
            <w:pPr>
              <w:pStyle w:val="37"/>
              <w:adjustRightInd w:val="0"/>
              <w:spacing w:before="62" w:after="62"/>
              <w:rPr>
                <w:color w:val="auto"/>
                <w:highlight w:val="none"/>
              </w:rPr>
            </w:pPr>
          </w:p>
        </w:tc>
      </w:tr>
      <w:tr w14:paraId="4B3157B9">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23DB13">
            <w:pPr>
              <w:pStyle w:val="37"/>
              <w:adjustRightInd w:val="0"/>
              <w:spacing w:before="62" w:after="62"/>
              <w:rPr>
                <w:color w:val="auto"/>
                <w:highlight w:val="none"/>
              </w:rPr>
            </w:pPr>
            <w:r>
              <w:rPr>
                <w:rFonts w:hint="eastAsia"/>
                <w:color w:val="auto"/>
                <w:highlight w:val="none"/>
              </w:rPr>
              <w:t>钠</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982E6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94910">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4B94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41FFF">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C5F9E">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CEC1D">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B0BD2">
            <w:pPr>
              <w:pStyle w:val="37"/>
              <w:adjustRightInd w:val="0"/>
              <w:spacing w:before="62" w:after="62"/>
              <w:rPr>
                <w:color w:val="auto"/>
                <w:highlight w:val="none"/>
              </w:rPr>
            </w:pPr>
          </w:p>
        </w:tc>
      </w:tr>
      <w:tr w14:paraId="35B07408">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F2548">
            <w:pPr>
              <w:pStyle w:val="37"/>
              <w:adjustRightInd w:val="0"/>
              <w:spacing w:before="62" w:after="62"/>
              <w:rPr>
                <w:color w:val="auto"/>
                <w:highlight w:val="none"/>
              </w:rPr>
            </w:pPr>
            <w:r>
              <w:rPr>
                <w:rFonts w:hint="eastAsia"/>
                <w:color w:val="auto"/>
                <w:highlight w:val="none"/>
              </w:rPr>
              <w:t>碳酸根离子</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46032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42B16">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5DA1C">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D4C53">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5D236">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E3516">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7742B">
            <w:pPr>
              <w:pStyle w:val="37"/>
              <w:adjustRightInd w:val="0"/>
              <w:spacing w:before="62" w:after="62"/>
              <w:rPr>
                <w:color w:val="auto"/>
                <w:highlight w:val="none"/>
              </w:rPr>
            </w:pPr>
          </w:p>
        </w:tc>
      </w:tr>
      <w:tr w14:paraId="23D08CF1">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02BA6">
            <w:pPr>
              <w:pStyle w:val="37"/>
              <w:adjustRightInd w:val="0"/>
              <w:spacing w:before="62" w:after="62"/>
              <w:rPr>
                <w:color w:val="auto"/>
                <w:highlight w:val="none"/>
              </w:rPr>
            </w:pPr>
            <w:r>
              <w:rPr>
                <w:rFonts w:hint="eastAsia"/>
                <w:color w:val="auto"/>
                <w:highlight w:val="none"/>
              </w:rPr>
              <w:t>重碳酸根离子</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769D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4B545">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B199E">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29E6A">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23FE1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D74099">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606D2">
            <w:pPr>
              <w:pStyle w:val="37"/>
              <w:adjustRightInd w:val="0"/>
              <w:spacing w:before="62" w:after="62"/>
              <w:rPr>
                <w:color w:val="auto"/>
                <w:highlight w:val="none"/>
              </w:rPr>
            </w:pPr>
          </w:p>
        </w:tc>
      </w:tr>
      <w:tr w14:paraId="0EB6DDAF">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BCDB3">
            <w:pPr>
              <w:pStyle w:val="37"/>
              <w:adjustRightInd w:val="0"/>
              <w:spacing w:before="62" w:after="62"/>
              <w:rPr>
                <w:color w:val="auto"/>
                <w:highlight w:val="none"/>
              </w:rPr>
            </w:pPr>
            <w:r>
              <w:rPr>
                <w:rFonts w:hint="eastAsia"/>
                <w:color w:val="auto"/>
                <w:highlight w:val="none"/>
              </w:rPr>
              <w:t>氯化物</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EFED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2EAB3">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C2AD2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792F4C">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83BB2">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6E147">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ED0A74">
            <w:pPr>
              <w:pStyle w:val="37"/>
              <w:adjustRightInd w:val="0"/>
              <w:spacing w:before="62" w:after="62"/>
              <w:rPr>
                <w:color w:val="auto"/>
                <w:highlight w:val="none"/>
              </w:rPr>
            </w:pPr>
          </w:p>
        </w:tc>
      </w:tr>
      <w:tr w14:paraId="4ACF8E56">
        <w:tblPrEx>
          <w:tblCellMar>
            <w:top w:w="0" w:type="dxa"/>
            <w:left w:w="108" w:type="dxa"/>
            <w:bottom w:w="0" w:type="dxa"/>
            <w:right w:w="108" w:type="dxa"/>
          </w:tblCellMar>
        </w:tblPrEx>
        <w:trPr>
          <w:trHeight w:val="270" w:hRule="atLeast"/>
        </w:trPr>
        <w:tc>
          <w:tcPr>
            <w:tcW w:w="82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33860">
            <w:pPr>
              <w:pStyle w:val="37"/>
              <w:adjustRightInd w:val="0"/>
              <w:spacing w:before="62" w:after="62"/>
              <w:rPr>
                <w:color w:val="auto"/>
                <w:highlight w:val="none"/>
              </w:rPr>
            </w:pPr>
            <w:r>
              <w:rPr>
                <w:rFonts w:hint="eastAsia"/>
                <w:color w:val="auto"/>
                <w:highlight w:val="none"/>
              </w:rPr>
              <w:t>硫酸盐</w:t>
            </w:r>
          </w:p>
        </w:tc>
        <w:tc>
          <w:tcPr>
            <w:tcW w:w="5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67E63">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B68B1">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4C2823">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CBEC0">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1EA524">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2244F">
            <w:pPr>
              <w:pStyle w:val="37"/>
              <w:adjustRightInd w:val="0"/>
              <w:spacing w:before="62" w:after="62"/>
              <w:rPr>
                <w:color w:val="auto"/>
                <w:highlight w:val="none"/>
              </w:rPr>
            </w:pPr>
          </w:p>
        </w:tc>
        <w:tc>
          <w:tcPr>
            <w:tcW w:w="59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79017">
            <w:pPr>
              <w:pStyle w:val="37"/>
              <w:adjustRightInd w:val="0"/>
              <w:spacing w:before="62" w:after="62"/>
              <w:rPr>
                <w:color w:val="auto"/>
                <w:highlight w:val="none"/>
              </w:rPr>
            </w:pPr>
          </w:p>
        </w:tc>
      </w:tr>
    </w:tbl>
    <w:p w14:paraId="17944AC4">
      <w:pPr>
        <w:adjustRightInd w:val="0"/>
        <w:ind w:firstLine="480" w:firstLineChars="0"/>
        <w:rPr>
          <w:rFonts w:cs="Times New Roman"/>
          <w:color w:val="auto"/>
          <w:szCs w:val="24"/>
          <w:highlight w:val="none"/>
        </w:rPr>
      </w:pPr>
      <w:r>
        <w:rPr>
          <w:rFonts w:cs="Times New Roman"/>
          <w:color w:val="auto"/>
          <w:szCs w:val="24"/>
          <w:highlight w:val="none"/>
        </w:rPr>
        <w:t>根据上述试验结果，利用地下水常量组分数据，运用RockWare-AqQA软件进行分析，该区地下水水化学特征如下：</w:t>
      </w:r>
    </w:p>
    <w:tbl>
      <w:tblPr>
        <w:tblStyle w:val="31"/>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4"/>
      </w:tblGrid>
      <w:tr w14:paraId="6FC3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5" w:hRule="atLeast"/>
          <w:jc w:val="center"/>
        </w:trPr>
        <w:tc>
          <w:tcPr>
            <w:tcW w:w="5000" w:type="pct"/>
            <w:vAlign w:val="center"/>
          </w:tcPr>
          <w:p w14:paraId="2F050CA8">
            <w:pPr>
              <w:adjustRightInd w:val="0"/>
              <w:spacing w:line="0" w:lineRule="atLeast"/>
              <w:ind w:firstLine="0" w:firstLineChars="0"/>
              <w:jc w:val="center"/>
              <w:rPr>
                <w:rFonts w:cs="Times New Roman"/>
                <w:color w:val="auto"/>
                <w:sz w:val="18"/>
                <w:szCs w:val="18"/>
                <w:highlight w:val="none"/>
              </w:rPr>
            </w:pPr>
          </w:p>
        </w:tc>
      </w:tr>
    </w:tbl>
    <w:p w14:paraId="35337C81">
      <w:pPr>
        <w:pStyle w:val="12"/>
        <w:adjustRightInd w:val="0"/>
        <w:rPr>
          <w:color w:val="auto"/>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调查评价区地下水水化学piper三线图</w:t>
      </w:r>
    </w:p>
    <w:p w14:paraId="133C33F6">
      <w:pPr>
        <w:adjustRightInd w:val="0"/>
        <w:ind w:firstLine="480" w:firstLineChars="0"/>
        <w:rPr>
          <w:rFonts w:cs="Times New Roman"/>
          <w:color w:val="auto"/>
          <w:szCs w:val="24"/>
          <w:highlight w:val="none"/>
        </w:rPr>
      </w:pPr>
      <w:r>
        <w:rPr>
          <w:rFonts w:hint="eastAsia" w:cs="Times New Roman"/>
          <w:color w:val="auto"/>
          <w:szCs w:val="24"/>
          <w:highlight w:val="none"/>
        </w:rPr>
        <w:t>根据各水样水化学常量组分监测统计结果，项目所在区域地下水属弱矿化度水；pH介于6.8~7.3，呈中性。阳离子主要以Ca</w:t>
      </w:r>
      <w:r>
        <w:rPr>
          <w:rFonts w:hint="eastAsia" w:cs="Times New Roman"/>
          <w:color w:val="auto"/>
          <w:szCs w:val="24"/>
          <w:highlight w:val="none"/>
          <w:vertAlign w:val="superscript"/>
        </w:rPr>
        <w:t>2+</w:t>
      </w:r>
      <w:r>
        <w:rPr>
          <w:rFonts w:hint="eastAsia" w:cs="Times New Roman"/>
          <w:color w:val="auto"/>
          <w:szCs w:val="24"/>
          <w:highlight w:val="none"/>
        </w:rPr>
        <w:t>和Mg</w:t>
      </w:r>
      <w:r>
        <w:rPr>
          <w:rFonts w:hint="eastAsia" w:cs="Times New Roman"/>
          <w:color w:val="auto"/>
          <w:szCs w:val="24"/>
          <w:highlight w:val="none"/>
          <w:vertAlign w:val="superscript"/>
        </w:rPr>
        <w:t>2+</w:t>
      </w:r>
      <w:r>
        <w:rPr>
          <w:rFonts w:hint="eastAsia" w:cs="Times New Roman"/>
          <w:color w:val="auto"/>
          <w:szCs w:val="24"/>
          <w:highlight w:val="none"/>
        </w:rPr>
        <w:t>为主，阴离子主要为</w:t>
      </w:r>
      <w:r>
        <w:rPr>
          <w:rFonts w:hint="eastAsia" w:cs="Times New Roman"/>
          <w:color w:val="auto"/>
          <w:szCs w:val="24"/>
          <w:highlight w:val="none"/>
        </w:rPr>
        <w:tab/>
      </w:r>
      <w:r>
        <w:rPr>
          <w:rFonts w:hint="eastAsia" w:cs="Times New Roman"/>
          <w:color w:val="auto"/>
          <w:szCs w:val="24"/>
          <w:highlight w:val="none"/>
        </w:rPr>
        <w:t>HCO</w:t>
      </w:r>
      <w:r>
        <w:rPr>
          <w:rFonts w:hint="eastAsia" w:cs="Times New Roman"/>
          <w:color w:val="auto"/>
          <w:szCs w:val="24"/>
          <w:highlight w:val="none"/>
          <w:vertAlign w:val="subscript"/>
        </w:rPr>
        <w:t>3</w:t>
      </w:r>
      <w:r>
        <w:rPr>
          <w:rFonts w:hint="eastAsia" w:cs="Times New Roman"/>
          <w:color w:val="auto"/>
          <w:szCs w:val="24"/>
          <w:highlight w:val="none"/>
          <w:vertAlign w:val="superscript"/>
        </w:rPr>
        <w:t>-</w:t>
      </w:r>
      <w:r>
        <w:rPr>
          <w:rFonts w:hint="eastAsia" w:cs="Times New Roman"/>
          <w:color w:val="auto"/>
          <w:szCs w:val="24"/>
          <w:highlight w:val="none"/>
        </w:rPr>
        <w:t>为主。项目区内地下水水化学类型以HCO</w:t>
      </w:r>
      <w:r>
        <w:rPr>
          <w:rFonts w:hint="eastAsia" w:cs="Times New Roman"/>
          <w:color w:val="auto"/>
          <w:szCs w:val="24"/>
          <w:highlight w:val="none"/>
          <w:vertAlign w:val="subscript"/>
        </w:rPr>
        <w:t>3</w:t>
      </w:r>
      <w:r>
        <w:rPr>
          <w:rFonts w:hint="eastAsia" w:cs="Times New Roman"/>
          <w:color w:val="auto"/>
          <w:szCs w:val="24"/>
          <w:highlight w:val="none"/>
          <w:vertAlign w:val="superscript"/>
        </w:rPr>
        <w:t>--</w:t>
      </w:r>
      <w:r>
        <w:rPr>
          <w:rFonts w:hint="eastAsia" w:cs="Times New Roman"/>
          <w:color w:val="auto"/>
          <w:szCs w:val="24"/>
          <w:highlight w:val="none"/>
        </w:rPr>
        <w:t>Ca·Mg型水为主。</w:t>
      </w:r>
    </w:p>
    <w:p w14:paraId="07A228B5">
      <w:pPr>
        <w:adjustRightInd w:val="0"/>
        <w:ind w:firstLine="480" w:firstLineChars="0"/>
        <w:rPr>
          <w:rFonts w:cs="Times New Roman"/>
          <w:color w:val="auto"/>
          <w:szCs w:val="24"/>
          <w:highlight w:val="none"/>
        </w:rPr>
      </w:pPr>
      <w:r>
        <w:rPr>
          <w:rFonts w:hint="eastAsia" w:cs="Times New Roman"/>
          <w:color w:val="auto"/>
          <w:szCs w:val="24"/>
          <w:highlight w:val="none"/>
        </w:rPr>
        <w:t>区内地下水矿化程度普遍不是很高，反映了区域内地下水的循环交替条件较好，能较为迅速得到大气降水补给，地下水以较快速度在较短途径中运移，短期内排出地表或河流，岩石或土体介质对于地下水化学类型的改造作用不是非常明显，表现为近距离的快速补给快速排泄特征。同时，矿化度变幅也反映了地下水在运移循环过程中受构造、地形等条件的影响程度。</w:t>
      </w:r>
    </w:p>
    <w:p w14:paraId="73004E0A">
      <w:pPr>
        <w:ind w:firstLine="480"/>
        <w:rPr>
          <w:color w:val="auto"/>
          <w:highlight w:val="none"/>
        </w:rPr>
      </w:pPr>
      <w:r>
        <w:rPr>
          <w:rFonts w:hint="eastAsia"/>
          <w:color w:val="auto"/>
          <w:highlight w:val="none"/>
        </w:rPr>
        <w:t>（七）地下水补给、径流、排泄条件</w:t>
      </w:r>
    </w:p>
    <w:p w14:paraId="6DBECEDD">
      <w:pPr>
        <w:adjustRightInd w:val="0"/>
        <w:ind w:firstLine="480" w:firstLineChars="0"/>
        <w:rPr>
          <w:rFonts w:cs="Times New Roman"/>
          <w:bCs/>
          <w:color w:val="auto"/>
          <w:szCs w:val="24"/>
          <w:highlight w:val="none"/>
        </w:rPr>
      </w:pPr>
      <w:r>
        <w:rPr>
          <w:rFonts w:hint="eastAsia" w:cs="Times New Roman"/>
          <w:color w:val="auto"/>
          <w:szCs w:val="24"/>
          <w:highlight w:val="none"/>
        </w:rPr>
        <w:t>地下水的补给、径流与排泄条件严格受到地形地貌条件、地层岩性和地质构造的控制。</w:t>
      </w:r>
      <w:r>
        <w:rPr>
          <w:rFonts w:hint="eastAsia" w:cs="Times New Roman"/>
          <w:bCs/>
          <w:color w:val="auto"/>
          <w:szCs w:val="24"/>
          <w:highlight w:val="none"/>
        </w:rPr>
        <w:t>项目区</w:t>
      </w:r>
      <w:r>
        <w:rPr>
          <w:rFonts w:cs="Times New Roman"/>
          <w:bCs/>
          <w:color w:val="auto"/>
          <w:szCs w:val="24"/>
          <w:highlight w:val="none"/>
        </w:rPr>
        <w:t>地下水以</w:t>
      </w:r>
      <w:r>
        <w:rPr>
          <w:rFonts w:hint="eastAsia" w:cs="Times New Roman"/>
          <w:bCs/>
          <w:color w:val="auto"/>
          <w:szCs w:val="24"/>
          <w:highlight w:val="none"/>
        </w:rPr>
        <w:t>孔隙水</w:t>
      </w:r>
      <w:r>
        <w:rPr>
          <w:rFonts w:cs="Times New Roman"/>
          <w:bCs/>
          <w:color w:val="auto"/>
          <w:szCs w:val="24"/>
          <w:highlight w:val="none"/>
        </w:rPr>
        <w:t>为主。</w:t>
      </w:r>
    </w:p>
    <w:p w14:paraId="4C12F097">
      <w:pPr>
        <w:adjustRightInd w:val="0"/>
        <w:ind w:firstLine="480" w:firstLineChars="0"/>
        <w:jc w:val="left"/>
        <w:rPr>
          <w:rFonts w:cs="Times New Roman"/>
          <w:b/>
          <w:color w:val="auto"/>
          <w:szCs w:val="24"/>
          <w:highlight w:val="none"/>
        </w:rPr>
      </w:pPr>
      <w:r>
        <w:rPr>
          <w:rFonts w:hint="eastAsia" w:cs="Times New Roman"/>
          <w:b/>
          <w:color w:val="auto"/>
          <w:szCs w:val="24"/>
          <w:highlight w:val="none"/>
        </w:rPr>
        <w:t>（1）补给</w:t>
      </w:r>
    </w:p>
    <w:p w14:paraId="0DA4B7E3">
      <w:pPr>
        <w:adjustRightInd w:val="0"/>
        <w:ind w:firstLine="480" w:firstLineChars="0"/>
        <w:jc w:val="left"/>
        <w:rPr>
          <w:rFonts w:cs="Times New Roman"/>
          <w:bCs/>
          <w:color w:val="auto"/>
          <w:szCs w:val="24"/>
          <w:highlight w:val="none"/>
        </w:rPr>
      </w:pPr>
      <w:r>
        <w:rPr>
          <w:rFonts w:cs="Times New Roman"/>
          <w:bCs/>
          <w:color w:val="auto"/>
          <w:szCs w:val="24"/>
          <w:highlight w:val="none"/>
        </w:rPr>
        <w:t>区内潜水补给源主要为大气降水和地表水通过上部松散堆积地层入渗补给；</w:t>
      </w:r>
    </w:p>
    <w:p w14:paraId="032F2994">
      <w:pPr>
        <w:adjustRightInd w:val="0"/>
        <w:ind w:firstLine="480" w:firstLineChars="0"/>
        <w:jc w:val="left"/>
        <w:rPr>
          <w:rFonts w:cs="Times New Roman"/>
          <w:bCs/>
          <w:color w:val="auto"/>
          <w:szCs w:val="24"/>
          <w:highlight w:val="none"/>
        </w:rPr>
      </w:pPr>
      <w:r>
        <w:rPr>
          <w:rFonts w:hint="eastAsia" w:cs="Times New Roman"/>
          <w:bCs/>
          <w:color w:val="auto"/>
          <w:szCs w:val="24"/>
          <w:highlight w:val="none"/>
        </w:rPr>
        <w:t>项目区西南侧地势较高，东北侧地势较低，西南侧地下水通过水力坡度</w:t>
      </w:r>
      <w:r>
        <w:rPr>
          <w:rFonts w:cs="Times New Roman"/>
          <w:bCs/>
          <w:color w:val="auto"/>
          <w:szCs w:val="24"/>
          <w:highlight w:val="none"/>
        </w:rPr>
        <w:t>侧向径流</w:t>
      </w:r>
      <w:r>
        <w:rPr>
          <w:rFonts w:hint="eastAsia" w:cs="Times New Roman"/>
          <w:bCs/>
          <w:color w:val="auto"/>
          <w:szCs w:val="24"/>
          <w:highlight w:val="none"/>
        </w:rPr>
        <w:t>补给东北侧地下水。</w:t>
      </w:r>
    </w:p>
    <w:p w14:paraId="435AC963">
      <w:pPr>
        <w:adjustRightInd w:val="0"/>
        <w:ind w:firstLine="480" w:firstLineChars="0"/>
        <w:jc w:val="left"/>
        <w:rPr>
          <w:rFonts w:cs="Times New Roman"/>
          <w:bCs/>
          <w:color w:val="auto"/>
          <w:szCs w:val="24"/>
          <w:highlight w:val="none"/>
        </w:rPr>
      </w:pPr>
      <w:r>
        <w:rPr>
          <w:rFonts w:hint="eastAsia" w:cs="Times New Roman"/>
          <w:bCs/>
          <w:color w:val="auto"/>
          <w:szCs w:val="24"/>
          <w:highlight w:val="none"/>
        </w:rPr>
        <w:t>项目区北侧为丘陵山区，地势相对较高，少量基岩裂隙水通过水力坡度</w:t>
      </w:r>
      <w:r>
        <w:rPr>
          <w:rFonts w:cs="Times New Roman"/>
          <w:bCs/>
          <w:color w:val="auto"/>
          <w:szCs w:val="24"/>
          <w:highlight w:val="none"/>
        </w:rPr>
        <w:t>侧向径流</w:t>
      </w:r>
      <w:r>
        <w:rPr>
          <w:rFonts w:hint="eastAsia" w:cs="Times New Roman"/>
          <w:bCs/>
          <w:color w:val="auto"/>
          <w:szCs w:val="24"/>
          <w:highlight w:val="none"/>
        </w:rPr>
        <w:t>项目区地下水。</w:t>
      </w:r>
    </w:p>
    <w:p w14:paraId="0CECC4C5">
      <w:pPr>
        <w:adjustRightInd w:val="0"/>
        <w:ind w:firstLine="480" w:firstLineChars="0"/>
        <w:jc w:val="left"/>
        <w:rPr>
          <w:rFonts w:cs="Times New Roman"/>
          <w:b/>
          <w:color w:val="auto"/>
          <w:szCs w:val="24"/>
          <w:highlight w:val="none"/>
        </w:rPr>
      </w:pPr>
      <w:r>
        <w:rPr>
          <w:rFonts w:hint="eastAsia" w:cs="Times New Roman"/>
          <w:b/>
          <w:color w:val="auto"/>
          <w:szCs w:val="24"/>
          <w:highlight w:val="none"/>
        </w:rPr>
        <w:t>（2）径流</w:t>
      </w:r>
    </w:p>
    <w:p w14:paraId="72456FF6">
      <w:pPr>
        <w:adjustRightInd w:val="0"/>
        <w:ind w:firstLine="480" w:firstLineChars="0"/>
        <w:rPr>
          <w:rFonts w:hAnsi="宋体" w:cs="Times New Roman"/>
          <w:color w:val="auto"/>
          <w:szCs w:val="24"/>
          <w:highlight w:val="none"/>
        </w:rPr>
      </w:pPr>
      <w:r>
        <w:rPr>
          <w:rFonts w:hint="eastAsia" w:cs="Times New Roman"/>
          <w:bCs/>
          <w:color w:val="auto"/>
          <w:szCs w:val="24"/>
          <w:highlight w:val="none"/>
        </w:rPr>
        <w:t>项目所在区域地下水</w:t>
      </w:r>
      <w:r>
        <w:rPr>
          <w:rFonts w:cs="Times New Roman"/>
          <w:bCs/>
          <w:color w:val="auto"/>
          <w:szCs w:val="24"/>
          <w:highlight w:val="none"/>
        </w:rPr>
        <w:t>总体径流方向由北向南；</w:t>
      </w:r>
      <w:r>
        <w:rPr>
          <w:rFonts w:hint="eastAsia" w:cs="Times New Roman"/>
          <w:bCs/>
          <w:color w:val="auto"/>
          <w:szCs w:val="24"/>
          <w:highlight w:val="none"/>
        </w:rPr>
        <w:t>但</w:t>
      </w:r>
      <w:r>
        <w:rPr>
          <w:rFonts w:hint="eastAsia" w:hAnsi="宋体" w:cs="Times New Roman"/>
          <w:color w:val="auto"/>
          <w:szCs w:val="24"/>
          <w:highlight w:val="none"/>
        </w:rPr>
        <w:t>距离本项目东南侧约1.38km处为</w:t>
      </w:r>
      <w:r>
        <w:rPr>
          <w:rFonts w:cs="Times New Roman"/>
          <w:color w:val="auto"/>
          <w:szCs w:val="24"/>
          <w:highlight w:val="none"/>
        </w:rPr>
        <w:t>大渡河安谷电站</w:t>
      </w:r>
      <w:r>
        <w:rPr>
          <w:rFonts w:hint="eastAsia" w:cs="Times New Roman"/>
          <w:color w:val="auto"/>
          <w:szCs w:val="24"/>
          <w:highlight w:val="none"/>
        </w:rPr>
        <w:t>，由于</w:t>
      </w:r>
      <w:r>
        <w:rPr>
          <w:rFonts w:hint="eastAsia" w:hAnsi="宋体" w:cs="Times New Roman"/>
          <w:color w:val="auto"/>
          <w:szCs w:val="24"/>
          <w:highlight w:val="none"/>
        </w:rPr>
        <w:t>大渡河</w:t>
      </w:r>
      <w:r>
        <w:rPr>
          <w:rFonts w:cs="Times New Roman"/>
          <w:color w:val="auto"/>
          <w:szCs w:val="24"/>
          <w:highlight w:val="none"/>
        </w:rPr>
        <w:t>安谷电站</w:t>
      </w:r>
      <w:r>
        <w:rPr>
          <w:rFonts w:hint="eastAsia" w:cs="Times New Roman"/>
          <w:color w:val="auto"/>
          <w:szCs w:val="24"/>
          <w:highlight w:val="none"/>
        </w:rPr>
        <w:t>蓄水，造成</w:t>
      </w:r>
      <w:r>
        <w:rPr>
          <w:rFonts w:hint="eastAsia" w:hAnsi="宋体" w:cs="Times New Roman"/>
          <w:color w:val="auto"/>
          <w:szCs w:val="24"/>
          <w:highlight w:val="none"/>
        </w:rPr>
        <w:t>大渡河</w:t>
      </w:r>
      <w:r>
        <w:rPr>
          <w:rFonts w:cs="Times New Roman"/>
          <w:color w:val="auto"/>
          <w:szCs w:val="24"/>
          <w:highlight w:val="none"/>
        </w:rPr>
        <w:t>安谷电站</w:t>
      </w:r>
      <w:r>
        <w:rPr>
          <w:rFonts w:hint="eastAsia" w:cs="Times New Roman"/>
          <w:color w:val="auto"/>
          <w:szCs w:val="24"/>
          <w:highlight w:val="none"/>
        </w:rPr>
        <w:t>库区水位抬升，靠近安谷电站库区的区域，接受</w:t>
      </w:r>
      <w:r>
        <w:rPr>
          <w:rFonts w:cs="Times New Roman"/>
          <w:color w:val="auto"/>
          <w:szCs w:val="24"/>
          <w:highlight w:val="none"/>
        </w:rPr>
        <w:t>安谷电站</w:t>
      </w:r>
      <w:r>
        <w:rPr>
          <w:rFonts w:hint="eastAsia" w:cs="Times New Roman"/>
          <w:color w:val="auto"/>
          <w:szCs w:val="24"/>
          <w:highlight w:val="none"/>
        </w:rPr>
        <w:t>库区的地下水补给，即大渡河北侧、靠近</w:t>
      </w:r>
      <w:r>
        <w:rPr>
          <w:rFonts w:cs="Times New Roman"/>
          <w:color w:val="auto"/>
          <w:szCs w:val="24"/>
          <w:highlight w:val="none"/>
        </w:rPr>
        <w:t>安谷电站</w:t>
      </w:r>
      <w:r>
        <w:rPr>
          <w:rFonts w:hint="eastAsia" w:cs="Times New Roman"/>
          <w:color w:val="auto"/>
          <w:szCs w:val="24"/>
          <w:highlight w:val="none"/>
        </w:rPr>
        <w:t>库区区域地下水由南向北径流和补给。</w:t>
      </w:r>
    </w:p>
    <w:p w14:paraId="6CE52B9F">
      <w:pPr>
        <w:adjustRightInd w:val="0"/>
        <w:ind w:firstLine="480" w:firstLineChars="0"/>
        <w:jc w:val="left"/>
        <w:rPr>
          <w:rFonts w:cs="Times New Roman"/>
          <w:b/>
          <w:color w:val="auto"/>
          <w:szCs w:val="24"/>
          <w:highlight w:val="none"/>
        </w:rPr>
      </w:pPr>
      <w:r>
        <w:rPr>
          <w:rFonts w:hint="eastAsia" w:cs="Times New Roman"/>
          <w:b/>
          <w:color w:val="auto"/>
          <w:szCs w:val="24"/>
          <w:highlight w:val="none"/>
        </w:rPr>
        <w:t>（3）排泄</w:t>
      </w:r>
    </w:p>
    <w:p w14:paraId="2EC76B53">
      <w:pPr>
        <w:adjustRightInd w:val="0"/>
        <w:ind w:firstLine="480" w:firstLineChars="0"/>
        <w:jc w:val="left"/>
        <w:rPr>
          <w:rFonts w:cs="Times New Roman"/>
          <w:color w:val="auto"/>
          <w:szCs w:val="24"/>
          <w:highlight w:val="none"/>
        </w:rPr>
      </w:pPr>
      <w:r>
        <w:rPr>
          <w:rFonts w:hint="eastAsia" w:cs="Times New Roman"/>
          <w:bCs/>
          <w:color w:val="auto"/>
          <w:szCs w:val="24"/>
          <w:highlight w:val="none"/>
        </w:rPr>
        <w:t>地下水</w:t>
      </w:r>
      <w:r>
        <w:rPr>
          <w:rFonts w:cs="Times New Roman"/>
          <w:bCs/>
          <w:color w:val="auto"/>
          <w:szCs w:val="24"/>
          <w:highlight w:val="none"/>
        </w:rPr>
        <w:t>排泄方式主要为人工开采</w:t>
      </w:r>
      <w:r>
        <w:rPr>
          <w:rFonts w:hint="eastAsia" w:cs="Times New Roman"/>
          <w:bCs/>
          <w:color w:val="auto"/>
          <w:szCs w:val="24"/>
          <w:highlight w:val="none"/>
        </w:rPr>
        <w:t>灌溉</w:t>
      </w:r>
      <w:r>
        <w:rPr>
          <w:rFonts w:cs="Times New Roman"/>
          <w:bCs/>
          <w:color w:val="auto"/>
          <w:szCs w:val="24"/>
          <w:highlight w:val="none"/>
        </w:rPr>
        <w:t>，侧向径流排泄，以及地表蒸发和植物蒸腾。</w:t>
      </w:r>
    </w:p>
    <w:p w14:paraId="336D0CAB">
      <w:pPr>
        <w:ind w:firstLine="480"/>
        <w:rPr>
          <w:color w:val="auto"/>
          <w:highlight w:val="none"/>
        </w:rPr>
      </w:pPr>
      <w:r>
        <w:rPr>
          <w:rFonts w:hint="eastAsia"/>
          <w:color w:val="auto"/>
          <w:highlight w:val="none"/>
        </w:rPr>
        <w:t>（八）地下水开发利用现状</w:t>
      </w:r>
    </w:p>
    <w:p w14:paraId="798BDAD4">
      <w:pPr>
        <w:adjustRightInd w:val="0"/>
        <w:ind w:firstLine="482" w:firstLineChars="0"/>
        <w:rPr>
          <w:rFonts w:cs="Times New Roman"/>
          <w:b/>
          <w:color w:val="auto"/>
          <w:szCs w:val="24"/>
          <w:highlight w:val="none"/>
        </w:rPr>
      </w:pPr>
      <w:r>
        <w:rPr>
          <w:rFonts w:hint="eastAsia" w:cs="Times New Roman"/>
          <w:b/>
          <w:color w:val="auto"/>
          <w:szCs w:val="24"/>
          <w:highlight w:val="none"/>
        </w:rPr>
        <w:t>（1）集中式取水情况</w:t>
      </w:r>
    </w:p>
    <w:p w14:paraId="0556E7A3">
      <w:pPr>
        <w:adjustRightInd w:val="0"/>
        <w:ind w:firstLine="480" w:firstLineChars="0"/>
        <w:jc w:val="left"/>
        <w:rPr>
          <w:rFonts w:cs="Times New Roman"/>
          <w:color w:val="auto"/>
          <w:szCs w:val="24"/>
          <w:highlight w:val="none"/>
        </w:rPr>
      </w:pPr>
      <w:r>
        <w:rPr>
          <w:rFonts w:cs="Times New Roman"/>
          <w:color w:val="auto"/>
          <w:szCs w:val="24"/>
          <w:highlight w:val="none"/>
        </w:rPr>
        <w:t>项目场地东南侧约18</w:t>
      </w:r>
      <w:r>
        <w:rPr>
          <w:rFonts w:hint="eastAsia" w:cs="Times New Roman"/>
          <w:color w:val="auto"/>
          <w:szCs w:val="24"/>
          <w:highlight w:val="none"/>
        </w:rPr>
        <w:t>15</w:t>
      </w:r>
      <w:r>
        <w:rPr>
          <w:rFonts w:cs="Times New Roman"/>
          <w:color w:val="auto"/>
          <w:szCs w:val="24"/>
          <w:highlight w:val="none"/>
        </w:rPr>
        <w:t>m为乐山市大渡河安谷电站库区集中式饮用水水源保护区取水口。</w:t>
      </w:r>
      <w:r>
        <w:rPr>
          <w:rFonts w:hint="eastAsia" w:cs="Times New Roman"/>
          <w:color w:val="auto"/>
          <w:szCs w:val="24"/>
          <w:highlight w:val="none"/>
        </w:rPr>
        <w:t>四川省人民政府于2025年批复同意将原乐山市第一水厂饮用水新水源保护区调整并更名为 “乐山市大渡河安谷电站库区集中式饮用水水源保护区”。调整后划分了一级、二级和准保护区，总面积6.2平方公里。</w:t>
      </w:r>
    </w:p>
    <w:p w14:paraId="72010BFD">
      <w:pPr>
        <w:adjustRightInd w:val="0"/>
        <w:ind w:firstLine="480" w:firstLineChars="0"/>
        <w:jc w:val="left"/>
        <w:rPr>
          <w:rFonts w:cs="Times New Roman"/>
          <w:color w:val="auto"/>
          <w:szCs w:val="24"/>
          <w:highlight w:val="none"/>
        </w:rPr>
      </w:pPr>
      <w:r>
        <w:rPr>
          <w:rFonts w:hint="eastAsia" w:cs="Times New Roman"/>
          <w:color w:val="auto"/>
          <w:szCs w:val="24"/>
          <w:highlight w:val="none"/>
        </w:rPr>
        <w:t>大渡河安谷电站库区水源保护区是乐山市核心饮用水水源地，通过两座水厂供水、铺设专用输水管道等方式，保障中心城区及周边多个区县大量人口的生活用水与部分企业的生产用水，供水规模稳定且覆盖范围较广，具体情况如下：</w:t>
      </w:r>
    </w:p>
    <w:p w14:paraId="2D35D675">
      <w:pPr>
        <w:adjustRightInd w:val="0"/>
        <w:ind w:firstLine="480" w:firstLineChars="0"/>
        <w:jc w:val="left"/>
        <w:rPr>
          <w:rFonts w:cs="Times New Roman"/>
          <w:b/>
          <w:bCs/>
          <w:color w:val="auto"/>
          <w:szCs w:val="24"/>
          <w:highlight w:val="none"/>
        </w:rPr>
      </w:pPr>
      <w:r>
        <w:rPr>
          <w:rFonts w:hint="eastAsia" w:cs="Times New Roman"/>
          <w:b/>
          <w:bCs/>
          <w:color w:val="auto"/>
          <w:szCs w:val="24"/>
          <w:highlight w:val="none"/>
        </w:rPr>
        <w:t>①供水核心设施与能力</w:t>
      </w:r>
    </w:p>
    <w:p w14:paraId="05710F90">
      <w:pPr>
        <w:adjustRightInd w:val="0"/>
        <w:ind w:firstLine="480" w:firstLineChars="0"/>
        <w:jc w:val="left"/>
        <w:rPr>
          <w:rFonts w:cs="Times New Roman"/>
          <w:color w:val="auto"/>
          <w:szCs w:val="24"/>
          <w:highlight w:val="none"/>
        </w:rPr>
      </w:pPr>
      <w:r>
        <w:rPr>
          <w:rFonts w:hint="eastAsia" w:cs="Times New Roman"/>
          <w:color w:val="auto"/>
          <w:szCs w:val="24"/>
          <w:highlight w:val="none"/>
        </w:rPr>
        <w:t>乐山市有两座水厂以该库区为水源，分别承担不同区域的供水任务，整体供水保障能力较强。一是第一水厂，日供水能力4万立方米，主供中心城区旧城区、肖坝片区和高新区；二是第四水厂，日供水能力达10万立方米，主供肖坝片区、高新区、牛华片区，同时为安谷、车子等地供水。两座水厂合计日供水能力14万立方米，是乐山中心城区及周边供水的核心力量。</w:t>
      </w:r>
    </w:p>
    <w:p w14:paraId="5D6EBE9C">
      <w:pPr>
        <w:adjustRightInd w:val="0"/>
        <w:ind w:firstLine="480" w:firstLineChars="0"/>
        <w:jc w:val="left"/>
        <w:rPr>
          <w:rFonts w:cs="Times New Roman"/>
          <w:b/>
          <w:bCs/>
          <w:color w:val="auto"/>
          <w:szCs w:val="24"/>
          <w:highlight w:val="none"/>
        </w:rPr>
      </w:pPr>
      <w:r>
        <w:rPr>
          <w:rFonts w:hint="eastAsia" w:cs="Times New Roman"/>
          <w:b/>
          <w:bCs/>
          <w:color w:val="auto"/>
          <w:szCs w:val="24"/>
          <w:highlight w:val="none"/>
        </w:rPr>
        <w:t>②供水覆盖范围</w:t>
      </w:r>
    </w:p>
    <w:p w14:paraId="7C934275">
      <w:pPr>
        <w:adjustRightInd w:val="0"/>
        <w:ind w:firstLine="480" w:firstLineChars="0"/>
        <w:jc w:val="left"/>
        <w:rPr>
          <w:rFonts w:cs="Times New Roman"/>
          <w:color w:val="auto"/>
          <w:szCs w:val="24"/>
          <w:highlight w:val="none"/>
        </w:rPr>
      </w:pPr>
      <w:r>
        <w:rPr>
          <w:rFonts w:hint="eastAsia" w:cs="Times New Roman"/>
          <w:color w:val="auto"/>
          <w:szCs w:val="24"/>
          <w:highlight w:val="none"/>
        </w:rPr>
        <w:t>该水源地供水不仅覆盖乐山市中心城区，还辐射至周边多个区县，同时兼顾部分企业用水需求。</w:t>
      </w:r>
    </w:p>
    <w:p w14:paraId="38696FE6">
      <w:pPr>
        <w:adjustRightInd w:val="0"/>
        <w:ind w:firstLine="480" w:firstLineChars="0"/>
        <w:jc w:val="left"/>
        <w:rPr>
          <w:rFonts w:cs="Times New Roman"/>
          <w:color w:val="auto"/>
          <w:szCs w:val="24"/>
          <w:highlight w:val="none"/>
        </w:rPr>
      </w:pPr>
      <w:r>
        <w:rPr>
          <w:rFonts w:hint="eastAsia" w:cs="Times New Roman"/>
          <w:color w:val="auto"/>
          <w:szCs w:val="24"/>
          <w:highlight w:val="none"/>
        </w:rPr>
        <w:t>生活用水：年配置近1亿方水量解决中心城区及周边80余万人的生活用水，其中中心城区涵盖高新区、多个街道及周边多个乡镇；此外还通过输水管道向五通桥区、沙湾区趸售供水。</w:t>
      </w:r>
    </w:p>
    <w:p w14:paraId="3FF6ABE3">
      <w:pPr>
        <w:adjustRightInd w:val="0"/>
        <w:ind w:firstLine="480" w:firstLineChars="0"/>
        <w:jc w:val="left"/>
        <w:rPr>
          <w:rFonts w:cs="Times New Roman"/>
          <w:color w:val="auto"/>
          <w:szCs w:val="24"/>
          <w:highlight w:val="none"/>
        </w:rPr>
      </w:pPr>
      <w:r>
        <w:rPr>
          <w:rFonts w:hint="eastAsia" w:cs="Times New Roman"/>
          <w:color w:val="auto"/>
          <w:szCs w:val="24"/>
          <w:highlight w:val="none"/>
        </w:rPr>
        <w:t>生产用水：在建设初期就考虑到对周边企业的供水保障，针对太平集镇受电站副坝影响的情况，规划建设取水工程，为太平集镇自来水厂、9 家企业供水，还涵盖部分村庄及移民点的生产生活用水。</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9B6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vAlign w:val="center"/>
          </w:tcPr>
          <w:p w14:paraId="752CFB6E">
            <w:pPr>
              <w:adjustRightInd w:val="0"/>
              <w:spacing w:before="62" w:beforeLines="20" w:after="62" w:afterLines="20" w:line="240" w:lineRule="auto"/>
              <w:ind w:firstLine="0" w:firstLineChars="0"/>
              <w:jc w:val="center"/>
              <w:rPr>
                <w:rFonts w:ascii="Calibri" w:hAnsi="Calibri" w:cs="Times New Roman"/>
                <w:color w:val="auto"/>
                <w:sz w:val="21"/>
                <w:szCs w:val="24"/>
                <w:highlight w:val="none"/>
              </w:rPr>
            </w:pPr>
            <w:r>
              <w:rPr>
                <w:color w:val="auto"/>
                <w:highlight w:val="none"/>
              </w:rPr>
              <w:drawing>
                <wp:inline distT="0" distB="0" distL="114300" distR="114300">
                  <wp:extent cx="5614670" cy="3688715"/>
                  <wp:effectExtent l="0" t="0" r="5080" b="6985"/>
                  <wp:docPr id="3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8"/>
                          <pic:cNvPicPr>
                            <a:picLocks noChangeAspect="1"/>
                          </pic:cNvPicPr>
                        </pic:nvPicPr>
                        <pic:blipFill>
                          <a:blip r:embed="rId19"/>
                          <a:stretch>
                            <a:fillRect/>
                          </a:stretch>
                        </pic:blipFill>
                        <pic:spPr>
                          <a:xfrm>
                            <a:off x="0" y="0"/>
                            <a:ext cx="5614670" cy="3688715"/>
                          </a:xfrm>
                          <a:prstGeom prst="rect">
                            <a:avLst/>
                          </a:prstGeom>
                          <a:noFill/>
                          <a:ln>
                            <a:noFill/>
                          </a:ln>
                        </pic:spPr>
                      </pic:pic>
                    </a:graphicData>
                  </a:graphic>
                </wp:inline>
              </w:drawing>
            </w:r>
          </w:p>
        </w:tc>
      </w:tr>
    </w:tbl>
    <w:p w14:paraId="4B7BADED">
      <w:pPr>
        <w:pStyle w:val="12"/>
        <w:adjustRightInd w:val="0"/>
        <w:rPr>
          <w:rFonts w:cs="Times New Roman"/>
          <w:bCs/>
          <w:color w:val="auto"/>
          <w:kern w:val="0"/>
          <w:szCs w:val="21"/>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5</w:t>
      </w:r>
      <w:r>
        <w:rPr>
          <w:color w:val="auto"/>
          <w:highlight w:val="none"/>
        </w:rPr>
        <w:fldChar w:fldCharType="end"/>
      </w:r>
      <w:r>
        <w:rPr>
          <w:rFonts w:hint="eastAsia" w:cs="Times New Roman"/>
          <w:bCs/>
          <w:color w:val="auto"/>
          <w:kern w:val="0"/>
          <w:szCs w:val="21"/>
          <w:highlight w:val="none"/>
        </w:rPr>
        <w:t>集中式水源地水域与本项目的位置关系示意图</w:t>
      </w:r>
    </w:p>
    <w:p w14:paraId="62CC28EC">
      <w:pPr>
        <w:adjustRightInd w:val="0"/>
        <w:spacing w:before="156" w:beforeLines="50"/>
        <w:ind w:firstLine="482" w:firstLineChars="0"/>
        <w:rPr>
          <w:rFonts w:cs="Times New Roman"/>
          <w:color w:val="auto"/>
          <w:szCs w:val="24"/>
          <w:highlight w:val="none"/>
          <w:u w:val="single"/>
        </w:rPr>
      </w:pPr>
      <w:r>
        <w:rPr>
          <w:rFonts w:hint="eastAsia" w:cs="Times New Roman"/>
          <w:color w:val="auto"/>
          <w:szCs w:val="24"/>
          <w:highlight w:val="none"/>
          <w:u w:val="single"/>
        </w:rPr>
        <w:t>需要说明的是：</w:t>
      </w:r>
      <w:r>
        <w:rPr>
          <w:rFonts w:cs="Times New Roman"/>
          <w:color w:val="auto"/>
          <w:szCs w:val="24"/>
          <w:highlight w:val="none"/>
          <w:u w:val="single"/>
        </w:rPr>
        <w:t>项目场地东南侧约18</w:t>
      </w:r>
      <w:r>
        <w:rPr>
          <w:rFonts w:hint="eastAsia" w:cs="Times New Roman"/>
          <w:color w:val="auto"/>
          <w:szCs w:val="24"/>
          <w:highlight w:val="none"/>
          <w:u w:val="single"/>
        </w:rPr>
        <w:t>15</w:t>
      </w:r>
      <w:r>
        <w:rPr>
          <w:rFonts w:cs="Times New Roman"/>
          <w:color w:val="auto"/>
          <w:szCs w:val="24"/>
          <w:highlight w:val="none"/>
          <w:u w:val="single"/>
        </w:rPr>
        <w:t>m为乐山市大渡河安谷电站库区集中式饮用水水源保护区取水口</w:t>
      </w:r>
      <w:r>
        <w:rPr>
          <w:rFonts w:hint="eastAsia" w:cs="Times New Roman"/>
          <w:color w:val="auto"/>
          <w:szCs w:val="24"/>
          <w:highlight w:val="none"/>
          <w:u w:val="single"/>
        </w:rPr>
        <w:t>，</w:t>
      </w:r>
      <w:r>
        <w:rPr>
          <w:rFonts w:cs="Times New Roman"/>
          <w:color w:val="auto"/>
          <w:szCs w:val="24"/>
          <w:highlight w:val="none"/>
          <w:u w:val="single"/>
        </w:rPr>
        <w:t>取水口</w:t>
      </w:r>
      <w:r>
        <w:rPr>
          <w:rFonts w:hint="eastAsia" w:cs="Times New Roman"/>
          <w:color w:val="auto"/>
          <w:szCs w:val="24"/>
          <w:highlight w:val="none"/>
          <w:u w:val="single"/>
        </w:rPr>
        <w:t>位于</w:t>
      </w:r>
      <w:r>
        <w:rPr>
          <w:rFonts w:cs="Times New Roman"/>
          <w:color w:val="auto"/>
          <w:szCs w:val="24"/>
          <w:highlight w:val="none"/>
          <w:u w:val="single"/>
        </w:rPr>
        <w:t>安谷电站</w:t>
      </w:r>
      <w:r>
        <w:rPr>
          <w:rFonts w:hint="eastAsia" w:cs="Times New Roman"/>
          <w:color w:val="auto"/>
          <w:szCs w:val="24"/>
          <w:highlight w:val="none"/>
          <w:u w:val="single"/>
        </w:rPr>
        <w:t>大坝内。本项目与</w:t>
      </w:r>
      <w:r>
        <w:rPr>
          <w:rFonts w:cs="Times New Roman"/>
          <w:color w:val="auto"/>
          <w:szCs w:val="24"/>
          <w:highlight w:val="none"/>
          <w:u w:val="single"/>
        </w:rPr>
        <w:t>集中式饮用水水源保护区</w:t>
      </w:r>
      <w:r>
        <w:rPr>
          <w:rFonts w:hint="eastAsia" w:cs="Times New Roman"/>
          <w:color w:val="auto"/>
          <w:szCs w:val="24"/>
          <w:highlight w:val="none"/>
          <w:u w:val="single"/>
        </w:rPr>
        <w:t>中间隔有大渡河生态河。项目所在水位和</w:t>
      </w:r>
      <w:r>
        <w:rPr>
          <w:rFonts w:cs="Times New Roman"/>
          <w:color w:val="auto"/>
          <w:szCs w:val="24"/>
          <w:highlight w:val="none"/>
          <w:u w:val="single"/>
        </w:rPr>
        <w:t>安谷电站库区</w:t>
      </w:r>
      <w:r>
        <w:rPr>
          <w:rFonts w:hint="eastAsia" w:cs="Times New Roman"/>
          <w:color w:val="auto"/>
          <w:szCs w:val="24"/>
          <w:highlight w:val="none"/>
          <w:u w:val="single"/>
        </w:rPr>
        <w:t>水位均高于大渡河生态河水位，即本项目位于大渡河生态河的</w:t>
      </w:r>
      <w:r>
        <w:rPr>
          <w:rFonts w:cs="Times New Roman"/>
          <w:color w:val="auto"/>
          <w:szCs w:val="24"/>
          <w:highlight w:val="none"/>
          <w:u w:val="single"/>
        </w:rPr>
        <w:t>补给径流区</w:t>
      </w:r>
      <w:r>
        <w:rPr>
          <w:rFonts w:hint="eastAsia" w:cs="Times New Roman"/>
          <w:color w:val="auto"/>
          <w:szCs w:val="24"/>
          <w:highlight w:val="none"/>
          <w:u w:val="single"/>
        </w:rPr>
        <w:t>，不在</w:t>
      </w:r>
      <w:r>
        <w:rPr>
          <w:rFonts w:cs="Times New Roman"/>
          <w:color w:val="auto"/>
          <w:szCs w:val="24"/>
          <w:highlight w:val="none"/>
          <w:u w:val="single"/>
        </w:rPr>
        <w:t>乐山市大渡河安谷电站库区集中式饮用水水源保护区</w:t>
      </w:r>
      <w:r>
        <w:rPr>
          <w:rFonts w:hint="eastAsia" w:cs="Times New Roman"/>
          <w:color w:val="auto"/>
          <w:szCs w:val="24"/>
          <w:highlight w:val="none"/>
          <w:u w:val="single"/>
        </w:rPr>
        <w:t>的</w:t>
      </w:r>
      <w:r>
        <w:rPr>
          <w:rFonts w:cs="Times New Roman"/>
          <w:color w:val="auto"/>
          <w:szCs w:val="24"/>
          <w:highlight w:val="none"/>
          <w:u w:val="single"/>
        </w:rPr>
        <w:t>准保护区</w:t>
      </w:r>
      <w:r>
        <w:rPr>
          <w:rFonts w:hint="eastAsia" w:cs="Times New Roman"/>
          <w:color w:val="auto"/>
          <w:szCs w:val="24"/>
          <w:highlight w:val="none"/>
          <w:u w:val="single"/>
        </w:rPr>
        <w:t>或</w:t>
      </w:r>
      <w:r>
        <w:rPr>
          <w:rFonts w:cs="Times New Roman"/>
          <w:color w:val="auto"/>
          <w:szCs w:val="24"/>
          <w:highlight w:val="none"/>
          <w:u w:val="single"/>
        </w:rPr>
        <w:t>补给径流区</w:t>
      </w:r>
      <w:r>
        <w:rPr>
          <w:rFonts w:hint="eastAsia" w:cs="Times New Roman"/>
          <w:color w:val="auto"/>
          <w:szCs w:val="24"/>
          <w:highlight w:val="none"/>
          <w:u w:val="single"/>
        </w:rPr>
        <w:t>内。不涉及</w:t>
      </w:r>
      <w:r>
        <w:rPr>
          <w:rFonts w:cs="Times New Roman"/>
          <w:color w:val="auto"/>
          <w:szCs w:val="24"/>
          <w:highlight w:val="none"/>
          <w:u w:val="single"/>
        </w:rPr>
        <w:t>大渡河安谷电站库区集中式饮用水水源保护区</w:t>
      </w:r>
      <w:r>
        <w:rPr>
          <w:rFonts w:hint="eastAsia" w:cs="Times New Roman"/>
          <w:color w:val="auto"/>
          <w:szCs w:val="24"/>
          <w:highlight w:val="none"/>
          <w:u w:val="single"/>
        </w:rPr>
        <w:t>。</w:t>
      </w:r>
    </w:p>
    <w:p w14:paraId="4D4ADF0B">
      <w:pPr>
        <w:adjustRightInd w:val="0"/>
        <w:ind w:firstLine="482" w:firstLineChars="0"/>
        <w:rPr>
          <w:rFonts w:cs="Times New Roman"/>
          <w:b/>
          <w:color w:val="auto"/>
          <w:szCs w:val="24"/>
          <w:highlight w:val="none"/>
        </w:rPr>
      </w:pPr>
      <w:r>
        <w:rPr>
          <w:rFonts w:hint="eastAsia" w:cs="Times New Roman"/>
          <w:b/>
          <w:color w:val="auto"/>
          <w:szCs w:val="24"/>
          <w:highlight w:val="none"/>
        </w:rPr>
        <w:t>（2）分散式取水情况</w:t>
      </w:r>
    </w:p>
    <w:p w14:paraId="4C5B85C2">
      <w:pPr>
        <w:adjustRightInd w:val="0"/>
        <w:ind w:firstLine="480" w:firstLineChars="0"/>
        <w:rPr>
          <w:rFonts w:cs="Times New Roman"/>
          <w:color w:val="auto"/>
          <w:szCs w:val="24"/>
          <w:highlight w:val="none"/>
        </w:rPr>
      </w:pPr>
      <w:r>
        <w:rPr>
          <w:rFonts w:hint="eastAsia" w:cs="Times New Roman"/>
          <w:color w:val="auto"/>
          <w:szCs w:val="24"/>
          <w:highlight w:val="none"/>
        </w:rPr>
        <w:t>根据现场调查，项目周边主要为工业园区内工业企业、分散式居民点、</w:t>
      </w:r>
      <w:r>
        <w:rPr>
          <w:rFonts w:hint="eastAsia" w:cs="Times New Roman"/>
          <w:bCs/>
          <w:color w:val="auto"/>
          <w:szCs w:val="32"/>
          <w:highlight w:val="none"/>
        </w:rPr>
        <w:t>红猫堰、大渡河生态河</w:t>
      </w:r>
      <w:r>
        <w:rPr>
          <w:rFonts w:hint="eastAsia" w:cs="Times New Roman"/>
          <w:color w:val="auto"/>
          <w:szCs w:val="24"/>
          <w:highlight w:val="none"/>
        </w:rPr>
        <w:t>和农田等。调查范围内居民饮用水主要来源于自来水，分散式水井主要用于灌溉，仅在应急状态下饮用，属于分散式地下水饮用水水源地。</w:t>
      </w:r>
    </w:p>
    <w:p w14:paraId="6E27385E">
      <w:pPr>
        <w:adjustRightInd w:val="0"/>
        <w:ind w:firstLine="480" w:firstLineChars="0"/>
        <w:rPr>
          <w:rFonts w:cs="Times New Roman"/>
          <w:color w:val="auto"/>
          <w:szCs w:val="24"/>
          <w:highlight w:val="none"/>
        </w:rPr>
      </w:pPr>
      <w:r>
        <w:rPr>
          <w:rFonts w:hint="eastAsia" w:cs="Times New Roman"/>
          <w:color w:val="auto"/>
          <w:szCs w:val="24"/>
          <w:highlight w:val="none"/>
        </w:rPr>
        <w:t>根据现场调查，本项目分散式地下水饮用水水源地具体点位位置如下：</w:t>
      </w:r>
    </w:p>
    <w:p w14:paraId="71AA66A1">
      <w:pPr>
        <w:pStyle w:val="12"/>
        <w:adjustRightInd w:val="0"/>
        <w:rPr>
          <w:color w:val="auto"/>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rPr>
        <w:t>分散式地下水水源地一览表</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586"/>
        <w:gridCol w:w="1437"/>
        <w:gridCol w:w="917"/>
        <w:gridCol w:w="1022"/>
        <w:gridCol w:w="888"/>
        <w:gridCol w:w="995"/>
        <w:gridCol w:w="1287"/>
      </w:tblGrid>
      <w:tr w14:paraId="2857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0" w:type="pct"/>
            <w:vMerge w:val="restart"/>
            <w:vAlign w:val="center"/>
          </w:tcPr>
          <w:p w14:paraId="313031B0">
            <w:pPr>
              <w:pStyle w:val="37"/>
              <w:adjustRightInd w:val="0"/>
              <w:spacing w:before="62" w:after="62"/>
              <w:rPr>
                <w:b/>
                <w:bCs/>
                <w:color w:val="auto"/>
                <w:highlight w:val="none"/>
              </w:rPr>
            </w:pPr>
            <w:r>
              <w:rPr>
                <w:b/>
                <w:bCs/>
                <w:color w:val="auto"/>
                <w:highlight w:val="none"/>
              </w:rPr>
              <w:t>分散式水源地名称</w:t>
            </w:r>
          </w:p>
        </w:tc>
        <w:tc>
          <w:tcPr>
            <w:tcW w:w="1668" w:type="pct"/>
            <w:gridSpan w:val="2"/>
            <w:vAlign w:val="center"/>
          </w:tcPr>
          <w:p w14:paraId="20EF08E0">
            <w:pPr>
              <w:pStyle w:val="37"/>
              <w:adjustRightInd w:val="0"/>
              <w:spacing w:before="62" w:after="62"/>
              <w:rPr>
                <w:b/>
                <w:bCs/>
                <w:color w:val="auto"/>
                <w:highlight w:val="none"/>
              </w:rPr>
            </w:pPr>
            <w:r>
              <w:rPr>
                <w:b/>
                <w:bCs/>
                <w:color w:val="auto"/>
                <w:highlight w:val="none"/>
              </w:rPr>
              <w:t>坐标</w:t>
            </w:r>
          </w:p>
        </w:tc>
        <w:tc>
          <w:tcPr>
            <w:tcW w:w="506" w:type="pct"/>
            <w:vMerge w:val="restart"/>
            <w:vAlign w:val="center"/>
          </w:tcPr>
          <w:p w14:paraId="0D344E59">
            <w:pPr>
              <w:pStyle w:val="37"/>
              <w:adjustRightInd w:val="0"/>
              <w:spacing w:before="62" w:after="62"/>
              <w:rPr>
                <w:b/>
                <w:bCs/>
                <w:color w:val="auto"/>
                <w:highlight w:val="none"/>
              </w:rPr>
            </w:pPr>
            <w:r>
              <w:rPr>
                <w:b/>
                <w:bCs/>
                <w:color w:val="auto"/>
                <w:highlight w:val="none"/>
              </w:rPr>
              <w:t>埋深（m）</w:t>
            </w:r>
          </w:p>
        </w:tc>
        <w:tc>
          <w:tcPr>
            <w:tcW w:w="564" w:type="pct"/>
            <w:vMerge w:val="restart"/>
            <w:vAlign w:val="center"/>
          </w:tcPr>
          <w:p w14:paraId="2AAE5F0F">
            <w:pPr>
              <w:pStyle w:val="37"/>
              <w:adjustRightInd w:val="0"/>
              <w:spacing w:before="62" w:after="62"/>
              <w:rPr>
                <w:b/>
                <w:bCs/>
                <w:color w:val="auto"/>
                <w:highlight w:val="none"/>
              </w:rPr>
            </w:pPr>
            <w:r>
              <w:rPr>
                <w:b/>
                <w:bCs/>
                <w:color w:val="auto"/>
                <w:highlight w:val="none"/>
              </w:rPr>
              <w:t>地表高程（m）</w:t>
            </w:r>
          </w:p>
        </w:tc>
        <w:tc>
          <w:tcPr>
            <w:tcW w:w="490" w:type="pct"/>
            <w:vMerge w:val="restart"/>
            <w:vAlign w:val="center"/>
          </w:tcPr>
          <w:p w14:paraId="7E819B29">
            <w:pPr>
              <w:pStyle w:val="37"/>
              <w:adjustRightInd w:val="0"/>
              <w:spacing w:before="62" w:after="62"/>
              <w:rPr>
                <w:b/>
                <w:bCs/>
                <w:color w:val="auto"/>
                <w:highlight w:val="none"/>
              </w:rPr>
            </w:pPr>
            <w:r>
              <w:rPr>
                <w:b/>
                <w:bCs/>
                <w:color w:val="auto"/>
                <w:highlight w:val="none"/>
              </w:rPr>
              <w:t>水位高程（m）</w:t>
            </w:r>
          </w:p>
        </w:tc>
        <w:tc>
          <w:tcPr>
            <w:tcW w:w="549" w:type="pct"/>
            <w:vMerge w:val="restart"/>
            <w:vAlign w:val="center"/>
          </w:tcPr>
          <w:p w14:paraId="4D2A767E">
            <w:pPr>
              <w:pStyle w:val="37"/>
              <w:adjustRightInd w:val="0"/>
              <w:spacing w:before="62" w:after="62"/>
              <w:rPr>
                <w:b/>
                <w:bCs/>
                <w:color w:val="auto"/>
                <w:highlight w:val="none"/>
              </w:rPr>
            </w:pPr>
            <w:r>
              <w:rPr>
                <w:b/>
                <w:bCs/>
                <w:color w:val="auto"/>
                <w:highlight w:val="none"/>
              </w:rPr>
              <w:t>取水量（m</w:t>
            </w:r>
            <w:r>
              <w:rPr>
                <w:rFonts w:hint="eastAsia"/>
                <w:b/>
                <w:bCs/>
                <w:color w:val="auto"/>
                <w:highlight w:val="none"/>
                <w:vertAlign w:val="superscript"/>
              </w:rPr>
              <w:t>3</w:t>
            </w:r>
            <w:r>
              <w:rPr>
                <w:b/>
                <w:bCs/>
                <w:color w:val="auto"/>
                <w:highlight w:val="none"/>
              </w:rPr>
              <w:t>）</w:t>
            </w:r>
          </w:p>
        </w:tc>
        <w:tc>
          <w:tcPr>
            <w:tcW w:w="710" w:type="pct"/>
            <w:vMerge w:val="restart"/>
            <w:vAlign w:val="center"/>
          </w:tcPr>
          <w:p w14:paraId="7110B0B0">
            <w:pPr>
              <w:pStyle w:val="37"/>
              <w:adjustRightInd w:val="0"/>
              <w:spacing w:before="62" w:after="62"/>
              <w:rPr>
                <w:b/>
                <w:bCs/>
                <w:color w:val="auto"/>
                <w:highlight w:val="none"/>
              </w:rPr>
            </w:pPr>
            <w:r>
              <w:rPr>
                <w:b/>
                <w:bCs/>
                <w:color w:val="auto"/>
                <w:highlight w:val="none"/>
              </w:rPr>
              <w:t>用途</w:t>
            </w:r>
          </w:p>
        </w:tc>
      </w:tr>
      <w:tr w14:paraId="1161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10" w:type="pct"/>
            <w:vMerge w:val="continue"/>
            <w:vAlign w:val="center"/>
          </w:tcPr>
          <w:p w14:paraId="3720789E">
            <w:pPr>
              <w:pStyle w:val="37"/>
              <w:adjustRightInd w:val="0"/>
              <w:spacing w:before="62" w:after="62"/>
              <w:rPr>
                <w:color w:val="auto"/>
                <w:highlight w:val="none"/>
              </w:rPr>
            </w:pPr>
          </w:p>
        </w:tc>
        <w:tc>
          <w:tcPr>
            <w:tcW w:w="875" w:type="pct"/>
            <w:vAlign w:val="center"/>
          </w:tcPr>
          <w:p w14:paraId="73C021DB">
            <w:pPr>
              <w:pStyle w:val="37"/>
              <w:adjustRightInd w:val="0"/>
              <w:spacing w:before="62" w:after="62"/>
              <w:rPr>
                <w:b/>
                <w:bCs/>
                <w:color w:val="auto"/>
                <w:highlight w:val="none"/>
              </w:rPr>
            </w:pPr>
            <w:r>
              <w:rPr>
                <w:b/>
                <w:bCs/>
                <w:color w:val="auto"/>
                <w:highlight w:val="none"/>
              </w:rPr>
              <w:t>E</w:t>
            </w:r>
          </w:p>
        </w:tc>
        <w:tc>
          <w:tcPr>
            <w:tcW w:w="792" w:type="pct"/>
            <w:vAlign w:val="center"/>
          </w:tcPr>
          <w:p w14:paraId="2CDFD44F">
            <w:pPr>
              <w:pStyle w:val="37"/>
              <w:adjustRightInd w:val="0"/>
              <w:spacing w:before="62" w:after="62"/>
              <w:rPr>
                <w:b/>
                <w:bCs/>
                <w:color w:val="auto"/>
                <w:highlight w:val="none"/>
              </w:rPr>
            </w:pPr>
            <w:r>
              <w:rPr>
                <w:b/>
                <w:bCs/>
                <w:color w:val="auto"/>
                <w:highlight w:val="none"/>
              </w:rPr>
              <w:t>N</w:t>
            </w:r>
          </w:p>
        </w:tc>
        <w:tc>
          <w:tcPr>
            <w:tcW w:w="506" w:type="pct"/>
            <w:vMerge w:val="continue"/>
            <w:vAlign w:val="center"/>
          </w:tcPr>
          <w:p w14:paraId="21E09705">
            <w:pPr>
              <w:pStyle w:val="37"/>
              <w:adjustRightInd w:val="0"/>
              <w:spacing w:before="62" w:after="62"/>
              <w:rPr>
                <w:color w:val="auto"/>
                <w:highlight w:val="none"/>
              </w:rPr>
            </w:pPr>
          </w:p>
        </w:tc>
        <w:tc>
          <w:tcPr>
            <w:tcW w:w="564" w:type="pct"/>
            <w:vMerge w:val="continue"/>
            <w:vAlign w:val="center"/>
          </w:tcPr>
          <w:p w14:paraId="400E56C2">
            <w:pPr>
              <w:pStyle w:val="37"/>
              <w:adjustRightInd w:val="0"/>
              <w:spacing w:before="62" w:after="62"/>
              <w:rPr>
                <w:color w:val="auto"/>
                <w:highlight w:val="none"/>
              </w:rPr>
            </w:pPr>
          </w:p>
        </w:tc>
        <w:tc>
          <w:tcPr>
            <w:tcW w:w="490" w:type="pct"/>
            <w:vMerge w:val="continue"/>
            <w:vAlign w:val="center"/>
          </w:tcPr>
          <w:p w14:paraId="0123364F">
            <w:pPr>
              <w:pStyle w:val="37"/>
              <w:adjustRightInd w:val="0"/>
              <w:spacing w:before="62" w:after="62"/>
              <w:rPr>
                <w:color w:val="auto"/>
                <w:highlight w:val="none"/>
              </w:rPr>
            </w:pPr>
          </w:p>
        </w:tc>
        <w:tc>
          <w:tcPr>
            <w:tcW w:w="549" w:type="pct"/>
            <w:vMerge w:val="continue"/>
            <w:vAlign w:val="center"/>
          </w:tcPr>
          <w:p w14:paraId="3EE72268">
            <w:pPr>
              <w:pStyle w:val="37"/>
              <w:adjustRightInd w:val="0"/>
              <w:spacing w:before="62" w:after="62"/>
              <w:rPr>
                <w:color w:val="auto"/>
                <w:highlight w:val="none"/>
              </w:rPr>
            </w:pPr>
          </w:p>
        </w:tc>
        <w:tc>
          <w:tcPr>
            <w:tcW w:w="710" w:type="pct"/>
            <w:vMerge w:val="continue"/>
            <w:vAlign w:val="center"/>
          </w:tcPr>
          <w:p w14:paraId="441FC1FB">
            <w:pPr>
              <w:pStyle w:val="37"/>
              <w:adjustRightInd w:val="0"/>
              <w:spacing w:before="62" w:after="62"/>
              <w:rPr>
                <w:color w:val="auto"/>
                <w:highlight w:val="none"/>
              </w:rPr>
            </w:pPr>
          </w:p>
        </w:tc>
      </w:tr>
      <w:tr w14:paraId="295EA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64EED914">
            <w:pPr>
              <w:pStyle w:val="37"/>
              <w:adjustRightInd w:val="0"/>
              <w:spacing w:before="62" w:after="62"/>
              <w:rPr>
                <w:color w:val="auto"/>
                <w:highlight w:val="none"/>
              </w:rPr>
            </w:pPr>
            <w:r>
              <w:rPr>
                <w:color w:val="auto"/>
                <w:highlight w:val="none"/>
              </w:rPr>
              <w:t>W1</w:t>
            </w:r>
          </w:p>
        </w:tc>
        <w:tc>
          <w:tcPr>
            <w:tcW w:w="875" w:type="pct"/>
            <w:vAlign w:val="center"/>
          </w:tcPr>
          <w:p w14:paraId="3A0AB84C">
            <w:pPr>
              <w:pStyle w:val="37"/>
              <w:adjustRightInd w:val="0"/>
              <w:spacing w:before="62" w:after="62"/>
              <w:rPr>
                <w:color w:val="auto"/>
                <w:highlight w:val="none"/>
              </w:rPr>
            </w:pPr>
            <w:r>
              <w:rPr>
                <w:color w:val="auto"/>
                <w:highlight w:val="none"/>
              </w:rPr>
              <w:t>29.5012661</w:t>
            </w:r>
          </w:p>
        </w:tc>
        <w:tc>
          <w:tcPr>
            <w:tcW w:w="792" w:type="pct"/>
            <w:vAlign w:val="center"/>
          </w:tcPr>
          <w:p w14:paraId="484D01E4">
            <w:pPr>
              <w:pStyle w:val="37"/>
              <w:adjustRightInd w:val="0"/>
              <w:spacing w:before="62" w:after="62"/>
              <w:rPr>
                <w:color w:val="auto"/>
                <w:highlight w:val="none"/>
              </w:rPr>
            </w:pPr>
            <w:r>
              <w:rPr>
                <w:color w:val="auto"/>
                <w:highlight w:val="none"/>
              </w:rPr>
              <w:t>103.5987483</w:t>
            </w:r>
          </w:p>
        </w:tc>
        <w:tc>
          <w:tcPr>
            <w:tcW w:w="506" w:type="pct"/>
            <w:vAlign w:val="center"/>
          </w:tcPr>
          <w:p w14:paraId="4D4E7034">
            <w:pPr>
              <w:pStyle w:val="37"/>
              <w:adjustRightInd w:val="0"/>
              <w:spacing w:before="62" w:after="62"/>
              <w:rPr>
                <w:color w:val="auto"/>
                <w:highlight w:val="none"/>
              </w:rPr>
            </w:pPr>
          </w:p>
        </w:tc>
        <w:tc>
          <w:tcPr>
            <w:tcW w:w="564" w:type="pct"/>
            <w:vAlign w:val="center"/>
          </w:tcPr>
          <w:p w14:paraId="553355B4">
            <w:pPr>
              <w:pStyle w:val="37"/>
              <w:adjustRightInd w:val="0"/>
              <w:spacing w:before="62" w:after="62"/>
              <w:rPr>
                <w:color w:val="auto"/>
                <w:highlight w:val="none"/>
              </w:rPr>
            </w:pPr>
          </w:p>
        </w:tc>
        <w:tc>
          <w:tcPr>
            <w:tcW w:w="490" w:type="pct"/>
            <w:vAlign w:val="center"/>
          </w:tcPr>
          <w:p w14:paraId="2D6BB9ED">
            <w:pPr>
              <w:pStyle w:val="37"/>
              <w:adjustRightInd w:val="0"/>
              <w:spacing w:before="62" w:after="62"/>
              <w:rPr>
                <w:color w:val="auto"/>
                <w:highlight w:val="none"/>
              </w:rPr>
            </w:pPr>
          </w:p>
        </w:tc>
        <w:tc>
          <w:tcPr>
            <w:tcW w:w="549" w:type="pct"/>
            <w:vAlign w:val="center"/>
          </w:tcPr>
          <w:p w14:paraId="18C88348">
            <w:pPr>
              <w:pStyle w:val="37"/>
              <w:adjustRightInd w:val="0"/>
              <w:spacing w:before="62" w:after="62"/>
              <w:rPr>
                <w:color w:val="auto"/>
                <w:highlight w:val="none"/>
              </w:rPr>
            </w:pPr>
            <w:r>
              <w:rPr>
                <w:color w:val="auto"/>
                <w:highlight w:val="none"/>
              </w:rPr>
              <w:t>少量</w:t>
            </w:r>
          </w:p>
        </w:tc>
        <w:tc>
          <w:tcPr>
            <w:tcW w:w="710" w:type="pct"/>
            <w:vAlign w:val="center"/>
          </w:tcPr>
          <w:p w14:paraId="5F610DE3">
            <w:pPr>
              <w:pStyle w:val="37"/>
              <w:adjustRightInd w:val="0"/>
              <w:spacing w:before="62" w:after="62"/>
              <w:rPr>
                <w:color w:val="auto"/>
                <w:highlight w:val="none"/>
              </w:rPr>
            </w:pPr>
            <w:r>
              <w:rPr>
                <w:color w:val="auto"/>
                <w:highlight w:val="none"/>
              </w:rPr>
              <w:t>灌溉/饮用</w:t>
            </w:r>
          </w:p>
        </w:tc>
      </w:tr>
      <w:tr w14:paraId="30993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2F661FE9">
            <w:pPr>
              <w:pStyle w:val="37"/>
              <w:adjustRightInd w:val="0"/>
              <w:spacing w:before="62" w:after="62"/>
              <w:rPr>
                <w:color w:val="auto"/>
                <w:highlight w:val="none"/>
              </w:rPr>
            </w:pPr>
            <w:r>
              <w:rPr>
                <w:color w:val="auto"/>
                <w:highlight w:val="none"/>
              </w:rPr>
              <w:t>W2</w:t>
            </w:r>
          </w:p>
        </w:tc>
        <w:tc>
          <w:tcPr>
            <w:tcW w:w="875" w:type="pct"/>
            <w:vAlign w:val="center"/>
          </w:tcPr>
          <w:p w14:paraId="7BE30083">
            <w:pPr>
              <w:pStyle w:val="37"/>
              <w:adjustRightInd w:val="0"/>
              <w:spacing w:before="62" w:after="62"/>
              <w:rPr>
                <w:color w:val="auto"/>
                <w:highlight w:val="none"/>
              </w:rPr>
            </w:pPr>
            <w:r>
              <w:rPr>
                <w:color w:val="auto"/>
                <w:highlight w:val="none"/>
              </w:rPr>
              <w:t>29.50374788</w:t>
            </w:r>
          </w:p>
        </w:tc>
        <w:tc>
          <w:tcPr>
            <w:tcW w:w="792" w:type="pct"/>
            <w:vAlign w:val="center"/>
          </w:tcPr>
          <w:p w14:paraId="4E979DBF">
            <w:pPr>
              <w:pStyle w:val="37"/>
              <w:adjustRightInd w:val="0"/>
              <w:spacing w:before="62" w:after="62"/>
              <w:rPr>
                <w:color w:val="auto"/>
                <w:highlight w:val="none"/>
              </w:rPr>
            </w:pPr>
            <w:r>
              <w:rPr>
                <w:color w:val="auto"/>
                <w:highlight w:val="none"/>
              </w:rPr>
              <w:t>103.6154628</w:t>
            </w:r>
          </w:p>
        </w:tc>
        <w:tc>
          <w:tcPr>
            <w:tcW w:w="506" w:type="pct"/>
            <w:vAlign w:val="center"/>
          </w:tcPr>
          <w:p w14:paraId="298B817A">
            <w:pPr>
              <w:pStyle w:val="37"/>
              <w:adjustRightInd w:val="0"/>
              <w:spacing w:before="62" w:after="62"/>
              <w:rPr>
                <w:color w:val="auto"/>
                <w:highlight w:val="none"/>
              </w:rPr>
            </w:pPr>
          </w:p>
        </w:tc>
        <w:tc>
          <w:tcPr>
            <w:tcW w:w="564" w:type="pct"/>
            <w:vAlign w:val="center"/>
          </w:tcPr>
          <w:p w14:paraId="67F2FE09">
            <w:pPr>
              <w:pStyle w:val="37"/>
              <w:adjustRightInd w:val="0"/>
              <w:spacing w:before="62" w:after="62"/>
              <w:rPr>
                <w:color w:val="auto"/>
                <w:highlight w:val="none"/>
              </w:rPr>
            </w:pPr>
          </w:p>
        </w:tc>
        <w:tc>
          <w:tcPr>
            <w:tcW w:w="490" w:type="pct"/>
            <w:vAlign w:val="center"/>
          </w:tcPr>
          <w:p w14:paraId="70087B81">
            <w:pPr>
              <w:pStyle w:val="37"/>
              <w:adjustRightInd w:val="0"/>
              <w:spacing w:before="62" w:after="62"/>
              <w:rPr>
                <w:color w:val="auto"/>
                <w:highlight w:val="none"/>
              </w:rPr>
            </w:pPr>
          </w:p>
        </w:tc>
        <w:tc>
          <w:tcPr>
            <w:tcW w:w="549" w:type="pct"/>
            <w:vAlign w:val="center"/>
          </w:tcPr>
          <w:p w14:paraId="1076F4B5">
            <w:pPr>
              <w:pStyle w:val="37"/>
              <w:adjustRightInd w:val="0"/>
              <w:spacing w:before="62" w:after="62"/>
              <w:rPr>
                <w:color w:val="auto"/>
                <w:highlight w:val="none"/>
              </w:rPr>
            </w:pPr>
            <w:r>
              <w:rPr>
                <w:color w:val="auto"/>
                <w:highlight w:val="none"/>
              </w:rPr>
              <w:t>少量</w:t>
            </w:r>
          </w:p>
        </w:tc>
        <w:tc>
          <w:tcPr>
            <w:tcW w:w="710" w:type="pct"/>
            <w:vAlign w:val="center"/>
          </w:tcPr>
          <w:p w14:paraId="3E968C82">
            <w:pPr>
              <w:pStyle w:val="37"/>
              <w:adjustRightInd w:val="0"/>
              <w:spacing w:before="62" w:after="62"/>
              <w:rPr>
                <w:color w:val="auto"/>
                <w:highlight w:val="none"/>
              </w:rPr>
            </w:pPr>
            <w:r>
              <w:rPr>
                <w:color w:val="auto"/>
                <w:highlight w:val="none"/>
              </w:rPr>
              <w:t>灌溉/监测</w:t>
            </w:r>
          </w:p>
        </w:tc>
      </w:tr>
      <w:tr w14:paraId="232D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02213227">
            <w:pPr>
              <w:pStyle w:val="37"/>
              <w:adjustRightInd w:val="0"/>
              <w:spacing w:before="62" w:after="62"/>
              <w:rPr>
                <w:color w:val="auto"/>
                <w:highlight w:val="none"/>
              </w:rPr>
            </w:pPr>
            <w:r>
              <w:rPr>
                <w:color w:val="auto"/>
                <w:highlight w:val="none"/>
              </w:rPr>
              <w:t>W3</w:t>
            </w:r>
          </w:p>
        </w:tc>
        <w:tc>
          <w:tcPr>
            <w:tcW w:w="875" w:type="pct"/>
            <w:vAlign w:val="center"/>
          </w:tcPr>
          <w:p w14:paraId="4E8DA156">
            <w:pPr>
              <w:pStyle w:val="37"/>
              <w:adjustRightInd w:val="0"/>
              <w:spacing w:before="62" w:after="62"/>
              <w:rPr>
                <w:color w:val="auto"/>
                <w:highlight w:val="none"/>
              </w:rPr>
            </w:pPr>
            <w:r>
              <w:rPr>
                <w:color w:val="auto"/>
                <w:highlight w:val="none"/>
              </w:rPr>
              <w:t>29.50906439</w:t>
            </w:r>
          </w:p>
        </w:tc>
        <w:tc>
          <w:tcPr>
            <w:tcW w:w="792" w:type="pct"/>
            <w:vAlign w:val="center"/>
          </w:tcPr>
          <w:p w14:paraId="2A734FAA">
            <w:pPr>
              <w:pStyle w:val="37"/>
              <w:adjustRightInd w:val="0"/>
              <w:spacing w:before="62" w:after="62"/>
              <w:rPr>
                <w:color w:val="auto"/>
                <w:highlight w:val="none"/>
              </w:rPr>
            </w:pPr>
            <w:r>
              <w:rPr>
                <w:color w:val="auto"/>
                <w:highlight w:val="none"/>
              </w:rPr>
              <w:t>103.6133383</w:t>
            </w:r>
          </w:p>
        </w:tc>
        <w:tc>
          <w:tcPr>
            <w:tcW w:w="506" w:type="pct"/>
            <w:vAlign w:val="center"/>
          </w:tcPr>
          <w:p w14:paraId="24C3FB0F">
            <w:pPr>
              <w:pStyle w:val="37"/>
              <w:adjustRightInd w:val="0"/>
              <w:spacing w:before="62" w:after="62"/>
              <w:rPr>
                <w:color w:val="auto"/>
                <w:highlight w:val="none"/>
              </w:rPr>
            </w:pPr>
          </w:p>
        </w:tc>
        <w:tc>
          <w:tcPr>
            <w:tcW w:w="564" w:type="pct"/>
            <w:vAlign w:val="center"/>
          </w:tcPr>
          <w:p w14:paraId="0D83412C">
            <w:pPr>
              <w:pStyle w:val="37"/>
              <w:adjustRightInd w:val="0"/>
              <w:spacing w:before="62" w:after="62"/>
              <w:rPr>
                <w:color w:val="auto"/>
                <w:highlight w:val="none"/>
              </w:rPr>
            </w:pPr>
          </w:p>
        </w:tc>
        <w:tc>
          <w:tcPr>
            <w:tcW w:w="490" w:type="pct"/>
            <w:vAlign w:val="center"/>
          </w:tcPr>
          <w:p w14:paraId="7F67FCD6">
            <w:pPr>
              <w:pStyle w:val="37"/>
              <w:adjustRightInd w:val="0"/>
              <w:spacing w:before="62" w:after="62"/>
              <w:rPr>
                <w:color w:val="auto"/>
                <w:highlight w:val="none"/>
              </w:rPr>
            </w:pPr>
          </w:p>
        </w:tc>
        <w:tc>
          <w:tcPr>
            <w:tcW w:w="549" w:type="pct"/>
            <w:vAlign w:val="center"/>
          </w:tcPr>
          <w:p w14:paraId="535BA55D">
            <w:pPr>
              <w:pStyle w:val="37"/>
              <w:adjustRightInd w:val="0"/>
              <w:spacing w:before="62" w:after="62"/>
              <w:rPr>
                <w:color w:val="auto"/>
                <w:highlight w:val="none"/>
              </w:rPr>
            </w:pPr>
            <w:r>
              <w:rPr>
                <w:color w:val="auto"/>
                <w:highlight w:val="none"/>
              </w:rPr>
              <w:t>少量</w:t>
            </w:r>
          </w:p>
        </w:tc>
        <w:tc>
          <w:tcPr>
            <w:tcW w:w="710" w:type="pct"/>
            <w:vAlign w:val="center"/>
          </w:tcPr>
          <w:p w14:paraId="7DE3B1EE">
            <w:pPr>
              <w:pStyle w:val="37"/>
              <w:adjustRightInd w:val="0"/>
              <w:spacing w:before="62" w:after="62"/>
              <w:rPr>
                <w:color w:val="auto"/>
                <w:highlight w:val="none"/>
              </w:rPr>
            </w:pPr>
            <w:r>
              <w:rPr>
                <w:color w:val="auto"/>
                <w:highlight w:val="none"/>
              </w:rPr>
              <w:t>灌溉/监测</w:t>
            </w:r>
          </w:p>
        </w:tc>
      </w:tr>
      <w:tr w14:paraId="45A90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33E23955">
            <w:pPr>
              <w:pStyle w:val="37"/>
              <w:adjustRightInd w:val="0"/>
              <w:spacing w:before="62" w:after="62"/>
              <w:rPr>
                <w:color w:val="auto"/>
                <w:highlight w:val="none"/>
              </w:rPr>
            </w:pPr>
            <w:r>
              <w:rPr>
                <w:color w:val="auto"/>
                <w:highlight w:val="none"/>
              </w:rPr>
              <w:t>W4</w:t>
            </w:r>
          </w:p>
        </w:tc>
        <w:tc>
          <w:tcPr>
            <w:tcW w:w="875" w:type="pct"/>
            <w:vAlign w:val="center"/>
          </w:tcPr>
          <w:p w14:paraId="08BE48F3">
            <w:pPr>
              <w:pStyle w:val="37"/>
              <w:adjustRightInd w:val="0"/>
              <w:spacing w:before="62" w:after="62"/>
              <w:rPr>
                <w:color w:val="auto"/>
                <w:highlight w:val="none"/>
              </w:rPr>
            </w:pPr>
            <w:r>
              <w:rPr>
                <w:color w:val="auto"/>
                <w:highlight w:val="none"/>
              </w:rPr>
              <w:t>29.50881455</w:t>
            </w:r>
          </w:p>
        </w:tc>
        <w:tc>
          <w:tcPr>
            <w:tcW w:w="792" w:type="pct"/>
            <w:vAlign w:val="center"/>
          </w:tcPr>
          <w:p w14:paraId="0701484E">
            <w:pPr>
              <w:pStyle w:val="37"/>
              <w:adjustRightInd w:val="0"/>
              <w:spacing w:before="62" w:after="62"/>
              <w:rPr>
                <w:color w:val="auto"/>
                <w:highlight w:val="none"/>
              </w:rPr>
            </w:pPr>
            <w:r>
              <w:rPr>
                <w:color w:val="auto"/>
                <w:highlight w:val="none"/>
              </w:rPr>
              <w:t>103.6209514</w:t>
            </w:r>
          </w:p>
        </w:tc>
        <w:tc>
          <w:tcPr>
            <w:tcW w:w="506" w:type="pct"/>
            <w:vAlign w:val="center"/>
          </w:tcPr>
          <w:p w14:paraId="573F8A63">
            <w:pPr>
              <w:pStyle w:val="37"/>
              <w:adjustRightInd w:val="0"/>
              <w:spacing w:before="62" w:after="62"/>
              <w:rPr>
                <w:color w:val="auto"/>
                <w:highlight w:val="none"/>
              </w:rPr>
            </w:pPr>
          </w:p>
        </w:tc>
        <w:tc>
          <w:tcPr>
            <w:tcW w:w="564" w:type="pct"/>
            <w:vAlign w:val="center"/>
          </w:tcPr>
          <w:p w14:paraId="3BACDEB1">
            <w:pPr>
              <w:pStyle w:val="37"/>
              <w:adjustRightInd w:val="0"/>
              <w:spacing w:before="62" w:after="62"/>
              <w:rPr>
                <w:color w:val="auto"/>
                <w:highlight w:val="none"/>
              </w:rPr>
            </w:pPr>
          </w:p>
        </w:tc>
        <w:tc>
          <w:tcPr>
            <w:tcW w:w="490" w:type="pct"/>
            <w:vAlign w:val="center"/>
          </w:tcPr>
          <w:p w14:paraId="71E80743">
            <w:pPr>
              <w:pStyle w:val="37"/>
              <w:adjustRightInd w:val="0"/>
              <w:spacing w:before="62" w:after="62"/>
              <w:rPr>
                <w:color w:val="auto"/>
                <w:highlight w:val="none"/>
              </w:rPr>
            </w:pPr>
          </w:p>
        </w:tc>
        <w:tc>
          <w:tcPr>
            <w:tcW w:w="549" w:type="pct"/>
            <w:vAlign w:val="center"/>
          </w:tcPr>
          <w:p w14:paraId="6D6B82CF">
            <w:pPr>
              <w:pStyle w:val="37"/>
              <w:adjustRightInd w:val="0"/>
              <w:spacing w:before="62" w:after="62"/>
              <w:rPr>
                <w:color w:val="auto"/>
                <w:highlight w:val="none"/>
              </w:rPr>
            </w:pPr>
            <w:r>
              <w:rPr>
                <w:color w:val="auto"/>
                <w:highlight w:val="none"/>
              </w:rPr>
              <w:t>少量</w:t>
            </w:r>
          </w:p>
        </w:tc>
        <w:tc>
          <w:tcPr>
            <w:tcW w:w="710" w:type="pct"/>
            <w:vAlign w:val="center"/>
          </w:tcPr>
          <w:p w14:paraId="50862793">
            <w:pPr>
              <w:pStyle w:val="37"/>
              <w:adjustRightInd w:val="0"/>
              <w:spacing w:before="62" w:after="62"/>
              <w:rPr>
                <w:color w:val="auto"/>
                <w:highlight w:val="none"/>
              </w:rPr>
            </w:pPr>
            <w:r>
              <w:rPr>
                <w:color w:val="auto"/>
                <w:highlight w:val="none"/>
              </w:rPr>
              <w:t>灌溉/饮用</w:t>
            </w:r>
          </w:p>
        </w:tc>
      </w:tr>
      <w:tr w14:paraId="5C7C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016FB664">
            <w:pPr>
              <w:pStyle w:val="37"/>
              <w:adjustRightInd w:val="0"/>
              <w:spacing w:before="62" w:after="62"/>
              <w:rPr>
                <w:color w:val="auto"/>
                <w:highlight w:val="none"/>
              </w:rPr>
            </w:pPr>
            <w:r>
              <w:rPr>
                <w:color w:val="auto"/>
                <w:highlight w:val="none"/>
              </w:rPr>
              <w:t>W5</w:t>
            </w:r>
          </w:p>
        </w:tc>
        <w:tc>
          <w:tcPr>
            <w:tcW w:w="875" w:type="pct"/>
            <w:vAlign w:val="center"/>
          </w:tcPr>
          <w:p w14:paraId="35B4BA06">
            <w:pPr>
              <w:pStyle w:val="37"/>
              <w:adjustRightInd w:val="0"/>
              <w:spacing w:before="62" w:after="62"/>
              <w:rPr>
                <w:color w:val="auto"/>
                <w:highlight w:val="none"/>
              </w:rPr>
            </w:pPr>
            <w:r>
              <w:rPr>
                <w:color w:val="auto"/>
                <w:highlight w:val="none"/>
              </w:rPr>
              <w:t>29.5111607</w:t>
            </w:r>
          </w:p>
        </w:tc>
        <w:tc>
          <w:tcPr>
            <w:tcW w:w="792" w:type="pct"/>
            <w:vAlign w:val="center"/>
          </w:tcPr>
          <w:p w14:paraId="71514BA6">
            <w:pPr>
              <w:pStyle w:val="37"/>
              <w:adjustRightInd w:val="0"/>
              <w:spacing w:before="62" w:after="62"/>
              <w:rPr>
                <w:color w:val="auto"/>
                <w:highlight w:val="none"/>
              </w:rPr>
            </w:pPr>
            <w:r>
              <w:rPr>
                <w:color w:val="auto"/>
                <w:highlight w:val="none"/>
              </w:rPr>
              <w:t>103.617619</w:t>
            </w:r>
          </w:p>
        </w:tc>
        <w:tc>
          <w:tcPr>
            <w:tcW w:w="506" w:type="pct"/>
            <w:vAlign w:val="center"/>
          </w:tcPr>
          <w:p w14:paraId="56D011F2">
            <w:pPr>
              <w:pStyle w:val="37"/>
              <w:adjustRightInd w:val="0"/>
              <w:spacing w:before="62" w:after="62"/>
              <w:rPr>
                <w:color w:val="auto"/>
                <w:highlight w:val="none"/>
              </w:rPr>
            </w:pPr>
          </w:p>
        </w:tc>
        <w:tc>
          <w:tcPr>
            <w:tcW w:w="564" w:type="pct"/>
            <w:vAlign w:val="center"/>
          </w:tcPr>
          <w:p w14:paraId="074D4776">
            <w:pPr>
              <w:pStyle w:val="37"/>
              <w:adjustRightInd w:val="0"/>
              <w:spacing w:before="62" w:after="62"/>
              <w:rPr>
                <w:color w:val="auto"/>
                <w:highlight w:val="none"/>
              </w:rPr>
            </w:pPr>
          </w:p>
        </w:tc>
        <w:tc>
          <w:tcPr>
            <w:tcW w:w="490" w:type="pct"/>
            <w:vAlign w:val="center"/>
          </w:tcPr>
          <w:p w14:paraId="3ABB257A">
            <w:pPr>
              <w:pStyle w:val="37"/>
              <w:adjustRightInd w:val="0"/>
              <w:spacing w:before="62" w:after="62"/>
              <w:rPr>
                <w:color w:val="auto"/>
                <w:highlight w:val="none"/>
              </w:rPr>
            </w:pPr>
          </w:p>
        </w:tc>
        <w:tc>
          <w:tcPr>
            <w:tcW w:w="549" w:type="pct"/>
            <w:vAlign w:val="center"/>
          </w:tcPr>
          <w:p w14:paraId="38998838">
            <w:pPr>
              <w:pStyle w:val="37"/>
              <w:adjustRightInd w:val="0"/>
              <w:spacing w:before="62" w:after="62"/>
              <w:rPr>
                <w:color w:val="auto"/>
                <w:highlight w:val="none"/>
              </w:rPr>
            </w:pPr>
            <w:r>
              <w:rPr>
                <w:color w:val="auto"/>
                <w:highlight w:val="none"/>
              </w:rPr>
              <w:t>少量</w:t>
            </w:r>
          </w:p>
        </w:tc>
        <w:tc>
          <w:tcPr>
            <w:tcW w:w="710" w:type="pct"/>
            <w:vAlign w:val="center"/>
          </w:tcPr>
          <w:p w14:paraId="750BB072">
            <w:pPr>
              <w:pStyle w:val="37"/>
              <w:adjustRightInd w:val="0"/>
              <w:spacing w:before="62" w:after="62"/>
              <w:rPr>
                <w:color w:val="auto"/>
                <w:highlight w:val="none"/>
              </w:rPr>
            </w:pPr>
            <w:r>
              <w:rPr>
                <w:color w:val="auto"/>
                <w:highlight w:val="none"/>
              </w:rPr>
              <w:t>灌溉/饮用</w:t>
            </w:r>
          </w:p>
        </w:tc>
      </w:tr>
      <w:tr w14:paraId="4834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416A65DF">
            <w:pPr>
              <w:pStyle w:val="37"/>
              <w:adjustRightInd w:val="0"/>
              <w:spacing w:before="62" w:after="62"/>
              <w:rPr>
                <w:color w:val="auto"/>
                <w:highlight w:val="none"/>
              </w:rPr>
            </w:pPr>
            <w:r>
              <w:rPr>
                <w:color w:val="auto"/>
                <w:highlight w:val="none"/>
              </w:rPr>
              <w:t>W6</w:t>
            </w:r>
          </w:p>
        </w:tc>
        <w:tc>
          <w:tcPr>
            <w:tcW w:w="875" w:type="pct"/>
            <w:vAlign w:val="center"/>
          </w:tcPr>
          <w:p w14:paraId="29D2FE2B">
            <w:pPr>
              <w:pStyle w:val="37"/>
              <w:adjustRightInd w:val="0"/>
              <w:spacing w:before="62" w:after="62"/>
              <w:rPr>
                <w:color w:val="auto"/>
                <w:highlight w:val="none"/>
              </w:rPr>
            </w:pPr>
            <w:r>
              <w:rPr>
                <w:color w:val="auto"/>
                <w:highlight w:val="none"/>
              </w:rPr>
              <w:t>29.51171313</w:t>
            </w:r>
          </w:p>
        </w:tc>
        <w:tc>
          <w:tcPr>
            <w:tcW w:w="792" w:type="pct"/>
            <w:vAlign w:val="center"/>
          </w:tcPr>
          <w:p w14:paraId="1E6D8F84">
            <w:pPr>
              <w:pStyle w:val="37"/>
              <w:adjustRightInd w:val="0"/>
              <w:spacing w:before="62" w:after="62"/>
              <w:rPr>
                <w:color w:val="auto"/>
                <w:highlight w:val="none"/>
              </w:rPr>
            </w:pPr>
            <w:r>
              <w:rPr>
                <w:color w:val="auto"/>
                <w:highlight w:val="none"/>
              </w:rPr>
              <w:t>103.622558</w:t>
            </w:r>
          </w:p>
        </w:tc>
        <w:tc>
          <w:tcPr>
            <w:tcW w:w="506" w:type="pct"/>
            <w:vAlign w:val="center"/>
          </w:tcPr>
          <w:p w14:paraId="6C2770E6">
            <w:pPr>
              <w:pStyle w:val="37"/>
              <w:adjustRightInd w:val="0"/>
              <w:spacing w:before="62" w:after="62"/>
              <w:rPr>
                <w:color w:val="auto"/>
                <w:highlight w:val="none"/>
              </w:rPr>
            </w:pPr>
          </w:p>
        </w:tc>
        <w:tc>
          <w:tcPr>
            <w:tcW w:w="564" w:type="pct"/>
            <w:vAlign w:val="center"/>
          </w:tcPr>
          <w:p w14:paraId="40231F5E">
            <w:pPr>
              <w:pStyle w:val="37"/>
              <w:adjustRightInd w:val="0"/>
              <w:spacing w:before="62" w:after="62"/>
              <w:rPr>
                <w:color w:val="auto"/>
                <w:highlight w:val="none"/>
              </w:rPr>
            </w:pPr>
          </w:p>
        </w:tc>
        <w:tc>
          <w:tcPr>
            <w:tcW w:w="490" w:type="pct"/>
            <w:vAlign w:val="center"/>
          </w:tcPr>
          <w:p w14:paraId="1E771DB6">
            <w:pPr>
              <w:pStyle w:val="37"/>
              <w:adjustRightInd w:val="0"/>
              <w:spacing w:before="62" w:after="62"/>
              <w:rPr>
                <w:color w:val="auto"/>
                <w:highlight w:val="none"/>
              </w:rPr>
            </w:pPr>
          </w:p>
        </w:tc>
        <w:tc>
          <w:tcPr>
            <w:tcW w:w="549" w:type="pct"/>
            <w:vAlign w:val="center"/>
          </w:tcPr>
          <w:p w14:paraId="5ABB8A4F">
            <w:pPr>
              <w:pStyle w:val="37"/>
              <w:adjustRightInd w:val="0"/>
              <w:spacing w:before="62" w:after="62"/>
              <w:rPr>
                <w:color w:val="auto"/>
                <w:highlight w:val="none"/>
              </w:rPr>
            </w:pPr>
            <w:r>
              <w:rPr>
                <w:color w:val="auto"/>
                <w:highlight w:val="none"/>
              </w:rPr>
              <w:t>少量</w:t>
            </w:r>
          </w:p>
        </w:tc>
        <w:tc>
          <w:tcPr>
            <w:tcW w:w="710" w:type="pct"/>
            <w:vAlign w:val="center"/>
          </w:tcPr>
          <w:p w14:paraId="67B5E591">
            <w:pPr>
              <w:pStyle w:val="37"/>
              <w:adjustRightInd w:val="0"/>
              <w:spacing w:before="62" w:after="62"/>
              <w:rPr>
                <w:color w:val="auto"/>
                <w:highlight w:val="none"/>
              </w:rPr>
            </w:pPr>
            <w:r>
              <w:rPr>
                <w:color w:val="auto"/>
                <w:highlight w:val="none"/>
              </w:rPr>
              <w:t>灌溉/饮用</w:t>
            </w:r>
          </w:p>
        </w:tc>
      </w:tr>
      <w:tr w14:paraId="667EC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30D9CD75">
            <w:pPr>
              <w:pStyle w:val="37"/>
              <w:adjustRightInd w:val="0"/>
              <w:spacing w:before="62" w:after="62"/>
              <w:rPr>
                <w:color w:val="auto"/>
                <w:highlight w:val="none"/>
              </w:rPr>
            </w:pPr>
            <w:r>
              <w:rPr>
                <w:color w:val="auto"/>
                <w:highlight w:val="none"/>
              </w:rPr>
              <w:t>W7</w:t>
            </w:r>
          </w:p>
        </w:tc>
        <w:tc>
          <w:tcPr>
            <w:tcW w:w="875" w:type="pct"/>
            <w:vAlign w:val="center"/>
          </w:tcPr>
          <w:p w14:paraId="2EABBBCD">
            <w:pPr>
              <w:pStyle w:val="37"/>
              <w:adjustRightInd w:val="0"/>
              <w:spacing w:before="62" w:after="62"/>
              <w:rPr>
                <w:color w:val="auto"/>
                <w:highlight w:val="none"/>
              </w:rPr>
            </w:pPr>
            <w:r>
              <w:rPr>
                <w:color w:val="auto"/>
                <w:highlight w:val="none"/>
              </w:rPr>
              <w:t>29.51254594</w:t>
            </w:r>
          </w:p>
        </w:tc>
        <w:tc>
          <w:tcPr>
            <w:tcW w:w="792" w:type="pct"/>
            <w:vAlign w:val="center"/>
          </w:tcPr>
          <w:p w14:paraId="0D506717">
            <w:pPr>
              <w:pStyle w:val="37"/>
              <w:adjustRightInd w:val="0"/>
              <w:spacing w:before="62" w:after="62"/>
              <w:rPr>
                <w:color w:val="auto"/>
                <w:highlight w:val="none"/>
              </w:rPr>
            </w:pPr>
            <w:r>
              <w:rPr>
                <w:color w:val="auto"/>
                <w:highlight w:val="none"/>
              </w:rPr>
              <w:t>103.623718</w:t>
            </w:r>
          </w:p>
        </w:tc>
        <w:tc>
          <w:tcPr>
            <w:tcW w:w="506" w:type="pct"/>
            <w:vAlign w:val="center"/>
          </w:tcPr>
          <w:p w14:paraId="608F98FF">
            <w:pPr>
              <w:pStyle w:val="37"/>
              <w:adjustRightInd w:val="0"/>
              <w:spacing w:before="62" w:after="62"/>
              <w:rPr>
                <w:color w:val="auto"/>
                <w:highlight w:val="none"/>
              </w:rPr>
            </w:pPr>
          </w:p>
        </w:tc>
        <w:tc>
          <w:tcPr>
            <w:tcW w:w="564" w:type="pct"/>
            <w:vAlign w:val="center"/>
          </w:tcPr>
          <w:p w14:paraId="7FED5EF3">
            <w:pPr>
              <w:pStyle w:val="37"/>
              <w:adjustRightInd w:val="0"/>
              <w:spacing w:before="62" w:after="62"/>
              <w:rPr>
                <w:color w:val="auto"/>
                <w:highlight w:val="none"/>
              </w:rPr>
            </w:pPr>
          </w:p>
        </w:tc>
        <w:tc>
          <w:tcPr>
            <w:tcW w:w="490" w:type="pct"/>
            <w:vAlign w:val="center"/>
          </w:tcPr>
          <w:p w14:paraId="50609B32">
            <w:pPr>
              <w:pStyle w:val="37"/>
              <w:adjustRightInd w:val="0"/>
              <w:spacing w:before="62" w:after="62"/>
              <w:rPr>
                <w:color w:val="auto"/>
                <w:highlight w:val="none"/>
              </w:rPr>
            </w:pPr>
          </w:p>
        </w:tc>
        <w:tc>
          <w:tcPr>
            <w:tcW w:w="549" w:type="pct"/>
            <w:vAlign w:val="center"/>
          </w:tcPr>
          <w:p w14:paraId="252E9E03">
            <w:pPr>
              <w:pStyle w:val="37"/>
              <w:adjustRightInd w:val="0"/>
              <w:spacing w:before="62" w:after="62"/>
              <w:rPr>
                <w:color w:val="auto"/>
                <w:highlight w:val="none"/>
              </w:rPr>
            </w:pPr>
            <w:r>
              <w:rPr>
                <w:color w:val="auto"/>
                <w:highlight w:val="none"/>
              </w:rPr>
              <w:t>少量</w:t>
            </w:r>
          </w:p>
        </w:tc>
        <w:tc>
          <w:tcPr>
            <w:tcW w:w="710" w:type="pct"/>
            <w:vAlign w:val="center"/>
          </w:tcPr>
          <w:p w14:paraId="0870B28F">
            <w:pPr>
              <w:pStyle w:val="37"/>
              <w:adjustRightInd w:val="0"/>
              <w:spacing w:before="62" w:after="62"/>
              <w:rPr>
                <w:color w:val="auto"/>
                <w:highlight w:val="none"/>
              </w:rPr>
            </w:pPr>
            <w:r>
              <w:rPr>
                <w:color w:val="auto"/>
                <w:highlight w:val="none"/>
              </w:rPr>
              <w:t>灌溉/饮用</w:t>
            </w:r>
          </w:p>
        </w:tc>
      </w:tr>
      <w:tr w14:paraId="68099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289CAE4A">
            <w:pPr>
              <w:pStyle w:val="37"/>
              <w:adjustRightInd w:val="0"/>
              <w:spacing w:before="62" w:after="62"/>
              <w:rPr>
                <w:color w:val="auto"/>
                <w:highlight w:val="none"/>
              </w:rPr>
            </w:pPr>
            <w:r>
              <w:rPr>
                <w:color w:val="auto"/>
                <w:highlight w:val="none"/>
              </w:rPr>
              <w:t>W8</w:t>
            </w:r>
          </w:p>
        </w:tc>
        <w:tc>
          <w:tcPr>
            <w:tcW w:w="875" w:type="pct"/>
            <w:vAlign w:val="center"/>
          </w:tcPr>
          <w:p w14:paraId="1DD7193D">
            <w:pPr>
              <w:pStyle w:val="37"/>
              <w:adjustRightInd w:val="0"/>
              <w:spacing w:before="62" w:after="62"/>
              <w:rPr>
                <w:color w:val="auto"/>
                <w:highlight w:val="none"/>
              </w:rPr>
            </w:pPr>
            <w:r>
              <w:rPr>
                <w:color w:val="auto"/>
                <w:highlight w:val="none"/>
              </w:rPr>
              <w:t>29.51515978</w:t>
            </w:r>
          </w:p>
        </w:tc>
        <w:tc>
          <w:tcPr>
            <w:tcW w:w="792" w:type="pct"/>
            <w:vAlign w:val="center"/>
          </w:tcPr>
          <w:p w14:paraId="5FEFF028">
            <w:pPr>
              <w:pStyle w:val="37"/>
              <w:adjustRightInd w:val="0"/>
              <w:spacing w:before="62" w:after="62"/>
              <w:rPr>
                <w:color w:val="auto"/>
                <w:highlight w:val="none"/>
              </w:rPr>
            </w:pPr>
            <w:r>
              <w:rPr>
                <w:color w:val="auto"/>
                <w:highlight w:val="none"/>
              </w:rPr>
              <w:t>103.6224898</w:t>
            </w:r>
          </w:p>
        </w:tc>
        <w:tc>
          <w:tcPr>
            <w:tcW w:w="506" w:type="pct"/>
            <w:vAlign w:val="center"/>
          </w:tcPr>
          <w:p w14:paraId="12DD14D0">
            <w:pPr>
              <w:pStyle w:val="37"/>
              <w:adjustRightInd w:val="0"/>
              <w:spacing w:before="62" w:after="62"/>
              <w:rPr>
                <w:color w:val="auto"/>
                <w:highlight w:val="none"/>
              </w:rPr>
            </w:pPr>
          </w:p>
        </w:tc>
        <w:tc>
          <w:tcPr>
            <w:tcW w:w="564" w:type="pct"/>
            <w:vAlign w:val="center"/>
          </w:tcPr>
          <w:p w14:paraId="467420B7">
            <w:pPr>
              <w:pStyle w:val="37"/>
              <w:adjustRightInd w:val="0"/>
              <w:spacing w:before="62" w:after="62"/>
              <w:rPr>
                <w:color w:val="auto"/>
                <w:highlight w:val="none"/>
              </w:rPr>
            </w:pPr>
          </w:p>
        </w:tc>
        <w:tc>
          <w:tcPr>
            <w:tcW w:w="490" w:type="pct"/>
            <w:vAlign w:val="center"/>
          </w:tcPr>
          <w:p w14:paraId="7017EC50">
            <w:pPr>
              <w:pStyle w:val="37"/>
              <w:adjustRightInd w:val="0"/>
              <w:spacing w:before="62" w:after="62"/>
              <w:rPr>
                <w:color w:val="auto"/>
                <w:highlight w:val="none"/>
              </w:rPr>
            </w:pPr>
          </w:p>
        </w:tc>
        <w:tc>
          <w:tcPr>
            <w:tcW w:w="549" w:type="pct"/>
            <w:vAlign w:val="center"/>
          </w:tcPr>
          <w:p w14:paraId="60D19F1D">
            <w:pPr>
              <w:pStyle w:val="37"/>
              <w:adjustRightInd w:val="0"/>
              <w:spacing w:before="62" w:after="62"/>
              <w:rPr>
                <w:color w:val="auto"/>
                <w:highlight w:val="none"/>
              </w:rPr>
            </w:pPr>
            <w:r>
              <w:rPr>
                <w:color w:val="auto"/>
                <w:highlight w:val="none"/>
              </w:rPr>
              <w:t>少量</w:t>
            </w:r>
          </w:p>
        </w:tc>
        <w:tc>
          <w:tcPr>
            <w:tcW w:w="710" w:type="pct"/>
            <w:vAlign w:val="center"/>
          </w:tcPr>
          <w:p w14:paraId="64D204A8">
            <w:pPr>
              <w:pStyle w:val="37"/>
              <w:adjustRightInd w:val="0"/>
              <w:spacing w:before="62" w:after="62"/>
              <w:rPr>
                <w:color w:val="auto"/>
                <w:highlight w:val="none"/>
              </w:rPr>
            </w:pPr>
            <w:r>
              <w:rPr>
                <w:color w:val="auto"/>
                <w:highlight w:val="none"/>
              </w:rPr>
              <w:t>灌溉/饮用</w:t>
            </w:r>
          </w:p>
        </w:tc>
      </w:tr>
      <w:tr w14:paraId="1095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539276F1">
            <w:pPr>
              <w:pStyle w:val="37"/>
              <w:adjustRightInd w:val="0"/>
              <w:spacing w:before="62" w:after="62"/>
              <w:rPr>
                <w:color w:val="auto"/>
                <w:highlight w:val="none"/>
              </w:rPr>
            </w:pPr>
            <w:r>
              <w:rPr>
                <w:color w:val="auto"/>
                <w:highlight w:val="none"/>
              </w:rPr>
              <w:t>W9</w:t>
            </w:r>
          </w:p>
        </w:tc>
        <w:tc>
          <w:tcPr>
            <w:tcW w:w="875" w:type="pct"/>
            <w:vAlign w:val="center"/>
          </w:tcPr>
          <w:p w14:paraId="34E9EFD7">
            <w:pPr>
              <w:pStyle w:val="37"/>
              <w:adjustRightInd w:val="0"/>
              <w:spacing w:before="62" w:after="62"/>
              <w:rPr>
                <w:color w:val="auto"/>
                <w:highlight w:val="none"/>
              </w:rPr>
            </w:pPr>
            <w:r>
              <w:rPr>
                <w:color w:val="auto"/>
                <w:highlight w:val="none"/>
              </w:rPr>
              <w:t>29.51406522</w:t>
            </w:r>
          </w:p>
        </w:tc>
        <w:tc>
          <w:tcPr>
            <w:tcW w:w="792" w:type="pct"/>
            <w:vAlign w:val="center"/>
          </w:tcPr>
          <w:p w14:paraId="0DA2E15A">
            <w:pPr>
              <w:pStyle w:val="37"/>
              <w:adjustRightInd w:val="0"/>
              <w:spacing w:before="62" w:after="62"/>
              <w:rPr>
                <w:color w:val="auto"/>
                <w:highlight w:val="none"/>
              </w:rPr>
            </w:pPr>
            <w:r>
              <w:rPr>
                <w:color w:val="auto"/>
                <w:highlight w:val="none"/>
              </w:rPr>
              <w:t>103.6240364</w:t>
            </w:r>
          </w:p>
        </w:tc>
        <w:tc>
          <w:tcPr>
            <w:tcW w:w="506" w:type="pct"/>
            <w:vAlign w:val="center"/>
          </w:tcPr>
          <w:p w14:paraId="3CABEFCB">
            <w:pPr>
              <w:pStyle w:val="37"/>
              <w:adjustRightInd w:val="0"/>
              <w:spacing w:before="62" w:after="62"/>
              <w:rPr>
                <w:color w:val="auto"/>
                <w:highlight w:val="none"/>
              </w:rPr>
            </w:pPr>
          </w:p>
        </w:tc>
        <w:tc>
          <w:tcPr>
            <w:tcW w:w="564" w:type="pct"/>
            <w:vAlign w:val="center"/>
          </w:tcPr>
          <w:p w14:paraId="2B1B1E22">
            <w:pPr>
              <w:pStyle w:val="37"/>
              <w:adjustRightInd w:val="0"/>
              <w:spacing w:before="62" w:after="62"/>
              <w:rPr>
                <w:color w:val="auto"/>
                <w:highlight w:val="none"/>
              </w:rPr>
            </w:pPr>
          </w:p>
        </w:tc>
        <w:tc>
          <w:tcPr>
            <w:tcW w:w="490" w:type="pct"/>
            <w:vAlign w:val="center"/>
          </w:tcPr>
          <w:p w14:paraId="4A5FBA98">
            <w:pPr>
              <w:pStyle w:val="37"/>
              <w:adjustRightInd w:val="0"/>
              <w:spacing w:before="62" w:after="62"/>
              <w:rPr>
                <w:color w:val="auto"/>
                <w:highlight w:val="none"/>
              </w:rPr>
            </w:pPr>
          </w:p>
        </w:tc>
        <w:tc>
          <w:tcPr>
            <w:tcW w:w="549" w:type="pct"/>
            <w:vAlign w:val="center"/>
          </w:tcPr>
          <w:p w14:paraId="5586348E">
            <w:pPr>
              <w:pStyle w:val="37"/>
              <w:adjustRightInd w:val="0"/>
              <w:spacing w:before="62" w:after="62"/>
              <w:rPr>
                <w:color w:val="auto"/>
                <w:highlight w:val="none"/>
              </w:rPr>
            </w:pPr>
            <w:r>
              <w:rPr>
                <w:color w:val="auto"/>
                <w:highlight w:val="none"/>
              </w:rPr>
              <w:t>少量</w:t>
            </w:r>
          </w:p>
        </w:tc>
        <w:tc>
          <w:tcPr>
            <w:tcW w:w="710" w:type="pct"/>
            <w:vAlign w:val="center"/>
          </w:tcPr>
          <w:p w14:paraId="189B158A">
            <w:pPr>
              <w:pStyle w:val="37"/>
              <w:adjustRightInd w:val="0"/>
              <w:spacing w:before="62" w:after="62"/>
              <w:rPr>
                <w:color w:val="auto"/>
                <w:highlight w:val="none"/>
              </w:rPr>
            </w:pPr>
            <w:r>
              <w:rPr>
                <w:color w:val="auto"/>
                <w:highlight w:val="none"/>
              </w:rPr>
              <w:t>灌溉/饮用</w:t>
            </w:r>
          </w:p>
        </w:tc>
      </w:tr>
      <w:tr w14:paraId="2A3C7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650336F2">
            <w:pPr>
              <w:pStyle w:val="37"/>
              <w:adjustRightInd w:val="0"/>
              <w:spacing w:before="62" w:after="62"/>
              <w:rPr>
                <w:color w:val="auto"/>
                <w:highlight w:val="none"/>
              </w:rPr>
            </w:pPr>
            <w:r>
              <w:rPr>
                <w:color w:val="auto"/>
                <w:highlight w:val="none"/>
              </w:rPr>
              <w:t>W10</w:t>
            </w:r>
          </w:p>
        </w:tc>
        <w:tc>
          <w:tcPr>
            <w:tcW w:w="875" w:type="pct"/>
            <w:vAlign w:val="center"/>
          </w:tcPr>
          <w:p w14:paraId="475FDA53">
            <w:pPr>
              <w:pStyle w:val="37"/>
              <w:adjustRightInd w:val="0"/>
              <w:spacing w:before="62" w:after="62"/>
              <w:rPr>
                <w:color w:val="auto"/>
                <w:highlight w:val="none"/>
              </w:rPr>
            </w:pPr>
            <w:r>
              <w:rPr>
                <w:color w:val="auto"/>
                <w:highlight w:val="none"/>
              </w:rPr>
              <w:t>29.51304206</w:t>
            </w:r>
          </w:p>
        </w:tc>
        <w:tc>
          <w:tcPr>
            <w:tcW w:w="792" w:type="pct"/>
            <w:vAlign w:val="center"/>
          </w:tcPr>
          <w:p w14:paraId="43477805">
            <w:pPr>
              <w:pStyle w:val="37"/>
              <w:adjustRightInd w:val="0"/>
              <w:spacing w:before="62" w:after="62"/>
              <w:rPr>
                <w:color w:val="auto"/>
                <w:highlight w:val="none"/>
              </w:rPr>
            </w:pPr>
            <w:r>
              <w:rPr>
                <w:color w:val="auto"/>
                <w:highlight w:val="none"/>
              </w:rPr>
              <w:t>103.626059</w:t>
            </w:r>
          </w:p>
        </w:tc>
        <w:tc>
          <w:tcPr>
            <w:tcW w:w="506" w:type="pct"/>
            <w:vAlign w:val="center"/>
          </w:tcPr>
          <w:p w14:paraId="27D437CD">
            <w:pPr>
              <w:pStyle w:val="37"/>
              <w:adjustRightInd w:val="0"/>
              <w:spacing w:before="62" w:after="62"/>
              <w:rPr>
                <w:color w:val="auto"/>
                <w:highlight w:val="none"/>
              </w:rPr>
            </w:pPr>
          </w:p>
        </w:tc>
        <w:tc>
          <w:tcPr>
            <w:tcW w:w="564" w:type="pct"/>
            <w:vAlign w:val="center"/>
          </w:tcPr>
          <w:p w14:paraId="136D811A">
            <w:pPr>
              <w:pStyle w:val="37"/>
              <w:adjustRightInd w:val="0"/>
              <w:spacing w:before="62" w:after="62"/>
              <w:rPr>
                <w:color w:val="auto"/>
                <w:highlight w:val="none"/>
              </w:rPr>
            </w:pPr>
          </w:p>
        </w:tc>
        <w:tc>
          <w:tcPr>
            <w:tcW w:w="490" w:type="pct"/>
            <w:vAlign w:val="center"/>
          </w:tcPr>
          <w:p w14:paraId="6AFE7CD0">
            <w:pPr>
              <w:pStyle w:val="37"/>
              <w:adjustRightInd w:val="0"/>
              <w:spacing w:before="62" w:after="62"/>
              <w:rPr>
                <w:color w:val="auto"/>
                <w:highlight w:val="none"/>
              </w:rPr>
            </w:pPr>
          </w:p>
        </w:tc>
        <w:tc>
          <w:tcPr>
            <w:tcW w:w="549" w:type="pct"/>
            <w:vAlign w:val="center"/>
          </w:tcPr>
          <w:p w14:paraId="40072482">
            <w:pPr>
              <w:pStyle w:val="37"/>
              <w:adjustRightInd w:val="0"/>
              <w:spacing w:before="62" w:after="62"/>
              <w:rPr>
                <w:color w:val="auto"/>
                <w:highlight w:val="none"/>
              </w:rPr>
            </w:pPr>
            <w:r>
              <w:rPr>
                <w:color w:val="auto"/>
                <w:highlight w:val="none"/>
              </w:rPr>
              <w:t>少量</w:t>
            </w:r>
          </w:p>
        </w:tc>
        <w:tc>
          <w:tcPr>
            <w:tcW w:w="710" w:type="pct"/>
            <w:vAlign w:val="center"/>
          </w:tcPr>
          <w:p w14:paraId="6D106D42">
            <w:pPr>
              <w:pStyle w:val="37"/>
              <w:adjustRightInd w:val="0"/>
              <w:spacing w:before="62" w:after="62"/>
              <w:rPr>
                <w:color w:val="auto"/>
                <w:highlight w:val="none"/>
              </w:rPr>
            </w:pPr>
            <w:r>
              <w:rPr>
                <w:color w:val="auto"/>
                <w:highlight w:val="none"/>
              </w:rPr>
              <w:t>灌溉/饮用</w:t>
            </w:r>
          </w:p>
        </w:tc>
      </w:tr>
      <w:tr w14:paraId="729C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6D5EC23F">
            <w:pPr>
              <w:pStyle w:val="37"/>
              <w:adjustRightInd w:val="0"/>
              <w:spacing w:before="62" w:after="62"/>
              <w:rPr>
                <w:color w:val="auto"/>
                <w:highlight w:val="none"/>
              </w:rPr>
            </w:pPr>
            <w:r>
              <w:rPr>
                <w:color w:val="auto"/>
                <w:highlight w:val="none"/>
              </w:rPr>
              <w:t>W11</w:t>
            </w:r>
          </w:p>
        </w:tc>
        <w:tc>
          <w:tcPr>
            <w:tcW w:w="875" w:type="pct"/>
            <w:vAlign w:val="center"/>
          </w:tcPr>
          <w:p w14:paraId="674EDC07">
            <w:pPr>
              <w:pStyle w:val="37"/>
              <w:adjustRightInd w:val="0"/>
              <w:spacing w:before="62" w:after="62"/>
              <w:rPr>
                <w:color w:val="auto"/>
                <w:highlight w:val="none"/>
              </w:rPr>
            </w:pPr>
            <w:r>
              <w:rPr>
                <w:color w:val="auto"/>
                <w:highlight w:val="none"/>
              </w:rPr>
              <w:t>29.51356554</w:t>
            </w:r>
          </w:p>
        </w:tc>
        <w:tc>
          <w:tcPr>
            <w:tcW w:w="792" w:type="pct"/>
            <w:vAlign w:val="center"/>
          </w:tcPr>
          <w:p w14:paraId="575BDD2C">
            <w:pPr>
              <w:pStyle w:val="37"/>
              <w:adjustRightInd w:val="0"/>
              <w:spacing w:before="62" w:after="62"/>
              <w:rPr>
                <w:color w:val="auto"/>
                <w:highlight w:val="none"/>
              </w:rPr>
            </w:pPr>
            <w:r>
              <w:rPr>
                <w:color w:val="auto"/>
                <w:highlight w:val="none"/>
              </w:rPr>
              <w:t>103.6292475</w:t>
            </w:r>
          </w:p>
        </w:tc>
        <w:tc>
          <w:tcPr>
            <w:tcW w:w="506" w:type="pct"/>
            <w:vAlign w:val="center"/>
          </w:tcPr>
          <w:p w14:paraId="7A40B8A6">
            <w:pPr>
              <w:pStyle w:val="37"/>
              <w:adjustRightInd w:val="0"/>
              <w:spacing w:before="62" w:after="62"/>
              <w:rPr>
                <w:color w:val="auto"/>
                <w:highlight w:val="none"/>
              </w:rPr>
            </w:pPr>
          </w:p>
        </w:tc>
        <w:tc>
          <w:tcPr>
            <w:tcW w:w="564" w:type="pct"/>
            <w:vAlign w:val="center"/>
          </w:tcPr>
          <w:p w14:paraId="1FF8A614">
            <w:pPr>
              <w:pStyle w:val="37"/>
              <w:adjustRightInd w:val="0"/>
              <w:spacing w:before="62" w:after="62"/>
              <w:rPr>
                <w:color w:val="auto"/>
                <w:highlight w:val="none"/>
              </w:rPr>
            </w:pPr>
          </w:p>
        </w:tc>
        <w:tc>
          <w:tcPr>
            <w:tcW w:w="490" w:type="pct"/>
            <w:vAlign w:val="center"/>
          </w:tcPr>
          <w:p w14:paraId="210804CA">
            <w:pPr>
              <w:pStyle w:val="37"/>
              <w:adjustRightInd w:val="0"/>
              <w:spacing w:before="62" w:after="62"/>
              <w:rPr>
                <w:color w:val="auto"/>
                <w:highlight w:val="none"/>
              </w:rPr>
            </w:pPr>
          </w:p>
        </w:tc>
        <w:tc>
          <w:tcPr>
            <w:tcW w:w="549" w:type="pct"/>
            <w:vAlign w:val="center"/>
          </w:tcPr>
          <w:p w14:paraId="4BAC83B6">
            <w:pPr>
              <w:pStyle w:val="37"/>
              <w:adjustRightInd w:val="0"/>
              <w:spacing w:before="62" w:after="62"/>
              <w:rPr>
                <w:color w:val="auto"/>
                <w:highlight w:val="none"/>
              </w:rPr>
            </w:pPr>
            <w:r>
              <w:rPr>
                <w:color w:val="auto"/>
                <w:highlight w:val="none"/>
              </w:rPr>
              <w:t>少量</w:t>
            </w:r>
          </w:p>
        </w:tc>
        <w:tc>
          <w:tcPr>
            <w:tcW w:w="710" w:type="pct"/>
            <w:vAlign w:val="center"/>
          </w:tcPr>
          <w:p w14:paraId="3445BE26">
            <w:pPr>
              <w:pStyle w:val="37"/>
              <w:adjustRightInd w:val="0"/>
              <w:spacing w:before="62" w:after="62"/>
              <w:rPr>
                <w:color w:val="auto"/>
                <w:highlight w:val="none"/>
              </w:rPr>
            </w:pPr>
            <w:r>
              <w:rPr>
                <w:color w:val="auto"/>
                <w:highlight w:val="none"/>
              </w:rPr>
              <w:t>灌溉/饮用</w:t>
            </w:r>
          </w:p>
        </w:tc>
      </w:tr>
      <w:tr w14:paraId="37C3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7CD6C9BD">
            <w:pPr>
              <w:pStyle w:val="37"/>
              <w:adjustRightInd w:val="0"/>
              <w:spacing w:before="62" w:after="62"/>
              <w:rPr>
                <w:color w:val="auto"/>
                <w:highlight w:val="none"/>
              </w:rPr>
            </w:pPr>
            <w:r>
              <w:rPr>
                <w:color w:val="auto"/>
                <w:highlight w:val="none"/>
              </w:rPr>
              <w:t>W12</w:t>
            </w:r>
          </w:p>
        </w:tc>
        <w:tc>
          <w:tcPr>
            <w:tcW w:w="875" w:type="pct"/>
            <w:vAlign w:val="center"/>
          </w:tcPr>
          <w:p w14:paraId="570649ED">
            <w:pPr>
              <w:pStyle w:val="37"/>
              <w:adjustRightInd w:val="0"/>
              <w:spacing w:before="62" w:after="62"/>
              <w:rPr>
                <w:color w:val="auto"/>
                <w:highlight w:val="none"/>
              </w:rPr>
            </w:pPr>
            <w:r>
              <w:rPr>
                <w:color w:val="auto"/>
                <w:highlight w:val="none"/>
              </w:rPr>
              <w:t>29.51458871</w:t>
            </w:r>
          </w:p>
        </w:tc>
        <w:tc>
          <w:tcPr>
            <w:tcW w:w="792" w:type="pct"/>
            <w:vAlign w:val="center"/>
          </w:tcPr>
          <w:p w14:paraId="274EE317">
            <w:pPr>
              <w:pStyle w:val="37"/>
              <w:adjustRightInd w:val="0"/>
              <w:spacing w:before="62" w:after="62"/>
              <w:rPr>
                <w:color w:val="auto"/>
                <w:highlight w:val="none"/>
              </w:rPr>
            </w:pPr>
            <w:r>
              <w:rPr>
                <w:color w:val="auto"/>
                <w:highlight w:val="none"/>
              </w:rPr>
              <w:t>103.630342</w:t>
            </w:r>
          </w:p>
        </w:tc>
        <w:tc>
          <w:tcPr>
            <w:tcW w:w="506" w:type="pct"/>
            <w:vAlign w:val="center"/>
          </w:tcPr>
          <w:p w14:paraId="186AA29A">
            <w:pPr>
              <w:pStyle w:val="37"/>
              <w:adjustRightInd w:val="0"/>
              <w:spacing w:before="62" w:after="62"/>
              <w:rPr>
                <w:color w:val="auto"/>
                <w:highlight w:val="none"/>
              </w:rPr>
            </w:pPr>
          </w:p>
        </w:tc>
        <w:tc>
          <w:tcPr>
            <w:tcW w:w="564" w:type="pct"/>
            <w:vAlign w:val="center"/>
          </w:tcPr>
          <w:p w14:paraId="4DECBF18">
            <w:pPr>
              <w:pStyle w:val="37"/>
              <w:adjustRightInd w:val="0"/>
              <w:spacing w:before="62" w:after="62"/>
              <w:rPr>
                <w:color w:val="auto"/>
                <w:highlight w:val="none"/>
              </w:rPr>
            </w:pPr>
          </w:p>
        </w:tc>
        <w:tc>
          <w:tcPr>
            <w:tcW w:w="490" w:type="pct"/>
            <w:vAlign w:val="center"/>
          </w:tcPr>
          <w:p w14:paraId="0E6BCAB2">
            <w:pPr>
              <w:pStyle w:val="37"/>
              <w:adjustRightInd w:val="0"/>
              <w:spacing w:before="62" w:after="62"/>
              <w:rPr>
                <w:color w:val="auto"/>
                <w:highlight w:val="none"/>
              </w:rPr>
            </w:pPr>
          </w:p>
        </w:tc>
        <w:tc>
          <w:tcPr>
            <w:tcW w:w="549" w:type="pct"/>
            <w:vAlign w:val="center"/>
          </w:tcPr>
          <w:p w14:paraId="584BD35F">
            <w:pPr>
              <w:pStyle w:val="37"/>
              <w:adjustRightInd w:val="0"/>
              <w:spacing w:before="62" w:after="62"/>
              <w:rPr>
                <w:color w:val="auto"/>
                <w:highlight w:val="none"/>
              </w:rPr>
            </w:pPr>
            <w:r>
              <w:rPr>
                <w:color w:val="auto"/>
                <w:highlight w:val="none"/>
              </w:rPr>
              <w:t>少量</w:t>
            </w:r>
          </w:p>
        </w:tc>
        <w:tc>
          <w:tcPr>
            <w:tcW w:w="710" w:type="pct"/>
            <w:vAlign w:val="center"/>
          </w:tcPr>
          <w:p w14:paraId="6FF8D301">
            <w:pPr>
              <w:pStyle w:val="37"/>
              <w:adjustRightInd w:val="0"/>
              <w:spacing w:before="62" w:after="62"/>
              <w:rPr>
                <w:color w:val="auto"/>
                <w:highlight w:val="none"/>
              </w:rPr>
            </w:pPr>
            <w:r>
              <w:rPr>
                <w:color w:val="auto"/>
                <w:highlight w:val="none"/>
              </w:rPr>
              <w:t>灌溉/饮用</w:t>
            </w:r>
          </w:p>
        </w:tc>
      </w:tr>
      <w:tr w14:paraId="0576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69903503">
            <w:pPr>
              <w:pStyle w:val="37"/>
              <w:adjustRightInd w:val="0"/>
              <w:spacing w:before="62" w:after="62"/>
              <w:rPr>
                <w:color w:val="auto"/>
                <w:highlight w:val="none"/>
              </w:rPr>
            </w:pPr>
            <w:r>
              <w:rPr>
                <w:color w:val="auto"/>
                <w:highlight w:val="none"/>
              </w:rPr>
              <w:t>W13</w:t>
            </w:r>
          </w:p>
        </w:tc>
        <w:tc>
          <w:tcPr>
            <w:tcW w:w="875" w:type="pct"/>
            <w:vAlign w:val="center"/>
          </w:tcPr>
          <w:p w14:paraId="5C4EA8D4">
            <w:pPr>
              <w:pStyle w:val="37"/>
              <w:adjustRightInd w:val="0"/>
              <w:spacing w:before="62" w:after="62"/>
              <w:rPr>
                <w:color w:val="auto"/>
                <w:highlight w:val="none"/>
              </w:rPr>
            </w:pPr>
            <w:r>
              <w:rPr>
                <w:color w:val="auto"/>
                <w:highlight w:val="none"/>
              </w:rPr>
              <w:t>29.5159212</w:t>
            </w:r>
          </w:p>
        </w:tc>
        <w:tc>
          <w:tcPr>
            <w:tcW w:w="792" w:type="pct"/>
            <w:vAlign w:val="center"/>
          </w:tcPr>
          <w:p w14:paraId="50AFA6B4">
            <w:pPr>
              <w:pStyle w:val="37"/>
              <w:adjustRightInd w:val="0"/>
              <w:spacing w:before="62" w:after="62"/>
              <w:rPr>
                <w:color w:val="auto"/>
                <w:highlight w:val="none"/>
              </w:rPr>
            </w:pPr>
            <w:r>
              <w:rPr>
                <w:color w:val="auto"/>
                <w:highlight w:val="none"/>
              </w:rPr>
              <w:t>103.6310796</w:t>
            </w:r>
          </w:p>
        </w:tc>
        <w:tc>
          <w:tcPr>
            <w:tcW w:w="506" w:type="pct"/>
            <w:vAlign w:val="center"/>
          </w:tcPr>
          <w:p w14:paraId="7D9B317C">
            <w:pPr>
              <w:pStyle w:val="37"/>
              <w:adjustRightInd w:val="0"/>
              <w:spacing w:before="62" w:after="62"/>
              <w:rPr>
                <w:color w:val="auto"/>
                <w:highlight w:val="none"/>
              </w:rPr>
            </w:pPr>
          </w:p>
        </w:tc>
        <w:tc>
          <w:tcPr>
            <w:tcW w:w="564" w:type="pct"/>
            <w:vAlign w:val="center"/>
          </w:tcPr>
          <w:p w14:paraId="45C66A0B">
            <w:pPr>
              <w:pStyle w:val="37"/>
              <w:adjustRightInd w:val="0"/>
              <w:spacing w:before="62" w:after="62"/>
              <w:rPr>
                <w:color w:val="auto"/>
                <w:highlight w:val="none"/>
              </w:rPr>
            </w:pPr>
          </w:p>
        </w:tc>
        <w:tc>
          <w:tcPr>
            <w:tcW w:w="490" w:type="pct"/>
            <w:vAlign w:val="center"/>
          </w:tcPr>
          <w:p w14:paraId="67DEF58B">
            <w:pPr>
              <w:pStyle w:val="37"/>
              <w:adjustRightInd w:val="0"/>
              <w:spacing w:before="62" w:after="62"/>
              <w:rPr>
                <w:color w:val="auto"/>
                <w:highlight w:val="none"/>
              </w:rPr>
            </w:pPr>
          </w:p>
        </w:tc>
        <w:tc>
          <w:tcPr>
            <w:tcW w:w="549" w:type="pct"/>
            <w:vAlign w:val="center"/>
          </w:tcPr>
          <w:p w14:paraId="6F7ED59F">
            <w:pPr>
              <w:pStyle w:val="37"/>
              <w:adjustRightInd w:val="0"/>
              <w:spacing w:before="62" w:after="62"/>
              <w:rPr>
                <w:color w:val="auto"/>
                <w:highlight w:val="none"/>
              </w:rPr>
            </w:pPr>
            <w:r>
              <w:rPr>
                <w:color w:val="auto"/>
                <w:highlight w:val="none"/>
              </w:rPr>
              <w:t>少量</w:t>
            </w:r>
          </w:p>
        </w:tc>
        <w:tc>
          <w:tcPr>
            <w:tcW w:w="710" w:type="pct"/>
            <w:vAlign w:val="center"/>
          </w:tcPr>
          <w:p w14:paraId="6FD625D3">
            <w:pPr>
              <w:pStyle w:val="37"/>
              <w:adjustRightInd w:val="0"/>
              <w:spacing w:before="62" w:after="62"/>
              <w:rPr>
                <w:color w:val="auto"/>
                <w:highlight w:val="none"/>
              </w:rPr>
            </w:pPr>
            <w:r>
              <w:rPr>
                <w:color w:val="auto"/>
                <w:highlight w:val="none"/>
              </w:rPr>
              <w:t>灌溉/饮用</w:t>
            </w:r>
          </w:p>
        </w:tc>
      </w:tr>
      <w:tr w14:paraId="2988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0" w:type="pct"/>
            <w:vAlign w:val="center"/>
          </w:tcPr>
          <w:p w14:paraId="1DDACFD7">
            <w:pPr>
              <w:pStyle w:val="37"/>
              <w:adjustRightInd w:val="0"/>
              <w:spacing w:before="62" w:after="62"/>
              <w:rPr>
                <w:color w:val="auto"/>
                <w:highlight w:val="none"/>
              </w:rPr>
            </w:pPr>
            <w:r>
              <w:rPr>
                <w:color w:val="auto"/>
                <w:highlight w:val="none"/>
              </w:rPr>
              <w:t>W14</w:t>
            </w:r>
          </w:p>
        </w:tc>
        <w:tc>
          <w:tcPr>
            <w:tcW w:w="875" w:type="pct"/>
            <w:vAlign w:val="center"/>
          </w:tcPr>
          <w:p w14:paraId="6E643D39">
            <w:pPr>
              <w:pStyle w:val="37"/>
              <w:adjustRightInd w:val="0"/>
              <w:spacing w:before="62" w:after="62"/>
              <w:rPr>
                <w:color w:val="auto"/>
                <w:highlight w:val="none"/>
              </w:rPr>
            </w:pPr>
            <w:r>
              <w:rPr>
                <w:color w:val="auto"/>
                <w:highlight w:val="none"/>
              </w:rPr>
              <w:t>29.51772959</w:t>
            </w:r>
          </w:p>
        </w:tc>
        <w:tc>
          <w:tcPr>
            <w:tcW w:w="792" w:type="pct"/>
            <w:vAlign w:val="center"/>
          </w:tcPr>
          <w:p w14:paraId="168DB6E9">
            <w:pPr>
              <w:pStyle w:val="37"/>
              <w:adjustRightInd w:val="0"/>
              <w:spacing w:before="62" w:after="62"/>
              <w:rPr>
                <w:color w:val="auto"/>
                <w:highlight w:val="none"/>
              </w:rPr>
            </w:pPr>
            <w:r>
              <w:rPr>
                <w:color w:val="auto"/>
                <w:highlight w:val="none"/>
              </w:rPr>
              <w:t>103.6299851</w:t>
            </w:r>
          </w:p>
        </w:tc>
        <w:tc>
          <w:tcPr>
            <w:tcW w:w="506" w:type="pct"/>
            <w:vAlign w:val="center"/>
          </w:tcPr>
          <w:p w14:paraId="55AEBE38">
            <w:pPr>
              <w:pStyle w:val="37"/>
              <w:adjustRightInd w:val="0"/>
              <w:spacing w:before="62" w:after="62"/>
              <w:rPr>
                <w:color w:val="auto"/>
                <w:highlight w:val="none"/>
              </w:rPr>
            </w:pPr>
          </w:p>
        </w:tc>
        <w:tc>
          <w:tcPr>
            <w:tcW w:w="564" w:type="pct"/>
            <w:vAlign w:val="center"/>
          </w:tcPr>
          <w:p w14:paraId="2BC43F50">
            <w:pPr>
              <w:pStyle w:val="37"/>
              <w:adjustRightInd w:val="0"/>
              <w:spacing w:before="62" w:after="62"/>
              <w:rPr>
                <w:color w:val="auto"/>
                <w:highlight w:val="none"/>
              </w:rPr>
            </w:pPr>
          </w:p>
        </w:tc>
        <w:tc>
          <w:tcPr>
            <w:tcW w:w="490" w:type="pct"/>
            <w:vAlign w:val="center"/>
          </w:tcPr>
          <w:p w14:paraId="22BDB928">
            <w:pPr>
              <w:pStyle w:val="37"/>
              <w:adjustRightInd w:val="0"/>
              <w:spacing w:before="62" w:after="62"/>
              <w:rPr>
                <w:color w:val="auto"/>
                <w:highlight w:val="none"/>
              </w:rPr>
            </w:pPr>
          </w:p>
        </w:tc>
        <w:tc>
          <w:tcPr>
            <w:tcW w:w="549" w:type="pct"/>
            <w:vAlign w:val="center"/>
          </w:tcPr>
          <w:p w14:paraId="6374E5E2">
            <w:pPr>
              <w:pStyle w:val="37"/>
              <w:adjustRightInd w:val="0"/>
              <w:spacing w:before="62" w:after="62"/>
              <w:rPr>
                <w:color w:val="auto"/>
                <w:highlight w:val="none"/>
              </w:rPr>
            </w:pPr>
            <w:r>
              <w:rPr>
                <w:color w:val="auto"/>
                <w:highlight w:val="none"/>
              </w:rPr>
              <w:t>少量</w:t>
            </w:r>
          </w:p>
        </w:tc>
        <w:tc>
          <w:tcPr>
            <w:tcW w:w="710" w:type="pct"/>
            <w:vAlign w:val="center"/>
          </w:tcPr>
          <w:p w14:paraId="16A3EB57">
            <w:pPr>
              <w:pStyle w:val="37"/>
              <w:adjustRightInd w:val="0"/>
              <w:spacing w:before="62" w:after="62"/>
              <w:rPr>
                <w:color w:val="auto"/>
                <w:highlight w:val="none"/>
              </w:rPr>
            </w:pPr>
            <w:r>
              <w:rPr>
                <w:color w:val="auto"/>
                <w:highlight w:val="none"/>
              </w:rPr>
              <w:t>灌溉/饮用</w:t>
            </w:r>
          </w:p>
        </w:tc>
      </w:tr>
    </w:tbl>
    <w:p w14:paraId="691C9B98">
      <w:pPr>
        <w:adjustRightInd w:val="0"/>
        <w:ind w:firstLine="480" w:firstLineChars="0"/>
        <w:jc w:val="left"/>
        <w:rPr>
          <w:rFonts w:cs="Times New Roman"/>
          <w:color w:val="auto"/>
          <w:szCs w:val="24"/>
          <w:highlight w:val="none"/>
        </w:rPr>
      </w:pPr>
      <w:r>
        <w:rPr>
          <w:rFonts w:hint="eastAsia" w:cs="Times New Roman"/>
          <w:color w:val="auto"/>
          <w:szCs w:val="24"/>
          <w:highlight w:val="none"/>
        </w:rPr>
        <w:t>分散式取水井与本项目的位置关系示意图如下：</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199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0" w:type="dxa"/>
            <w:vAlign w:val="center"/>
          </w:tcPr>
          <w:p w14:paraId="098A16CD">
            <w:pPr>
              <w:adjustRightInd w:val="0"/>
              <w:spacing w:before="62" w:beforeLines="20" w:after="62" w:afterLines="20" w:line="240" w:lineRule="auto"/>
              <w:ind w:firstLine="0" w:firstLineChars="0"/>
              <w:jc w:val="center"/>
              <w:rPr>
                <w:rFonts w:ascii="Calibri" w:hAnsi="Calibri" w:cs="Times New Roman"/>
                <w:color w:val="auto"/>
                <w:sz w:val="21"/>
                <w:szCs w:val="24"/>
                <w:highlight w:val="none"/>
              </w:rPr>
            </w:pPr>
          </w:p>
        </w:tc>
      </w:tr>
    </w:tbl>
    <w:p w14:paraId="43C1F520">
      <w:pPr>
        <w:pStyle w:val="12"/>
        <w:adjustRightInd w:val="0"/>
        <w:rPr>
          <w:color w:val="auto"/>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6</w:t>
      </w:r>
      <w:r>
        <w:rPr>
          <w:color w:val="auto"/>
          <w:highlight w:val="none"/>
        </w:rPr>
        <w:fldChar w:fldCharType="end"/>
      </w:r>
      <w:r>
        <w:rPr>
          <w:rFonts w:hint="eastAsia"/>
          <w:color w:val="auto"/>
          <w:highlight w:val="none"/>
        </w:rPr>
        <w:t>分散式取水井与本项目的位置关系示意图</w:t>
      </w:r>
    </w:p>
    <w:p w14:paraId="02E59CBA">
      <w:pPr>
        <w:adjustRightInd w:val="0"/>
        <w:ind w:firstLine="480" w:firstLineChars="0"/>
        <w:jc w:val="left"/>
        <w:rPr>
          <w:rFonts w:cs="Times New Roman"/>
          <w:color w:val="auto"/>
          <w:szCs w:val="24"/>
          <w:highlight w:val="none"/>
        </w:rPr>
      </w:pPr>
      <w:r>
        <w:rPr>
          <w:rFonts w:hint="eastAsia" w:cs="Times New Roman"/>
          <w:color w:val="auto"/>
          <w:szCs w:val="24"/>
          <w:highlight w:val="none"/>
        </w:rPr>
        <w:t>因此，调查范围内存在</w:t>
      </w:r>
      <w:r>
        <w:rPr>
          <w:rFonts w:cs="Times New Roman"/>
          <w:color w:val="auto"/>
          <w:szCs w:val="24"/>
          <w:highlight w:val="none"/>
        </w:rPr>
        <w:t>乐山市大渡河安谷电站库区集中式饮用水水源保护区</w:t>
      </w:r>
      <w:r>
        <w:rPr>
          <w:rFonts w:hint="eastAsia" w:cs="Times New Roman"/>
          <w:color w:val="auto"/>
          <w:szCs w:val="24"/>
          <w:highlight w:val="none"/>
        </w:rPr>
        <w:t>，设计地表水取水量14万立方米/天；存在分散式地下水饮用水水源地，主要分布于周边居民集中点，用途为饮用水、灌溉，取水量普遍较少，区域地下水开发利用程度较低。</w:t>
      </w:r>
    </w:p>
    <w:p w14:paraId="3DBA45B7">
      <w:pPr>
        <w:pStyle w:val="5"/>
        <w:rPr>
          <w:color w:val="auto"/>
          <w:highlight w:val="none"/>
          <w:lang w:val="zh-CN"/>
        </w:rPr>
      </w:pPr>
      <w:r>
        <w:rPr>
          <w:rFonts w:hint="eastAsia"/>
          <w:color w:val="auto"/>
          <w:highlight w:val="none"/>
          <w:lang w:val="zh-CN"/>
        </w:rPr>
        <w:t>地下水污染源调查</w:t>
      </w:r>
    </w:p>
    <w:p w14:paraId="2E115586">
      <w:pPr>
        <w:ind w:firstLine="480"/>
        <w:rPr>
          <w:color w:val="auto"/>
          <w:highlight w:val="none"/>
        </w:rPr>
      </w:pPr>
      <w:r>
        <w:rPr>
          <w:rFonts w:hint="eastAsia"/>
          <w:color w:val="auto"/>
          <w:highlight w:val="none"/>
        </w:rPr>
        <w:t>（一）原水水文地质问题调查</w:t>
      </w:r>
    </w:p>
    <w:p w14:paraId="6A0AD091">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 地下水环境》（HJ610-2016），原生环境水文地质问题包括天然劣质水分布状况，以及由此引发的地方性疾病等环境问题。地下水开采过程中水质、水量、水位的变化情况，以及引起的环境水文地质问题。与地下水有关的其它人类活动情况调查等。</w:t>
      </w:r>
    </w:p>
    <w:p w14:paraId="3BF0312E">
      <w:pPr>
        <w:adjustRightInd w:val="0"/>
        <w:ind w:firstLine="480" w:firstLineChars="0"/>
        <w:jc w:val="left"/>
        <w:rPr>
          <w:rFonts w:cs="Times New Roman"/>
          <w:color w:val="auto"/>
          <w:szCs w:val="24"/>
          <w:highlight w:val="none"/>
        </w:rPr>
      </w:pPr>
      <w:r>
        <w:rPr>
          <w:rFonts w:hint="eastAsia" w:cs="Times New Roman"/>
          <w:color w:val="auto"/>
          <w:szCs w:val="24"/>
          <w:highlight w:val="none"/>
        </w:rPr>
        <w:t>经现场走访调查，调查范围内村民身体状况良好，评价区未出现与地下水污染相关的地方病。</w:t>
      </w:r>
    </w:p>
    <w:p w14:paraId="089B77C6">
      <w:pPr>
        <w:ind w:firstLine="480"/>
        <w:rPr>
          <w:color w:val="auto"/>
          <w:highlight w:val="none"/>
        </w:rPr>
      </w:pPr>
      <w:r>
        <w:rPr>
          <w:rFonts w:hint="eastAsia"/>
          <w:color w:val="auto"/>
          <w:highlight w:val="none"/>
        </w:rPr>
        <w:t>（二）地下水污染源调查</w:t>
      </w:r>
    </w:p>
    <w:p w14:paraId="4F4E9409">
      <w:pPr>
        <w:adjustRightInd w:val="0"/>
        <w:ind w:firstLine="480"/>
        <w:rPr>
          <w:rFonts w:cs="Times New Roman"/>
          <w:color w:val="auto"/>
          <w:szCs w:val="24"/>
          <w:highlight w:val="none"/>
        </w:rPr>
      </w:pPr>
      <w:r>
        <w:rPr>
          <w:rFonts w:hint="eastAsia" w:cs="Times New Roman"/>
          <w:color w:val="auto"/>
          <w:szCs w:val="24"/>
          <w:highlight w:val="none"/>
        </w:rPr>
        <w:t>根据《环境影响评价技术导则－地下水环境》（HJ610-2016），地下水污染源调查主要调查评价区内具有与建设项目产生或排放同种特征因子的地下水污染源。</w:t>
      </w:r>
    </w:p>
    <w:p w14:paraId="14920473">
      <w:pPr>
        <w:adjustRightInd w:val="0"/>
        <w:ind w:firstLine="480"/>
        <w:rPr>
          <w:rFonts w:cs="Times New Roman"/>
          <w:color w:val="auto"/>
          <w:szCs w:val="24"/>
          <w:highlight w:val="none"/>
        </w:rPr>
      </w:pPr>
      <w:r>
        <w:rPr>
          <w:rFonts w:hint="eastAsia" w:cs="Times New Roman"/>
          <w:color w:val="auto"/>
          <w:szCs w:val="24"/>
          <w:highlight w:val="none"/>
        </w:rPr>
        <w:t>嘉农组团重点发展不锈钢冶炼、压延加工，不锈钢制品研发、生产及交易、机械装备制造、新型建材、新材料、物流及商贸业，全面形成完整的不锈钢生产、研发、销售产业链。</w:t>
      </w:r>
    </w:p>
    <w:p w14:paraId="40C167D3">
      <w:pPr>
        <w:adjustRightInd w:val="0"/>
        <w:ind w:firstLine="480"/>
        <w:rPr>
          <w:rFonts w:hAnsi="宋体" w:cs="Times New Roman"/>
          <w:color w:val="auto"/>
          <w:szCs w:val="24"/>
          <w:highlight w:val="none"/>
        </w:rPr>
      </w:pPr>
      <w:r>
        <w:rPr>
          <w:rFonts w:hAnsi="宋体" w:cs="Times New Roman"/>
          <w:color w:val="auto"/>
          <w:szCs w:val="24"/>
          <w:highlight w:val="none"/>
        </w:rPr>
        <w:t>地下水潜在污染源主要包括：</w:t>
      </w:r>
    </w:p>
    <w:p w14:paraId="56B8DE65">
      <w:pPr>
        <w:pStyle w:val="12"/>
        <w:adjustRightInd w:val="0"/>
        <w:rPr>
          <w:rFonts w:ascii="宋体" w:hAnsi="宋体" w:cs="宋体"/>
          <w:color w:val="auto"/>
          <w:kern w:val="0"/>
          <w:sz w:val="20"/>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kern w:val="0"/>
          <w:sz w:val="20"/>
          <w:highlight w:val="none"/>
        </w:rPr>
        <w:t>非正常工况下园区项目污染源及其环境影响</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2456"/>
        <w:gridCol w:w="2437"/>
        <w:gridCol w:w="3132"/>
      </w:tblGrid>
      <w:tr w14:paraId="5011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69" w:type="pct"/>
            <w:vAlign w:val="center"/>
          </w:tcPr>
          <w:p w14:paraId="0D38B33E">
            <w:pPr>
              <w:pStyle w:val="69"/>
              <w:spacing w:before="62" w:after="62"/>
              <w:rPr>
                <w:b/>
                <w:bCs w:val="0"/>
                <w:color w:val="auto"/>
                <w:highlight w:val="none"/>
              </w:rPr>
            </w:pPr>
            <w:r>
              <w:rPr>
                <w:rFonts w:hint="eastAsia"/>
                <w:b/>
                <w:bCs w:val="0"/>
                <w:color w:val="auto"/>
                <w:highlight w:val="none"/>
              </w:rPr>
              <w:t>序号</w:t>
            </w:r>
          </w:p>
        </w:tc>
        <w:tc>
          <w:tcPr>
            <w:tcW w:w="1355" w:type="pct"/>
            <w:vAlign w:val="center"/>
          </w:tcPr>
          <w:p w14:paraId="5341103D">
            <w:pPr>
              <w:pStyle w:val="69"/>
              <w:spacing w:before="62" w:after="62"/>
              <w:rPr>
                <w:b/>
                <w:bCs w:val="0"/>
                <w:color w:val="auto"/>
                <w:highlight w:val="none"/>
              </w:rPr>
            </w:pPr>
            <w:r>
              <w:rPr>
                <w:rFonts w:hint="eastAsia"/>
                <w:b/>
                <w:bCs w:val="0"/>
                <w:color w:val="auto"/>
                <w:highlight w:val="none"/>
              </w:rPr>
              <w:t>潜在污染源</w:t>
            </w:r>
          </w:p>
        </w:tc>
        <w:tc>
          <w:tcPr>
            <w:tcW w:w="1345" w:type="pct"/>
            <w:vAlign w:val="center"/>
          </w:tcPr>
          <w:p w14:paraId="0218CF47">
            <w:pPr>
              <w:pStyle w:val="69"/>
              <w:spacing w:before="62" w:after="62"/>
              <w:rPr>
                <w:b/>
                <w:bCs w:val="0"/>
                <w:color w:val="auto"/>
                <w:highlight w:val="none"/>
              </w:rPr>
            </w:pPr>
            <w:r>
              <w:rPr>
                <w:rFonts w:hint="eastAsia"/>
                <w:b/>
                <w:bCs w:val="0"/>
                <w:color w:val="auto"/>
                <w:highlight w:val="none"/>
              </w:rPr>
              <w:t>主要污染因子</w:t>
            </w:r>
          </w:p>
        </w:tc>
        <w:tc>
          <w:tcPr>
            <w:tcW w:w="1728" w:type="pct"/>
            <w:vAlign w:val="center"/>
          </w:tcPr>
          <w:p w14:paraId="0CD4857A">
            <w:pPr>
              <w:pStyle w:val="69"/>
              <w:spacing w:before="62" w:after="62"/>
              <w:rPr>
                <w:b/>
                <w:bCs w:val="0"/>
                <w:color w:val="auto"/>
                <w:highlight w:val="none"/>
              </w:rPr>
            </w:pPr>
            <w:r>
              <w:rPr>
                <w:rFonts w:hint="eastAsia"/>
                <w:b/>
                <w:bCs w:val="0"/>
                <w:color w:val="auto"/>
                <w:highlight w:val="none"/>
              </w:rPr>
              <w:t>污染途径</w:t>
            </w:r>
          </w:p>
        </w:tc>
      </w:tr>
      <w:tr w14:paraId="4A67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43AAAC0A">
            <w:pPr>
              <w:pStyle w:val="69"/>
              <w:spacing w:before="62" w:after="62"/>
              <w:rPr>
                <w:color w:val="auto"/>
                <w:highlight w:val="none"/>
              </w:rPr>
            </w:pPr>
            <w:r>
              <w:rPr>
                <w:rFonts w:hint="eastAsia"/>
                <w:color w:val="auto"/>
                <w:highlight w:val="none"/>
              </w:rPr>
              <w:t>1</w:t>
            </w:r>
          </w:p>
        </w:tc>
        <w:tc>
          <w:tcPr>
            <w:tcW w:w="1355" w:type="pct"/>
            <w:vAlign w:val="center"/>
          </w:tcPr>
          <w:p w14:paraId="0596E642">
            <w:pPr>
              <w:pStyle w:val="69"/>
              <w:spacing w:before="62" w:after="62"/>
              <w:rPr>
                <w:color w:val="auto"/>
                <w:highlight w:val="none"/>
              </w:rPr>
            </w:pPr>
            <w:r>
              <w:rPr>
                <w:rFonts w:hint="eastAsia"/>
                <w:color w:val="auto"/>
                <w:highlight w:val="none"/>
              </w:rPr>
              <w:t>西南不锈钢有限公司</w:t>
            </w:r>
          </w:p>
        </w:tc>
        <w:tc>
          <w:tcPr>
            <w:tcW w:w="1345" w:type="pct"/>
            <w:vAlign w:val="center"/>
          </w:tcPr>
          <w:p w14:paraId="090C37AA">
            <w:pPr>
              <w:pStyle w:val="69"/>
              <w:spacing w:before="62" w:after="62"/>
              <w:rPr>
                <w:color w:val="auto"/>
                <w:highlight w:val="none"/>
              </w:rPr>
            </w:pPr>
            <w:r>
              <w:rPr>
                <w:rFonts w:hint="eastAsia"/>
                <w:color w:val="auto"/>
                <w:highlight w:val="none"/>
              </w:rPr>
              <w:t>酸洗工艺产生重金属铬、镍等</w:t>
            </w:r>
          </w:p>
        </w:tc>
        <w:tc>
          <w:tcPr>
            <w:tcW w:w="1728" w:type="pct"/>
            <w:vAlign w:val="center"/>
          </w:tcPr>
          <w:p w14:paraId="34C02563">
            <w:pPr>
              <w:pStyle w:val="69"/>
              <w:spacing w:before="62" w:after="62"/>
              <w:rPr>
                <w:color w:val="auto"/>
                <w:highlight w:val="none"/>
              </w:rPr>
            </w:pPr>
            <w:r>
              <w:rPr>
                <w:rFonts w:hint="eastAsia"/>
                <w:color w:val="auto"/>
                <w:highlight w:val="none"/>
              </w:rPr>
              <w:t>池体破损，垂直入渗或地表漫流污染地下水</w:t>
            </w:r>
          </w:p>
        </w:tc>
      </w:tr>
      <w:tr w14:paraId="41EE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70B8B823">
            <w:pPr>
              <w:pStyle w:val="69"/>
              <w:spacing w:before="62" w:after="62"/>
              <w:rPr>
                <w:color w:val="auto"/>
                <w:highlight w:val="none"/>
              </w:rPr>
            </w:pPr>
            <w:r>
              <w:rPr>
                <w:rFonts w:hint="eastAsia"/>
                <w:color w:val="auto"/>
                <w:highlight w:val="none"/>
              </w:rPr>
              <w:t>2</w:t>
            </w:r>
          </w:p>
        </w:tc>
        <w:tc>
          <w:tcPr>
            <w:tcW w:w="1355" w:type="pct"/>
            <w:vAlign w:val="center"/>
          </w:tcPr>
          <w:p w14:paraId="797CFD10">
            <w:pPr>
              <w:pStyle w:val="69"/>
              <w:spacing w:before="62" w:after="62"/>
              <w:rPr>
                <w:color w:val="auto"/>
                <w:highlight w:val="none"/>
              </w:rPr>
            </w:pPr>
            <w:r>
              <w:rPr>
                <w:rFonts w:hint="eastAsia"/>
                <w:color w:val="auto"/>
                <w:highlight w:val="none"/>
              </w:rPr>
              <w:t>四川天宏不锈钢有限公司</w:t>
            </w:r>
          </w:p>
        </w:tc>
        <w:tc>
          <w:tcPr>
            <w:tcW w:w="1345" w:type="pct"/>
            <w:vAlign w:val="center"/>
          </w:tcPr>
          <w:p w14:paraId="4B0553CF">
            <w:pPr>
              <w:pStyle w:val="69"/>
              <w:spacing w:before="62" w:after="62"/>
              <w:rPr>
                <w:color w:val="auto"/>
                <w:highlight w:val="none"/>
              </w:rPr>
            </w:pPr>
            <w:r>
              <w:rPr>
                <w:rFonts w:hint="eastAsia"/>
                <w:color w:val="auto"/>
                <w:highlight w:val="none"/>
              </w:rPr>
              <w:t>酸洗电镀工艺产生重金属铬、镍等</w:t>
            </w:r>
          </w:p>
        </w:tc>
        <w:tc>
          <w:tcPr>
            <w:tcW w:w="1728" w:type="pct"/>
            <w:vAlign w:val="center"/>
          </w:tcPr>
          <w:p w14:paraId="266D15ED">
            <w:pPr>
              <w:pStyle w:val="69"/>
              <w:spacing w:before="62" w:after="62"/>
              <w:rPr>
                <w:color w:val="auto"/>
                <w:highlight w:val="none"/>
              </w:rPr>
            </w:pPr>
            <w:r>
              <w:rPr>
                <w:rFonts w:hint="eastAsia"/>
                <w:color w:val="auto"/>
                <w:highlight w:val="none"/>
              </w:rPr>
              <w:t>池体破损，垂直入渗或地表漫流污染地下水</w:t>
            </w:r>
          </w:p>
        </w:tc>
      </w:tr>
      <w:tr w14:paraId="09C4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04A95D8D">
            <w:pPr>
              <w:pStyle w:val="69"/>
              <w:spacing w:before="62" w:after="62"/>
              <w:rPr>
                <w:color w:val="auto"/>
                <w:highlight w:val="none"/>
              </w:rPr>
            </w:pPr>
            <w:r>
              <w:rPr>
                <w:rFonts w:hint="eastAsia"/>
                <w:color w:val="auto"/>
                <w:highlight w:val="none"/>
              </w:rPr>
              <w:t>3</w:t>
            </w:r>
          </w:p>
        </w:tc>
        <w:tc>
          <w:tcPr>
            <w:tcW w:w="1355" w:type="pct"/>
            <w:vAlign w:val="center"/>
          </w:tcPr>
          <w:p w14:paraId="707694C8">
            <w:pPr>
              <w:pStyle w:val="69"/>
              <w:spacing w:before="62" w:after="62"/>
              <w:rPr>
                <w:color w:val="auto"/>
                <w:highlight w:val="none"/>
              </w:rPr>
            </w:pPr>
            <w:r>
              <w:rPr>
                <w:rFonts w:hint="eastAsia"/>
                <w:color w:val="auto"/>
                <w:highlight w:val="none"/>
              </w:rPr>
              <w:t>四川钢联科技有限公司</w:t>
            </w:r>
          </w:p>
        </w:tc>
        <w:tc>
          <w:tcPr>
            <w:tcW w:w="1345" w:type="pct"/>
            <w:vAlign w:val="center"/>
          </w:tcPr>
          <w:p w14:paraId="10369D18">
            <w:pPr>
              <w:pStyle w:val="69"/>
              <w:spacing w:before="62" w:after="62"/>
              <w:rPr>
                <w:color w:val="auto"/>
                <w:highlight w:val="none"/>
              </w:rPr>
            </w:pPr>
            <w:r>
              <w:rPr>
                <w:rFonts w:hint="eastAsia"/>
                <w:color w:val="auto"/>
                <w:highlight w:val="none"/>
              </w:rPr>
              <w:t>酸洗工序产生重金属铬等</w:t>
            </w:r>
          </w:p>
        </w:tc>
        <w:tc>
          <w:tcPr>
            <w:tcW w:w="1728" w:type="pct"/>
            <w:vAlign w:val="center"/>
          </w:tcPr>
          <w:p w14:paraId="1A354C81">
            <w:pPr>
              <w:pStyle w:val="69"/>
              <w:spacing w:before="62" w:after="62"/>
              <w:rPr>
                <w:color w:val="auto"/>
                <w:highlight w:val="none"/>
              </w:rPr>
            </w:pPr>
            <w:r>
              <w:rPr>
                <w:rFonts w:hint="eastAsia"/>
                <w:color w:val="auto"/>
                <w:highlight w:val="none"/>
              </w:rPr>
              <w:t>池体破损，垂直入渗或地表漫流污染地下水</w:t>
            </w:r>
          </w:p>
        </w:tc>
      </w:tr>
      <w:tr w14:paraId="65D3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5C005FD0">
            <w:pPr>
              <w:pStyle w:val="69"/>
              <w:spacing w:before="62" w:after="62"/>
              <w:rPr>
                <w:color w:val="auto"/>
                <w:highlight w:val="none"/>
              </w:rPr>
            </w:pPr>
            <w:r>
              <w:rPr>
                <w:rFonts w:hint="eastAsia"/>
                <w:color w:val="auto"/>
                <w:highlight w:val="none"/>
              </w:rPr>
              <w:t>4</w:t>
            </w:r>
          </w:p>
        </w:tc>
        <w:tc>
          <w:tcPr>
            <w:tcW w:w="1355" w:type="pct"/>
            <w:vAlign w:val="center"/>
          </w:tcPr>
          <w:p w14:paraId="15689E0F">
            <w:pPr>
              <w:pStyle w:val="69"/>
              <w:spacing w:before="62" w:after="62"/>
              <w:rPr>
                <w:color w:val="auto"/>
                <w:highlight w:val="none"/>
              </w:rPr>
            </w:pPr>
            <w:r>
              <w:rPr>
                <w:rFonts w:hint="eastAsia"/>
                <w:color w:val="auto"/>
                <w:highlight w:val="none"/>
              </w:rPr>
              <w:t>四川鑫和美钢管有限公司</w:t>
            </w:r>
          </w:p>
        </w:tc>
        <w:tc>
          <w:tcPr>
            <w:tcW w:w="1345" w:type="pct"/>
            <w:vAlign w:val="center"/>
          </w:tcPr>
          <w:p w14:paraId="698463B6">
            <w:pPr>
              <w:pStyle w:val="69"/>
              <w:spacing w:before="62" w:after="62"/>
              <w:rPr>
                <w:color w:val="auto"/>
                <w:highlight w:val="none"/>
              </w:rPr>
            </w:pPr>
            <w:r>
              <w:rPr>
                <w:rFonts w:hint="eastAsia"/>
                <w:color w:val="auto"/>
                <w:highlight w:val="none"/>
              </w:rPr>
              <w:t>带钢电镀锌工序产生锌等</w:t>
            </w:r>
          </w:p>
        </w:tc>
        <w:tc>
          <w:tcPr>
            <w:tcW w:w="1728" w:type="pct"/>
            <w:vAlign w:val="center"/>
          </w:tcPr>
          <w:p w14:paraId="16F23B26">
            <w:pPr>
              <w:pStyle w:val="69"/>
              <w:spacing w:before="62" w:after="62"/>
              <w:rPr>
                <w:color w:val="auto"/>
                <w:highlight w:val="none"/>
              </w:rPr>
            </w:pPr>
            <w:r>
              <w:rPr>
                <w:rFonts w:hint="eastAsia"/>
                <w:color w:val="auto"/>
                <w:highlight w:val="none"/>
              </w:rPr>
              <w:t>池体破损，垂直入渗或地表漫流污染地下水</w:t>
            </w:r>
          </w:p>
        </w:tc>
      </w:tr>
      <w:tr w14:paraId="7D8D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0D803D6E">
            <w:pPr>
              <w:pStyle w:val="69"/>
              <w:spacing w:before="62" w:after="62"/>
              <w:rPr>
                <w:color w:val="auto"/>
                <w:highlight w:val="none"/>
              </w:rPr>
            </w:pPr>
            <w:r>
              <w:rPr>
                <w:rFonts w:hint="eastAsia"/>
                <w:color w:val="auto"/>
                <w:highlight w:val="none"/>
              </w:rPr>
              <w:t>5</w:t>
            </w:r>
          </w:p>
        </w:tc>
        <w:tc>
          <w:tcPr>
            <w:tcW w:w="1355" w:type="pct"/>
            <w:vAlign w:val="center"/>
          </w:tcPr>
          <w:p w14:paraId="0BC16853">
            <w:pPr>
              <w:pStyle w:val="69"/>
              <w:spacing w:before="62" w:after="62"/>
              <w:rPr>
                <w:color w:val="auto"/>
                <w:highlight w:val="none"/>
              </w:rPr>
            </w:pPr>
            <w:r>
              <w:rPr>
                <w:rFonts w:hint="eastAsia"/>
                <w:color w:val="auto"/>
                <w:highlight w:val="none"/>
              </w:rPr>
              <w:t>四川德胜集团钒钛有限公司</w:t>
            </w:r>
          </w:p>
        </w:tc>
        <w:tc>
          <w:tcPr>
            <w:tcW w:w="1345" w:type="pct"/>
            <w:vAlign w:val="center"/>
          </w:tcPr>
          <w:p w14:paraId="15CBF6F2">
            <w:pPr>
              <w:pStyle w:val="69"/>
              <w:spacing w:before="62" w:after="62"/>
              <w:rPr>
                <w:color w:val="auto"/>
                <w:highlight w:val="none"/>
              </w:rPr>
            </w:pPr>
            <w:r>
              <w:rPr>
                <w:rFonts w:hint="eastAsia"/>
                <w:color w:val="auto"/>
                <w:highlight w:val="none"/>
              </w:rPr>
              <w:t>废矿物油等</w:t>
            </w:r>
          </w:p>
        </w:tc>
        <w:tc>
          <w:tcPr>
            <w:tcW w:w="1728" w:type="pct"/>
            <w:vAlign w:val="center"/>
          </w:tcPr>
          <w:p w14:paraId="4CCD5DA2">
            <w:pPr>
              <w:pStyle w:val="69"/>
              <w:spacing w:before="62" w:after="62"/>
              <w:rPr>
                <w:color w:val="auto"/>
                <w:highlight w:val="none"/>
              </w:rPr>
            </w:pPr>
            <w:r>
              <w:rPr>
                <w:rFonts w:hint="eastAsia"/>
                <w:color w:val="auto"/>
                <w:highlight w:val="none"/>
              </w:rPr>
              <w:t>地面破损，垂直入渗污染地下水</w:t>
            </w:r>
          </w:p>
        </w:tc>
      </w:tr>
      <w:tr w14:paraId="746C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46F4EC5D">
            <w:pPr>
              <w:pStyle w:val="69"/>
              <w:spacing w:before="62" w:after="62"/>
              <w:rPr>
                <w:color w:val="auto"/>
                <w:highlight w:val="none"/>
              </w:rPr>
            </w:pPr>
            <w:r>
              <w:rPr>
                <w:rFonts w:hint="eastAsia"/>
                <w:color w:val="auto"/>
                <w:highlight w:val="none"/>
              </w:rPr>
              <w:t>6</w:t>
            </w:r>
          </w:p>
        </w:tc>
        <w:tc>
          <w:tcPr>
            <w:tcW w:w="1355" w:type="pct"/>
            <w:vAlign w:val="center"/>
          </w:tcPr>
          <w:p w14:paraId="3D1C7CEF">
            <w:pPr>
              <w:pStyle w:val="69"/>
              <w:spacing w:before="62" w:after="62"/>
              <w:rPr>
                <w:color w:val="auto"/>
                <w:highlight w:val="none"/>
              </w:rPr>
            </w:pPr>
            <w:r>
              <w:rPr>
                <w:rFonts w:hint="eastAsia"/>
                <w:color w:val="auto"/>
                <w:highlight w:val="none"/>
              </w:rPr>
              <w:t>嘉华特种水泥股份有限公司嘉华水泥总厂</w:t>
            </w:r>
          </w:p>
        </w:tc>
        <w:tc>
          <w:tcPr>
            <w:tcW w:w="1345" w:type="pct"/>
            <w:vAlign w:val="center"/>
          </w:tcPr>
          <w:p w14:paraId="08F1ABCD">
            <w:pPr>
              <w:pStyle w:val="69"/>
              <w:spacing w:before="62" w:after="62"/>
              <w:rPr>
                <w:color w:val="auto"/>
                <w:highlight w:val="none"/>
              </w:rPr>
            </w:pPr>
            <w:r>
              <w:rPr>
                <w:rFonts w:hint="eastAsia"/>
                <w:color w:val="auto"/>
                <w:highlight w:val="none"/>
              </w:rPr>
              <w:t>废矿物油等</w:t>
            </w:r>
          </w:p>
        </w:tc>
        <w:tc>
          <w:tcPr>
            <w:tcW w:w="1728" w:type="pct"/>
            <w:vAlign w:val="center"/>
          </w:tcPr>
          <w:p w14:paraId="3A589C2F">
            <w:pPr>
              <w:pStyle w:val="69"/>
              <w:spacing w:before="62" w:after="62"/>
              <w:rPr>
                <w:color w:val="auto"/>
                <w:highlight w:val="none"/>
              </w:rPr>
            </w:pPr>
            <w:r>
              <w:rPr>
                <w:rFonts w:hint="eastAsia"/>
                <w:color w:val="auto"/>
                <w:highlight w:val="none"/>
              </w:rPr>
              <w:t>地面破损，垂直入渗污染地下水</w:t>
            </w:r>
          </w:p>
        </w:tc>
      </w:tr>
      <w:tr w14:paraId="3D473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017F2F86">
            <w:pPr>
              <w:pStyle w:val="69"/>
              <w:spacing w:before="62" w:after="62"/>
              <w:rPr>
                <w:color w:val="auto"/>
                <w:highlight w:val="none"/>
              </w:rPr>
            </w:pPr>
            <w:r>
              <w:rPr>
                <w:rFonts w:hint="eastAsia"/>
                <w:color w:val="auto"/>
                <w:highlight w:val="none"/>
              </w:rPr>
              <w:t>7</w:t>
            </w:r>
          </w:p>
        </w:tc>
        <w:tc>
          <w:tcPr>
            <w:tcW w:w="1355" w:type="pct"/>
            <w:vAlign w:val="center"/>
          </w:tcPr>
          <w:p w14:paraId="074ED910">
            <w:pPr>
              <w:pStyle w:val="69"/>
              <w:spacing w:before="62" w:after="62"/>
              <w:rPr>
                <w:color w:val="auto"/>
                <w:highlight w:val="none"/>
              </w:rPr>
            </w:pPr>
            <w:r>
              <w:rPr>
                <w:rFonts w:hint="eastAsia"/>
                <w:color w:val="auto"/>
                <w:highlight w:val="none"/>
              </w:rPr>
              <w:t>乐山市金宇工业有限公司</w:t>
            </w:r>
          </w:p>
        </w:tc>
        <w:tc>
          <w:tcPr>
            <w:tcW w:w="1345" w:type="pct"/>
            <w:vAlign w:val="center"/>
          </w:tcPr>
          <w:p w14:paraId="76E9E2D3">
            <w:pPr>
              <w:pStyle w:val="69"/>
              <w:spacing w:before="62" w:after="62"/>
              <w:rPr>
                <w:color w:val="auto"/>
                <w:highlight w:val="none"/>
              </w:rPr>
            </w:pPr>
            <w:r>
              <w:rPr>
                <w:rFonts w:hint="eastAsia"/>
                <w:color w:val="auto"/>
                <w:highlight w:val="none"/>
              </w:rPr>
              <w:t>废矿物油等</w:t>
            </w:r>
          </w:p>
        </w:tc>
        <w:tc>
          <w:tcPr>
            <w:tcW w:w="1728" w:type="pct"/>
            <w:vAlign w:val="center"/>
          </w:tcPr>
          <w:p w14:paraId="05AF9DD9">
            <w:pPr>
              <w:pStyle w:val="69"/>
              <w:spacing w:before="62" w:after="62"/>
              <w:rPr>
                <w:color w:val="auto"/>
                <w:highlight w:val="none"/>
              </w:rPr>
            </w:pPr>
            <w:r>
              <w:rPr>
                <w:rFonts w:hint="eastAsia"/>
                <w:color w:val="auto"/>
                <w:highlight w:val="none"/>
              </w:rPr>
              <w:t>地面破损，垂直入渗污染地下水</w:t>
            </w:r>
          </w:p>
        </w:tc>
      </w:tr>
      <w:tr w14:paraId="161C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7087920B">
            <w:pPr>
              <w:pStyle w:val="69"/>
              <w:spacing w:before="62" w:after="62"/>
              <w:rPr>
                <w:color w:val="auto"/>
                <w:highlight w:val="none"/>
              </w:rPr>
            </w:pPr>
            <w:r>
              <w:rPr>
                <w:rFonts w:hint="eastAsia"/>
                <w:color w:val="auto"/>
                <w:highlight w:val="none"/>
              </w:rPr>
              <w:t>8</w:t>
            </w:r>
          </w:p>
        </w:tc>
        <w:tc>
          <w:tcPr>
            <w:tcW w:w="1355" w:type="pct"/>
            <w:vAlign w:val="center"/>
          </w:tcPr>
          <w:p w14:paraId="1BFA9D9E">
            <w:pPr>
              <w:pStyle w:val="69"/>
              <w:spacing w:before="62" w:after="62"/>
              <w:rPr>
                <w:color w:val="auto"/>
                <w:highlight w:val="none"/>
              </w:rPr>
            </w:pPr>
            <w:r>
              <w:rPr>
                <w:rFonts w:hint="eastAsia"/>
                <w:color w:val="auto"/>
                <w:highlight w:val="none"/>
              </w:rPr>
              <w:t>乐山市沙湾区鑫和美钢管有限公司</w:t>
            </w:r>
          </w:p>
        </w:tc>
        <w:tc>
          <w:tcPr>
            <w:tcW w:w="1345" w:type="pct"/>
            <w:vAlign w:val="center"/>
          </w:tcPr>
          <w:p w14:paraId="787D8658">
            <w:pPr>
              <w:pStyle w:val="69"/>
              <w:spacing w:before="62" w:after="62"/>
              <w:rPr>
                <w:color w:val="auto"/>
                <w:highlight w:val="none"/>
              </w:rPr>
            </w:pPr>
            <w:r>
              <w:rPr>
                <w:rFonts w:hint="eastAsia"/>
                <w:color w:val="auto"/>
                <w:highlight w:val="none"/>
              </w:rPr>
              <w:t>废乳化液等</w:t>
            </w:r>
          </w:p>
        </w:tc>
        <w:tc>
          <w:tcPr>
            <w:tcW w:w="1728" w:type="pct"/>
            <w:vAlign w:val="center"/>
          </w:tcPr>
          <w:p w14:paraId="0297D6E8">
            <w:pPr>
              <w:pStyle w:val="69"/>
              <w:spacing w:before="62" w:after="62"/>
              <w:rPr>
                <w:color w:val="auto"/>
                <w:highlight w:val="none"/>
              </w:rPr>
            </w:pPr>
            <w:r>
              <w:rPr>
                <w:rFonts w:hint="eastAsia"/>
                <w:color w:val="auto"/>
                <w:highlight w:val="none"/>
              </w:rPr>
              <w:t>地面破损，垂直入渗污染地下水</w:t>
            </w:r>
          </w:p>
        </w:tc>
      </w:tr>
      <w:tr w14:paraId="307B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544419C5">
            <w:pPr>
              <w:pStyle w:val="69"/>
              <w:spacing w:before="62" w:after="62"/>
              <w:rPr>
                <w:color w:val="auto"/>
                <w:highlight w:val="none"/>
              </w:rPr>
            </w:pPr>
            <w:r>
              <w:rPr>
                <w:rFonts w:hint="eastAsia"/>
                <w:color w:val="auto"/>
                <w:highlight w:val="none"/>
              </w:rPr>
              <w:t>9</w:t>
            </w:r>
          </w:p>
        </w:tc>
        <w:tc>
          <w:tcPr>
            <w:tcW w:w="1355" w:type="pct"/>
            <w:vAlign w:val="center"/>
          </w:tcPr>
          <w:p w14:paraId="539D7993">
            <w:pPr>
              <w:pStyle w:val="69"/>
              <w:spacing w:before="62" w:after="62"/>
              <w:rPr>
                <w:color w:val="auto"/>
                <w:highlight w:val="none"/>
              </w:rPr>
            </w:pPr>
            <w:r>
              <w:rPr>
                <w:rFonts w:hint="eastAsia"/>
                <w:color w:val="auto"/>
                <w:highlight w:val="none"/>
              </w:rPr>
              <w:t>四川长鑫管业有限公司</w:t>
            </w:r>
          </w:p>
        </w:tc>
        <w:tc>
          <w:tcPr>
            <w:tcW w:w="1345" w:type="pct"/>
            <w:vAlign w:val="center"/>
          </w:tcPr>
          <w:p w14:paraId="5B4DE287">
            <w:pPr>
              <w:pStyle w:val="69"/>
              <w:spacing w:before="62" w:after="62"/>
              <w:rPr>
                <w:color w:val="auto"/>
                <w:highlight w:val="none"/>
              </w:rPr>
            </w:pPr>
            <w:r>
              <w:rPr>
                <w:rFonts w:hint="eastAsia"/>
                <w:color w:val="auto"/>
                <w:highlight w:val="none"/>
              </w:rPr>
              <w:t>废乳化液等</w:t>
            </w:r>
          </w:p>
        </w:tc>
        <w:tc>
          <w:tcPr>
            <w:tcW w:w="1728" w:type="pct"/>
            <w:vAlign w:val="center"/>
          </w:tcPr>
          <w:p w14:paraId="55F844FC">
            <w:pPr>
              <w:pStyle w:val="69"/>
              <w:spacing w:before="62" w:after="62"/>
              <w:rPr>
                <w:color w:val="auto"/>
                <w:highlight w:val="none"/>
              </w:rPr>
            </w:pPr>
            <w:r>
              <w:rPr>
                <w:rFonts w:hint="eastAsia"/>
                <w:color w:val="auto"/>
                <w:highlight w:val="none"/>
              </w:rPr>
              <w:t>地面破损，垂直入渗污染地下水</w:t>
            </w:r>
          </w:p>
        </w:tc>
      </w:tr>
      <w:tr w14:paraId="7F806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08103C12">
            <w:pPr>
              <w:pStyle w:val="69"/>
              <w:spacing w:before="62" w:after="62"/>
              <w:rPr>
                <w:color w:val="auto"/>
                <w:highlight w:val="none"/>
              </w:rPr>
            </w:pPr>
            <w:r>
              <w:rPr>
                <w:rFonts w:hint="eastAsia"/>
                <w:color w:val="auto"/>
                <w:highlight w:val="none"/>
              </w:rPr>
              <w:t>10</w:t>
            </w:r>
          </w:p>
        </w:tc>
        <w:tc>
          <w:tcPr>
            <w:tcW w:w="1355" w:type="pct"/>
            <w:vAlign w:val="center"/>
          </w:tcPr>
          <w:p w14:paraId="71DD21D4">
            <w:pPr>
              <w:pStyle w:val="69"/>
              <w:spacing w:before="62" w:after="62"/>
              <w:rPr>
                <w:color w:val="auto"/>
                <w:highlight w:val="none"/>
              </w:rPr>
            </w:pPr>
            <w:r>
              <w:rPr>
                <w:rFonts w:hint="eastAsia"/>
                <w:color w:val="auto"/>
                <w:highlight w:val="none"/>
              </w:rPr>
              <w:t>农村生活和农业面源污染源</w:t>
            </w:r>
          </w:p>
        </w:tc>
        <w:tc>
          <w:tcPr>
            <w:tcW w:w="1345" w:type="pct"/>
            <w:vAlign w:val="center"/>
          </w:tcPr>
          <w:p w14:paraId="4B67B10F">
            <w:pPr>
              <w:pStyle w:val="69"/>
              <w:spacing w:before="62" w:after="62"/>
              <w:rPr>
                <w:color w:val="auto"/>
                <w:highlight w:val="none"/>
              </w:rPr>
            </w:pPr>
            <w:r>
              <w:rPr>
                <w:rFonts w:hint="eastAsia"/>
                <w:color w:val="auto"/>
                <w:highlight w:val="none"/>
              </w:rPr>
              <w:t>pH、COD、氨氮、细菌总数、粪大肠菌群等</w:t>
            </w:r>
          </w:p>
        </w:tc>
        <w:tc>
          <w:tcPr>
            <w:tcW w:w="1728" w:type="pct"/>
            <w:vAlign w:val="center"/>
          </w:tcPr>
          <w:p w14:paraId="64006DC7">
            <w:pPr>
              <w:pStyle w:val="69"/>
              <w:spacing w:before="62" w:after="62"/>
              <w:rPr>
                <w:color w:val="auto"/>
                <w:highlight w:val="none"/>
              </w:rPr>
            </w:pPr>
            <w:r>
              <w:rPr>
                <w:rFonts w:hint="eastAsia"/>
                <w:color w:val="auto"/>
                <w:highlight w:val="none"/>
              </w:rPr>
              <w:t>生活污水不规范排放、农田施肥等</w:t>
            </w:r>
          </w:p>
        </w:tc>
      </w:tr>
      <w:tr w14:paraId="6518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9" w:type="pct"/>
            <w:vAlign w:val="center"/>
          </w:tcPr>
          <w:p w14:paraId="7C60DC0A">
            <w:pPr>
              <w:pStyle w:val="69"/>
              <w:spacing w:before="62" w:after="62"/>
              <w:rPr>
                <w:color w:val="auto"/>
                <w:highlight w:val="none"/>
              </w:rPr>
            </w:pPr>
            <w:r>
              <w:rPr>
                <w:rFonts w:hint="eastAsia"/>
                <w:color w:val="auto"/>
                <w:highlight w:val="none"/>
              </w:rPr>
              <w:t>11</w:t>
            </w:r>
          </w:p>
        </w:tc>
        <w:tc>
          <w:tcPr>
            <w:tcW w:w="1355" w:type="pct"/>
            <w:vAlign w:val="center"/>
          </w:tcPr>
          <w:p w14:paraId="2AE65F66">
            <w:pPr>
              <w:pStyle w:val="69"/>
              <w:spacing w:before="62" w:after="62"/>
              <w:rPr>
                <w:color w:val="auto"/>
                <w:highlight w:val="none"/>
              </w:rPr>
            </w:pPr>
            <w:r>
              <w:rPr>
                <w:rFonts w:hint="eastAsia"/>
                <w:color w:val="auto"/>
                <w:highlight w:val="none"/>
              </w:rPr>
              <w:t>嘉农工业污水处理厂</w:t>
            </w:r>
          </w:p>
        </w:tc>
        <w:tc>
          <w:tcPr>
            <w:tcW w:w="1345" w:type="pct"/>
            <w:vAlign w:val="center"/>
          </w:tcPr>
          <w:p w14:paraId="62E697F5">
            <w:pPr>
              <w:pStyle w:val="69"/>
              <w:spacing w:before="62" w:after="62"/>
              <w:rPr>
                <w:color w:val="auto"/>
                <w:highlight w:val="none"/>
              </w:rPr>
            </w:pPr>
            <w:r>
              <w:rPr>
                <w:rFonts w:hint="eastAsia"/>
                <w:color w:val="auto"/>
                <w:highlight w:val="none"/>
              </w:rPr>
              <w:t>pH、COD、氨氮、重金属等</w:t>
            </w:r>
          </w:p>
        </w:tc>
        <w:tc>
          <w:tcPr>
            <w:tcW w:w="1728" w:type="pct"/>
            <w:vAlign w:val="center"/>
          </w:tcPr>
          <w:p w14:paraId="43606BEB">
            <w:pPr>
              <w:pStyle w:val="69"/>
              <w:spacing w:before="62" w:after="62"/>
              <w:rPr>
                <w:color w:val="auto"/>
                <w:highlight w:val="none"/>
              </w:rPr>
            </w:pPr>
            <w:r>
              <w:rPr>
                <w:rFonts w:hint="eastAsia"/>
                <w:color w:val="auto"/>
                <w:highlight w:val="none"/>
              </w:rPr>
              <w:t>污水处理设施破损，未能及时发现，污水持续渗漏，通过包气带进入地下水进而污染地下水</w:t>
            </w:r>
          </w:p>
        </w:tc>
      </w:tr>
    </w:tbl>
    <w:p w14:paraId="08961B5D">
      <w:pPr>
        <w:pStyle w:val="5"/>
        <w:rPr>
          <w:color w:val="auto"/>
          <w:highlight w:val="none"/>
          <w:lang w:val="zh-CN"/>
        </w:rPr>
      </w:pPr>
      <w:r>
        <w:rPr>
          <w:rFonts w:hint="eastAsia"/>
          <w:color w:val="auto"/>
          <w:highlight w:val="none"/>
          <w:lang w:val="zh-CN"/>
        </w:rPr>
        <w:t>地下水环境现状监测与评价</w:t>
      </w:r>
    </w:p>
    <w:p w14:paraId="01A46707">
      <w:pPr>
        <w:ind w:firstLine="480"/>
        <w:rPr>
          <w:color w:val="auto"/>
          <w:highlight w:val="none"/>
        </w:rPr>
      </w:pPr>
      <w:r>
        <w:rPr>
          <w:rFonts w:hint="eastAsia"/>
          <w:color w:val="auto"/>
          <w:highlight w:val="none"/>
        </w:rPr>
        <w:t>（一）包气带污染现状调查</w:t>
      </w:r>
    </w:p>
    <w:p w14:paraId="1B11196A">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根据《环境影响评价技术导则－地下水环境》（HJ610-2016），对于一、二级评价的改、扩建类建设项目，应开展现有工业场地的包气带污染现状调查。</w:t>
      </w:r>
    </w:p>
    <w:p w14:paraId="7A08AEE1">
      <w:pPr>
        <w:adjustRightInd w:val="0"/>
        <w:ind w:firstLine="480" w:firstLineChars="0"/>
        <w:rPr>
          <w:rFonts w:cs="Times New Roman"/>
          <w:color w:val="auto"/>
          <w:szCs w:val="24"/>
          <w:highlight w:val="none"/>
        </w:rPr>
      </w:pPr>
      <w:r>
        <w:rPr>
          <w:rFonts w:hint="eastAsia" w:cs="Times New Roman"/>
          <w:color w:val="auto"/>
          <w:szCs w:val="24"/>
          <w:highlight w:val="none"/>
        </w:rPr>
        <w:t>本项目属于新建项目，不再开展包气带污染现状调查。</w:t>
      </w:r>
    </w:p>
    <w:p w14:paraId="3A29DBFF">
      <w:pPr>
        <w:ind w:firstLine="480"/>
        <w:rPr>
          <w:color w:val="auto"/>
          <w:highlight w:val="none"/>
        </w:rPr>
      </w:pPr>
      <w:r>
        <w:rPr>
          <w:rFonts w:hint="eastAsia"/>
          <w:color w:val="auto"/>
          <w:highlight w:val="none"/>
        </w:rPr>
        <w:t>（二）地下水环境质量现状监测</w:t>
      </w:r>
    </w:p>
    <w:p w14:paraId="72E9973B">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 地下水环境》（HJ610-2016），本项目</w:t>
      </w:r>
      <w:r>
        <w:rPr>
          <w:rFonts w:cs="Times New Roman"/>
          <w:color w:val="auto"/>
          <w:szCs w:val="24"/>
          <w:highlight w:val="none"/>
        </w:rPr>
        <w:t>地下水环境</w:t>
      </w:r>
      <w:r>
        <w:rPr>
          <w:rFonts w:hint="eastAsia" w:cs="Times New Roman"/>
          <w:color w:val="auto"/>
          <w:szCs w:val="24"/>
          <w:highlight w:val="none"/>
        </w:rPr>
        <w:t>影响</w:t>
      </w:r>
      <w:r>
        <w:rPr>
          <w:rFonts w:cs="Times New Roman"/>
          <w:color w:val="auto"/>
          <w:szCs w:val="24"/>
          <w:highlight w:val="none"/>
        </w:rPr>
        <w:t>评价工作等级为</w:t>
      </w:r>
      <w:r>
        <w:rPr>
          <w:rFonts w:hint="eastAsia" w:cs="Times New Roman"/>
          <w:color w:val="auto"/>
          <w:szCs w:val="24"/>
          <w:highlight w:val="none"/>
        </w:rPr>
        <w:t>二</w:t>
      </w:r>
      <w:r>
        <w:rPr>
          <w:rFonts w:cs="Times New Roman"/>
          <w:color w:val="auto"/>
          <w:szCs w:val="24"/>
          <w:highlight w:val="none"/>
        </w:rPr>
        <w:t>级。</w:t>
      </w:r>
      <w:r>
        <w:rPr>
          <w:rFonts w:hint="eastAsia" w:cs="Times New Roman"/>
          <w:color w:val="auto"/>
          <w:szCs w:val="24"/>
          <w:highlight w:val="none"/>
        </w:rPr>
        <w:t>地下水二级评价项目潜水含水层的水质监测点应不少于 5个，可能受建设项目影响且具有饮用水开发利用价值的含水层2-4个。原则上建设项目场地上游和两侧的地下水水质监测点均不得少于1个，建设项目场地及其下游影响区的地下水水质监测点不得少于2个。</w:t>
      </w:r>
    </w:p>
    <w:p w14:paraId="065BAB39">
      <w:pPr>
        <w:widowControl/>
        <w:adjustRightInd w:val="0"/>
        <w:ind w:firstLine="480" w:firstLineChars="0"/>
        <w:jc w:val="left"/>
        <w:rPr>
          <w:rFonts w:cs="Times New Roman"/>
          <w:bCs/>
          <w:color w:val="auto"/>
          <w:szCs w:val="24"/>
          <w:highlight w:val="none"/>
        </w:rPr>
      </w:pPr>
      <w:r>
        <w:rPr>
          <w:rFonts w:hint="eastAsia" w:cs="Times New Roman"/>
          <w:bCs/>
          <w:color w:val="auto"/>
          <w:szCs w:val="24"/>
          <w:highlight w:val="none"/>
        </w:rPr>
        <w:t>本项目所在地属于丘陵山区大渡河一级阶地的平原地带，地下水为二级评价，根据《环境影响评价技术导则－地下水环境》（HJ610-2016），地下水二级评价补测需要至少进行1期水质监测，至少1期水位监测。</w:t>
      </w:r>
    </w:p>
    <w:p w14:paraId="05C455B2">
      <w:pPr>
        <w:widowControl/>
        <w:adjustRightInd w:val="0"/>
        <w:ind w:firstLine="480" w:firstLineChars="0"/>
        <w:jc w:val="left"/>
        <w:rPr>
          <w:rFonts w:cs="Times New Roman"/>
          <w:bCs/>
          <w:color w:val="auto"/>
          <w:szCs w:val="24"/>
          <w:highlight w:val="none"/>
        </w:rPr>
      </w:pPr>
      <w:r>
        <w:rPr>
          <w:rFonts w:hint="eastAsia" w:cs="Times New Roman"/>
          <w:color w:val="auto"/>
          <w:szCs w:val="24"/>
          <w:highlight w:val="none"/>
        </w:rPr>
        <w:t>为此，本项目</w:t>
      </w:r>
      <w:r>
        <w:rPr>
          <w:rFonts w:hint="eastAsia" w:cs="Times New Roman"/>
          <w:bCs/>
          <w:color w:val="auto"/>
          <w:szCs w:val="24"/>
          <w:highlight w:val="none"/>
        </w:rPr>
        <w:t>地下水二级评价共布设7口地下水水质监测井，一</w:t>
      </w:r>
      <w:r>
        <w:rPr>
          <w:rFonts w:hint="eastAsia" w:cs="Times New Roman"/>
          <w:color w:val="auto"/>
          <w:szCs w:val="24"/>
          <w:highlight w:val="none"/>
        </w:rPr>
        <w:t>期地下水水质监测；本项目</w:t>
      </w:r>
      <w:r>
        <w:rPr>
          <w:rFonts w:hint="eastAsia" w:cs="Times New Roman"/>
          <w:bCs/>
          <w:color w:val="auto"/>
          <w:szCs w:val="24"/>
          <w:highlight w:val="none"/>
        </w:rPr>
        <w:t>共调查14处地下水水位，</w:t>
      </w:r>
      <w:r>
        <w:rPr>
          <w:rFonts w:hint="eastAsia" w:cs="Times New Roman"/>
          <w:color w:val="auto"/>
          <w:szCs w:val="24"/>
          <w:highlight w:val="none"/>
        </w:rPr>
        <w:t>进行两期</w:t>
      </w:r>
      <w:r>
        <w:rPr>
          <w:rFonts w:hint="eastAsia" w:cs="Times New Roman"/>
          <w:bCs/>
          <w:color w:val="auto"/>
          <w:szCs w:val="24"/>
          <w:highlight w:val="none"/>
        </w:rPr>
        <w:t>水位调查（枯丰两期），满足导则相关要求。</w:t>
      </w:r>
    </w:p>
    <w:p w14:paraId="581832AD">
      <w:pPr>
        <w:adjustRightInd w:val="0"/>
        <w:ind w:firstLine="482" w:firstLineChars="0"/>
        <w:rPr>
          <w:rFonts w:cs="Times New Roman"/>
          <w:b/>
          <w:color w:val="auto"/>
          <w:szCs w:val="24"/>
          <w:highlight w:val="none"/>
        </w:rPr>
      </w:pPr>
      <w:r>
        <w:rPr>
          <w:rFonts w:hint="eastAsia" w:cs="Times New Roman"/>
          <w:b/>
          <w:color w:val="auto"/>
          <w:szCs w:val="24"/>
          <w:highlight w:val="none"/>
        </w:rPr>
        <w:t>（1）监测目的</w:t>
      </w:r>
    </w:p>
    <w:p w14:paraId="335D0CB6">
      <w:pPr>
        <w:adjustRightInd w:val="0"/>
        <w:ind w:firstLine="480" w:firstLineChars="0"/>
        <w:rPr>
          <w:rFonts w:cs="Times New Roman"/>
          <w:color w:val="auto"/>
          <w:szCs w:val="24"/>
          <w:highlight w:val="none"/>
        </w:rPr>
      </w:pPr>
      <w:r>
        <w:rPr>
          <w:rFonts w:hint="eastAsia" w:cs="Times New Roman"/>
          <w:color w:val="auto"/>
          <w:szCs w:val="24"/>
          <w:highlight w:val="none"/>
        </w:rPr>
        <w:t>地下水环境现状监测主要通过对地下水水位、水质的监测，为地下水环境现状评价和影响预测提供基础资料。</w:t>
      </w:r>
    </w:p>
    <w:p w14:paraId="13BD713F">
      <w:pPr>
        <w:adjustRightInd w:val="0"/>
        <w:ind w:firstLine="482" w:firstLineChars="0"/>
        <w:rPr>
          <w:rFonts w:cs="Times New Roman"/>
          <w:b/>
          <w:color w:val="auto"/>
          <w:szCs w:val="24"/>
          <w:highlight w:val="none"/>
        </w:rPr>
      </w:pPr>
      <w:r>
        <w:rPr>
          <w:rFonts w:hint="eastAsia" w:cs="Times New Roman"/>
          <w:b/>
          <w:color w:val="auto"/>
          <w:szCs w:val="24"/>
          <w:highlight w:val="none"/>
        </w:rPr>
        <w:t>（2）监测点位</w:t>
      </w:r>
    </w:p>
    <w:p w14:paraId="65AE2A2B">
      <w:pPr>
        <w:adjustRightInd w:val="0"/>
        <w:ind w:firstLine="480" w:firstLineChars="0"/>
        <w:rPr>
          <w:rFonts w:cs="Times New Roman"/>
          <w:color w:val="auto"/>
          <w:szCs w:val="24"/>
          <w:highlight w:val="none"/>
        </w:rPr>
      </w:pPr>
      <w:r>
        <w:rPr>
          <w:rFonts w:hint="eastAsia" w:cs="Times New Roman"/>
          <w:color w:val="auto"/>
          <w:szCs w:val="24"/>
          <w:highlight w:val="none"/>
        </w:rPr>
        <w:t>本项目地下水二级评价，共布设7口地下水水质监测井，共调查14处地下水水位（共涉及14口水井，分别是7口水质监测+水位调查井，7口水位调查井）。</w:t>
      </w:r>
    </w:p>
    <w:p w14:paraId="65949ADF">
      <w:pPr>
        <w:pStyle w:val="12"/>
        <w:adjustRightInd w:val="0"/>
        <w:rPr>
          <w:rFonts w:ascii="宋体" w:hAnsi="宋体" w:cs="宋体"/>
          <w:color w:val="auto"/>
          <w:kern w:val="0"/>
          <w:sz w:val="20"/>
          <w:szCs w:val="21"/>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kern w:val="0"/>
          <w:sz w:val="20"/>
          <w:szCs w:val="21"/>
          <w:highlight w:val="none"/>
        </w:rPr>
        <w:t>地下水环境质量现状监测点位</w:t>
      </w:r>
    </w:p>
    <w:tbl>
      <w:tblPr>
        <w:tblStyle w:val="31"/>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2205"/>
        <w:gridCol w:w="1986"/>
        <w:gridCol w:w="1130"/>
        <w:gridCol w:w="956"/>
        <w:gridCol w:w="2108"/>
      </w:tblGrid>
      <w:tr w14:paraId="23BF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67" w:type="pct"/>
            <w:vAlign w:val="center"/>
          </w:tcPr>
          <w:p w14:paraId="11064265">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序号</w:t>
            </w:r>
          </w:p>
        </w:tc>
        <w:tc>
          <w:tcPr>
            <w:tcW w:w="1218" w:type="pct"/>
            <w:vAlign w:val="center"/>
          </w:tcPr>
          <w:p w14:paraId="382DC6F4">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监测位置</w:t>
            </w:r>
          </w:p>
        </w:tc>
        <w:tc>
          <w:tcPr>
            <w:tcW w:w="1097" w:type="pct"/>
            <w:vAlign w:val="center"/>
          </w:tcPr>
          <w:p w14:paraId="4F364333">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监测因子</w:t>
            </w:r>
          </w:p>
        </w:tc>
        <w:tc>
          <w:tcPr>
            <w:tcW w:w="624" w:type="pct"/>
            <w:vAlign w:val="center"/>
          </w:tcPr>
          <w:p w14:paraId="6FBCDD15">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监测频次</w:t>
            </w:r>
          </w:p>
        </w:tc>
        <w:tc>
          <w:tcPr>
            <w:tcW w:w="528" w:type="pct"/>
            <w:vAlign w:val="center"/>
          </w:tcPr>
          <w:p w14:paraId="3B7A5B80">
            <w:pPr>
              <w:adjustRightInd w:val="0"/>
              <w:spacing w:line="240" w:lineRule="auto"/>
              <w:ind w:firstLine="0" w:firstLineChars="0"/>
              <w:jc w:val="center"/>
              <w:rPr>
                <w:rFonts w:cs="Times New Roman"/>
                <w:b/>
                <w:color w:val="auto"/>
                <w:sz w:val="21"/>
                <w:highlight w:val="none"/>
              </w:rPr>
            </w:pPr>
            <w:r>
              <w:rPr>
                <w:rFonts w:hint="eastAsia" w:cs="Times New Roman"/>
                <w:b/>
                <w:color w:val="auto"/>
                <w:sz w:val="21"/>
                <w:highlight w:val="none"/>
              </w:rPr>
              <w:t>厂界距离/m</w:t>
            </w:r>
          </w:p>
        </w:tc>
        <w:tc>
          <w:tcPr>
            <w:tcW w:w="1164" w:type="pct"/>
            <w:vAlign w:val="center"/>
          </w:tcPr>
          <w:p w14:paraId="6015147D">
            <w:pPr>
              <w:adjustRightInd w:val="0"/>
              <w:spacing w:line="240" w:lineRule="auto"/>
              <w:ind w:firstLine="0" w:firstLineChars="0"/>
              <w:jc w:val="center"/>
              <w:rPr>
                <w:rFonts w:cs="Times New Roman"/>
                <w:b/>
                <w:color w:val="auto"/>
                <w:sz w:val="21"/>
                <w:highlight w:val="none"/>
              </w:rPr>
            </w:pPr>
            <w:r>
              <w:rPr>
                <w:rFonts w:hint="eastAsia" w:cs="Times New Roman"/>
                <w:b/>
                <w:color w:val="auto"/>
                <w:sz w:val="21"/>
                <w:highlight w:val="none"/>
              </w:rPr>
              <w:t>依据</w:t>
            </w:r>
          </w:p>
        </w:tc>
      </w:tr>
      <w:tr w14:paraId="2F74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367" w:type="pct"/>
            <w:vAlign w:val="center"/>
          </w:tcPr>
          <w:p w14:paraId="17146357">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w:t>
            </w:r>
            <w:r>
              <w:rPr>
                <w:rFonts w:cs="Times New Roman"/>
                <w:color w:val="auto"/>
                <w:sz w:val="21"/>
                <w:highlight w:val="none"/>
              </w:rPr>
              <w:t>1</w:t>
            </w:r>
          </w:p>
        </w:tc>
        <w:tc>
          <w:tcPr>
            <w:tcW w:w="1218" w:type="pct"/>
            <w:vAlign w:val="center"/>
          </w:tcPr>
          <w:p w14:paraId="0433C099">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项目西北侧</w:t>
            </w:r>
          </w:p>
        </w:tc>
        <w:tc>
          <w:tcPr>
            <w:tcW w:w="1097" w:type="pct"/>
            <w:vMerge w:val="restart"/>
            <w:vAlign w:val="center"/>
          </w:tcPr>
          <w:p w14:paraId="507065B4">
            <w:pPr>
              <w:tabs>
                <w:tab w:val="left" w:pos="2130"/>
              </w:tabs>
              <w:adjustRightInd w:val="0"/>
              <w:spacing w:line="240" w:lineRule="auto"/>
              <w:ind w:firstLine="0" w:firstLineChars="0"/>
              <w:rPr>
                <w:rFonts w:cs="Times New Roman"/>
                <w:color w:val="auto"/>
                <w:sz w:val="21"/>
                <w:highlight w:val="none"/>
              </w:rPr>
            </w:pPr>
            <w:r>
              <w:rPr>
                <w:rFonts w:hint="eastAsia" w:cs="Times New Roman"/>
                <w:color w:val="auto"/>
                <w:kern w:val="0"/>
                <w:sz w:val="21"/>
                <w:szCs w:val="24"/>
                <w:highlight w:val="none"/>
              </w:rPr>
              <w:t>pH、氨氮、硝酸盐、亚硝酸盐、挥发性酚类、氰化物、砷、汞、铬(六价)、总硬度、铅、氟、镉、铁、锰、溶解性总固体、高锰酸盐指数、硫酸盐、氯化物、总大肠菌群、细菌总数+</w:t>
            </w:r>
            <w:r>
              <w:rPr>
                <w:rFonts w:cs="Times New Roman"/>
                <w:color w:val="auto"/>
                <w:sz w:val="21"/>
                <w:szCs w:val="24"/>
                <w:highlight w:val="none"/>
              </w:rPr>
              <w:t>石油类</w:t>
            </w:r>
            <w:r>
              <w:rPr>
                <w:rFonts w:hint="eastAsia" w:cs="Times New Roman"/>
                <w:color w:val="auto"/>
                <w:sz w:val="21"/>
                <w:szCs w:val="24"/>
                <w:highlight w:val="none"/>
              </w:rPr>
              <w:t>、</w:t>
            </w:r>
            <w:r>
              <w:rPr>
                <w:rFonts w:hint="eastAsia" w:cs="Times New Roman"/>
                <w:color w:val="auto"/>
                <w:sz w:val="21"/>
                <w:highlight w:val="none"/>
              </w:rPr>
              <w:t>锂、水位、K</w:t>
            </w:r>
            <w:r>
              <w:rPr>
                <w:rFonts w:cs="Times New Roman"/>
                <w:color w:val="auto"/>
                <w:sz w:val="21"/>
                <w:highlight w:val="none"/>
                <w:vertAlign w:val="superscript"/>
              </w:rPr>
              <w:t>+</w:t>
            </w:r>
            <w:r>
              <w:rPr>
                <w:rFonts w:hint="eastAsia" w:cs="Times New Roman"/>
                <w:color w:val="auto"/>
                <w:sz w:val="21"/>
                <w:highlight w:val="none"/>
              </w:rPr>
              <w:t>、N</w:t>
            </w:r>
            <w:r>
              <w:rPr>
                <w:rFonts w:cs="Times New Roman"/>
                <w:color w:val="auto"/>
                <w:sz w:val="21"/>
                <w:highlight w:val="none"/>
              </w:rPr>
              <w:t>a</w:t>
            </w:r>
            <w:r>
              <w:rPr>
                <w:rFonts w:cs="Times New Roman"/>
                <w:color w:val="auto"/>
                <w:sz w:val="21"/>
                <w:highlight w:val="none"/>
                <w:vertAlign w:val="superscript"/>
              </w:rPr>
              <w:t>+</w:t>
            </w:r>
            <w:r>
              <w:rPr>
                <w:rFonts w:cs="Times New Roman"/>
                <w:color w:val="auto"/>
                <w:sz w:val="21"/>
                <w:highlight w:val="none"/>
              </w:rPr>
              <w:t>、</w:t>
            </w:r>
            <w:r>
              <w:rPr>
                <w:rFonts w:hint="eastAsia" w:cs="Times New Roman"/>
                <w:color w:val="auto"/>
                <w:sz w:val="21"/>
                <w:highlight w:val="none"/>
              </w:rPr>
              <w:t>C</w:t>
            </w:r>
            <w:r>
              <w:rPr>
                <w:rFonts w:cs="Times New Roman"/>
                <w:color w:val="auto"/>
                <w:sz w:val="21"/>
                <w:highlight w:val="none"/>
              </w:rPr>
              <w:t>a</w:t>
            </w:r>
            <w:r>
              <w:rPr>
                <w:rFonts w:cs="Times New Roman"/>
                <w:color w:val="auto"/>
                <w:sz w:val="21"/>
                <w:highlight w:val="none"/>
                <w:vertAlign w:val="superscript"/>
              </w:rPr>
              <w:t>2+</w:t>
            </w:r>
            <w:r>
              <w:rPr>
                <w:rFonts w:cs="Times New Roman"/>
                <w:color w:val="auto"/>
                <w:sz w:val="21"/>
                <w:highlight w:val="none"/>
              </w:rPr>
              <w:t>、</w:t>
            </w:r>
            <w:r>
              <w:rPr>
                <w:rFonts w:hint="eastAsia" w:cs="Times New Roman"/>
                <w:color w:val="auto"/>
                <w:sz w:val="21"/>
                <w:highlight w:val="none"/>
              </w:rPr>
              <w:t>M</w:t>
            </w:r>
            <w:r>
              <w:rPr>
                <w:rFonts w:cs="Times New Roman"/>
                <w:color w:val="auto"/>
                <w:sz w:val="21"/>
                <w:highlight w:val="none"/>
              </w:rPr>
              <w:t>g</w:t>
            </w:r>
            <w:r>
              <w:rPr>
                <w:rFonts w:cs="Times New Roman"/>
                <w:color w:val="auto"/>
                <w:sz w:val="21"/>
                <w:highlight w:val="none"/>
                <w:vertAlign w:val="superscript"/>
              </w:rPr>
              <w:t>2+</w:t>
            </w:r>
            <w:r>
              <w:rPr>
                <w:rFonts w:cs="Times New Roman"/>
                <w:color w:val="auto"/>
                <w:sz w:val="21"/>
                <w:highlight w:val="none"/>
              </w:rPr>
              <w:t>、</w:t>
            </w:r>
            <w:r>
              <w:rPr>
                <w:rFonts w:hint="eastAsia" w:cs="Times New Roman"/>
                <w:color w:val="auto"/>
                <w:sz w:val="21"/>
                <w:highlight w:val="none"/>
              </w:rPr>
              <w:t>CO</w:t>
            </w:r>
            <w:r>
              <w:rPr>
                <w:rFonts w:hint="eastAsia" w:cs="Times New Roman"/>
                <w:color w:val="auto"/>
                <w:sz w:val="21"/>
                <w:highlight w:val="none"/>
                <w:vertAlign w:val="subscript"/>
              </w:rPr>
              <w:t>3</w:t>
            </w:r>
            <w:r>
              <w:rPr>
                <w:rFonts w:hint="eastAsia" w:cs="Times New Roman"/>
                <w:color w:val="auto"/>
                <w:sz w:val="21"/>
                <w:highlight w:val="none"/>
                <w:vertAlign w:val="superscript"/>
              </w:rPr>
              <w:t>2</w:t>
            </w:r>
            <w:r>
              <w:rPr>
                <w:rFonts w:cs="Times New Roman"/>
                <w:color w:val="auto"/>
                <w:sz w:val="21"/>
                <w:highlight w:val="none"/>
                <w:vertAlign w:val="superscript"/>
              </w:rPr>
              <w:t>-</w:t>
            </w:r>
            <w:r>
              <w:rPr>
                <w:rFonts w:cs="Times New Roman"/>
                <w:color w:val="auto"/>
                <w:sz w:val="21"/>
                <w:highlight w:val="none"/>
              </w:rPr>
              <w:t>、</w:t>
            </w:r>
            <w:r>
              <w:rPr>
                <w:rFonts w:hint="eastAsia" w:cs="Times New Roman"/>
                <w:color w:val="auto"/>
                <w:sz w:val="21"/>
                <w:highlight w:val="none"/>
              </w:rPr>
              <w:t>HCO</w:t>
            </w:r>
            <w:r>
              <w:rPr>
                <w:rFonts w:hint="eastAsia" w:cs="Times New Roman"/>
                <w:color w:val="auto"/>
                <w:sz w:val="21"/>
                <w:highlight w:val="none"/>
                <w:vertAlign w:val="subscript"/>
              </w:rPr>
              <w:t>3</w:t>
            </w:r>
            <w:r>
              <w:rPr>
                <w:rFonts w:hint="eastAsia" w:cs="Times New Roman"/>
                <w:color w:val="auto"/>
                <w:sz w:val="21"/>
                <w:highlight w:val="none"/>
                <w:vertAlign w:val="superscript"/>
              </w:rPr>
              <w:t>-</w:t>
            </w:r>
          </w:p>
        </w:tc>
        <w:tc>
          <w:tcPr>
            <w:tcW w:w="624" w:type="pct"/>
            <w:vMerge w:val="restart"/>
            <w:vAlign w:val="center"/>
          </w:tcPr>
          <w:p w14:paraId="02FA861B">
            <w:pPr>
              <w:tabs>
                <w:tab w:val="left" w:pos="2130"/>
              </w:tabs>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连续监测</w:t>
            </w:r>
            <w:r>
              <w:rPr>
                <w:rFonts w:hint="eastAsia" w:cs="Times New Roman"/>
                <w:color w:val="auto"/>
                <w:sz w:val="21"/>
                <w:highlight w:val="none"/>
              </w:rPr>
              <w:t>1</w:t>
            </w:r>
            <w:r>
              <w:rPr>
                <w:rFonts w:cs="Times New Roman"/>
                <w:color w:val="auto"/>
                <w:sz w:val="21"/>
                <w:highlight w:val="none"/>
              </w:rPr>
              <w:t>天，每天1次</w:t>
            </w:r>
          </w:p>
        </w:tc>
        <w:tc>
          <w:tcPr>
            <w:tcW w:w="528" w:type="pct"/>
            <w:vAlign w:val="center"/>
          </w:tcPr>
          <w:p w14:paraId="5FF779DF">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1200</w:t>
            </w:r>
          </w:p>
        </w:tc>
        <w:tc>
          <w:tcPr>
            <w:tcW w:w="1164" w:type="pct"/>
            <w:vAlign w:val="center"/>
          </w:tcPr>
          <w:p w14:paraId="340B4578">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建设项目场地上游</w:t>
            </w:r>
          </w:p>
        </w:tc>
      </w:tr>
      <w:tr w14:paraId="68BF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30158064">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w:t>
            </w:r>
            <w:r>
              <w:rPr>
                <w:rFonts w:cs="Times New Roman"/>
                <w:color w:val="auto"/>
                <w:sz w:val="21"/>
                <w:highlight w:val="none"/>
              </w:rPr>
              <w:t>2</w:t>
            </w:r>
          </w:p>
        </w:tc>
        <w:tc>
          <w:tcPr>
            <w:tcW w:w="1218" w:type="pct"/>
            <w:vAlign w:val="center"/>
          </w:tcPr>
          <w:p w14:paraId="43EB38B8">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宏旺不锈钢公司内</w:t>
            </w:r>
          </w:p>
        </w:tc>
        <w:tc>
          <w:tcPr>
            <w:tcW w:w="1097" w:type="pct"/>
            <w:vMerge w:val="continue"/>
          </w:tcPr>
          <w:p w14:paraId="31EBD41F">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3F35649B">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7E6162C0">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200</w:t>
            </w:r>
          </w:p>
        </w:tc>
        <w:tc>
          <w:tcPr>
            <w:tcW w:w="1164" w:type="pct"/>
            <w:vAlign w:val="center"/>
          </w:tcPr>
          <w:p w14:paraId="791654C9">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建设项目场地下游地下水</w:t>
            </w:r>
          </w:p>
        </w:tc>
      </w:tr>
      <w:tr w14:paraId="410C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19532590">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w:t>
            </w:r>
            <w:r>
              <w:rPr>
                <w:rFonts w:cs="Times New Roman"/>
                <w:color w:val="auto"/>
                <w:sz w:val="21"/>
                <w:highlight w:val="none"/>
              </w:rPr>
              <w:t>3</w:t>
            </w:r>
          </w:p>
        </w:tc>
        <w:tc>
          <w:tcPr>
            <w:tcW w:w="1218" w:type="pct"/>
            <w:vAlign w:val="center"/>
          </w:tcPr>
          <w:p w14:paraId="25D4C0CF">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园区污水处理厂内</w:t>
            </w:r>
          </w:p>
        </w:tc>
        <w:tc>
          <w:tcPr>
            <w:tcW w:w="1097" w:type="pct"/>
            <w:vMerge w:val="continue"/>
          </w:tcPr>
          <w:p w14:paraId="6DF58137">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7E6B07C6">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6B162D3D">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150</w:t>
            </w:r>
          </w:p>
        </w:tc>
        <w:tc>
          <w:tcPr>
            <w:tcW w:w="1164" w:type="pct"/>
            <w:vAlign w:val="center"/>
          </w:tcPr>
          <w:p w14:paraId="4CD2762B">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建设项目场地侧向的地下水</w:t>
            </w:r>
          </w:p>
        </w:tc>
      </w:tr>
      <w:tr w14:paraId="58C0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7" w:type="pct"/>
            <w:vAlign w:val="center"/>
          </w:tcPr>
          <w:p w14:paraId="0CA4CE44">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W4</w:t>
            </w:r>
          </w:p>
        </w:tc>
        <w:tc>
          <w:tcPr>
            <w:tcW w:w="1218" w:type="pct"/>
            <w:vAlign w:val="center"/>
          </w:tcPr>
          <w:p w14:paraId="2989ACD8">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项目东侧农户</w:t>
            </w:r>
          </w:p>
        </w:tc>
        <w:tc>
          <w:tcPr>
            <w:tcW w:w="1097" w:type="pct"/>
            <w:vMerge w:val="continue"/>
          </w:tcPr>
          <w:p w14:paraId="21B89F68">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42C81074">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102C0A69">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600</w:t>
            </w:r>
          </w:p>
        </w:tc>
        <w:tc>
          <w:tcPr>
            <w:tcW w:w="1164" w:type="pct"/>
            <w:vAlign w:val="center"/>
          </w:tcPr>
          <w:p w14:paraId="04981093">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建设项目场地下游影响区</w:t>
            </w:r>
          </w:p>
        </w:tc>
      </w:tr>
      <w:tr w14:paraId="3A00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6F03FB3E">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W5</w:t>
            </w:r>
          </w:p>
        </w:tc>
        <w:tc>
          <w:tcPr>
            <w:tcW w:w="1218" w:type="pct"/>
            <w:vAlign w:val="center"/>
          </w:tcPr>
          <w:p w14:paraId="06CA68DF">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项目东侧农户</w:t>
            </w:r>
          </w:p>
        </w:tc>
        <w:tc>
          <w:tcPr>
            <w:tcW w:w="1097" w:type="pct"/>
            <w:vMerge w:val="continue"/>
          </w:tcPr>
          <w:p w14:paraId="1E25E37E">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2E952042">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2A034265">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700</w:t>
            </w:r>
          </w:p>
        </w:tc>
        <w:tc>
          <w:tcPr>
            <w:tcW w:w="1164" w:type="pct"/>
            <w:vAlign w:val="center"/>
          </w:tcPr>
          <w:p w14:paraId="5A16DBEE">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建设项目场地侧向影响区</w:t>
            </w:r>
          </w:p>
        </w:tc>
      </w:tr>
      <w:tr w14:paraId="5AF3E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31B1AE79">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W6</w:t>
            </w:r>
          </w:p>
        </w:tc>
        <w:tc>
          <w:tcPr>
            <w:tcW w:w="1218" w:type="pct"/>
            <w:vAlign w:val="center"/>
          </w:tcPr>
          <w:p w14:paraId="087F1447">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项目东侧农户</w:t>
            </w:r>
          </w:p>
        </w:tc>
        <w:tc>
          <w:tcPr>
            <w:tcW w:w="1097" w:type="pct"/>
            <w:vMerge w:val="continue"/>
          </w:tcPr>
          <w:p w14:paraId="0E39A3BD">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544B4920">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674124B1">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750</w:t>
            </w:r>
          </w:p>
        </w:tc>
        <w:tc>
          <w:tcPr>
            <w:tcW w:w="1164" w:type="pct"/>
            <w:vAlign w:val="center"/>
          </w:tcPr>
          <w:p w14:paraId="492992DC">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建设项目场地侧向影响区</w:t>
            </w:r>
          </w:p>
        </w:tc>
      </w:tr>
      <w:tr w14:paraId="2C67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59C0E84F">
            <w:pPr>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W7</w:t>
            </w:r>
          </w:p>
        </w:tc>
        <w:tc>
          <w:tcPr>
            <w:tcW w:w="1218" w:type="pct"/>
            <w:vAlign w:val="center"/>
          </w:tcPr>
          <w:p w14:paraId="589D1370">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项目东侧农户</w:t>
            </w:r>
          </w:p>
        </w:tc>
        <w:tc>
          <w:tcPr>
            <w:tcW w:w="1097" w:type="pct"/>
            <w:vMerge w:val="continue"/>
          </w:tcPr>
          <w:p w14:paraId="1CFF8961">
            <w:pPr>
              <w:tabs>
                <w:tab w:val="left" w:pos="2130"/>
              </w:tabs>
              <w:adjustRightInd w:val="0"/>
              <w:spacing w:line="240" w:lineRule="auto"/>
              <w:ind w:firstLine="0" w:firstLineChars="0"/>
              <w:jc w:val="center"/>
              <w:rPr>
                <w:rFonts w:cs="Times New Roman"/>
                <w:color w:val="auto"/>
                <w:sz w:val="21"/>
                <w:highlight w:val="none"/>
              </w:rPr>
            </w:pPr>
          </w:p>
        </w:tc>
        <w:tc>
          <w:tcPr>
            <w:tcW w:w="624" w:type="pct"/>
            <w:vMerge w:val="continue"/>
          </w:tcPr>
          <w:p w14:paraId="124611FA">
            <w:pPr>
              <w:tabs>
                <w:tab w:val="left" w:pos="2130"/>
              </w:tabs>
              <w:adjustRightInd w:val="0"/>
              <w:spacing w:line="240" w:lineRule="auto"/>
              <w:ind w:firstLine="0" w:firstLineChars="0"/>
              <w:jc w:val="center"/>
              <w:rPr>
                <w:rFonts w:cs="Times New Roman"/>
                <w:color w:val="auto"/>
                <w:sz w:val="21"/>
                <w:highlight w:val="none"/>
              </w:rPr>
            </w:pPr>
          </w:p>
        </w:tc>
        <w:tc>
          <w:tcPr>
            <w:tcW w:w="528" w:type="pct"/>
            <w:vAlign w:val="center"/>
          </w:tcPr>
          <w:p w14:paraId="252C5F17">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1000</w:t>
            </w:r>
          </w:p>
        </w:tc>
        <w:tc>
          <w:tcPr>
            <w:tcW w:w="1164" w:type="pct"/>
            <w:vAlign w:val="center"/>
          </w:tcPr>
          <w:p w14:paraId="3248C2D5">
            <w:pPr>
              <w:tabs>
                <w:tab w:val="left" w:pos="2130"/>
              </w:tabs>
              <w:adjustRightInd w:val="0"/>
              <w:spacing w:line="240" w:lineRule="auto"/>
              <w:ind w:firstLine="0" w:firstLineChars="0"/>
              <w:jc w:val="center"/>
              <w:rPr>
                <w:rFonts w:cs="Times New Roman"/>
                <w:color w:val="auto"/>
                <w:sz w:val="21"/>
                <w:highlight w:val="none"/>
              </w:rPr>
            </w:pPr>
            <w:r>
              <w:rPr>
                <w:rFonts w:hint="eastAsia" w:cs="Times New Roman"/>
                <w:color w:val="auto"/>
                <w:sz w:val="21"/>
                <w:highlight w:val="none"/>
              </w:rPr>
              <w:t>建设项目场地侧向影响区</w:t>
            </w:r>
          </w:p>
        </w:tc>
      </w:tr>
      <w:tr w14:paraId="5F29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0EE2E52D">
            <w:pPr>
              <w:pStyle w:val="37"/>
              <w:spacing w:before="62" w:after="62"/>
              <w:rPr>
                <w:color w:val="auto"/>
                <w:highlight w:val="none"/>
              </w:rPr>
            </w:pPr>
            <w:r>
              <w:rPr>
                <w:rFonts w:hint="eastAsia"/>
                <w:color w:val="auto"/>
                <w:highlight w:val="none"/>
              </w:rPr>
              <w:t>W8</w:t>
            </w:r>
          </w:p>
        </w:tc>
        <w:tc>
          <w:tcPr>
            <w:tcW w:w="1218" w:type="pct"/>
            <w:vAlign w:val="center"/>
          </w:tcPr>
          <w:p w14:paraId="317EA61F">
            <w:pPr>
              <w:pStyle w:val="37"/>
              <w:spacing w:before="62" w:after="62"/>
              <w:rPr>
                <w:color w:val="auto"/>
                <w:highlight w:val="none"/>
              </w:rPr>
            </w:pPr>
            <w:r>
              <w:rPr>
                <w:rFonts w:hint="eastAsia"/>
                <w:color w:val="auto"/>
                <w:highlight w:val="none"/>
              </w:rPr>
              <w:t>项目东侧农户</w:t>
            </w:r>
          </w:p>
        </w:tc>
        <w:tc>
          <w:tcPr>
            <w:tcW w:w="1097" w:type="pct"/>
          </w:tcPr>
          <w:p w14:paraId="62B7C4A2">
            <w:pPr>
              <w:pStyle w:val="37"/>
              <w:spacing w:before="62" w:after="62"/>
              <w:rPr>
                <w:color w:val="auto"/>
                <w:highlight w:val="none"/>
              </w:rPr>
            </w:pPr>
            <w:r>
              <w:rPr>
                <w:rFonts w:hint="eastAsia"/>
                <w:color w:val="auto"/>
                <w:highlight w:val="none"/>
              </w:rPr>
              <w:t>水位</w:t>
            </w:r>
          </w:p>
        </w:tc>
        <w:tc>
          <w:tcPr>
            <w:tcW w:w="624" w:type="pct"/>
          </w:tcPr>
          <w:p w14:paraId="3EFF5EBB">
            <w:pPr>
              <w:pStyle w:val="37"/>
              <w:spacing w:before="62" w:after="62"/>
              <w:rPr>
                <w:color w:val="auto"/>
                <w:highlight w:val="none"/>
              </w:rPr>
            </w:pPr>
            <w:r>
              <w:rPr>
                <w:rFonts w:hint="eastAsia"/>
                <w:color w:val="auto"/>
                <w:highlight w:val="none"/>
              </w:rPr>
              <w:t>/</w:t>
            </w:r>
          </w:p>
        </w:tc>
        <w:tc>
          <w:tcPr>
            <w:tcW w:w="528" w:type="pct"/>
            <w:vAlign w:val="center"/>
          </w:tcPr>
          <w:p w14:paraId="65E20AA4">
            <w:pPr>
              <w:pStyle w:val="37"/>
              <w:spacing w:before="62" w:after="62"/>
              <w:rPr>
                <w:color w:val="auto"/>
                <w:highlight w:val="none"/>
              </w:rPr>
            </w:pPr>
            <w:r>
              <w:rPr>
                <w:rFonts w:hint="eastAsia"/>
                <w:color w:val="auto"/>
                <w:highlight w:val="none"/>
              </w:rPr>
              <w:t>850</w:t>
            </w:r>
          </w:p>
        </w:tc>
        <w:tc>
          <w:tcPr>
            <w:tcW w:w="1164" w:type="pct"/>
            <w:vMerge w:val="restart"/>
            <w:vAlign w:val="center"/>
          </w:tcPr>
          <w:p w14:paraId="2BBF2632">
            <w:pPr>
              <w:pStyle w:val="37"/>
              <w:spacing w:before="62" w:after="62"/>
              <w:rPr>
                <w:color w:val="auto"/>
                <w:highlight w:val="none"/>
              </w:rPr>
            </w:pPr>
            <w:r>
              <w:rPr>
                <w:rFonts w:hint="eastAsia"/>
                <w:color w:val="auto"/>
                <w:highlight w:val="none"/>
              </w:rPr>
              <w:t>只调查水位</w:t>
            </w:r>
          </w:p>
        </w:tc>
      </w:tr>
      <w:tr w14:paraId="65B9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48AC65A6">
            <w:pPr>
              <w:pStyle w:val="37"/>
              <w:spacing w:before="62" w:after="62"/>
              <w:rPr>
                <w:color w:val="auto"/>
                <w:highlight w:val="none"/>
              </w:rPr>
            </w:pPr>
            <w:r>
              <w:rPr>
                <w:rFonts w:hint="eastAsia"/>
                <w:color w:val="auto"/>
                <w:highlight w:val="none"/>
              </w:rPr>
              <w:t>W9</w:t>
            </w:r>
          </w:p>
        </w:tc>
        <w:tc>
          <w:tcPr>
            <w:tcW w:w="1218" w:type="pct"/>
            <w:vAlign w:val="center"/>
          </w:tcPr>
          <w:p w14:paraId="18C45E55">
            <w:pPr>
              <w:pStyle w:val="37"/>
              <w:spacing w:before="62" w:after="62"/>
              <w:rPr>
                <w:color w:val="auto"/>
                <w:highlight w:val="none"/>
              </w:rPr>
            </w:pPr>
            <w:r>
              <w:rPr>
                <w:rFonts w:hint="eastAsia"/>
                <w:color w:val="auto"/>
                <w:highlight w:val="none"/>
              </w:rPr>
              <w:t>项目东侧农户</w:t>
            </w:r>
          </w:p>
        </w:tc>
        <w:tc>
          <w:tcPr>
            <w:tcW w:w="1097" w:type="pct"/>
          </w:tcPr>
          <w:p w14:paraId="4063B23A">
            <w:pPr>
              <w:pStyle w:val="37"/>
              <w:spacing w:before="62" w:after="62"/>
              <w:rPr>
                <w:color w:val="auto"/>
                <w:highlight w:val="none"/>
              </w:rPr>
            </w:pPr>
            <w:r>
              <w:rPr>
                <w:rFonts w:hint="eastAsia"/>
                <w:color w:val="auto"/>
                <w:highlight w:val="none"/>
              </w:rPr>
              <w:t>水位</w:t>
            </w:r>
          </w:p>
        </w:tc>
        <w:tc>
          <w:tcPr>
            <w:tcW w:w="624" w:type="pct"/>
          </w:tcPr>
          <w:p w14:paraId="4BB9429F">
            <w:pPr>
              <w:pStyle w:val="37"/>
              <w:spacing w:before="62" w:after="62"/>
              <w:rPr>
                <w:color w:val="auto"/>
                <w:highlight w:val="none"/>
              </w:rPr>
            </w:pPr>
            <w:r>
              <w:rPr>
                <w:rFonts w:hint="eastAsia"/>
                <w:color w:val="auto"/>
                <w:highlight w:val="none"/>
              </w:rPr>
              <w:t>/</w:t>
            </w:r>
          </w:p>
        </w:tc>
        <w:tc>
          <w:tcPr>
            <w:tcW w:w="528" w:type="pct"/>
            <w:vAlign w:val="center"/>
          </w:tcPr>
          <w:p w14:paraId="1D3DA8A7">
            <w:pPr>
              <w:pStyle w:val="37"/>
              <w:spacing w:before="62" w:after="62"/>
              <w:rPr>
                <w:color w:val="auto"/>
                <w:highlight w:val="none"/>
              </w:rPr>
            </w:pPr>
            <w:r>
              <w:rPr>
                <w:rFonts w:hint="eastAsia"/>
                <w:color w:val="auto"/>
                <w:highlight w:val="none"/>
              </w:rPr>
              <w:t>1200</w:t>
            </w:r>
          </w:p>
        </w:tc>
        <w:tc>
          <w:tcPr>
            <w:tcW w:w="1164" w:type="pct"/>
            <w:vMerge w:val="continue"/>
            <w:vAlign w:val="center"/>
          </w:tcPr>
          <w:p w14:paraId="617BCECE">
            <w:pPr>
              <w:pStyle w:val="37"/>
              <w:spacing w:before="62" w:after="62"/>
              <w:rPr>
                <w:color w:val="auto"/>
                <w:highlight w:val="none"/>
              </w:rPr>
            </w:pPr>
          </w:p>
        </w:tc>
      </w:tr>
      <w:tr w14:paraId="37DFC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1D6C3473">
            <w:pPr>
              <w:pStyle w:val="37"/>
              <w:spacing w:before="62" w:after="62"/>
              <w:rPr>
                <w:color w:val="auto"/>
                <w:highlight w:val="none"/>
              </w:rPr>
            </w:pPr>
            <w:r>
              <w:rPr>
                <w:rFonts w:hint="eastAsia"/>
                <w:color w:val="auto"/>
                <w:highlight w:val="none"/>
              </w:rPr>
              <w:t>W10</w:t>
            </w:r>
          </w:p>
        </w:tc>
        <w:tc>
          <w:tcPr>
            <w:tcW w:w="1218" w:type="pct"/>
            <w:vAlign w:val="center"/>
          </w:tcPr>
          <w:p w14:paraId="5B24E097">
            <w:pPr>
              <w:pStyle w:val="37"/>
              <w:spacing w:before="62" w:after="62"/>
              <w:rPr>
                <w:color w:val="auto"/>
                <w:highlight w:val="none"/>
              </w:rPr>
            </w:pPr>
            <w:r>
              <w:rPr>
                <w:rFonts w:hint="eastAsia"/>
                <w:color w:val="auto"/>
                <w:highlight w:val="none"/>
              </w:rPr>
              <w:t>项目东侧农户</w:t>
            </w:r>
          </w:p>
        </w:tc>
        <w:tc>
          <w:tcPr>
            <w:tcW w:w="1097" w:type="pct"/>
          </w:tcPr>
          <w:p w14:paraId="30C8DF44">
            <w:pPr>
              <w:pStyle w:val="37"/>
              <w:spacing w:before="62" w:after="62"/>
              <w:rPr>
                <w:color w:val="auto"/>
                <w:highlight w:val="none"/>
              </w:rPr>
            </w:pPr>
            <w:r>
              <w:rPr>
                <w:rFonts w:hint="eastAsia"/>
                <w:color w:val="auto"/>
                <w:highlight w:val="none"/>
              </w:rPr>
              <w:t>水位</w:t>
            </w:r>
          </w:p>
        </w:tc>
        <w:tc>
          <w:tcPr>
            <w:tcW w:w="624" w:type="pct"/>
          </w:tcPr>
          <w:p w14:paraId="252A0873">
            <w:pPr>
              <w:pStyle w:val="37"/>
              <w:spacing w:before="62" w:after="62"/>
              <w:rPr>
                <w:color w:val="auto"/>
                <w:highlight w:val="none"/>
              </w:rPr>
            </w:pPr>
            <w:r>
              <w:rPr>
                <w:rFonts w:hint="eastAsia"/>
                <w:color w:val="auto"/>
                <w:highlight w:val="none"/>
              </w:rPr>
              <w:t>/</w:t>
            </w:r>
          </w:p>
        </w:tc>
        <w:tc>
          <w:tcPr>
            <w:tcW w:w="528" w:type="pct"/>
            <w:vAlign w:val="center"/>
          </w:tcPr>
          <w:p w14:paraId="5892E7F6">
            <w:pPr>
              <w:pStyle w:val="37"/>
              <w:spacing w:before="62" w:after="62"/>
              <w:rPr>
                <w:color w:val="auto"/>
                <w:highlight w:val="none"/>
              </w:rPr>
            </w:pPr>
            <w:r>
              <w:rPr>
                <w:rFonts w:hint="eastAsia"/>
                <w:color w:val="auto"/>
                <w:highlight w:val="none"/>
              </w:rPr>
              <w:t>1600</w:t>
            </w:r>
          </w:p>
        </w:tc>
        <w:tc>
          <w:tcPr>
            <w:tcW w:w="1164" w:type="pct"/>
            <w:vMerge w:val="continue"/>
            <w:vAlign w:val="center"/>
          </w:tcPr>
          <w:p w14:paraId="16D9AD73">
            <w:pPr>
              <w:pStyle w:val="37"/>
              <w:spacing w:before="62" w:after="62"/>
              <w:rPr>
                <w:color w:val="auto"/>
                <w:highlight w:val="none"/>
              </w:rPr>
            </w:pPr>
          </w:p>
        </w:tc>
      </w:tr>
      <w:tr w14:paraId="06EE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1F431517">
            <w:pPr>
              <w:pStyle w:val="37"/>
              <w:spacing w:before="62" w:after="62"/>
              <w:rPr>
                <w:color w:val="auto"/>
                <w:highlight w:val="none"/>
              </w:rPr>
            </w:pPr>
            <w:r>
              <w:rPr>
                <w:rFonts w:hint="eastAsia"/>
                <w:color w:val="auto"/>
                <w:highlight w:val="none"/>
              </w:rPr>
              <w:t>W11</w:t>
            </w:r>
          </w:p>
        </w:tc>
        <w:tc>
          <w:tcPr>
            <w:tcW w:w="1218" w:type="pct"/>
            <w:vAlign w:val="center"/>
          </w:tcPr>
          <w:p w14:paraId="6B8CCD0C">
            <w:pPr>
              <w:pStyle w:val="37"/>
              <w:spacing w:before="62" w:after="62"/>
              <w:rPr>
                <w:color w:val="auto"/>
                <w:highlight w:val="none"/>
              </w:rPr>
            </w:pPr>
            <w:r>
              <w:rPr>
                <w:rFonts w:hint="eastAsia"/>
                <w:color w:val="auto"/>
                <w:highlight w:val="none"/>
              </w:rPr>
              <w:t>项目东侧农户</w:t>
            </w:r>
          </w:p>
        </w:tc>
        <w:tc>
          <w:tcPr>
            <w:tcW w:w="1097" w:type="pct"/>
          </w:tcPr>
          <w:p w14:paraId="13A34052">
            <w:pPr>
              <w:pStyle w:val="37"/>
              <w:spacing w:before="62" w:after="62"/>
              <w:rPr>
                <w:color w:val="auto"/>
                <w:highlight w:val="none"/>
              </w:rPr>
            </w:pPr>
            <w:r>
              <w:rPr>
                <w:rFonts w:hint="eastAsia"/>
                <w:color w:val="auto"/>
                <w:highlight w:val="none"/>
              </w:rPr>
              <w:t>水位</w:t>
            </w:r>
          </w:p>
        </w:tc>
        <w:tc>
          <w:tcPr>
            <w:tcW w:w="624" w:type="pct"/>
          </w:tcPr>
          <w:p w14:paraId="78E7401C">
            <w:pPr>
              <w:pStyle w:val="37"/>
              <w:spacing w:before="62" w:after="62"/>
              <w:rPr>
                <w:color w:val="auto"/>
                <w:highlight w:val="none"/>
              </w:rPr>
            </w:pPr>
            <w:r>
              <w:rPr>
                <w:rFonts w:hint="eastAsia"/>
                <w:color w:val="auto"/>
                <w:highlight w:val="none"/>
              </w:rPr>
              <w:t>/</w:t>
            </w:r>
          </w:p>
        </w:tc>
        <w:tc>
          <w:tcPr>
            <w:tcW w:w="528" w:type="pct"/>
            <w:vAlign w:val="center"/>
          </w:tcPr>
          <w:p w14:paraId="5A936676">
            <w:pPr>
              <w:pStyle w:val="37"/>
              <w:spacing w:before="62" w:after="62"/>
              <w:rPr>
                <w:color w:val="auto"/>
                <w:highlight w:val="none"/>
              </w:rPr>
            </w:pPr>
            <w:r>
              <w:rPr>
                <w:rFonts w:hint="eastAsia"/>
                <w:color w:val="auto"/>
                <w:highlight w:val="none"/>
              </w:rPr>
              <w:t>1800</w:t>
            </w:r>
          </w:p>
        </w:tc>
        <w:tc>
          <w:tcPr>
            <w:tcW w:w="1164" w:type="pct"/>
            <w:vMerge w:val="continue"/>
            <w:vAlign w:val="center"/>
          </w:tcPr>
          <w:p w14:paraId="63CE931C">
            <w:pPr>
              <w:pStyle w:val="37"/>
              <w:spacing w:before="62" w:after="62"/>
              <w:rPr>
                <w:color w:val="auto"/>
                <w:highlight w:val="none"/>
              </w:rPr>
            </w:pPr>
          </w:p>
        </w:tc>
      </w:tr>
      <w:tr w14:paraId="40A2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0523A73D">
            <w:pPr>
              <w:pStyle w:val="37"/>
              <w:spacing w:before="62" w:after="62"/>
              <w:rPr>
                <w:color w:val="auto"/>
                <w:highlight w:val="none"/>
              </w:rPr>
            </w:pPr>
            <w:r>
              <w:rPr>
                <w:rFonts w:hint="eastAsia"/>
                <w:color w:val="auto"/>
                <w:highlight w:val="none"/>
              </w:rPr>
              <w:t>W12</w:t>
            </w:r>
          </w:p>
        </w:tc>
        <w:tc>
          <w:tcPr>
            <w:tcW w:w="1218" w:type="pct"/>
            <w:vAlign w:val="center"/>
          </w:tcPr>
          <w:p w14:paraId="43D38B67">
            <w:pPr>
              <w:pStyle w:val="37"/>
              <w:spacing w:before="62" w:after="62"/>
              <w:rPr>
                <w:color w:val="auto"/>
                <w:highlight w:val="none"/>
              </w:rPr>
            </w:pPr>
            <w:r>
              <w:rPr>
                <w:rFonts w:hint="eastAsia"/>
                <w:color w:val="auto"/>
                <w:highlight w:val="none"/>
              </w:rPr>
              <w:t>项目东侧农户</w:t>
            </w:r>
          </w:p>
        </w:tc>
        <w:tc>
          <w:tcPr>
            <w:tcW w:w="1097" w:type="pct"/>
          </w:tcPr>
          <w:p w14:paraId="2597C9C2">
            <w:pPr>
              <w:pStyle w:val="37"/>
              <w:spacing w:before="62" w:after="62"/>
              <w:rPr>
                <w:color w:val="auto"/>
                <w:highlight w:val="none"/>
              </w:rPr>
            </w:pPr>
            <w:r>
              <w:rPr>
                <w:rFonts w:hint="eastAsia"/>
                <w:color w:val="auto"/>
                <w:highlight w:val="none"/>
              </w:rPr>
              <w:t>水位</w:t>
            </w:r>
          </w:p>
        </w:tc>
        <w:tc>
          <w:tcPr>
            <w:tcW w:w="624" w:type="pct"/>
          </w:tcPr>
          <w:p w14:paraId="4B23DB10">
            <w:pPr>
              <w:pStyle w:val="37"/>
              <w:spacing w:before="62" w:after="62"/>
              <w:rPr>
                <w:color w:val="auto"/>
                <w:highlight w:val="none"/>
              </w:rPr>
            </w:pPr>
            <w:r>
              <w:rPr>
                <w:rFonts w:hint="eastAsia"/>
                <w:color w:val="auto"/>
                <w:highlight w:val="none"/>
              </w:rPr>
              <w:t>/</w:t>
            </w:r>
          </w:p>
        </w:tc>
        <w:tc>
          <w:tcPr>
            <w:tcW w:w="528" w:type="pct"/>
            <w:vAlign w:val="center"/>
          </w:tcPr>
          <w:p w14:paraId="3997C882">
            <w:pPr>
              <w:pStyle w:val="37"/>
              <w:spacing w:before="62" w:after="62"/>
              <w:rPr>
                <w:color w:val="auto"/>
                <w:highlight w:val="none"/>
              </w:rPr>
            </w:pPr>
            <w:r>
              <w:rPr>
                <w:rFonts w:hint="eastAsia"/>
                <w:color w:val="auto"/>
                <w:highlight w:val="none"/>
              </w:rPr>
              <w:t>1800</w:t>
            </w:r>
          </w:p>
        </w:tc>
        <w:tc>
          <w:tcPr>
            <w:tcW w:w="1164" w:type="pct"/>
            <w:vMerge w:val="continue"/>
            <w:vAlign w:val="center"/>
          </w:tcPr>
          <w:p w14:paraId="0EF3F8F3">
            <w:pPr>
              <w:pStyle w:val="37"/>
              <w:spacing w:before="62" w:after="62"/>
              <w:rPr>
                <w:color w:val="auto"/>
                <w:highlight w:val="none"/>
              </w:rPr>
            </w:pPr>
          </w:p>
        </w:tc>
      </w:tr>
      <w:tr w14:paraId="00F6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28CA0C3D">
            <w:pPr>
              <w:pStyle w:val="37"/>
              <w:spacing w:before="62" w:after="62"/>
              <w:rPr>
                <w:color w:val="auto"/>
                <w:highlight w:val="none"/>
              </w:rPr>
            </w:pPr>
            <w:r>
              <w:rPr>
                <w:rFonts w:hint="eastAsia"/>
                <w:color w:val="auto"/>
                <w:highlight w:val="none"/>
              </w:rPr>
              <w:t>W13</w:t>
            </w:r>
          </w:p>
        </w:tc>
        <w:tc>
          <w:tcPr>
            <w:tcW w:w="1218" w:type="pct"/>
            <w:vAlign w:val="center"/>
          </w:tcPr>
          <w:p w14:paraId="6A4439C7">
            <w:pPr>
              <w:pStyle w:val="37"/>
              <w:spacing w:before="62" w:after="62"/>
              <w:rPr>
                <w:color w:val="auto"/>
                <w:highlight w:val="none"/>
              </w:rPr>
            </w:pPr>
            <w:r>
              <w:rPr>
                <w:rFonts w:hint="eastAsia"/>
                <w:color w:val="auto"/>
                <w:highlight w:val="none"/>
              </w:rPr>
              <w:t>项目东侧农户</w:t>
            </w:r>
          </w:p>
        </w:tc>
        <w:tc>
          <w:tcPr>
            <w:tcW w:w="1097" w:type="pct"/>
          </w:tcPr>
          <w:p w14:paraId="56697B48">
            <w:pPr>
              <w:pStyle w:val="37"/>
              <w:spacing w:before="62" w:after="62"/>
              <w:rPr>
                <w:color w:val="auto"/>
                <w:highlight w:val="none"/>
              </w:rPr>
            </w:pPr>
            <w:r>
              <w:rPr>
                <w:rFonts w:hint="eastAsia"/>
                <w:color w:val="auto"/>
                <w:highlight w:val="none"/>
              </w:rPr>
              <w:t>水位</w:t>
            </w:r>
          </w:p>
        </w:tc>
        <w:tc>
          <w:tcPr>
            <w:tcW w:w="624" w:type="pct"/>
          </w:tcPr>
          <w:p w14:paraId="27AB59E4">
            <w:pPr>
              <w:pStyle w:val="37"/>
              <w:spacing w:before="62" w:after="62"/>
              <w:rPr>
                <w:color w:val="auto"/>
                <w:highlight w:val="none"/>
              </w:rPr>
            </w:pPr>
            <w:r>
              <w:rPr>
                <w:rFonts w:hint="eastAsia"/>
                <w:color w:val="auto"/>
                <w:highlight w:val="none"/>
              </w:rPr>
              <w:t>/</w:t>
            </w:r>
          </w:p>
        </w:tc>
        <w:tc>
          <w:tcPr>
            <w:tcW w:w="528" w:type="pct"/>
            <w:vAlign w:val="center"/>
          </w:tcPr>
          <w:p w14:paraId="73A44668">
            <w:pPr>
              <w:pStyle w:val="37"/>
              <w:spacing w:before="62" w:after="62"/>
              <w:rPr>
                <w:color w:val="auto"/>
                <w:highlight w:val="none"/>
              </w:rPr>
            </w:pPr>
            <w:r>
              <w:rPr>
                <w:rFonts w:hint="eastAsia"/>
                <w:color w:val="auto"/>
                <w:highlight w:val="none"/>
              </w:rPr>
              <w:t>2200</w:t>
            </w:r>
          </w:p>
        </w:tc>
        <w:tc>
          <w:tcPr>
            <w:tcW w:w="1164" w:type="pct"/>
            <w:vMerge w:val="continue"/>
            <w:vAlign w:val="center"/>
          </w:tcPr>
          <w:p w14:paraId="002E0809">
            <w:pPr>
              <w:pStyle w:val="37"/>
              <w:spacing w:before="62" w:after="62"/>
              <w:rPr>
                <w:color w:val="auto"/>
                <w:highlight w:val="none"/>
              </w:rPr>
            </w:pPr>
          </w:p>
        </w:tc>
      </w:tr>
      <w:tr w14:paraId="0A35F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67" w:type="pct"/>
            <w:vAlign w:val="center"/>
          </w:tcPr>
          <w:p w14:paraId="1AC7EFB4">
            <w:pPr>
              <w:pStyle w:val="37"/>
              <w:spacing w:before="62" w:after="62"/>
              <w:rPr>
                <w:color w:val="auto"/>
                <w:highlight w:val="none"/>
              </w:rPr>
            </w:pPr>
            <w:r>
              <w:rPr>
                <w:rFonts w:hint="eastAsia"/>
                <w:color w:val="auto"/>
                <w:highlight w:val="none"/>
              </w:rPr>
              <w:t>W14</w:t>
            </w:r>
          </w:p>
        </w:tc>
        <w:tc>
          <w:tcPr>
            <w:tcW w:w="1218" w:type="pct"/>
            <w:vAlign w:val="center"/>
          </w:tcPr>
          <w:p w14:paraId="034392BD">
            <w:pPr>
              <w:pStyle w:val="37"/>
              <w:spacing w:before="62" w:after="62"/>
              <w:rPr>
                <w:color w:val="auto"/>
                <w:highlight w:val="none"/>
              </w:rPr>
            </w:pPr>
            <w:r>
              <w:rPr>
                <w:rFonts w:hint="eastAsia"/>
                <w:color w:val="auto"/>
                <w:highlight w:val="none"/>
              </w:rPr>
              <w:t>项目东侧农户</w:t>
            </w:r>
          </w:p>
        </w:tc>
        <w:tc>
          <w:tcPr>
            <w:tcW w:w="1097" w:type="pct"/>
          </w:tcPr>
          <w:p w14:paraId="52611A40">
            <w:pPr>
              <w:pStyle w:val="37"/>
              <w:spacing w:before="62" w:after="62"/>
              <w:rPr>
                <w:color w:val="auto"/>
                <w:highlight w:val="none"/>
              </w:rPr>
            </w:pPr>
            <w:r>
              <w:rPr>
                <w:rFonts w:hint="eastAsia"/>
                <w:color w:val="auto"/>
                <w:highlight w:val="none"/>
              </w:rPr>
              <w:t>水位</w:t>
            </w:r>
          </w:p>
        </w:tc>
        <w:tc>
          <w:tcPr>
            <w:tcW w:w="624" w:type="pct"/>
          </w:tcPr>
          <w:p w14:paraId="7238EEED">
            <w:pPr>
              <w:pStyle w:val="37"/>
              <w:spacing w:before="62" w:after="62"/>
              <w:rPr>
                <w:color w:val="auto"/>
                <w:highlight w:val="none"/>
              </w:rPr>
            </w:pPr>
            <w:r>
              <w:rPr>
                <w:rFonts w:hint="eastAsia"/>
                <w:color w:val="auto"/>
                <w:highlight w:val="none"/>
              </w:rPr>
              <w:t>/</w:t>
            </w:r>
          </w:p>
        </w:tc>
        <w:tc>
          <w:tcPr>
            <w:tcW w:w="528" w:type="pct"/>
            <w:vAlign w:val="center"/>
          </w:tcPr>
          <w:p w14:paraId="0D32FD9A">
            <w:pPr>
              <w:pStyle w:val="37"/>
              <w:spacing w:before="62" w:after="62"/>
              <w:rPr>
                <w:color w:val="auto"/>
                <w:highlight w:val="none"/>
              </w:rPr>
            </w:pPr>
            <w:r>
              <w:rPr>
                <w:rFonts w:hint="eastAsia"/>
                <w:color w:val="auto"/>
                <w:highlight w:val="none"/>
              </w:rPr>
              <w:t>2100</w:t>
            </w:r>
          </w:p>
        </w:tc>
        <w:tc>
          <w:tcPr>
            <w:tcW w:w="1164" w:type="pct"/>
            <w:vMerge w:val="continue"/>
            <w:vAlign w:val="center"/>
          </w:tcPr>
          <w:p w14:paraId="7837A807">
            <w:pPr>
              <w:pStyle w:val="37"/>
              <w:spacing w:before="62" w:after="62"/>
              <w:rPr>
                <w:color w:val="auto"/>
                <w:highlight w:val="none"/>
              </w:rPr>
            </w:pPr>
          </w:p>
        </w:tc>
      </w:tr>
    </w:tbl>
    <w:p w14:paraId="54937A11">
      <w:pPr>
        <w:adjustRightInd w:val="0"/>
        <w:ind w:firstLine="480" w:firstLineChars="0"/>
        <w:jc w:val="left"/>
        <w:rPr>
          <w:rFonts w:cs="Times New Roman"/>
          <w:vanish/>
          <w:color w:val="auto"/>
          <w:szCs w:val="24"/>
          <w:highlight w:val="none"/>
        </w:rPr>
      </w:pPr>
      <w:r>
        <w:rPr>
          <w:rFonts w:hint="eastAsia" w:cs="Times New Roman"/>
          <w:color w:val="auto"/>
          <w:szCs w:val="24"/>
          <w:highlight w:val="none"/>
        </w:rPr>
        <w:t>本项目地下水水质和水位现状监测点如下：</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775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38BEB6BE">
            <w:pPr>
              <w:adjustRightInd w:val="0"/>
              <w:spacing w:line="240" w:lineRule="auto"/>
              <w:ind w:firstLine="0" w:firstLineChars="0"/>
              <w:jc w:val="center"/>
              <w:rPr>
                <w:rFonts w:cs="Times New Roman"/>
                <w:b/>
                <w:color w:val="auto"/>
                <w:sz w:val="21"/>
                <w:szCs w:val="24"/>
                <w:highlight w:val="none"/>
              </w:rPr>
            </w:pPr>
          </w:p>
        </w:tc>
      </w:tr>
    </w:tbl>
    <w:p w14:paraId="3DBCF3E0">
      <w:pPr>
        <w:pStyle w:val="12"/>
        <w:adjustRightInd w:val="0"/>
        <w:rPr>
          <w:rFonts w:ascii="宋体" w:hAnsi="宋体" w:cs="宋体"/>
          <w:color w:val="auto"/>
          <w:kern w:val="0"/>
          <w:sz w:val="20"/>
          <w:szCs w:val="21"/>
          <w:highlight w:val="none"/>
        </w:rPr>
      </w:pPr>
      <w:r>
        <w:rPr>
          <w:color w:val="auto"/>
          <w:highlight w:val="none"/>
        </w:rPr>
        <w:t xml:space="preserve">图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图 \* ARABIC \s 1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cs="宋体"/>
          <w:color w:val="auto"/>
          <w:kern w:val="0"/>
          <w:sz w:val="20"/>
          <w:szCs w:val="21"/>
          <w:highlight w:val="none"/>
        </w:rPr>
        <w:t>地下水环境质量现状监测（调查）点位示意图</w:t>
      </w:r>
    </w:p>
    <w:p w14:paraId="14E4A03C">
      <w:pPr>
        <w:adjustRightInd w:val="0"/>
        <w:ind w:firstLine="402"/>
        <w:jc w:val="center"/>
        <w:rPr>
          <w:rFonts w:ascii="宋体" w:hAnsi="宋体" w:cs="宋体"/>
          <w:b/>
          <w:color w:val="auto"/>
          <w:kern w:val="0"/>
          <w:sz w:val="20"/>
          <w:highlight w:val="none"/>
        </w:rPr>
      </w:pPr>
      <w:r>
        <w:rPr>
          <w:rFonts w:hint="eastAsia" w:ascii="宋体" w:hAnsi="宋体" w:cs="宋体"/>
          <w:b/>
          <w:color w:val="auto"/>
          <w:kern w:val="0"/>
          <w:sz w:val="20"/>
          <w:highlight w:val="none"/>
        </w:rPr>
        <w:t>（绿色代表水质监测和水位调查点，黄色代表水位调查点）</w:t>
      </w:r>
    </w:p>
    <w:p w14:paraId="21E3D8B1">
      <w:pPr>
        <w:adjustRightInd w:val="0"/>
        <w:ind w:firstLine="482" w:firstLineChars="0"/>
        <w:rPr>
          <w:rFonts w:cs="Times New Roman"/>
          <w:b/>
          <w:color w:val="auto"/>
          <w:szCs w:val="24"/>
          <w:highlight w:val="none"/>
        </w:rPr>
      </w:pPr>
      <w:r>
        <w:rPr>
          <w:rFonts w:hint="eastAsia" w:cs="Times New Roman"/>
          <w:b/>
          <w:color w:val="auto"/>
          <w:szCs w:val="24"/>
          <w:highlight w:val="none"/>
        </w:rPr>
        <w:t>（3）监测因子</w:t>
      </w:r>
    </w:p>
    <w:p w14:paraId="3CFCCF4C">
      <w:pPr>
        <w:adjustRightInd w:val="0"/>
        <w:ind w:firstLine="480" w:firstLineChars="0"/>
        <w:rPr>
          <w:rFonts w:cs="Times New Roman"/>
          <w:color w:val="auto"/>
          <w:szCs w:val="24"/>
          <w:highlight w:val="none"/>
        </w:rPr>
      </w:pPr>
      <w:r>
        <w:rPr>
          <w:rFonts w:cs="Times New Roman"/>
          <w:color w:val="auto"/>
          <w:szCs w:val="24"/>
          <w:highlight w:val="none"/>
        </w:rPr>
        <w:t>pH、氨氮、硝酸盐、亚硝酸盐、挥发性酚类、氰化物、砷、汞、铬(六价)、总硬度、铅、氟、镉、铁、锰、溶解性总固体、高锰酸盐指数、硫酸盐、氯化物、总大肠菌群、细菌总数</w:t>
      </w:r>
      <w:r>
        <w:rPr>
          <w:rFonts w:hint="eastAsia" w:cs="Times New Roman"/>
          <w:color w:val="auto"/>
          <w:szCs w:val="24"/>
          <w:highlight w:val="none"/>
        </w:rPr>
        <w:t>、</w:t>
      </w:r>
      <w:r>
        <w:rPr>
          <w:rFonts w:cs="Times New Roman"/>
          <w:color w:val="auto"/>
          <w:szCs w:val="24"/>
          <w:highlight w:val="none"/>
        </w:rPr>
        <w:t>石油类、锂、水位、K</w:t>
      </w:r>
      <w:r>
        <w:rPr>
          <w:rFonts w:cs="Times New Roman"/>
          <w:color w:val="auto"/>
          <w:szCs w:val="24"/>
          <w:highlight w:val="none"/>
          <w:vertAlign w:val="superscript"/>
        </w:rPr>
        <w:t>+</w:t>
      </w:r>
      <w:r>
        <w:rPr>
          <w:rFonts w:cs="Times New Roman"/>
          <w:color w:val="auto"/>
          <w:szCs w:val="24"/>
          <w:highlight w:val="none"/>
        </w:rPr>
        <w:t>、Na</w:t>
      </w:r>
      <w:r>
        <w:rPr>
          <w:rFonts w:cs="Times New Roman"/>
          <w:color w:val="auto"/>
          <w:szCs w:val="24"/>
          <w:highlight w:val="none"/>
          <w:vertAlign w:val="superscript"/>
        </w:rPr>
        <w:t>+</w:t>
      </w:r>
      <w:r>
        <w:rPr>
          <w:rFonts w:cs="Times New Roman"/>
          <w:color w:val="auto"/>
          <w:szCs w:val="24"/>
          <w:highlight w:val="none"/>
        </w:rPr>
        <w:t>、Ca</w:t>
      </w:r>
      <w:r>
        <w:rPr>
          <w:rFonts w:cs="Times New Roman"/>
          <w:color w:val="auto"/>
          <w:szCs w:val="24"/>
          <w:highlight w:val="none"/>
          <w:vertAlign w:val="superscript"/>
        </w:rPr>
        <w:t>2+</w:t>
      </w:r>
      <w:r>
        <w:rPr>
          <w:rFonts w:cs="Times New Roman"/>
          <w:color w:val="auto"/>
          <w:szCs w:val="24"/>
          <w:highlight w:val="none"/>
        </w:rPr>
        <w:t>、Mg</w:t>
      </w:r>
      <w:r>
        <w:rPr>
          <w:rFonts w:cs="Times New Roman"/>
          <w:color w:val="auto"/>
          <w:szCs w:val="24"/>
          <w:highlight w:val="none"/>
          <w:vertAlign w:val="superscript"/>
        </w:rPr>
        <w:t>2+</w:t>
      </w:r>
      <w:r>
        <w:rPr>
          <w:rFonts w:cs="Times New Roman"/>
          <w:color w:val="auto"/>
          <w:szCs w:val="24"/>
          <w:highlight w:val="none"/>
        </w:rPr>
        <w:t>、CO</w:t>
      </w:r>
      <w:r>
        <w:rPr>
          <w:rFonts w:cs="Times New Roman"/>
          <w:color w:val="auto"/>
          <w:szCs w:val="24"/>
          <w:highlight w:val="none"/>
          <w:vertAlign w:val="subscript"/>
        </w:rPr>
        <w:t>3</w:t>
      </w:r>
      <w:r>
        <w:rPr>
          <w:rFonts w:cs="Times New Roman"/>
          <w:color w:val="auto"/>
          <w:szCs w:val="24"/>
          <w:highlight w:val="none"/>
          <w:vertAlign w:val="superscript"/>
        </w:rPr>
        <w:t>2-</w:t>
      </w:r>
      <w:r>
        <w:rPr>
          <w:rFonts w:cs="Times New Roman"/>
          <w:color w:val="auto"/>
          <w:szCs w:val="24"/>
          <w:highlight w:val="none"/>
        </w:rPr>
        <w:t>、HCO</w:t>
      </w:r>
      <w:r>
        <w:rPr>
          <w:rFonts w:cs="Times New Roman"/>
          <w:color w:val="auto"/>
          <w:szCs w:val="24"/>
          <w:highlight w:val="none"/>
          <w:vertAlign w:val="subscript"/>
        </w:rPr>
        <w:t>3</w:t>
      </w:r>
      <w:r>
        <w:rPr>
          <w:rFonts w:cs="Times New Roman"/>
          <w:color w:val="auto"/>
          <w:szCs w:val="24"/>
          <w:highlight w:val="none"/>
          <w:vertAlign w:val="superscript"/>
        </w:rPr>
        <w:t>-</w:t>
      </w:r>
      <w:r>
        <w:rPr>
          <w:rFonts w:hint="eastAsia" w:cs="Times New Roman"/>
          <w:color w:val="auto"/>
          <w:szCs w:val="24"/>
          <w:highlight w:val="none"/>
        </w:rPr>
        <w:t>、水位。</w:t>
      </w:r>
    </w:p>
    <w:p w14:paraId="49A97E03">
      <w:pPr>
        <w:adjustRightInd w:val="0"/>
        <w:ind w:firstLine="482" w:firstLineChars="0"/>
        <w:rPr>
          <w:rFonts w:cs="Times New Roman"/>
          <w:b/>
          <w:color w:val="auto"/>
          <w:szCs w:val="24"/>
          <w:highlight w:val="none"/>
        </w:rPr>
      </w:pPr>
      <w:r>
        <w:rPr>
          <w:rFonts w:hint="eastAsia" w:cs="Times New Roman"/>
          <w:b/>
          <w:color w:val="auto"/>
          <w:szCs w:val="24"/>
          <w:highlight w:val="none"/>
        </w:rPr>
        <w:t>（4）监测时间</w:t>
      </w:r>
      <w:r>
        <w:rPr>
          <w:rFonts w:cs="Times New Roman"/>
          <w:b/>
          <w:color w:val="auto"/>
          <w:szCs w:val="24"/>
          <w:highlight w:val="none"/>
        </w:rPr>
        <w:t>及</w:t>
      </w:r>
      <w:r>
        <w:rPr>
          <w:rFonts w:hint="eastAsia" w:cs="Times New Roman"/>
          <w:b/>
          <w:color w:val="auto"/>
          <w:szCs w:val="24"/>
          <w:highlight w:val="none"/>
        </w:rPr>
        <w:t>频次</w:t>
      </w:r>
    </w:p>
    <w:p w14:paraId="0654060C">
      <w:pPr>
        <w:widowControl/>
        <w:adjustRightInd w:val="0"/>
        <w:ind w:firstLine="480" w:firstLineChars="0"/>
        <w:jc w:val="left"/>
        <w:rPr>
          <w:rFonts w:cs="Times New Roman"/>
          <w:bCs/>
          <w:color w:val="auto"/>
          <w:szCs w:val="24"/>
          <w:highlight w:val="none"/>
        </w:rPr>
      </w:pPr>
      <w:r>
        <w:rPr>
          <w:rFonts w:hint="eastAsia" w:cs="Times New Roman"/>
          <w:bCs/>
          <w:color w:val="auto"/>
          <w:szCs w:val="24"/>
          <w:highlight w:val="none"/>
        </w:rPr>
        <w:t>本项目所在地属于丘陵山区大渡河一级阶地的平原地带，地下水为二级评价，根据《环境影响评价技术导则－地下水环境》（HJ610-2016），地下水二级评价补测需要至少进行1期水质监测，至少1期水位监测。为此，</w:t>
      </w:r>
      <w:r>
        <w:rPr>
          <w:rFonts w:hint="eastAsia" w:cs="Times New Roman"/>
          <w:color w:val="auto"/>
          <w:szCs w:val="24"/>
          <w:highlight w:val="none"/>
        </w:rPr>
        <w:t>本项目</w:t>
      </w:r>
      <w:r>
        <w:rPr>
          <w:rFonts w:hint="eastAsia" w:cs="Times New Roman"/>
          <w:bCs/>
          <w:color w:val="auto"/>
          <w:szCs w:val="24"/>
          <w:highlight w:val="none"/>
        </w:rPr>
        <w:t>地下水二级评价共布设7口地下水水质监测井，进行一</w:t>
      </w:r>
      <w:r>
        <w:rPr>
          <w:rFonts w:hint="eastAsia" w:cs="Times New Roman"/>
          <w:color w:val="auto"/>
          <w:szCs w:val="24"/>
          <w:highlight w:val="none"/>
        </w:rPr>
        <w:t>期地下水水质监测；本项目</w:t>
      </w:r>
      <w:r>
        <w:rPr>
          <w:rFonts w:hint="eastAsia" w:cs="Times New Roman"/>
          <w:bCs/>
          <w:color w:val="auto"/>
          <w:szCs w:val="24"/>
          <w:highlight w:val="none"/>
        </w:rPr>
        <w:t>共调查14处地下水水位，</w:t>
      </w:r>
      <w:r>
        <w:rPr>
          <w:rFonts w:hint="eastAsia" w:cs="Times New Roman"/>
          <w:color w:val="auto"/>
          <w:szCs w:val="24"/>
          <w:highlight w:val="none"/>
        </w:rPr>
        <w:t>进行两期</w:t>
      </w:r>
      <w:r>
        <w:rPr>
          <w:rFonts w:hint="eastAsia" w:cs="Times New Roman"/>
          <w:bCs/>
          <w:color w:val="auto"/>
          <w:szCs w:val="24"/>
          <w:highlight w:val="none"/>
        </w:rPr>
        <w:t>水位调查（枯丰两期）。每天监测1次。</w:t>
      </w:r>
    </w:p>
    <w:p w14:paraId="60789C60">
      <w:pPr>
        <w:adjustRightInd w:val="0"/>
        <w:ind w:firstLine="482" w:firstLineChars="0"/>
        <w:rPr>
          <w:rFonts w:cs="Times New Roman"/>
          <w:b/>
          <w:color w:val="auto"/>
          <w:szCs w:val="24"/>
          <w:highlight w:val="none"/>
        </w:rPr>
      </w:pPr>
      <w:r>
        <w:rPr>
          <w:rFonts w:hint="eastAsia" w:cs="Times New Roman"/>
          <w:b/>
          <w:color w:val="auto"/>
          <w:szCs w:val="24"/>
          <w:highlight w:val="none"/>
        </w:rPr>
        <w:t>（5）地下水评价标准</w:t>
      </w:r>
    </w:p>
    <w:p w14:paraId="0E13FA8D">
      <w:pPr>
        <w:adjustRightInd w:val="0"/>
        <w:ind w:firstLine="480"/>
        <w:jc w:val="left"/>
        <w:rPr>
          <w:rFonts w:cs="Times New Roman"/>
          <w:color w:val="auto"/>
          <w:szCs w:val="24"/>
          <w:highlight w:val="none"/>
        </w:rPr>
      </w:pPr>
      <w:r>
        <w:rPr>
          <w:rFonts w:hint="eastAsia" w:cs="Times New Roman"/>
          <w:color w:val="auto"/>
          <w:szCs w:val="24"/>
          <w:highlight w:val="none"/>
        </w:rPr>
        <w:t>由于W2、W3位于工业企业内部，地下水不具备饮用功能，因此W2、W3</w:t>
      </w:r>
      <w:r>
        <w:rPr>
          <w:rFonts w:cs="Times New Roman"/>
          <w:color w:val="auto"/>
          <w:szCs w:val="24"/>
          <w:highlight w:val="none"/>
        </w:rPr>
        <w:t>各监测因子执行《地下水质量标准》（GB/T14848-2017）Ⅳ类标准</w:t>
      </w:r>
      <w:r>
        <w:rPr>
          <w:rFonts w:hint="eastAsia" w:cs="Times New Roman"/>
          <w:color w:val="auto"/>
          <w:szCs w:val="24"/>
          <w:highlight w:val="none"/>
        </w:rPr>
        <w:t>，W1、W4、W5、W6、W7各监测因子执行《地下水质量标准》（GB/T14848-2017）</w:t>
      </w:r>
      <w:r>
        <w:rPr>
          <w:rFonts w:cs="Times New Roman"/>
          <w:color w:val="auto"/>
          <w:szCs w:val="24"/>
          <w:highlight w:val="none"/>
        </w:rPr>
        <w:t>Ⅲ</w:t>
      </w:r>
      <w:r>
        <w:rPr>
          <w:rFonts w:hint="eastAsia" w:cs="Times New Roman"/>
          <w:color w:val="auto"/>
          <w:szCs w:val="24"/>
          <w:highlight w:val="none"/>
        </w:rPr>
        <w:t>类标准</w:t>
      </w:r>
      <w:r>
        <w:rPr>
          <w:rFonts w:cs="Times New Roman"/>
          <w:color w:val="auto"/>
          <w:szCs w:val="24"/>
          <w:highlight w:val="none"/>
        </w:rPr>
        <w:t>。</w:t>
      </w:r>
    </w:p>
    <w:p w14:paraId="2F7FA760">
      <w:pPr>
        <w:adjustRightInd w:val="0"/>
        <w:ind w:firstLine="482" w:firstLineChars="0"/>
        <w:rPr>
          <w:rFonts w:cs="Times New Roman"/>
          <w:b/>
          <w:color w:val="auto"/>
          <w:szCs w:val="24"/>
          <w:highlight w:val="none"/>
        </w:rPr>
      </w:pPr>
      <w:r>
        <w:rPr>
          <w:rFonts w:hint="eastAsia" w:cs="Times New Roman"/>
          <w:b/>
          <w:color w:val="auto"/>
          <w:szCs w:val="24"/>
          <w:highlight w:val="none"/>
        </w:rPr>
        <w:t>（6）水质监测结果</w:t>
      </w:r>
    </w:p>
    <w:p w14:paraId="4F44D189">
      <w:pPr>
        <w:adjustRightInd w:val="0"/>
        <w:ind w:firstLine="480"/>
        <w:rPr>
          <w:color w:val="auto"/>
          <w:highlight w:val="none"/>
        </w:rPr>
      </w:pPr>
      <w:r>
        <w:rPr>
          <w:rFonts w:hint="eastAsia"/>
          <w:color w:val="auto"/>
          <w:highlight w:val="none"/>
        </w:rPr>
        <w:t>本次评价引用四川蓉诚优创环境科技有限公司于对项目周边地下水井进行的监测数据（蓉诚环监字（2025）RC01第10032号）。</w:t>
      </w:r>
    </w:p>
    <w:p w14:paraId="1E274F6F">
      <w:pPr>
        <w:adjustRightInd w:val="0"/>
        <w:ind w:firstLine="480"/>
        <w:rPr>
          <w:color w:val="auto"/>
          <w:highlight w:val="none"/>
        </w:rPr>
      </w:pPr>
      <w:r>
        <w:rPr>
          <w:color w:val="auto"/>
          <w:highlight w:val="none"/>
        </w:rPr>
        <w:t>本项目W1、W4、W5、W6、W7地下水环境质量现状监测结果见下表。</w:t>
      </w:r>
    </w:p>
    <w:p w14:paraId="651F26EB">
      <w:pPr>
        <w:pStyle w:val="12"/>
        <w:adjustRightInd w:val="0"/>
        <w:rPr>
          <w:rFonts w:cs="Times New Roman"/>
          <w:color w:val="auto"/>
          <w:kern w:val="0"/>
          <w:sz w:val="20"/>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11</w:t>
      </w:r>
      <w:r>
        <w:rPr>
          <w:color w:val="auto"/>
          <w:highlight w:val="none"/>
        </w:rPr>
        <w:fldChar w:fldCharType="end"/>
      </w:r>
      <w:r>
        <w:rPr>
          <w:rFonts w:cs="Times New Roman"/>
          <w:color w:val="auto"/>
          <w:kern w:val="0"/>
          <w:sz w:val="20"/>
          <w:highlight w:val="none"/>
        </w:rPr>
        <w:t>本项目W1、W4、W5、W6、W7地下水水质现状监测结果</w:t>
      </w:r>
      <w:r>
        <w:rPr>
          <w:rFonts w:hint="eastAsia" w:cs="Times New Roman"/>
          <w:color w:val="auto"/>
          <w:kern w:val="0"/>
          <w:sz w:val="20"/>
          <w:highlight w:val="none"/>
        </w:rPr>
        <w:t>（单位：</w:t>
      </w:r>
      <w:r>
        <w:rPr>
          <w:rFonts w:cs="Times New Roman"/>
          <w:color w:val="auto"/>
          <w:kern w:val="0"/>
          <w:sz w:val="20"/>
          <w:highlight w:val="none"/>
        </w:rPr>
        <w:t>mg/L</w:t>
      </w:r>
      <w:r>
        <w:rPr>
          <w:rFonts w:hint="eastAsia" w:cs="Times New Roman"/>
          <w:color w:val="auto"/>
          <w:kern w:val="0"/>
          <w:sz w:val="20"/>
          <w:highlight w:val="none"/>
        </w:rPr>
        <w:t>）</w:t>
      </w:r>
    </w:p>
    <w:tbl>
      <w:tblPr>
        <w:tblStyle w:val="31"/>
        <w:tblW w:w="5000" w:type="pct"/>
        <w:jc w:val="center"/>
        <w:tblLayout w:type="fixed"/>
        <w:tblCellMar>
          <w:top w:w="0" w:type="dxa"/>
          <w:left w:w="108" w:type="dxa"/>
          <w:bottom w:w="0" w:type="dxa"/>
          <w:right w:w="108" w:type="dxa"/>
        </w:tblCellMar>
      </w:tblPr>
      <w:tblGrid>
        <w:gridCol w:w="2101"/>
        <w:gridCol w:w="1178"/>
        <w:gridCol w:w="1066"/>
        <w:gridCol w:w="1106"/>
        <w:gridCol w:w="1038"/>
        <w:gridCol w:w="926"/>
        <w:gridCol w:w="1645"/>
      </w:tblGrid>
      <w:tr w14:paraId="4BEA0B45">
        <w:tblPrEx>
          <w:tblCellMar>
            <w:top w:w="0" w:type="dxa"/>
            <w:left w:w="108" w:type="dxa"/>
            <w:bottom w:w="0" w:type="dxa"/>
            <w:right w:w="108" w:type="dxa"/>
          </w:tblCellMar>
        </w:tblPrEx>
        <w:trPr>
          <w:trHeight w:val="270" w:hRule="atLeast"/>
          <w:tblHeader/>
          <w:jc w:val="center"/>
        </w:trPr>
        <w:tc>
          <w:tcPr>
            <w:tcW w:w="1159"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7724FE27">
            <w:pPr>
              <w:pStyle w:val="37"/>
              <w:spacing w:before="62" w:after="62"/>
              <w:rPr>
                <w:b/>
                <w:bCs/>
                <w:color w:val="auto"/>
                <w:highlight w:val="none"/>
              </w:rPr>
            </w:pPr>
            <w:r>
              <w:rPr>
                <w:rFonts w:hint="eastAsia"/>
                <w:b/>
                <w:bCs/>
                <w:color w:val="auto"/>
                <w:highlight w:val="none"/>
              </w:rPr>
              <w:t>监测项目</w:t>
            </w:r>
          </w:p>
        </w:tc>
        <w:tc>
          <w:tcPr>
            <w:tcW w:w="2932" w:type="pct"/>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3716E0">
            <w:pPr>
              <w:pStyle w:val="37"/>
              <w:spacing w:before="62" w:after="62"/>
              <w:rPr>
                <w:b/>
                <w:bCs/>
                <w:color w:val="auto"/>
                <w:highlight w:val="none"/>
              </w:rPr>
            </w:pPr>
            <w:r>
              <w:rPr>
                <w:rFonts w:hint="eastAsia"/>
                <w:b/>
                <w:bCs/>
                <w:color w:val="auto"/>
                <w:highlight w:val="none"/>
              </w:rPr>
              <w:t>监测结果</w:t>
            </w:r>
          </w:p>
        </w:tc>
        <w:tc>
          <w:tcPr>
            <w:tcW w:w="908"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58132">
            <w:pPr>
              <w:pStyle w:val="37"/>
              <w:spacing w:before="62" w:after="62"/>
              <w:rPr>
                <w:b/>
                <w:bCs/>
                <w:color w:val="auto"/>
                <w:highlight w:val="none"/>
              </w:rPr>
            </w:pPr>
            <w:r>
              <w:rPr>
                <w:b/>
                <w:bCs/>
                <w:color w:val="auto"/>
                <w:highlight w:val="none"/>
              </w:rPr>
              <w:t>Ⅲ</w:t>
            </w:r>
            <w:r>
              <w:rPr>
                <w:rFonts w:hint="eastAsia"/>
                <w:b/>
                <w:bCs/>
                <w:color w:val="auto"/>
                <w:highlight w:val="none"/>
              </w:rPr>
              <w:t>类标准限值</w:t>
            </w:r>
          </w:p>
        </w:tc>
      </w:tr>
      <w:tr w14:paraId="59E8CC08">
        <w:tblPrEx>
          <w:tblCellMar>
            <w:top w:w="0" w:type="dxa"/>
            <w:left w:w="108" w:type="dxa"/>
            <w:bottom w:w="0" w:type="dxa"/>
            <w:right w:w="108" w:type="dxa"/>
          </w:tblCellMar>
        </w:tblPrEx>
        <w:trPr>
          <w:trHeight w:val="270" w:hRule="atLeast"/>
          <w:tblHeader/>
          <w:jc w:val="center"/>
        </w:trPr>
        <w:tc>
          <w:tcPr>
            <w:tcW w:w="1159"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BF2111">
            <w:pPr>
              <w:pStyle w:val="37"/>
              <w:spacing w:before="62" w:after="62"/>
              <w:rPr>
                <w:color w:val="auto"/>
                <w:highlight w:val="none"/>
              </w:rPr>
            </w:pP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64828E">
            <w:pPr>
              <w:pStyle w:val="37"/>
              <w:spacing w:before="62" w:after="62"/>
              <w:rPr>
                <w:b/>
                <w:bCs/>
                <w:color w:val="auto"/>
                <w:highlight w:val="none"/>
              </w:rPr>
            </w:pPr>
            <w:r>
              <w:rPr>
                <w:rFonts w:hint="eastAsia"/>
                <w:b/>
                <w:bCs/>
                <w:color w:val="auto"/>
                <w:highlight w:val="none"/>
              </w:rPr>
              <w:t>W1</w:t>
            </w: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18BAD">
            <w:pPr>
              <w:pStyle w:val="37"/>
              <w:spacing w:before="62" w:after="62"/>
              <w:rPr>
                <w:b/>
                <w:bCs/>
                <w:color w:val="auto"/>
                <w:highlight w:val="none"/>
              </w:rPr>
            </w:pPr>
            <w:r>
              <w:rPr>
                <w:rFonts w:hint="eastAsia"/>
                <w:b/>
                <w:bCs/>
                <w:color w:val="auto"/>
                <w:highlight w:val="none"/>
              </w:rPr>
              <w:t>W4</w:t>
            </w: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86310">
            <w:pPr>
              <w:pStyle w:val="37"/>
              <w:spacing w:before="62" w:after="62"/>
              <w:rPr>
                <w:b/>
                <w:bCs/>
                <w:color w:val="auto"/>
                <w:highlight w:val="none"/>
              </w:rPr>
            </w:pPr>
            <w:r>
              <w:rPr>
                <w:rFonts w:hint="eastAsia"/>
                <w:b/>
                <w:bCs/>
                <w:color w:val="auto"/>
                <w:highlight w:val="none"/>
              </w:rPr>
              <w:t>W5</w:t>
            </w: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4D0FE9">
            <w:pPr>
              <w:pStyle w:val="37"/>
              <w:spacing w:before="62" w:after="62"/>
              <w:rPr>
                <w:b/>
                <w:bCs/>
                <w:color w:val="auto"/>
                <w:highlight w:val="none"/>
              </w:rPr>
            </w:pPr>
            <w:r>
              <w:rPr>
                <w:rFonts w:hint="eastAsia"/>
                <w:b/>
                <w:bCs/>
                <w:color w:val="auto"/>
                <w:highlight w:val="none"/>
              </w:rPr>
              <w:t>W6</w:t>
            </w: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85933">
            <w:pPr>
              <w:pStyle w:val="37"/>
              <w:spacing w:before="62" w:after="62"/>
              <w:rPr>
                <w:b/>
                <w:bCs/>
                <w:color w:val="auto"/>
                <w:highlight w:val="none"/>
              </w:rPr>
            </w:pPr>
            <w:r>
              <w:rPr>
                <w:rFonts w:hint="eastAsia"/>
                <w:b/>
                <w:bCs/>
                <w:color w:val="auto"/>
                <w:highlight w:val="none"/>
              </w:rPr>
              <w:t>W7</w:t>
            </w:r>
          </w:p>
        </w:tc>
        <w:tc>
          <w:tcPr>
            <w:tcW w:w="908"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32E786">
            <w:pPr>
              <w:pStyle w:val="37"/>
              <w:spacing w:before="62" w:after="62"/>
              <w:rPr>
                <w:color w:val="auto"/>
                <w:highlight w:val="none"/>
              </w:rPr>
            </w:pPr>
          </w:p>
        </w:tc>
      </w:tr>
      <w:tr w14:paraId="667C093D">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82C44">
            <w:pPr>
              <w:pStyle w:val="37"/>
              <w:spacing w:before="62" w:after="62"/>
              <w:rPr>
                <w:color w:val="auto"/>
                <w:highlight w:val="none"/>
              </w:rPr>
            </w:pPr>
            <w:r>
              <w:rPr>
                <w:rFonts w:hint="eastAsia"/>
                <w:color w:val="auto"/>
                <w:highlight w:val="none"/>
              </w:rPr>
              <w:t>pH（无量纲）</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712FB">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FFEB3">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FAF8DC">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9F5F9">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E3A96">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A39E6">
            <w:pPr>
              <w:pStyle w:val="37"/>
              <w:spacing w:before="62" w:after="62"/>
              <w:rPr>
                <w:color w:val="auto"/>
                <w:highlight w:val="none"/>
              </w:rPr>
            </w:pPr>
            <w:r>
              <w:rPr>
                <w:rFonts w:hint="eastAsia"/>
                <w:color w:val="auto"/>
                <w:highlight w:val="none"/>
              </w:rPr>
              <w:t>6.5~8.5</w:t>
            </w:r>
          </w:p>
        </w:tc>
      </w:tr>
      <w:tr w14:paraId="2698CD00">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B5D73">
            <w:pPr>
              <w:pStyle w:val="37"/>
              <w:spacing w:before="62" w:after="62"/>
              <w:rPr>
                <w:color w:val="auto"/>
                <w:highlight w:val="none"/>
              </w:rPr>
            </w:pPr>
            <w:r>
              <w:rPr>
                <w:rFonts w:hint="eastAsia"/>
                <w:color w:val="auto"/>
                <w:highlight w:val="none"/>
              </w:rPr>
              <w:t>镁</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CDB04">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B2B47">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282254">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9BAB3">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C11C2">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22A2D">
            <w:pPr>
              <w:pStyle w:val="37"/>
              <w:spacing w:before="62" w:after="62"/>
              <w:rPr>
                <w:color w:val="auto"/>
                <w:highlight w:val="none"/>
              </w:rPr>
            </w:pPr>
            <w:r>
              <w:rPr>
                <w:rFonts w:hint="eastAsia"/>
                <w:color w:val="auto"/>
                <w:highlight w:val="none"/>
              </w:rPr>
              <w:t>/</w:t>
            </w:r>
          </w:p>
        </w:tc>
      </w:tr>
      <w:tr w14:paraId="73A353F9">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D4BDF">
            <w:pPr>
              <w:pStyle w:val="37"/>
              <w:spacing w:before="62" w:after="62"/>
              <w:rPr>
                <w:color w:val="auto"/>
                <w:highlight w:val="none"/>
              </w:rPr>
            </w:pPr>
            <w:r>
              <w:rPr>
                <w:rFonts w:hint="eastAsia"/>
                <w:color w:val="auto"/>
                <w:highlight w:val="none"/>
              </w:rPr>
              <w:t>钙</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547FCD">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7DADA">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53AEF0">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6B33E9">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33BE7">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0DC09E">
            <w:pPr>
              <w:pStyle w:val="37"/>
              <w:spacing w:before="62" w:after="62"/>
              <w:rPr>
                <w:color w:val="auto"/>
                <w:highlight w:val="none"/>
              </w:rPr>
            </w:pPr>
            <w:r>
              <w:rPr>
                <w:rFonts w:hint="eastAsia"/>
                <w:color w:val="auto"/>
                <w:highlight w:val="none"/>
              </w:rPr>
              <w:t>/</w:t>
            </w:r>
          </w:p>
        </w:tc>
      </w:tr>
      <w:tr w14:paraId="4407F3B2">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D96AD8">
            <w:pPr>
              <w:pStyle w:val="37"/>
              <w:spacing w:before="62" w:after="62"/>
              <w:rPr>
                <w:color w:val="auto"/>
                <w:highlight w:val="none"/>
              </w:rPr>
            </w:pPr>
            <w:r>
              <w:rPr>
                <w:rFonts w:hint="eastAsia"/>
                <w:color w:val="auto"/>
                <w:highlight w:val="none"/>
              </w:rPr>
              <w:t>钾</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4D62E">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98A42">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A073A">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3422A5">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220754">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0173A">
            <w:pPr>
              <w:pStyle w:val="37"/>
              <w:spacing w:before="62" w:after="62"/>
              <w:rPr>
                <w:color w:val="auto"/>
                <w:highlight w:val="none"/>
              </w:rPr>
            </w:pPr>
            <w:r>
              <w:rPr>
                <w:rFonts w:hint="eastAsia"/>
                <w:color w:val="auto"/>
                <w:highlight w:val="none"/>
              </w:rPr>
              <w:t>/</w:t>
            </w:r>
          </w:p>
        </w:tc>
      </w:tr>
      <w:tr w14:paraId="0166A59C">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CD586">
            <w:pPr>
              <w:pStyle w:val="37"/>
              <w:spacing w:before="62" w:after="62"/>
              <w:rPr>
                <w:color w:val="auto"/>
                <w:highlight w:val="none"/>
              </w:rPr>
            </w:pPr>
            <w:r>
              <w:rPr>
                <w:rFonts w:hint="eastAsia"/>
                <w:color w:val="auto"/>
                <w:highlight w:val="none"/>
              </w:rPr>
              <w:t>钠</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831B2">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76677">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829B34">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8E7AB">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2C536E">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89614E">
            <w:pPr>
              <w:pStyle w:val="37"/>
              <w:spacing w:before="62" w:after="62"/>
              <w:rPr>
                <w:color w:val="auto"/>
                <w:highlight w:val="none"/>
              </w:rPr>
            </w:pPr>
            <w:r>
              <w:rPr>
                <w:rFonts w:hint="eastAsia"/>
                <w:color w:val="auto"/>
                <w:highlight w:val="none"/>
              </w:rPr>
              <w:t>200</w:t>
            </w:r>
          </w:p>
        </w:tc>
      </w:tr>
      <w:tr w14:paraId="5BECD6F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EC14F5">
            <w:pPr>
              <w:pStyle w:val="37"/>
              <w:spacing w:before="62" w:after="62"/>
              <w:rPr>
                <w:color w:val="auto"/>
                <w:highlight w:val="none"/>
              </w:rPr>
            </w:pPr>
            <w:r>
              <w:rPr>
                <w:rFonts w:hint="eastAsia"/>
                <w:color w:val="auto"/>
                <w:highlight w:val="none"/>
              </w:rPr>
              <w:t>碳酸根离子</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CD930">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4F81B">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EEC57">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D98DA">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DB578">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078102">
            <w:pPr>
              <w:pStyle w:val="37"/>
              <w:spacing w:before="62" w:after="62"/>
              <w:rPr>
                <w:color w:val="auto"/>
                <w:highlight w:val="none"/>
              </w:rPr>
            </w:pPr>
            <w:r>
              <w:rPr>
                <w:rFonts w:hint="eastAsia"/>
                <w:color w:val="auto"/>
                <w:highlight w:val="none"/>
              </w:rPr>
              <w:t>/</w:t>
            </w:r>
          </w:p>
        </w:tc>
      </w:tr>
      <w:tr w14:paraId="53E48AA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0504C">
            <w:pPr>
              <w:pStyle w:val="37"/>
              <w:spacing w:before="62" w:after="62"/>
              <w:rPr>
                <w:color w:val="auto"/>
                <w:highlight w:val="none"/>
              </w:rPr>
            </w:pPr>
            <w:r>
              <w:rPr>
                <w:rFonts w:hint="eastAsia"/>
                <w:color w:val="auto"/>
                <w:highlight w:val="none"/>
              </w:rPr>
              <w:t>重碳酸根离子</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549C7">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C2CC9">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0EFE85">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73CE8">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F89595">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F2E01">
            <w:pPr>
              <w:pStyle w:val="37"/>
              <w:spacing w:before="62" w:after="62"/>
              <w:rPr>
                <w:color w:val="auto"/>
                <w:highlight w:val="none"/>
              </w:rPr>
            </w:pPr>
            <w:r>
              <w:rPr>
                <w:rFonts w:hint="eastAsia"/>
                <w:color w:val="auto"/>
                <w:highlight w:val="none"/>
              </w:rPr>
              <w:t>/</w:t>
            </w:r>
          </w:p>
        </w:tc>
      </w:tr>
      <w:tr w14:paraId="79FC6A0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A8A5B4">
            <w:pPr>
              <w:pStyle w:val="37"/>
              <w:spacing w:before="62" w:after="62"/>
              <w:rPr>
                <w:color w:val="auto"/>
                <w:highlight w:val="none"/>
              </w:rPr>
            </w:pPr>
            <w:r>
              <w:rPr>
                <w:rFonts w:hint="eastAsia"/>
                <w:color w:val="auto"/>
                <w:highlight w:val="none"/>
              </w:rPr>
              <w:t>总硬度</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9AD3A">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A764CF">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33D3A">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0C6B8">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3442DB">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F5A65F">
            <w:pPr>
              <w:pStyle w:val="37"/>
              <w:spacing w:before="62" w:after="62"/>
              <w:rPr>
                <w:color w:val="auto"/>
                <w:highlight w:val="none"/>
              </w:rPr>
            </w:pPr>
            <w:r>
              <w:rPr>
                <w:rFonts w:hint="eastAsia"/>
                <w:color w:val="auto"/>
                <w:highlight w:val="none"/>
              </w:rPr>
              <w:t>450</w:t>
            </w:r>
          </w:p>
        </w:tc>
      </w:tr>
      <w:tr w14:paraId="157989F9">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D1889">
            <w:pPr>
              <w:pStyle w:val="37"/>
              <w:spacing w:before="62" w:after="62"/>
              <w:rPr>
                <w:color w:val="auto"/>
                <w:highlight w:val="none"/>
              </w:rPr>
            </w:pPr>
            <w:r>
              <w:rPr>
                <w:rFonts w:hint="eastAsia"/>
                <w:color w:val="auto"/>
                <w:highlight w:val="none"/>
              </w:rPr>
              <w:t>镉</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233961">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D1082">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F3600">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7719F">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2EAF84">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00AC2">
            <w:pPr>
              <w:pStyle w:val="37"/>
              <w:spacing w:before="62" w:after="62"/>
              <w:rPr>
                <w:color w:val="auto"/>
                <w:highlight w:val="none"/>
              </w:rPr>
            </w:pPr>
            <w:r>
              <w:rPr>
                <w:rFonts w:hint="eastAsia"/>
                <w:color w:val="auto"/>
                <w:highlight w:val="none"/>
              </w:rPr>
              <w:t>0.005</w:t>
            </w:r>
          </w:p>
        </w:tc>
      </w:tr>
      <w:tr w14:paraId="0C14D000">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ED299">
            <w:pPr>
              <w:pStyle w:val="37"/>
              <w:spacing w:before="62" w:after="62"/>
              <w:rPr>
                <w:color w:val="auto"/>
                <w:highlight w:val="none"/>
              </w:rPr>
            </w:pPr>
            <w:r>
              <w:rPr>
                <w:rFonts w:hint="eastAsia"/>
                <w:color w:val="auto"/>
                <w:highlight w:val="none"/>
              </w:rPr>
              <w:t>铅</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219D0">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351F80">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062A4C">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91734F">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18567">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782E1">
            <w:pPr>
              <w:pStyle w:val="37"/>
              <w:spacing w:before="62" w:after="62"/>
              <w:rPr>
                <w:color w:val="auto"/>
                <w:highlight w:val="none"/>
              </w:rPr>
            </w:pPr>
            <w:r>
              <w:rPr>
                <w:rFonts w:hint="eastAsia"/>
                <w:color w:val="auto"/>
                <w:highlight w:val="none"/>
              </w:rPr>
              <w:t>0.01</w:t>
            </w:r>
          </w:p>
        </w:tc>
      </w:tr>
      <w:tr w14:paraId="5109EC56">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C56CF">
            <w:pPr>
              <w:pStyle w:val="37"/>
              <w:spacing w:before="62" w:after="62"/>
              <w:rPr>
                <w:color w:val="auto"/>
                <w:highlight w:val="none"/>
              </w:rPr>
            </w:pPr>
            <w:r>
              <w:rPr>
                <w:rFonts w:hint="eastAsia"/>
                <w:color w:val="auto"/>
                <w:highlight w:val="none"/>
              </w:rPr>
              <w:t>砷</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B0FA0">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335174">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8B14B">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6887F">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F72E3">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1746F5">
            <w:pPr>
              <w:pStyle w:val="37"/>
              <w:spacing w:before="62" w:after="62"/>
              <w:rPr>
                <w:color w:val="auto"/>
                <w:highlight w:val="none"/>
              </w:rPr>
            </w:pPr>
            <w:r>
              <w:rPr>
                <w:rFonts w:hint="eastAsia"/>
                <w:color w:val="auto"/>
                <w:highlight w:val="none"/>
              </w:rPr>
              <w:t>0.01</w:t>
            </w:r>
          </w:p>
        </w:tc>
      </w:tr>
      <w:tr w14:paraId="0219DC0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C7617">
            <w:pPr>
              <w:pStyle w:val="37"/>
              <w:spacing w:before="62" w:after="62"/>
              <w:rPr>
                <w:color w:val="auto"/>
                <w:highlight w:val="none"/>
              </w:rPr>
            </w:pPr>
            <w:r>
              <w:rPr>
                <w:rFonts w:hint="eastAsia"/>
                <w:color w:val="auto"/>
                <w:highlight w:val="none"/>
              </w:rPr>
              <w:t>汞</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AF179">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DE93BD">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678E6">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E8F514">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F0543">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49C511">
            <w:pPr>
              <w:pStyle w:val="37"/>
              <w:spacing w:before="62" w:after="62"/>
              <w:rPr>
                <w:color w:val="auto"/>
                <w:highlight w:val="none"/>
              </w:rPr>
            </w:pPr>
            <w:r>
              <w:rPr>
                <w:rFonts w:hint="eastAsia"/>
                <w:color w:val="auto"/>
                <w:highlight w:val="none"/>
              </w:rPr>
              <w:t>0.001</w:t>
            </w:r>
          </w:p>
        </w:tc>
      </w:tr>
      <w:tr w14:paraId="1BCE6A5F">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B54AF">
            <w:pPr>
              <w:pStyle w:val="37"/>
              <w:spacing w:before="62" w:after="62"/>
              <w:rPr>
                <w:color w:val="auto"/>
                <w:highlight w:val="none"/>
              </w:rPr>
            </w:pPr>
            <w:r>
              <w:rPr>
                <w:rFonts w:hint="eastAsia"/>
                <w:color w:val="auto"/>
                <w:highlight w:val="none"/>
              </w:rPr>
              <w:t>铁</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C8A60">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A57CAF">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D307F">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A59B2">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BFC82C">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6F16E7">
            <w:pPr>
              <w:pStyle w:val="37"/>
              <w:spacing w:before="62" w:after="62"/>
              <w:rPr>
                <w:color w:val="auto"/>
                <w:highlight w:val="none"/>
              </w:rPr>
            </w:pPr>
            <w:r>
              <w:rPr>
                <w:rFonts w:hint="eastAsia"/>
                <w:color w:val="auto"/>
                <w:highlight w:val="none"/>
              </w:rPr>
              <w:t>0.3</w:t>
            </w:r>
          </w:p>
        </w:tc>
      </w:tr>
      <w:tr w14:paraId="1588122A">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378CE">
            <w:pPr>
              <w:pStyle w:val="37"/>
              <w:spacing w:before="62" w:after="62"/>
              <w:rPr>
                <w:color w:val="auto"/>
                <w:highlight w:val="none"/>
              </w:rPr>
            </w:pPr>
            <w:r>
              <w:rPr>
                <w:rFonts w:hint="eastAsia"/>
                <w:color w:val="auto"/>
                <w:highlight w:val="none"/>
              </w:rPr>
              <w:t>锰</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E5CD0">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CB7991">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39FFE">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1DB7D5">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210B6">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E80802">
            <w:pPr>
              <w:pStyle w:val="37"/>
              <w:spacing w:before="62" w:after="62"/>
              <w:rPr>
                <w:color w:val="auto"/>
                <w:highlight w:val="none"/>
              </w:rPr>
            </w:pPr>
            <w:r>
              <w:rPr>
                <w:rFonts w:hint="eastAsia"/>
                <w:color w:val="auto"/>
                <w:highlight w:val="none"/>
              </w:rPr>
              <w:t>0.1</w:t>
            </w:r>
          </w:p>
        </w:tc>
      </w:tr>
      <w:tr w14:paraId="7906C31C">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D9C24">
            <w:pPr>
              <w:pStyle w:val="37"/>
              <w:spacing w:before="62" w:after="62"/>
              <w:rPr>
                <w:color w:val="auto"/>
                <w:highlight w:val="none"/>
              </w:rPr>
            </w:pPr>
            <w:r>
              <w:rPr>
                <w:rFonts w:hint="eastAsia"/>
                <w:color w:val="auto"/>
                <w:highlight w:val="none"/>
              </w:rPr>
              <w:t>锂</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BE47A">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08D629">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CEBC9">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BE78D5">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E2BB2">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4EF481">
            <w:pPr>
              <w:pStyle w:val="37"/>
              <w:spacing w:before="62" w:after="62"/>
              <w:rPr>
                <w:color w:val="auto"/>
                <w:highlight w:val="none"/>
              </w:rPr>
            </w:pPr>
            <w:r>
              <w:rPr>
                <w:rFonts w:hint="eastAsia"/>
                <w:color w:val="auto"/>
                <w:highlight w:val="none"/>
              </w:rPr>
              <w:t>/</w:t>
            </w:r>
          </w:p>
        </w:tc>
      </w:tr>
      <w:tr w14:paraId="05721BB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801F6">
            <w:pPr>
              <w:pStyle w:val="37"/>
              <w:spacing w:before="62" w:after="62"/>
              <w:rPr>
                <w:color w:val="auto"/>
                <w:highlight w:val="none"/>
              </w:rPr>
            </w:pPr>
            <w:r>
              <w:rPr>
                <w:rFonts w:hint="eastAsia"/>
                <w:color w:val="auto"/>
                <w:highlight w:val="none"/>
              </w:rPr>
              <w:t>氰化物</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EFE659">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4D612">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5668C">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EC0C5C">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2F6DF">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58D7F">
            <w:pPr>
              <w:pStyle w:val="37"/>
              <w:spacing w:before="62" w:after="62"/>
              <w:rPr>
                <w:color w:val="auto"/>
                <w:highlight w:val="none"/>
              </w:rPr>
            </w:pPr>
            <w:r>
              <w:rPr>
                <w:rFonts w:hint="eastAsia"/>
                <w:color w:val="auto"/>
                <w:highlight w:val="none"/>
              </w:rPr>
              <w:t>0.05</w:t>
            </w:r>
          </w:p>
        </w:tc>
      </w:tr>
      <w:tr w14:paraId="3C1BA5C8">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E7934">
            <w:pPr>
              <w:pStyle w:val="37"/>
              <w:spacing w:before="62" w:after="62"/>
              <w:rPr>
                <w:color w:val="auto"/>
                <w:highlight w:val="none"/>
              </w:rPr>
            </w:pPr>
            <w:r>
              <w:rPr>
                <w:rFonts w:hint="eastAsia"/>
                <w:color w:val="auto"/>
                <w:highlight w:val="none"/>
              </w:rPr>
              <w:t>挥发酚</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9C7012">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43483">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F547E">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92383">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944C34">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3C4B24">
            <w:pPr>
              <w:pStyle w:val="37"/>
              <w:spacing w:before="62" w:after="62"/>
              <w:rPr>
                <w:color w:val="auto"/>
                <w:highlight w:val="none"/>
              </w:rPr>
            </w:pPr>
            <w:r>
              <w:rPr>
                <w:rFonts w:hint="eastAsia"/>
                <w:color w:val="auto"/>
                <w:highlight w:val="none"/>
              </w:rPr>
              <w:t>0.002</w:t>
            </w:r>
          </w:p>
        </w:tc>
      </w:tr>
      <w:tr w14:paraId="15693654">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3AD52">
            <w:pPr>
              <w:pStyle w:val="37"/>
              <w:spacing w:before="62" w:after="62"/>
              <w:rPr>
                <w:color w:val="auto"/>
                <w:highlight w:val="none"/>
              </w:rPr>
            </w:pPr>
            <w:r>
              <w:rPr>
                <w:rFonts w:hint="eastAsia"/>
                <w:color w:val="auto"/>
                <w:highlight w:val="none"/>
              </w:rPr>
              <w:t>六价铬</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CD718">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45EF5">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B8910">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5FD28">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6DD946">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352214">
            <w:pPr>
              <w:pStyle w:val="37"/>
              <w:spacing w:before="62" w:after="62"/>
              <w:rPr>
                <w:color w:val="auto"/>
                <w:highlight w:val="none"/>
              </w:rPr>
            </w:pPr>
            <w:r>
              <w:rPr>
                <w:rFonts w:hint="eastAsia"/>
                <w:color w:val="auto"/>
                <w:highlight w:val="none"/>
              </w:rPr>
              <w:t>0.05</w:t>
            </w:r>
          </w:p>
        </w:tc>
      </w:tr>
      <w:tr w14:paraId="4892A7ED">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55FEEC">
            <w:pPr>
              <w:pStyle w:val="37"/>
              <w:spacing w:before="62" w:after="62"/>
              <w:rPr>
                <w:color w:val="auto"/>
                <w:highlight w:val="none"/>
              </w:rPr>
            </w:pPr>
            <w:r>
              <w:rPr>
                <w:rFonts w:hint="eastAsia"/>
                <w:color w:val="auto"/>
                <w:highlight w:val="none"/>
              </w:rPr>
              <w:t>氨氮</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21655E">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3ACBD9">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B2013">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FA1D05">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38116D">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13674">
            <w:pPr>
              <w:pStyle w:val="37"/>
              <w:spacing w:before="62" w:after="62"/>
              <w:rPr>
                <w:color w:val="auto"/>
                <w:highlight w:val="none"/>
              </w:rPr>
            </w:pPr>
            <w:r>
              <w:rPr>
                <w:rFonts w:hint="eastAsia"/>
                <w:color w:val="auto"/>
                <w:highlight w:val="none"/>
              </w:rPr>
              <w:t>0.5</w:t>
            </w:r>
          </w:p>
        </w:tc>
      </w:tr>
      <w:tr w14:paraId="71B9D61C">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11A3F">
            <w:pPr>
              <w:pStyle w:val="37"/>
              <w:spacing w:before="62" w:after="62"/>
              <w:rPr>
                <w:color w:val="auto"/>
                <w:highlight w:val="none"/>
              </w:rPr>
            </w:pPr>
            <w:r>
              <w:rPr>
                <w:rFonts w:hint="eastAsia"/>
                <w:color w:val="auto"/>
                <w:highlight w:val="none"/>
              </w:rPr>
              <w:t>亚硝酸盐氮</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98B2FD">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74E0E">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A4720">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780DF">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7DABB">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DF0B1A">
            <w:pPr>
              <w:pStyle w:val="37"/>
              <w:spacing w:before="62" w:after="62"/>
              <w:rPr>
                <w:color w:val="auto"/>
                <w:highlight w:val="none"/>
              </w:rPr>
            </w:pPr>
            <w:r>
              <w:rPr>
                <w:rFonts w:hint="eastAsia"/>
                <w:color w:val="auto"/>
                <w:highlight w:val="none"/>
              </w:rPr>
              <w:t>1</w:t>
            </w:r>
          </w:p>
        </w:tc>
      </w:tr>
      <w:tr w14:paraId="72B78490">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57DF25">
            <w:pPr>
              <w:pStyle w:val="37"/>
              <w:spacing w:before="62" w:after="62"/>
              <w:rPr>
                <w:color w:val="auto"/>
                <w:highlight w:val="none"/>
              </w:rPr>
            </w:pPr>
            <w:r>
              <w:rPr>
                <w:rFonts w:hint="eastAsia"/>
                <w:color w:val="auto"/>
                <w:highlight w:val="none"/>
              </w:rPr>
              <w:t>氯化物</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8425E">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B6E544">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86543C">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A3AAA">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986CB">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04D6F7">
            <w:pPr>
              <w:pStyle w:val="37"/>
              <w:spacing w:before="62" w:after="62"/>
              <w:rPr>
                <w:color w:val="auto"/>
                <w:highlight w:val="none"/>
              </w:rPr>
            </w:pPr>
            <w:r>
              <w:rPr>
                <w:rFonts w:hint="eastAsia"/>
                <w:color w:val="auto"/>
                <w:highlight w:val="none"/>
              </w:rPr>
              <w:t>250</w:t>
            </w:r>
          </w:p>
        </w:tc>
      </w:tr>
      <w:tr w14:paraId="0635F778">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65896B">
            <w:pPr>
              <w:pStyle w:val="37"/>
              <w:spacing w:before="62" w:after="62"/>
              <w:rPr>
                <w:color w:val="auto"/>
                <w:highlight w:val="none"/>
              </w:rPr>
            </w:pPr>
            <w:r>
              <w:rPr>
                <w:rFonts w:hint="eastAsia"/>
                <w:color w:val="auto"/>
                <w:highlight w:val="none"/>
              </w:rPr>
              <w:t>硝酸盐（以N计）</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58026">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20713">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63281">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C4718">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C04175">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BE1E5">
            <w:pPr>
              <w:pStyle w:val="37"/>
              <w:spacing w:before="62" w:after="62"/>
              <w:rPr>
                <w:color w:val="auto"/>
                <w:highlight w:val="none"/>
              </w:rPr>
            </w:pPr>
            <w:r>
              <w:rPr>
                <w:rFonts w:hint="eastAsia"/>
                <w:color w:val="auto"/>
                <w:highlight w:val="none"/>
              </w:rPr>
              <w:t>20</w:t>
            </w:r>
          </w:p>
        </w:tc>
      </w:tr>
      <w:tr w14:paraId="0F415BD0">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371EF">
            <w:pPr>
              <w:pStyle w:val="37"/>
              <w:spacing w:before="62" w:after="62"/>
              <w:rPr>
                <w:color w:val="auto"/>
                <w:highlight w:val="none"/>
              </w:rPr>
            </w:pPr>
            <w:r>
              <w:rPr>
                <w:rFonts w:hint="eastAsia"/>
                <w:color w:val="auto"/>
                <w:highlight w:val="none"/>
              </w:rPr>
              <w:t>硫酸盐</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6D8A3">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18D86">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F433D">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37B24">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7D0D9">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93D439">
            <w:pPr>
              <w:pStyle w:val="37"/>
              <w:spacing w:before="62" w:after="62"/>
              <w:rPr>
                <w:color w:val="auto"/>
                <w:highlight w:val="none"/>
              </w:rPr>
            </w:pPr>
            <w:r>
              <w:rPr>
                <w:rFonts w:hint="eastAsia"/>
                <w:color w:val="auto"/>
                <w:highlight w:val="none"/>
              </w:rPr>
              <w:t>250</w:t>
            </w:r>
          </w:p>
        </w:tc>
      </w:tr>
      <w:tr w14:paraId="555F0AFD">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6BEA84">
            <w:pPr>
              <w:pStyle w:val="37"/>
              <w:spacing w:before="62" w:after="62"/>
              <w:rPr>
                <w:color w:val="auto"/>
                <w:highlight w:val="none"/>
              </w:rPr>
            </w:pPr>
            <w:r>
              <w:rPr>
                <w:rFonts w:hint="eastAsia"/>
                <w:color w:val="auto"/>
                <w:highlight w:val="none"/>
              </w:rPr>
              <w:t>耗氧量</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0AD63">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863DD">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BF843">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F02086">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C63A8">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281FF7">
            <w:pPr>
              <w:pStyle w:val="37"/>
              <w:spacing w:before="62" w:after="62"/>
              <w:rPr>
                <w:color w:val="auto"/>
                <w:highlight w:val="none"/>
              </w:rPr>
            </w:pPr>
            <w:r>
              <w:rPr>
                <w:rFonts w:hint="eastAsia"/>
                <w:color w:val="auto"/>
                <w:highlight w:val="none"/>
              </w:rPr>
              <w:t>3</w:t>
            </w:r>
          </w:p>
        </w:tc>
      </w:tr>
      <w:tr w14:paraId="7A98EA77">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577F5">
            <w:pPr>
              <w:pStyle w:val="37"/>
              <w:spacing w:before="62" w:after="62"/>
              <w:rPr>
                <w:color w:val="auto"/>
                <w:highlight w:val="none"/>
              </w:rPr>
            </w:pPr>
            <w:r>
              <w:rPr>
                <w:rFonts w:hint="eastAsia"/>
                <w:color w:val="auto"/>
                <w:highlight w:val="none"/>
              </w:rPr>
              <w:t>石油类</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47C8FF">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6B40E">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659A0">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890F1E">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15AA06">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285D87">
            <w:pPr>
              <w:pStyle w:val="37"/>
              <w:spacing w:before="62" w:after="62"/>
              <w:rPr>
                <w:color w:val="auto"/>
                <w:highlight w:val="none"/>
              </w:rPr>
            </w:pPr>
            <w:r>
              <w:rPr>
                <w:rFonts w:hint="eastAsia"/>
                <w:color w:val="auto"/>
                <w:highlight w:val="none"/>
              </w:rPr>
              <w:t>0.05</w:t>
            </w:r>
          </w:p>
        </w:tc>
      </w:tr>
      <w:tr w14:paraId="48123AAB">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67E31F">
            <w:pPr>
              <w:pStyle w:val="37"/>
              <w:spacing w:before="62" w:after="62"/>
              <w:rPr>
                <w:color w:val="auto"/>
                <w:highlight w:val="none"/>
              </w:rPr>
            </w:pPr>
            <w:r>
              <w:rPr>
                <w:rFonts w:hint="eastAsia"/>
                <w:color w:val="auto"/>
                <w:highlight w:val="none"/>
              </w:rPr>
              <w:t>溶解性总固体</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80FAE5">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60CD7">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7724A">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786715">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7878A">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79D16">
            <w:pPr>
              <w:pStyle w:val="37"/>
              <w:spacing w:before="62" w:after="62"/>
              <w:rPr>
                <w:color w:val="auto"/>
                <w:highlight w:val="none"/>
              </w:rPr>
            </w:pPr>
            <w:r>
              <w:rPr>
                <w:rFonts w:hint="eastAsia"/>
                <w:color w:val="auto"/>
                <w:highlight w:val="none"/>
              </w:rPr>
              <w:t>1000</w:t>
            </w:r>
          </w:p>
        </w:tc>
      </w:tr>
      <w:tr w14:paraId="724E1576">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619E9D">
            <w:pPr>
              <w:pStyle w:val="37"/>
              <w:spacing w:before="62" w:after="62"/>
              <w:rPr>
                <w:color w:val="auto"/>
                <w:highlight w:val="none"/>
              </w:rPr>
            </w:pPr>
            <w:r>
              <w:rPr>
                <w:rFonts w:hint="eastAsia"/>
                <w:color w:val="auto"/>
                <w:highlight w:val="none"/>
              </w:rPr>
              <w:t>氟化物</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EEDD7">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C70DE0">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C09C5">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F884E">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DD0BF4">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04D9C">
            <w:pPr>
              <w:pStyle w:val="37"/>
              <w:spacing w:before="62" w:after="62"/>
              <w:rPr>
                <w:color w:val="auto"/>
                <w:highlight w:val="none"/>
              </w:rPr>
            </w:pPr>
            <w:r>
              <w:rPr>
                <w:rFonts w:hint="eastAsia"/>
                <w:color w:val="auto"/>
                <w:highlight w:val="none"/>
              </w:rPr>
              <w:t>1</w:t>
            </w:r>
          </w:p>
        </w:tc>
      </w:tr>
      <w:tr w14:paraId="335E7A90">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9A4E20">
            <w:pPr>
              <w:pStyle w:val="37"/>
              <w:spacing w:before="62" w:after="62"/>
              <w:rPr>
                <w:color w:val="auto"/>
                <w:highlight w:val="none"/>
              </w:rPr>
            </w:pPr>
            <w:r>
              <w:rPr>
                <w:rFonts w:hint="eastAsia"/>
                <w:color w:val="auto"/>
                <w:highlight w:val="none"/>
              </w:rPr>
              <w:t>细菌总数（CFU/mL）</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3E60A">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8CBAE4">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EA8B94">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F982EE">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0E051">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4A6702">
            <w:pPr>
              <w:pStyle w:val="37"/>
              <w:spacing w:before="62" w:after="62"/>
              <w:rPr>
                <w:color w:val="auto"/>
                <w:highlight w:val="none"/>
              </w:rPr>
            </w:pPr>
            <w:r>
              <w:rPr>
                <w:rFonts w:hint="eastAsia"/>
                <w:color w:val="auto"/>
                <w:highlight w:val="none"/>
              </w:rPr>
              <w:t>100</w:t>
            </w:r>
          </w:p>
        </w:tc>
      </w:tr>
      <w:tr w14:paraId="7A5814AE">
        <w:tblPrEx>
          <w:tblCellMar>
            <w:top w:w="0" w:type="dxa"/>
            <w:left w:w="108" w:type="dxa"/>
            <w:bottom w:w="0" w:type="dxa"/>
            <w:right w:w="108" w:type="dxa"/>
          </w:tblCellMar>
        </w:tblPrEx>
        <w:trPr>
          <w:trHeight w:val="270" w:hRule="atLeast"/>
          <w:jc w:val="center"/>
        </w:trPr>
        <w:tc>
          <w:tcPr>
            <w:tcW w:w="115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0C10D">
            <w:pPr>
              <w:pStyle w:val="37"/>
              <w:spacing w:before="62" w:after="62"/>
              <w:rPr>
                <w:color w:val="auto"/>
                <w:highlight w:val="none"/>
              </w:rPr>
            </w:pPr>
            <w:r>
              <w:rPr>
                <w:rFonts w:hint="eastAsia"/>
                <w:color w:val="auto"/>
                <w:highlight w:val="none"/>
              </w:rPr>
              <w:t>总大肠菌群（MPN/L）</w:t>
            </w:r>
          </w:p>
        </w:tc>
        <w:tc>
          <w:tcPr>
            <w:tcW w:w="65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4AE84A">
            <w:pPr>
              <w:pStyle w:val="37"/>
              <w:spacing w:before="62" w:after="62"/>
              <w:rPr>
                <w:color w:val="auto"/>
                <w:highlight w:val="none"/>
              </w:rPr>
            </w:pPr>
          </w:p>
        </w:tc>
        <w:tc>
          <w:tcPr>
            <w:tcW w:w="58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BE2D30">
            <w:pPr>
              <w:pStyle w:val="37"/>
              <w:spacing w:before="62" w:after="62"/>
              <w:rPr>
                <w:color w:val="auto"/>
                <w:highlight w:val="none"/>
              </w:rPr>
            </w:pPr>
          </w:p>
        </w:tc>
        <w:tc>
          <w:tcPr>
            <w:tcW w:w="61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836CC">
            <w:pPr>
              <w:pStyle w:val="37"/>
              <w:spacing w:before="62" w:after="62"/>
              <w:rPr>
                <w:color w:val="auto"/>
                <w:highlight w:val="none"/>
              </w:rPr>
            </w:pPr>
          </w:p>
        </w:tc>
        <w:tc>
          <w:tcPr>
            <w:tcW w:w="5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AF7F7">
            <w:pPr>
              <w:pStyle w:val="37"/>
              <w:spacing w:before="62" w:after="62"/>
              <w:rPr>
                <w:color w:val="auto"/>
                <w:highlight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C79FFD">
            <w:pPr>
              <w:pStyle w:val="37"/>
              <w:spacing w:before="62" w:after="62"/>
              <w:rPr>
                <w:color w:val="auto"/>
                <w:highlight w:val="none"/>
              </w:rPr>
            </w:pPr>
          </w:p>
        </w:tc>
        <w:tc>
          <w:tcPr>
            <w:tcW w:w="90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517DE8">
            <w:pPr>
              <w:pStyle w:val="37"/>
              <w:spacing w:before="62" w:after="62"/>
              <w:rPr>
                <w:color w:val="auto"/>
                <w:highlight w:val="none"/>
              </w:rPr>
            </w:pPr>
            <w:r>
              <w:rPr>
                <w:rFonts w:hint="eastAsia"/>
                <w:color w:val="auto"/>
                <w:highlight w:val="none"/>
              </w:rPr>
              <w:t>3</w:t>
            </w:r>
          </w:p>
        </w:tc>
      </w:tr>
    </w:tbl>
    <w:p w14:paraId="201E4A87">
      <w:pPr>
        <w:adjustRightInd w:val="0"/>
        <w:ind w:firstLine="420"/>
        <w:rPr>
          <w:rFonts w:cs="Times New Roman"/>
          <w:color w:val="auto"/>
          <w:sz w:val="21"/>
          <w:szCs w:val="24"/>
          <w:highlight w:val="none"/>
        </w:rPr>
      </w:pPr>
      <w:r>
        <w:rPr>
          <w:rFonts w:cs="Times New Roman"/>
          <w:color w:val="auto"/>
          <w:sz w:val="21"/>
          <w:szCs w:val="24"/>
          <w:highlight w:val="none"/>
        </w:rPr>
        <w:t>本项目W</w:t>
      </w:r>
      <w:r>
        <w:rPr>
          <w:rFonts w:hint="eastAsia" w:cs="Times New Roman"/>
          <w:color w:val="auto"/>
          <w:sz w:val="21"/>
          <w:szCs w:val="24"/>
          <w:highlight w:val="none"/>
        </w:rPr>
        <w:t>2</w:t>
      </w:r>
      <w:r>
        <w:rPr>
          <w:rFonts w:cs="Times New Roman"/>
          <w:color w:val="auto"/>
          <w:sz w:val="21"/>
          <w:szCs w:val="24"/>
          <w:highlight w:val="none"/>
        </w:rPr>
        <w:t>、W</w:t>
      </w:r>
      <w:r>
        <w:rPr>
          <w:rFonts w:hint="eastAsia" w:cs="Times New Roman"/>
          <w:color w:val="auto"/>
          <w:sz w:val="21"/>
          <w:szCs w:val="24"/>
          <w:highlight w:val="none"/>
        </w:rPr>
        <w:t>3</w:t>
      </w:r>
      <w:r>
        <w:rPr>
          <w:rFonts w:cs="Times New Roman"/>
          <w:color w:val="auto"/>
          <w:sz w:val="21"/>
          <w:szCs w:val="24"/>
          <w:highlight w:val="none"/>
        </w:rPr>
        <w:t>地下水环境质量现状监测结果见下表。</w:t>
      </w:r>
    </w:p>
    <w:p w14:paraId="451DE580">
      <w:pPr>
        <w:pStyle w:val="12"/>
        <w:adjustRightInd w:val="0"/>
        <w:rPr>
          <w:rFonts w:cs="Times New Roman"/>
          <w:color w:val="auto"/>
          <w:kern w:val="0"/>
          <w:sz w:val="20"/>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12</w:t>
      </w:r>
      <w:r>
        <w:rPr>
          <w:color w:val="auto"/>
          <w:highlight w:val="none"/>
        </w:rPr>
        <w:fldChar w:fldCharType="end"/>
      </w:r>
      <w:r>
        <w:rPr>
          <w:rFonts w:cs="Times New Roman"/>
          <w:color w:val="auto"/>
          <w:highlight w:val="none"/>
        </w:rPr>
        <w:t>本项目W</w:t>
      </w:r>
      <w:r>
        <w:rPr>
          <w:rFonts w:hint="eastAsia" w:cs="Times New Roman"/>
          <w:color w:val="auto"/>
          <w:highlight w:val="none"/>
        </w:rPr>
        <w:t>2</w:t>
      </w:r>
      <w:r>
        <w:rPr>
          <w:rFonts w:cs="Times New Roman"/>
          <w:color w:val="auto"/>
          <w:highlight w:val="none"/>
        </w:rPr>
        <w:t>、W</w:t>
      </w:r>
      <w:r>
        <w:rPr>
          <w:rFonts w:hint="eastAsia" w:cs="Times New Roman"/>
          <w:color w:val="auto"/>
          <w:highlight w:val="none"/>
        </w:rPr>
        <w:t>3</w:t>
      </w:r>
      <w:r>
        <w:rPr>
          <w:rFonts w:cs="Times New Roman"/>
          <w:color w:val="auto"/>
          <w:highlight w:val="none"/>
        </w:rPr>
        <w:t>地下水水质现状监测结果</w:t>
      </w:r>
      <w:r>
        <w:rPr>
          <w:rFonts w:hint="eastAsia" w:cs="Times New Roman"/>
          <w:color w:val="auto"/>
          <w:highlight w:val="none"/>
        </w:rPr>
        <w:t>（单位：</w:t>
      </w:r>
      <w:r>
        <w:rPr>
          <w:rFonts w:cs="Times New Roman"/>
          <w:color w:val="auto"/>
          <w:highlight w:val="none"/>
        </w:rPr>
        <w:t>mg/L</w:t>
      </w:r>
      <w:r>
        <w:rPr>
          <w:rFonts w:hint="eastAsia" w:cs="Times New Roman"/>
          <w:color w:val="auto"/>
          <w:highlight w:val="none"/>
        </w:rPr>
        <w:t>）</w:t>
      </w:r>
    </w:p>
    <w:tbl>
      <w:tblPr>
        <w:tblStyle w:val="31"/>
        <w:tblW w:w="4999" w:type="pct"/>
        <w:tblInd w:w="0" w:type="dxa"/>
        <w:tblLayout w:type="autofit"/>
        <w:tblCellMar>
          <w:top w:w="0" w:type="dxa"/>
          <w:left w:w="108" w:type="dxa"/>
          <w:bottom w:w="0" w:type="dxa"/>
          <w:right w:w="108" w:type="dxa"/>
        </w:tblCellMar>
      </w:tblPr>
      <w:tblGrid>
        <w:gridCol w:w="3164"/>
        <w:gridCol w:w="1756"/>
        <w:gridCol w:w="1762"/>
        <w:gridCol w:w="2376"/>
      </w:tblGrid>
      <w:tr w14:paraId="179C9D9A">
        <w:tblPrEx>
          <w:tblCellMar>
            <w:top w:w="0" w:type="dxa"/>
            <w:left w:w="108" w:type="dxa"/>
            <w:bottom w:w="0" w:type="dxa"/>
            <w:right w:w="108" w:type="dxa"/>
          </w:tblCellMar>
        </w:tblPrEx>
        <w:trPr>
          <w:trHeight w:val="270" w:hRule="atLeast"/>
          <w:tblHeader/>
        </w:trPr>
        <w:tc>
          <w:tcPr>
            <w:tcW w:w="1746"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26FA2BC7">
            <w:pPr>
              <w:pStyle w:val="37"/>
              <w:spacing w:before="62" w:after="62"/>
              <w:rPr>
                <w:b/>
                <w:bCs/>
                <w:color w:val="auto"/>
                <w:highlight w:val="none"/>
              </w:rPr>
            </w:pPr>
            <w:r>
              <w:rPr>
                <w:rFonts w:hint="eastAsia"/>
                <w:b/>
                <w:bCs/>
                <w:color w:val="auto"/>
                <w:highlight w:val="none"/>
              </w:rPr>
              <w:t>监测项目</w:t>
            </w:r>
          </w:p>
        </w:tc>
        <w:tc>
          <w:tcPr>
            <w:tcW w:w="1941" w:type="pct"/>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6E47AF">
            <w:pPr>
              <w:pStyle w:val="37"/>
              <w:spacing w:before="62" w:after="62"/>
              <w:rPr>
                <w:b/>
                <w:bCs/>
                <w:color w:val="auto"/>
                <w:highlight w:val="none"/>
              </w:rPr>
            </w:pPr>
            <w:r>
              <w:rPr>
                <w:rFonts w:hint="eastAsia"/>
                <w:b/>
                <w:bCs/>
                <w:color w:val="auto"/>
                <w:highlight w:val="none"/>
              </w:rPr>
              <w:t>监测结果</w:t>
            </w:r>
          </w:p>
        </w:tc>
        <w:tc>
          <w:tcPr>
            <w:tcW w:w="1311"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0EEF9">
            <w:pPr>
              <w:pStyle w:val="37"/>
              <w:spacing w:before="62" w:after="62"/>
              <w:rPr>
                <w:b/>
                <w:bCs/>
                <w:color w:val="auto"/>
                <w:highlight w:val="none"/>
              </w:rPr>
            </w:pPr>
            <w:r>
              <w:rPr>
                <w:b/>
                <w:bCs/>
                <w:color w:val="auto"/>
                <w:highlight w:val="none"/>
              </w:rPr>
              <w:t>Ⅳ</w:t>
            </w:r>
            <w:r>
              <w:rPr>
                <w:rFonts w:hint="eastAsia"/>
                <w:b/>
                <w:bCs/>
                <w:color w:val="auto"/>
                <w:highlight w:val="none"/>
              </w:rPr>
              <w:t>类标准限值</w:t>
            </w:r>
          </w:p>
        </w:tc>
      </w:tr>
      <w:tr w14:paraId="3EA12CA0">
        <w:tblPrEx>
          <w:tblCellMar>
            <w:top w:w="0" w:type="dxa"/>
            <w:left w:w="108" w:type="dxa"/>
            <w:bottom w:w="0" w:type="dxa"/>
            <w:right w:w="108" w:type="dxa"/>
          </w:tblCellMar>
        </w:tblPrEx>
        <w:trPr>
          <w:trHeight w:val="270" w:hRule="atLeast"/>
          <w:tblHeader/>
        </w:trPr>
        <w:tc>
          <w:tcPr>
            <w:tcW w:w="1746"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6D9EF">
            <w:pPr>
              <w:pStyle w:val="37"/>
              <w:spacing w:before="62" w:after="62"/>
              <w:rPr>
                <w:color w:val="auto"/>
                <w:highlight w:val="none"/>
              </w:rPr>
            </w:pP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F3A07C">
            <w:pPr>
              <w:pStyle w:val="37"/>
              <w:spacing w:before="62" w:after="62"/>
              <w:rPr>
                <w:b/>
                <w:bCs/>
                <w:color w:val="auto"/>
                <w:highlight w:val="none"/>
              </w:rPr>
            </w:pPr>
            <w:r>
              <w:rPr>
                <w:rFonts w:hint="eastAsia"/>
                <w:b/>
                <w:bCs/>
                <w:color w:val="auto"/>
                <w:highlight w:val="none"/>
              </w:rPr>
              <w:t>W2</w:t>
            </w: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6075DC">
            <w:pPr>
              <w:pStyle w:val="37"/>
              <w:spacing w:before="62" w:after="62"/>
              <w:rPr>
                <w:b/>
                <w:bCs/>
                <w:color w:val="auto"/>
                <w:highlight w:val="none"/>
              </w:rPr>
            </w:pPr>
            <w:r>
              <w:rPr>
                <w:rFonts w:hint="eastAsia"/>
                <w:b/>
                <w:bCs/>
                <w:color w:val="auto"/>
                <w:highlight w:val="none"/>
              </w:rPr>
              <w:t>W3</w:t>
            </w:r>
          </w:p>
        </w:tc>
        <w:tc>
          <w:tcPr>
            <w:tcW w:w="1311"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65755">
            <w:pPr>
              <w:pStyle w:val="37"/>
              <w:spacing w:before="62" w:after="62"/>
              <w:rPr>
                <w:color w:val="auto"/>
                <w:highlight w:val="none"/>
              </w:rPr>
            </w:pPr>
          </w:p>
        </w:tc>
      </w:tr>
      <w:tr w14:paraId="010056B7">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39BA4F">
            <w:pPr>
              <w:pStyle w:val="37"/>
              <w:spacing w:before="62" w:after="62"/>
              <w:rPr>
                <w:color w:val="auto"/>
                <w:highlight w:val="none"/>
              </w:rPr>
            </w:pPr>
            <w:r>
              <w:rPr>
                <w:rFonts w:hint="eastAsia"/>
                <w:color w:val="auto"/>
                <w:highlight w:val="none"/>
              </w:rPr>
              <w:t>pH（无量纲）</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D4DC6">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DA668">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5B8D4">
            <w:pPr>
              <w:pStyle w:val="37"/>
              <w:spacing w:before="62" w:after="62"/>
              <w:rPr>
                <w:color w:val="auto"/>
                <w:highlight w:val="none"/>
              </w:rPr>
            </w:pPr>
            <w:r>
              <w:rPr>
                <w:color w:val="auto"/>
                <w:highlight w:val="none"/>
              </w:rPr>
              <w:t>5.5-6.5，8.5-9</w:t>
            </w:r>
          </w:p>
        </w:tc>
      </w:tr>
      <w:tr w14:paraId="4AE2408C">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0B58B7">
            <w:pPr>
              <w:pStyle w:val="37"/>
              <w:spacing w:before="62" w:after="62"/>
              <w:rPr>
                <w:color w:val="auto"/>
                <w:highlight w:val="none"/>
              </w:rPr>
            </w:pPr>
            <w:r>
              <w:rPr>
                <w:rFonts w:hint="eastAsia"/>
                <w:color w:val="auto"/>
                <w:highlight w:val="none"/>
              </w:rPr>
              <w:t>镁</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71ABB">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94A63">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79955">
            <w:pPr>
              <w:pStyle w:val="37"/>
              <w:spacing w:before="62" w:after="62"/>
              <w:rPr>
                <w:color w:val="auto"/>
                <w:highlight w:val="none"/>
              </w:rPr>
            </w:pPr>
            <w:r>
              <w:rPr>
                <w:rFonts w:hint="eastAsia"/>
                <w:color w:val="auto"/>
                <w:highlight w:val="none"/>
              </w:rPr>
              <w:t>/</w:t>
            </w:r>
          </w:p>
        </w:tc>
      </w:tr>
      <w:tr w14:paraId="56F63656">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31F90">
            <w:pPr>
              <w:pStyle w:val="37"/>
              <w:spacing w:before="62" w:after="62"/>
              <w:rPr>
                <w:color w:val="auto"/>
                <w:highlight w:val="none"/>
              </w:rPr>
            </w:pPr>
            <w:r>
              <w:rPr>
                <w:rFonts w:hint="eastAsia"/>
                <w:color w:val="auto"/>
                <w:highlight w:val="none"/>
              </w:rPr>
              <w:t>钙</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6EB5F3">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6EE90">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AE880">
            <w:pPr>
              <w:pStyle w:val="37"/>
              <w:spacing w:before="62" w:after="62"/>
              <w:rPr>
                <w:color w:val="auto"/>
                <w:highlight w:val="none"/>
              </w:rPr>
            </w:pPr>
            <w:r>
              <w:rPr>
                <w:rFonts w:hint="eastAsia"/>
                <w:color w:val="auto"/>
                <w:highlight w:val="none"/>
              </w:rPr>
              <w:t>/</w:t>
            </w:r>
          </w:p>
        </w:tc>
      </w:tr>
      <w:tr w14:paraId="51E98903">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8F7827">
            <w:pPr>
              <w:pStyle w:val="37"/>
              <w:spacing w:before="62" w:after="62"/>
              <w:rPr>
                <w:color w:val="auto"/>
                <w:highlight w:val="none"/>
              </w:rPr>
            </w:pPr>
            <w:r>
              <w:rPr>
                <w:rFonts w:hint="eastAsia"/>
                <w:color w:val="auto"/>
                <w:highlight w:val="none"/>
              </w:rPr>
              <w:t>钾</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15420">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50EF0">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1AF9B0">
            <w:pPr>
              <w:pStyle w:val="37"/>
              <w:spacing w:before="62" w:after="62"/>
              <w:rPr>
                <w:color w:val="auto"/>
                <w:highlight w:val="none"/>
              </w:rPr>
            </w:pPr>
            <w:r>
              <w:rPr>
                <w:rFonts w:hint="eastAsia"/>
                <w:color w:val="auto"/>
                <w:highlight w:val="none"/>
              </w:rPr>
              <w:t>/</w:t>
            </w:r>
          </w:p>
        </w:tc>
      </w:tr>
      <w:tr w14:paraId="17FB2E64">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3A1B26">
            <w:pPr>
              <w:pStyle w:val="37"/>
              <w:spacing w:before="62" w:after="62"/>
              <w:rPr>
                <w:color w:val="auto"/>
                <w:highlight w:val="none"/>
              </w:rPr>
            </w:pPr>
            <w:r>
              <w:rPr>
                <w:rFonts w:hint="eastAsia"/>
                <w:color w:val="auto"/>
                <w:highlight w:val="none"/>
              </w:rPr>
              <w:t>钠</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03939">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0374A">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60E30">
            <w:pPr>
              <w:pStyle w:val="37"/>
              <w:spacing w:before="62" w:after="62"/>
              <w:rPr>
                <w:color w:val="auto"/>
                <w:highlight w:val="none"/>
              </w:rPr>
            </w:pPr>
            <w:r>
              <w:rPr>
                <w:rFonts w:hint="eastAsia"/>
                <w:color w:val="auto"/>
                <w:highlight w:val="none"/>
              </w:rPr>
              <w:t>400</w:t>
            </w:r>
          </w:p>
        </w:tc>
      </w:tr>
      <w:tr w14:paraId="2073A45E">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F7BD6">
            <w:pPr>
              <w:pStyle w:val="37"/>
              <w:spacing w:before="62" w:after="62"/>
              <w:rPr>
                <w:color w:val="auto"/>
                <w:highlight w:val="none"/>
              </w:rPr>
            </w:pPr>
            <w:r>
              <w:rPr>
                <w:rFonts w:hint="eastAsia"/>
                <w:color w:val="auto"/>
                <w:highlight w:val="none"/>
              </w:rPr>
              <w:t>碳酸根离子</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AE7B7D">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42D7A">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11443D">
            <w:pPr>
              <w:pStyle w:val="37"/>
              <w:spacing w:before="62" w:after="62"/>
              <w:rPr>
                <w:color w:val="auto"/>
                <w:highlight w:val="none"/>
              </w:rPr>
            </w:pPr>
            <w:r>
              <w:rPr>
                <w:rFonts w:hint="eastAsia"/>
                <w:color w:val="auto"/>
                <w:highlight w:val="none"/>
              </w:rPr>
              <w:t>/</w:t>
            </w:r>
          </w:p>
        </w:tc>
      </w:tr>
      <w:tr w14:paraId="555E7450">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56A37">
            <w:pPr>
              <w:pStyle w:val="37"/>
              <w:spacing w:before="62" w:after="62"/>
              <w:rPr>
                <w:color w:val="auto"/>
                <w:highlight w:val="none"/>
              </w:rPr>
            </w:pPr>
            <w:r>
              <w:rPr>
                <w:rFonts w:hint="eastAsia"/>
                <w:color w:val="auto"/>
                <w:highlight w:val="none"/>
              </w:rPr>
              <w:t>重碳酸根离子</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787F12">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FAD21">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1B1CB">
            <w:pPr>
              <w:pStyle w:val="37"/>
              <w:spacing w:before="62" w:after="62"/>
              <w:rPr>
                <w:color w:val="auto"/>
                <w:highlight w:val="none"/>
              </w:rPr>
            </w:pPr>
            <w:r>
              <w:rPr>
                <w:rFonts w:hint="eastAsia"/>
                <w:color w:val="auto"/>
                <w:highlight w:val="none"/>
              </w:rPr>
              <w:t>/</w:t>
            </w:r>
          </w:p>
        </w:tc>
      </w:tr>
      <w:tr w14:paraId="50223BAB">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10A6A">
            <w:pPr>
              <w:pStyle w:val="37"/>
              <w:spacing w:before="62" w:after="62"/>
              <w:rPr>
                <w:color w:val="auto"/>
                <w:highlight w:val="none"/>
              </w:rPr>
            </w:pPr>
            <w:r>
              <w:rPr>
                <w:rFonts w:hint="eastAsia"/>
                <w:color w:val="auto"/>
                <w:highlight w:val="none"/>
              </w:rPr>
              <w:t>总硬度</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1946D1">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EB69E">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07416">
            <w:pPr>
              <w:pStyle w:val="37"/>
              <w:spacing w:before="62" w:after="62"/>
              <w:rPr>
                <w:color w:val="auto"/>
                <w:highlight w:val="none"/>
              </w:rPr>
            </w:pPr>
            <w:r>
              <w:rPr>
                <w:rFonts w:hint="eastAsia"/>
                <w:color w:val="auto"/>
                <w:highlight w:val="none"/>
              </w:rPr>
              <w:t>650</w:t>
            </w:r>
          </w:p>
        </w:tc>
      </w:tr>
      <w:tr w14:paraId="0B9955E2">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57FA7E">
            <w:pPr>
              <w:pStyle w:val="37"/>
              <w:spacing w:before="62" w:after="62"/>
              <w:rPr>
                <w:color w:val="auto"/>
                <w:highlight w:val="none"/>
              </w:rPr>
            </w:pPr>
            <w:r>
              <w:rPr>
                <w:rFonts w:hint="eastAsia"/>
                <w:color w:val="auto"/>
                <w:highlight w:val="none"/>
              </w:rPr>
              <w:t>镉</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198C6">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EDE71">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6847DB">
            <w:pPr>
              <w:pStyle w:val="37"/>
              <w:spacing w:before="62" w:after="62"/>
              <w:rPr>
                <w:color w:val="auto"/>
                <w:highlight w:val="none"/>
              </w:rPr>
            </w:pPr>
            <w:r>
              <w:rPr>
                <w:rFonts w:hint="eastAsia"/>
                <w:color w:val="auto"/>
                <w:highlight w:val="none"/>
              </w:rPr>
              <w:t>0.01</w:t>
            </w:r>
          </w:p>
        </w:tc>
      </w:tr>
      <w:tr w14:paraId="6F580C09">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070DB">
            <w:pPr>
              <w:pStyle w:val="37"/>
              <w:spacing w:before="62" w:after="62"/>
              <w:rPr>
                <w:color w:val="auto"/>
                <w:highlight w:val="none"/>
              </w:rPr>
            </w:pPr>
            <w:r>
              <w:rPr>
                <w:rFonts w:hint="eastAsia"/>
                <w:color w:val="auto"/>
                <w:highlight w:val="none"/>
              </w:rPr>
              <w:t>铅</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64C6A">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E4398">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3E3D4">
            <w:pPr>
              <w:pStyle w:val="37"/>
              <w:spacing w:before="62" w:after="62"/>
              <w:rPr>
                <w:color w:val="auto"/>
                <w:highlight w:val="none"/>
              </w:rPr>
            </w:pPr>
            <w:r>
              <w:rPr>
                <w:rFonts w:hint="eastAsia"/>
                <w:color w:val="auto"/>
                <w:highlight w:val="none"/>
              </w:rPr>
              <w:t>0.1</w:t>
            </w:r>
          </w:p>
        </w:tc>
      </w:tr>
      <w:tr w14:paraId="0ECCD808">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2B52D">
            <w:pPr>
              <w:pStyle w:val="37"/>
              <w:spacing w:before="62" w:after="62"/>
              <w:rPr>
                <w:color w:val="auto"/>
                <w:highlight w:val="none"/>
              </w:rPr>
            </w:pPr>
            <w:r>
              <w:rPr>
                <w:rFonts w:hint="eastAsia"/>
                <w:color w:val="auto"/>
                <w:highlight w:val="none"/>
              </w:rPr>
              <w:t>砷</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7D3538">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6F962F">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17832">
            <w:pPr>
              <w:pStyle w:val="37"/>
              <w:spacing w:before="62" w:after="62"/>
              <w:rPr>
                <w:color w:val="auto"/>
                <w:highlight w:val="none"/>
              </w:rPr>
            </w:pPr>
            <w:r>
              <w:rPr>
                <w:rFonts w:hint="eastAsia"/>
                <w:color w:val="auto"/>
                <w:highlight w:val="none"/>
              </w:rPr>
              <w:t>0.05</w:t>
            </w:r>
          </w:p>
        </w:tc>
      </w:tr>
      <w:tr w14:paraId="73313FF1">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88516B">
            <w:pPr>
              <w:pStyle w:val="37"/>
              <w:spacing w:before="62" w:after="62"/>
              <w:rPr>
                <w:color w:val="auto"/>
                <w:highlight w:val="none"/>
              </w:rPr>
            </w:pPr>
            <w:r>
              <w:rPr>
                <w:rFonts w:hint="eastAsia"/>
                <w:color w:val="auto"/>
                <w:highlight w:val="none"/>
              </w:rPr>
              <w:t>汞</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85DA5">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1D72BB">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7706F">
            <w:pPr>
              <w:pStyle w:val="37"/>
              <w:spacing w:before="62" w:after="62"/>
              <w:rPr>
                <w:color w:val="auto"/>
                <w:highlight w:val="none"/>
              </w:rPr>
            </w:pPr>
            <w:r>
              <w:rPr>
                <w:rFonts w:hint="eastAsia"/>
                <w:color w:val="auto"/>
                <w:highlight w:val="none"/>
              </w:rPr>
              <w:t>0.002</w:t>
            </w:r>
          </w:p>
        </w:tc>
      </w:tr>
      <w:tr w14:paraId="003ED6C4">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EF6DD">
            <w:pPr>
              <w:pStyle w:val="37"/>
              <w:spacing w:before="62" w:after="62"/>
              <w:rPr>
                <w:color w:val="auto"/>
                <w:highlight w:val="none"/>
              </w:rPr>
            </w:pPr>
            <w:r>
              <w:rPr>
                <w:rFonts w:hint="eastAsia"/>
                <w:color w:val="auto"/>
                <w:highlight w:val="none"/>
              </w:rPr>
              <w:t>铁</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14EEF">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3DE7B7">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F167F">
            <w:pPr>
              <w:pStyle w:val="37"/>
              <w:spacing w:before="62" w:after="62"/>
              <w:rPr>
                <w:color w:val="auto"/>
                <w:highlight w:val="none"/>
              </w:rPr>
            </w:pPr>
            <w:r>
              <w:rPr>
                <w:rFonts w:hint="eastAsia"/>
                <w:color w:val="auto"/>
                <w:highlight w:val="none"/>
              </w:rPr>
              <w:t>2</w:t>
            </w:r>
          </w:p>
        </w:tc>
      </w:tr>
      <w:tr w14:paraId="50FA3B0E">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C1BB67">
            <w:pPr>
              <w:pStyle w:val="37"/>
              <w:spacing w:before="62" w:after="62"/>
              <w:rPr>
                <w:color w:val="auto"/>
                <w:highlight w:val="none"/>
              </w:rPr>
            </w:pPr>
            <w:r>
              <w:rPr>
                <w:rFonts w:hint="eastAsia"/>
                <w:color w:val="auto"/>
                <w:highlight w:val="none"/>
              </w:rPr>
              <w:t>锰</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3F199C">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C670EA">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E6A2A3">
            <w:pPr>
              <w:pStyle w:val="37"/>
              <w:spacing w:before="62" w:after="62"/>
              <w:rPr>
                <w:color w:val="auto"/>
                <w:highlight w:val="none"/>
              </w:rPr>
            </w:pPr>
            <w:r>
              <w:rPr>
                <w:rFonts w:hint="eastAsia"/>
                <w:color w:val="auto"/>
                <w:highlight w:val="none"/>
              </w:rPr>
              <w:t>1.5</w:t>
            </w:r>
          </w:p>
        </w:tc>
      </w:tr>
      <w:tr w14:paraId="2D56675F">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B85AE2">
            <w:pPr>
              <w:pStyle w:val="37"/>
              <w:spacing w:before="62" w:after="62"/>
              <w:rPr>
                <w:color w:val="auto"/>
                <w:highlight w:val="none"/>
              </w:rPr>
            </w:pPr>
            <w:r>
              <w:rPr>
                <w:rFonts w:hint="eastAsia"/>
                <w:color w:val="auto"/>
                <w:highlight w:val="none"/>
              </w:rPr>
              <w:t>锂</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835EEC">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D873C">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9DA3E">
            <w:pPr>
              <w:pStyle w:val="37"/>
              <w:spacing w:before="62" w:after="62"/>
              <w:rPr>
                <w:color w:val="auto"/>
                <w:highlight w:val="none"/>
              </w:rPr>
            </w:pPr>
            <w:r>
              <w:rPr>
                <w:rFonts w:hint="eastAsia"/>
                <w:color w:val="auto"/>
                <w:highlight w:val="none"/>
              </w:rPr>
              <w:t>/</w:t>
            </w:r>
          </w:p>
        </w:tc>
      </w:tr>
      <w:tr w14:paraId="409988DD">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C88219">
            <w:pPr>
              <w:pStyle w:val="37"/>
              <w:spacing w:before="62" w:after="62"/>
              <w:rPr>
                <w:color w:val="auto"/>
                <w:highlight w:val="none"/>
              </w:rPr>
            </w:pPr>
            <w:r>
              <w:rPr>
                <w:rFonts w:hint="eastAsia"/>
                <w:color w:val="auto"/>
                <w:highlight w:val="none"/>
              </w:rPr>
              <w:t>氰化物</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3EA13">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7B172">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4F3462">
            <w:pPr>
              <w:pStyle w:val="37"/>
              <w:spacing w:before="62" w:after="62"/>
              <w:rPr>
                <w:color w:val="auto"/>
                <w:highlight w:val="none"/>
              </w:rPr>
            </w:pPr>
            <w:r>
              <w:rPr>
                <w:rFonts w:hint="eastAsia"/>
                <w:color w:val="auto"/>
                <w:highlight w:val="none"/>
              </w:rPr>
              <w:t>0.1</w:t>
            </w:r>
          </w:p>
        </w:tc>
      </w:tr>
      <w:tr w14:paraId="7467C1BE">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46A76">
            <w:pPr>
              <w:pStyle w:val="37"/>
              <w:spacing w:before="62" w:after="62"/>
              <w:rPr>
                <w:color w:val="auto"/>
                <w:highlight w:val="none"/>
              </w:rPr>
            </w:pPr>
            <w:r>
              <w:rPr>
                <w:rFonts w:hint="eastAsia"/>
                <w:color w:val="auto"/>
                <w:highlight w:val="none"/>
              </w:rPr>
              <w:t>挥发酚</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52B73">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0BAEA">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F5836">
            <w:pPr>
              <w:pStyle w:val="37"/>
              <w:spacing w:before="62" w:after="62"/>
              <w:rPr>
                <w:color w:val="auto"/>
                <w:highlight w:val="none"/>
              </w:rPr>
            </w:pPr>
            <w:r>
              <w:rPr>
                <w:rFonts w:hint="eastAsia"/>
                <w:color w:val="auto"/>
                <w:highlight w:val="none"/>
              </w:rPr>
              <w:t>0.01</w:t>
            </w:r>
          </w:p>
        </w:tc>
      </w:tr>
      <w:tr w14:paraId="6FD07DE8">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083B8">
            <w:pPr>
              <w:pStyle w:val="37"/>
              <w:spacing w:before="62" w:after="62"/>
              <w:rPr>
                <w:color w:val="auto"/>
                <w:highlight w:val="none"/>
              </w:rPr>
            </w:pPr>
            <w:r>
              <w:rPr>
                <w:rFonts w:hint="eastAsia"/>
                <w:color w:val="auto"/>
                <w:highlight w:val="none"/>
              </w:rPr>
              <w:t>六价铬</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4A00B0">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09276B">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A18A7">
            <w:pPr>
              <w:pStyle w:val="37"/>
              <w:spacing w:before="62" w:after="62"/>
              <w:rPr>
                <w:color w:val="auto"/>
                <w:highlight w:val="none"/>
              </w:rPr>
            </w:pPr>
            <w:r>
              <w:rPr>
                <w:rFonts w:hint="eastAsia"/>
                <w:color w:val="auto"/>
                <w:highlight w:val="none"/>
              </w:rPr>
              <w:t>0.1</w:t>
            </w:r>
          </w:p>
        </w:tc>
      </w:tr>
      <w:tr w14:paraId="595225C5">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7B12D0">
            <w:pPr>
              <w:pStyle w:val="37"/>
              <w:spacing w:before="62" w:after="62"/>
              <w:rPr>
                <w:color w:val="auto"/>
                <w:highlight w:val="none"/>
              </w:rPr>
            </w:pPr>
            <w:r>
              <w:rPr>
                <w:rFonts w:hint="eastAsia"/>
                <w:color w:val="auto"/>
                <w:highlight w:val="none"/>
              </w:rPr>
              <w:t>氨氮</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D6DD6">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BB6E07">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8E0BB">
            <w:pPr>
              <w:pStyle w:val="37"/>
              <w:spacing w:before="62" w:after="62"/>
              <w:rPr>
                <w:color w:val="auto"/>
                <w:highlight w:val="none"/>
              </w:rPr>
            </w:pPr>
            <w:r>
              <w:rPr>
                <w:rFonts w:hint="eastAsia"/>
                <w:color w:val="auto"/>
                <w:highlight w:val="none"/>
              </w:rPr>
              <w:t>1.5</w:t>
            </w:r>
          </w:p>
        </w:tc>
      </w:tr>
      <w:tr w14:paraId="714DB6C6">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7FED7A">
            <w:pPr>
              <w:pStyle w:val="37"/>
              <w:spacing w:before="62" w:after="62"/>
              <w:rPr>
                <w:color w:val="auto"/>
                <w:highlight w:val="none"/>
              </w:rPr>
            </w:pPr>
            <w:r>
              <w:rPr>
                <w:rFonts w:hint="eastAsia"/>
                <w:color w:val="auto"/>
                <w:highlight w:val="none"/>
              </w:rPr>
              <w:t>亚硝酸盐氮</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C64547">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5C741C">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F1C4F">
            <w:pPr>
              <w:pStyle w:val="37"/>
              <w:spacing w:before="62" w:after="62"/>
              <w:rPr>
                <w:color w:val="auto"/>
                <w:highlight w:val="none"/>
              </w:rPr>
            </w:pPr>
            <w:r>
              <w:rPr>
                <w:rFonts w:hint="eastAsia"/>
                <w:color w:val="auto"/>
                <w:highlight w:val="none"/>
              </w:rPr>
              <w:t>1.8</w:t>
            </w:r>
          </w:p>
        </w:tc>
      </w:tr>
      <w:tr w14:paraId="5D776052">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9ACFC">
            <w:pPr>
              <w:pStyle w:val="37"/>
              <w:spacing w:before="62" w:after="62"/>
              <w:rPr>
                <w:color w:val="auto"/>
                <w:highlight w:val="none"/>
              </w:rPr>
            </w:pPr>
            <w:r>
              <w:rPr>
                <w:rFonts w:hint="eastAsia"/>
                <w:color w:val="auto"/>
                <w:highlight w:val="none"/>
              </w:rPr>
              <w:t>氯化物</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1E1E7B">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433D8">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C5B32C">
            <w:pPr>
              <w:pStyle w:val="37"/>
              <w:spacing w:before="62" w:after="62"/>
              <w:rPr>
                <w:color w:val="auto"/>
                <w:highlight w:val="none"/>
              </w:rPr>
            </w:pPr>
            <w:r>
              <w:rPr>
                <w:rFonts w:hint="eastAsia"/>
                <w:color w:val="auto"/>
                <w:highlight w:val="none"/>
              </w:rPr>
              <w:t>350</w:t>
            </w:r>
          </w:p>
        </w:tc>
      </w:tr>
      <w:tr w14:paraId="597C4DF0">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7129D">
            <w:pPr>
              <w:pStyle w:val="37"/>
              <w:spacing w:before="62" w:after="62"/>
              <w:rPr>
                <w:color w:val="auto"/>
                <w:highlight w:val="none"/>
              </w:rPr>
            </w:pPr>
            <w:r>
              <w:rPr>
                <w:rFonts w:hint="eastAsia"/>
                <w:color w:val="auto"/>
                <w:highlight w:val="none"/>
              </w:rPr>
              <w:t>硝酸盐（以N计）</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1EF4B">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5FD6B">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E7BE4C">
            <w:pPr>
              <w:pStyle w:val="37"/>
              <w:spacing w:before="62" w:after="62"/>
              <w:rPr>
                <w:color w:val="auto"/>
                <w:highlight w:val="none"/>
              </w:rPr>
            </w:pPr>
            <w:r>
              <w:rPr>
                <w:rFonts w:hint="eastAsia"/>
                <w:color w:val="auto"/>
                <w:highlight w:val="none"/>
              </w:rPr>
              <w:t>30</w:t>
            </w:r>
          </w:p>
        </w:tc>
      </w:tr>
      <w:tr w14:paraId="1A057173">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6D259">
            <w:pPr>
              <w:pStyle w:val="37"/>
              <w:spacing w:before="62" w:after="62"/>
              <w:rPr>
                <w:color w:val="auto"/>
                <w:highlight w:val="none"/>
              </w:rPr>
            </w:pPr>
            <w:r>
              <w:rPr>
                <w:rFonts w:hint="eastAsia"/>
                <w:color w:val="auto"/>
                <w:highlight w:val="none"/>
              </w:rPr>
              <w:t>硫酸盐</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051DC">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D1413B">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06C3F">
            <w:pPr>
              <w:pStyle w:val="37"/>
              <w:spacing w:before="62" w:after="62"/>
              <w:rPr>
                <w:color w:val="auto"/>
                <w:highlight w:val="none"/>
              </w:rPr>
            </w:pPr>
            <w:r>
              <w:rPr>
                <w:rFonts w:hint="eastAsia"/>
                <w:color w:val="auto"/>
                <w:highlight w:val="none"/>
              </w:rPr>
              <w:t>350</w:t>
            </w:r>
          </w:p>
        </w:tc>
      </w:tr>
      <w:tr w14:paraId="7E640DC4">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E03F8">
            <w:pPr>
              <w:pStyle w:val="37"/>
              <w:spacing w:before="62" w:after="62"/>
              <w:rPr>
                <w:color w:val="auto"/>
                <w:highlight w:val="none"/>
              </w:rPr>
            </w:pPr>
            <w:r>
              <w:rPr>
                <w:rFonts w:hint="eastAsia"/>
                <w:color w:val="auto"/>
                <w:highlight w:val="none"/>
              </w:rPr>
              <w:t>耗氧量</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4B2DF7">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F33A6">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D35C1">
            <w:pPr>
              <w:pStyle w:val="37"/>
              <w:spacing w:before="62" w:after="62"/>
              <w:rPr>
                <w:color w:val="auto"/>
                <w:highlight w:val="none"/>
              </w:rPr>
            </w:pPr>
            <w:r>
              <w:rPr>
                <w:rFonts w:hint="eastAsia"/>
                <w:color w:val="auto"/>
                <w:highlight w:val="none"/>
              </w:rPr>
              <w:t>10</w:t>
            </w:r>
          </w:p>
        </w:tc>
      </w:tr>
      <w:tr w14:paraId="428FAD96">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1248B">
            <w:pPr>
              <w:pStyle w:val="37"/>
              <w:spacing w:before="62" w:after="62"/>
              <w:rPr>
                <w:color w:val="auto"/>
                <w:highlight w:val="none"/>
              </w:rPr>
            </w:pPr>
            <w:r>
              <w:rPr>
                <w:rFonts w:hint="eastAsia"/>
                <w:color w:val="auto"/>
                <w:highlight w:val="none"/>
              </w:rPr>
              <w:t>石油类</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3CA95">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CF60B0">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BD2060">
            <w:pPr>
              <w:pStyle w:val="37"/>
              <w:spacing w:before="62" w:after="62"/>
              <w:rPr>
                <w:color w:val="auto"/>
                <w:highlight w:val="none"/>
              </w:rPr>
            </w:pPr>
            <w:r>
              <w:rPr>
                <w:rFonts w:hint="eastAsia"/>
                <w:color w:val="auto"/>
                <w:highlight w:val="none"/>
              </w:rPr>
              <w:t>0.5</w:t>
            </w:r>
          </w:p>
        </w:tc>
      </w:tr>
      <w:tr w14:paraId="3AC14A6C">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31B80">
            <w:pPr>
              <w:pStyle w:val="37"/>
              <w:spacing w:before="62" w:after="62"/>
              <w:rPr>
                <w:color w:val="auto"/>
                <w:highlight w:val="none"/>
              </w:rPr>
            </w:pPr>
            <w:r>
              <w:rPr>
                <w:rFonts w:hint="eastAsia"/>
                <w:color w:val="auto"/>
                <w:highlight w:val="none"/>
              </w:rPr>
              <w:t>溶解性总固体</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42C655">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BF73A2">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3F601">
            <w:pPr>
              <w:pStyle w:val="37"/>
              <w:spacing w:before="62" w:after="62"/>
              <w:rPr>
                <w:color w:val="auto"/>
                <w:highlight w:val="none"/>
              </w:rPr>
            </w:pPr>
            <w:r>
              <w:rPr>
                <w:rFonts w:hint="eastAsia"/>
                <w:color w:val="auto"/>
                <w:highlight w:val="none"/>
              </w:rPr>
              <w:t>2000</w:t>
            </w:r>
          </w:p>
        </w:tc>
      </w:tr>
      <w:tr w14:paraId="55715BD8">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0E4B5">
            <w:pPr>
              <w:pStyle w:val="37"/>
              <w:spacing w:before="62" w:after="62"/>
              <w:rPr>
                <w:color w:val="auto"/>
                <w:highlight w:val="none"/>
              </w:rPr>
            </w:pPr>
            <w:r>
              <w:rPr>
                <w:rFonts w:hint="eastAsia"/>
                <w:color w:val="auto"/>
                <w:highlight w:val="none"/>
              </w:rPr>
              <w:t>氟化物</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62B491">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B5FD16">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BB09BC">
            <w:pPr>
              <w:pStyle w:val="37"/>
              <w:spacing w:before="62" w:after="62"/>
              <w:rPr>
                <w:color w:val="auto"/>
                <w:highlight w:val="none"/>
              </w:rPr>
            </w:pPr>
            <w:r>
              <w:rPr>
                <w:rFonts w:hint="eastAsia"/>
                <w:color w:val="auto"/>
                <w:highlight w:val="none"/>
              </w:rPr>
              <w:t>2</w:t>
            </w:r>
          </w:p>
        </w:tc>
      </w:tr>
      <w:tr w14:paraId="304A80B2">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DD528B">
            <w:pPr>
              <w:pStyle w:val="37"/>
              <w:spacing w:before="62" w:after="62"/>
              <w:rPr>
                <w:color w:val="auto"/>
                <w:highlight w:val="none"/>
              </w:rPr>
            </w:pPr>
            <w:r>
              <w:rPr>
                <w:rFonts w:hint="eastAsia"/>
                <w:color w:val="auto"/>
                <w:highlight w:val="none"/>
              </w:rPr>
              <w:t>细菌总数（CFU/mL）</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B49FF8">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9E87F">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9568E">
            <w:pPr>
              <w:pStyle w:val="37"/>
              <w:spacing w:before="62" w:after="62"/>
              <w:rPr>
                <w:color w:val="auto"/>
                <w:highlight w:val="none"/>
              </w:rPr>
            </w:pPr>
            <w:r>
              <w:rPr>
                <w:rFonts w:hint="eastAsia"/>
                <w:color w:val="auto"/>
                <w:highlight w:val="none"/>
              </w:rPr>
              <w:t>1000</w:t>
            </w:r>
          </w:p>
        </w:tc>
      </w:tr>
      <w:tr w14:paraId="515D3ABE">
        <w:tblPrEx>
          <w:tblCellMar>
            <w:top w:w="0" w:type="dxa"/>
            <w:left w:w="108" w:type="dxa"/>
            <w:bottom w:w="0" w:type="dxa"/>
            <w:right w:w="108" w:type="dxa"/>
          </w:tblCellMar>
        </w:tblPrEx>
        <w:trPr>
          <w:trHeight w:val="270" w:hRule="atLeast"/>
        </w:trPr>
        <w:tc>
          <w:tcPr>
            <w:tcW w:w="1746"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37F0ED">
            <w:pPr>
              <w:pStyle w:val="37"/>
              <w:spacing w:before="62" w:after="62"/>
              <w:rPr>
                <w:color w:val="auto"/>
                <w:highlight w:val="none"/>
              </w:rPr>
            </w:pPr>
            <w:r>
              <w:rPr>
                <w:rFonts w:hint="eastAsia"/>
                <w:color w:val="auto"/>
                <w:highlight w:val="none"/>
              </w:rPr>
              <w:t>总大肠菌群（MPN/L）</w:t>
            </w:r>
          </w:p>
        </w:tc>
        <w:tc>
          <w:tcPr>
            <w:tcW w:w="9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2279C8">
            <w:pPr>
              <w:pStyle w:val="37"/>
              <w:spacing w:before="62" w:after="62"/>
              <w:rPr>
                <w:color w:val="auto"/>
                <w:highlight w:val="none"/>
              </w:rPr>
            </w:pPr>
          </w:p>
        </w:tc>
        <w:tc>
          <w:tcPr>
            <w:tcW w:w="97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6C4A6">
            <w:pPr>
              <w:pStyle w:val="37"/>
              <w:spacing w:before="62" w:after="62"/>
              <w:rPr>
                <w:color w:val="auto"/>
                <w:highlight w:val="none"/>
              </w:rPr>
            </w:pPr>
          </w:p>
        </w:tc>
        <w:tc>
          <w:tcPr>
            <w:tcW w:w="131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D2E9B9">
            <w:pPr>
              <w:pStyle w:val="37"/>
              <w:spacing w:before="62" w:after="62"/>
              <w:rPr>
                <w:color w:val="auto"/>
                <w:highlight w:val="none"/>
              </w:rPr>
            </w:pPr>
            <w:r>
              <w:rPr>
                <w:rFonts w:hint="eastAsia"/>
                <w:color w:val="auto"/>
                <w:highlight w:val="none"/>
              </w:rPr>
              <w:t>100</w:t>
            </w:r>
          </w:p>
        </w:tc>
      </w:tr>
    </w:tbl>
    <w:p w14:paraId="00A37161">
      <w:pPr>
        <w:adjustRightInd w:val="0"/>
        <w:ind w:firstLine="482" w:firstLineChars="0"/>
        <w:rPr>
          <w:rFonts w:cs="Times New Roman"/>
          <w:b/>
          <w:color w:val="auto"/>
          <w:szCs w:val="24"/>
          <w:highlight w:val="none"/>
        </w:rPr>
      </w:pPr>
      <w:r>
        <w:rPr>
          <w:rFonts w:hint="eastAsia" w:cs="Times New Roman"/>
          <w:b/>
          <w:color w:val="auto"/>
          <w:szCs w:val="24"/>
          <w:highlight w:val="none"/>
        </w:rPr>
        <w:t>（7）水位调查结果</w:t>
      </w:r>
    </w:p>
    <w:p w14:paraId="19414E5D">
      <w:pPr>
        <w:widowControl/>
        <w:adjustRightInd w:val="0"/>
        <w:ind w:firstLine="480" w:firstLineChars="0"/>
        <w:jc w:val="left"/>
        <w:rPr>
          <w:rFonts w:cs="Times New Roman"/>
          <w:bCs/>
          <w:color w:val="auto"/>
          <w:szCs w:val="24"/>
          <w:highlight w:val="none"/>
        </w:rPr>
      </w:pPr>
      <w:r>
        <w:rPr>
          <w:rFonts w:hint="eastAsia" w:cs="Times New Roman"/>
          <w:bCs/>
          <w:color w:val="auto"/>
          <w:szCs w:val="24"/>
          <w:highlight w:val="none"/>
        </w:rPr>
        <w:t>本项目所在地属于丘陵山区大渡河一级阶地的平原地带，地下水为二级评价，根据《环境影响评价技术导则 地下水环境》（HJ610-2016），地下水二级评价补测需要至少1期水位调查。</w:t>
      </w:r>
      <w:r>
        <w:rPr>
          <w:rFonts w:hint="eastAsia" w:cs="Times New Roman"/>
          <w:color w:val="auto"/>
          <w:szCs w:val="24"/>
          <w:highlight w:val="none"/>
        </w:rPr>
        <w:t>本项目</w:t>
      </w:r>
      <w:r>
        <w:rPr>
          <w:rFonts w:hint="eastAsia" w:cs="Times New Roman"/>
          <w:bCs/>
          <w:color w:val="auto"/>
          <w:szCs w:val="24"/>
          <w:highlight w:val="none"/>
        </w:rPr>
        <w:t>共调查14处地下水水位，</w:t>
      </w:r>
      <w:r>
        <w:rPr>
          <w:rFonts w:hint="eastAsia" w:cs="Times New Roman"/>
          <w:color w:val="auto"/>
          <w:szCs w:val="24"/>
          <w:highlight w:val="none"/>
        </w:rPr>
        <w:t>进行两期</w:t>
      </w:r>
      <w:r>
        <w:rPr>
          <w:rFonts w:hint="eastAsia" w:cs="Times New Roman"/>
          <w:bCs/>
          <w:color w:val="auto"/>
          <w:szCs w:val="24"/>
          <w:highlight w:val="none"/>
        </w:rPr>
        <w:t>水位调查（枯丰两期）。</w:t>
      </w:r>
    </w:p>
    <w:p w14:paraId="7967FB22">
      <w:pPr>
        <w:adjustRightInd w:val="0"/>
        <w:ind w:firstLine="480" w:firstLineChars="0"/>
        <w:rPr>
          <w:rFonts w:cs="Times New Roman"/>
          <w:color w:val="auto"/>
          <w:szCs w:val="24"/>
          <w:highlight w:val="none"/>
        </w:rPr>
      </w:pPr>
      <w:r>
        <w:rPr>
          <w:rFonts w:hint="eastAsia" w:cs="Times New Roman"/>
          <w:color w:val="auto"/>
          <w:szCs w:val="24"/>
          <w:highlight w:val="none"/>
        </w:rPr>
        <w:t>2025年11月，本项目枯水期地下水水位调查结果如下：</w:t>
      </w:r>
    </w:p>
    <w:p w14:paraId="251A3948">
      <w:pPr>
        <w:pStyle w:val="12"/>
        <w:adjustRightInd w:val="0"/>
        <w:rPr>
          <w:rFonts w:ascii="宋体" w:hAnsi="宋体" w:cs="宋体"/>
          <w:color w:val="auto"/>
          <w:kern w:val="0"/>
          <w:sz w:val="20"/>
          <w:szCs w:val="28"/>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kern w:val="0"/>
          <w:sz w:val="20"/>
          <w:szCs w:val="28"/>
          <w:highlight w:val="none"/>
        </w:rPr>
        <w:t>地下水水位调查结果一览表（枯水期）</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5"/>
        <w:gridCol w:w="1643"/>
        <w:gridCol w:w="1536"/>
        <w:gridCol w:w="1201"/>
        <w:gridCol w:w="1754"/>
        <w:gridCol w:w="1667"/>
      </w:tblGrid>
      <w:tr w14:paraId="44D4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3" w:type="pct"/>
            <w:vMerge w:val="restart"/>
            <w:vAlign w:val="center"/>
          </w:tcPr>
          <w:p w14:paraId="7A144D01">
            <w:pPr>
              <w:pStyle w:val="37"/>
              <w:adjustRightInd w:val="0"/>
              <w:spacing w:before="62" w:after="62"/>
              <w:rPr>
                <w:b/>
                <w:bCs/>
                <w:color w:val="auto"/>
                <w:highlight w:val="none"/>
              </w:rPr>
            </w:pPr>
            <w:r>
              <w:rPr>
                <w:rFonts w:hint="eastAsia"/>
                <w:b/>
                <w:bCs/>
                <w:color w:val="auto"/>
                <w:highlight w:val="none"/>
              </w:rPr>
              <w:t>分散式水源地序号</w:t>
            </w:r>
          </w:p>
        </w:tc>
        <w:tc>
          <w:tcPr>
            <w:tcW w:w="1755" w:type="pct"/>
            <w:gridSpan w:val="2"/>
            <w:vAlign w:val="center"/>
          </w:tcPr>
          <w:p w14:paraId="77DB14FF">
            <w:pPr>
              <w:pStyle w:val="37"/>
              <w:adjustRightInd w:val="0"/>
              <w:spacing w:before="62" w:after="62"/>
              <w:rPr>
                <w:b/>
                <w:bCs/>
                <w:color w:val="auto"/>
                <w:highlight w:val="none"/>
              </w:rPr>
            </w:pPr>
            <w:r>
              <w:rPr>
                <w:rFonts w:hint="eastAsia"/>
                <w:b/>
                <w:bCs/>
                <w:color w:val="auto"/>
                <w:highlight w:val="none"/>
              </w:rPr>
              <w:t>坐标</w:t>
            </w:r>
          </w:p>
        </w:tc>
        <w:tc>
          <w:tcPr>
            <w:tcW w:w="663" w:type="pct"/>
            <w:vMerge w:val="restart"/>
            <w:vAlign w:val="center"/>
          </w:tcPr>
          <w:p w14:paraId="2AC181BC">
            <w:pPr>
              <w:pStyle w:val="37"/>
              <w:adjustRightInd w:val="0"/>
              <w:spacing w:before="62" w:after="62"/>
              <w:rPr>
                <w:b/>
                <w:bCs/>
                <w:color w:val="auto"/>
                <w:highlight w:val="none"/>
              </w:rPr>
            </w:pPr>
            <w:r>
              <w:rPr>
                <w:rFonts w:hint="eastAsia"/>
                <w:b/>
                <w:bCs/>
                <w:color w:val="auto"/>
                <w:highlight w:val="none"/>
              </w:rPr>
              <w:t>埋深（m）</w:t>
            </w:r>
          </w:p>
        </w:tc>
        <w:tc>
          <w:tcPr>
            <w:tcW w:w="968" w:type="pct"/>
            <w:vMerge w:val="restart"/>
            <w:vAlign w:val="center"/>
          </w:tcPr>
          <w:p w14:paraId="5C9ACFF4">
            <w:pPr>
              <w:pStyle w:val="37"/>
              <w:adjustRightInd w:val="0"/>
              <w:spacing w:before="62" w:after="62"/>
              <w:rPr>
                <w:b/>
                <w:bCs/>
                <w:color w:val="auto"/>
                <w:highlight w:val="none"/>
              </w:rPr>
            </w:pPr>
            <w:r>
              <w:rPr>
                <w:rFonts w:hint="eastAsia"/>
                <w:b/>
                <w:bCs/>
                <w:color w:val="auto"/>
                <w:highlight w:val="none"/>
              </w:rPr>
              <w:t>地表高程（m）</w:t>
            </w:r>
          </w:p>
        </w:tc>
        <w:tc>
          <w:tcPr>
            <w:tcW w:w="920" w:type="pct"/>
            <w:vMerge w:val="restart"/>
            <w:vAlign w:val="center"/>
          </w:tcPr>
          <w:p w14:paraId="3A28A87F">
            <w:pPr>
              <w:pStyle w:val="37"/>
              <w:adjustRightInd w:val="0"/>
              <w:spacing w:before="62" w:after="62"/>
              <w:rPr>
                <w:b/>
                <w:bCs/>
                <w:color w:val="auto"/>
                <w:highlight w:val="none"/>
              </w:rPr>
            </w:pPr>
            <w:r>
              <w:rPr>
                <w:rFonts w:hint="eastAsia"/>
                <w:b/>
                <w:bCs/>
                <w:color w:val="auto"/>
                <w:highlight w:val="none"/>
              </w:rPr>
              <w:t>水位高程（m）</w:t>
            </w:r>
          </w:p>
        </w:tc>
      </w:tr>
      <w:tr w14:paraId="68908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3" w:type="pct"/>
            <w:vMerge w:val="continue"/>
            <w:vAlign w:val="center"/>
          </w:tcPr>
          <w:p w14:paraId="342FCF60">
            <w:pPr>
              <w:pStyle w:val="37"/>
              <w:adjustRightInd w:val="0"/>
              <w:spacing w:before="62" w:after="62"/>
              <w:rPr>
                <w:color w:val="auto"/>
                <w:highlight w:val="none"/>
              </w:rPr>
            </w:pPr>
          </w:p>
        </w:tc>
        <w:tc>
          <w:tcPr>
            <w:tcW w:w="907" w:type="pct"/>
            <w:vAlign w:val="center"/>
          </w:tcPr>
          <w:p w14:paraId="293374D0">
            <w:pPr>
              <w:pStyle w:val="37"/>
              <w:adjustRightInd w:val="0"/>
              <w:spacing w:before="62" w:after="62"/>
              <w:rPr>
                <w:b/>
                <w:bCs/>
                <w:color w:val="auto"/>
                <w:highlight w:val="none"/>
              </w:rPr>
            </w:pPr>
            <w:r>
              <w:rPr>
                <w:rFonts w:hint="eastAsia"/>
                <w:b/>
                <w:bCs/>
                <w:color w:val="auto"/>
                <w:highlight w:val="none"/>
              </w:rPr>
              <w:t>E</w:t>
            </w:r>
          </w:p>
        </w:tc>
        <w:tc>
          <w:tcPr>
            <w:tcW w:w="848" w:type="pct"/>
            <w:vAlign w:val="center"/>
          </w:tcPr>
          <w:p w14:paraId="3615085C">
            <w:pPr>
              <w:pStyle w:val="37"/>
              <w:adjustRightInd w:val="0"/>
              <w:spacing w:before="62" w:after="62"/>
              <w:rPr>
                <w:b/>
                <w:bCs/>
                <w:color w:val="auto"/>
                <w:highlight w:val="none"/>
              </w:rPr>
            </w:pPr>
            <w:r>
              <w:rPr>
                <w:rFonts w:hint="eastAsia"/>
                <w:b/>
                <w:bCs/>
                <w:color w:val="auto"/>
                <w:highlight w:val="none"/>
              </w:rPr>
              <w:t>N</w:t>
            </w:r>
          </w:p>
        </w:tc>
        <w:tc>
          <w:tcPr>
            <w:tcW w:w="663" w:type="pct"/>
            <w:vMerge w:val="continue"/>
            <w:vAlign w:val="center"/>
          </w:tcPr>
          <w:p w14:paraId="5FEE7F1F">
            <w:pPr>
              <w:pStyle w:val="37"/>
              <w:adjustRightInd w:val="0"/>
              <w:spacing w:before="62" w:after="62"/>
              <w:rPr>
                <w:color w:val="auto"/>
                <w:highlight w:val="none"/>
              </w:rPr>
            </w:pPr>
          </w:p>
        </w:tc>
        <w:tc>
          <w:tcPr>
            <w:tcW w:w="968" w:type="pct"/>
            <w:vMerge w:val="continue"/>
            <w:vAlign w:val="center"/>
          </w:tcPr>
          <w:p w14:paraId="5B8FAFF6">
            <w:pPr>
              <w:pStyle w:val="37"/>
              <w:adjustRightInd w:val="0"/>
              <w:spacing w:before="62" w:after="62"/>
              <w:rPr>
                <w:color w:val="auto"/>
                <w:highlight w:val="none"/>
              </w:rPr>
            </w:pPr>
          </w:p>
        </w:tc>
        <w:tc>
          <w:tcPr>
            <w:tcW w:w="920" w:type="pct"/>
            <w:vMerge w:val="continue"/>
            <w:vAlign w:val="center"/>
          </w:tcPr>
          <w:p w14:paraId="325E5931">
            <w:pPr>
              <w:pStyle w:val="37"/>
              <w:adjustRightInd w:val="0"/>
              <w:spacing w:before="62" w:after="62"/>
              <w:rPr>
                <w:color w:val="auto"/>
                <w:highlight w:val="none"/>
              </w:rPr>
            </w:pPr>
          </w:p>
        </w:tc>
      </w:tr>
      <w:tr w14:paraId="69F4A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0C33ABA0">
            <w:pPr>
              <w:pStyle w:val="37"/>
              <w:adjustRightInd w:val="0"/>
              <w:spacing w:before="62" w:after="62"/>
              <w:rPr>
                <w:color w:val="auto"/>
                <w:highlight w:val="none"/>
              </w:rPr>
            </w:pPr>
            <w:r>
              <w:rPr>
                <w:color w:val="auto"/>
                <w:highlight w:val="none"/>
              </w:rPr>
              <w:t>W1</w:t>
            </w:r>
          </w:p>
        </w:tc>
        <w:tc>
          <w:tcPr>
            <w:tcW w:w="907" w:type="pct"/>
            <w:vAlign w:val="center"/>
          </w:tcPr>
          <w:p w14:paraId="354BBF31">
            <w:pPr>
              <w:pStyle w:val="37"/>
              <w:adjustRightInd w:val="0"/>
              <w:spacing w:before="62" w:after="62"/>
              <w:rPr>
                <w:color w:val="auto"/>
                <w:highlight w:val="none"/>
              </w:rPr>
            </w:pPr>
            <w:r>
              <w:rPr>
                <w:color w:val="auto"/>
                <w:highlight w:val="none"/>
              </w:rPr>
              <w:t>29.5012661</w:t>
            </w:r>
          </w:p>
        </w:tc>
        <w:tc>
          <w:tcPr>
            <w:tcW w:w="848" w:type="pct"/>
            <w:vAlign w:val="center"/>
          </w:tcPr>
          <w:p w14:paraId="35F278C4">
            <w:pPr>
              <w:pStyle w:val="37"/>
              <w:adjustRightInd w:val="0"/>
              <w:spacing w:before="62" w:after="62"/>
              <w:rPr>
                <w:color w:val="auto"/>
                <w:highlight w:val="none"/>
              </w:rPr>
            </w:pPr>
            <w:r>
              <w:rPr>
                <w:color w:val="auto"/>
                <w:highlight w:val="none"/>
              </w:rPr>
              <w:t>103.5987483</w:t>
            </w:r>
          </w:p>
        </w:tc>
        <w:tc>
          <w:tcPr>
            <w:tcW w:w="663" w:type="pct"/>
            <w:vAlign w:val="center"/>
          </w:tcPr>
          <w:p w14:paraId="320FD95C">
            <w:pPr>
              <w:pStyle w:val="37"/>
              <w:adjustRightInd w:val="0"/>
              <w:spacing w:before="62" w:after="62"/>
              <w:rPr>
                <w:color w:val="auto"/>
                <w:highlight w:val="none"/>
              </w:rPr>
            </w:pPr>
          </w:p>
        </w:tc>
        <w:tc>
          <w:tcPr>
            <w:tcW w:w="968" w:type="pct"/>
            <w:vAlign w:val="center"/>
          </w:tcPr>
          <w:p w14:paraId="25127651">
            <w:pPr>
              <w:pStyle w:val="37"/>
              <w:adjustRightInd w:val="0"/>
              <w:spacing w:before="62" w:after="62"/>
              <w:rPr>
                <w:color w:val="auto"/>
                <w:highlight w:val="none"/>
              </w:rPr>
            </w:pPr>
          </w:p>
        </w:tc>
        <w:tc>
          <w:tcPr>
            <w:tcW w:w="920" w:type="pct"/>
            <w:vAlign w:val="center"/>
          </w:tcPr>
          <w:p w14:paraId="5051B760">
            <w:pPr>
              <w:pStyle w:val="37"/>
              <w:adjustRightInd w:val="0"/>
              <w:spacing w:before="62" w:after="62"/>
              <w:rPr>
                <w:color w:val="auto"/>
                <w:highlight w:val="none"/>
              </w:rPr>
            </w:pPr>
          </w:p>
        </w:tc>
      </w:tr>
      <w:tr w14:paraId="69F9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AF6C7A2">
            <w:pPr>
              <w:pStyle w:val="37"/>
              <w:adjustRightInd w:val="0"/>
              <w:spacing w:before="62" w:after="62"/>
              <w:rPr>
                <w:color w:val="auto"/>
                <w:highlight w:val="none"/>
              </w:rPr>
            </w:pPr>
            <w:r>
              <w:rPr>
                <w:color w:val="auto"/>
                <w:highlight w:val="none"/>
              </w:rPr>
              <w:t>W2</w:t>
            </w:r>
          </w:p>
        </w:tc>
        <w:tc>
          <w:tcPr>
            <w:tcW w:w="907" w:type="pct"/>
            <w:vAlign w:val="center"/>
          </w:tcPr>
          <w:p w14:paraId="185592CE">
            <w:pPr>
              <w:pStyle w:val="37"/>
              <w:adjustRightInd w:val="0"/>
              <w:spacing w:before="62" w:after="62"/>
              <w:rPr>
                <w:color w:val="auto"/>
                <w:highlight w:val="none"/>
              </w:rPr>
            </w:pPr>
            <w:r>
              <w:rPr>
                <w:color w:val="auto"/>
                <w:highlight w:val="none"/>
              </w:rPr>
              <w:t>29.50374788</w:t>
            </w:r>
          </w:p>
        </w:tc>
        <w:tc>
          <w:tcPr>
            <w:tcW w:w="848" w:type="pct"/>
            <w:vAlign w:val="center"/>
          </w:tcPr>
          <w:p w14:paraId="25EDB38B">
            <w:pPr>
              <w:pStyle w:val="37"/>
              <w:adjustRightInd w:val="0"/>
              <w:spacing w:before="62" w:after="62"/>
              <w:rPr>
                <w:color w:val="auto"/>
                <w:highlight w:val="none"/>
              </w:rPr>
            </w:pPr>
            <w:r>
              <w:rPr>
                <w:color w:val="auto"/>
                <w:highlight w:val="none"/>
              </w:rPr>
              <w:t>103.6154628</w:t>
            </w:r>
          </w:p>
        </w:tc>
        <w:tc>
          <w:tcPr>
            <w:tcW w:w="663" w:type="pct"/>
            <w:vAlign w:val="center"/>
          </w:tcPr>
          <w:p w14:paraId="2B0D92A5">
            <w:pPr>
              <w:pStyle w:val="37"/>
              <w:adjustRightInd w:val="0"/>
              <w:spacing w:before="62" w:after="62"/>
              <w:rPr>
                <w:color w:val="auto"/>
                <w:highlight w:val="none"/>
              </w:rPr>
            </w:pPr>
          </w:p>
        </w:tc>
        <w:tc>
          <w:tcPr>
            <w:tcW w:w="968" w:type="pct"/>
            <w:vAlign w:val="center"/>
          </w:tcPr>
          <w:p w14:paraId="42BF91CB">
            <w:pPr>
              <w:pStyle w:val="37"/>
              <w:adjustRightInd w:val="0"/>
              <w:spacing w:before="62" w:after="62"/>
              <w:rPr>
                <w:color w:val="auto"/>
                <w:highlight w:val="none"/>
              </w:rPr>
            </w:pPr>
          </w:p>
        </w:tc>
        <w:tc>
          <w:tcPr>
            <w:tcW w:w="920" w:type="pct"/>
            <w:vAlign w:val="center"/>
          </w:tcPr>
          <w:p w14:paraId="4A48E805">
            <w:pPr>
              <w:pStyle w:val="37"/>
              <w:adjustRightInd w:val="0"/>
              <w:spacing w:before="62" w:after="62"/>
              <w:rPr>
                <w:color w:val="auto"/>
                <w:highlight w:val="none"/>
              </w:rPr>
            </w:pPr>
          </w:p>
        </w:tc>
      </w:tr>
      <w:tr w14:paraId="4E2D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33557011">
            <w:pPr>
              <w:pStyle w:val="37"/>
              <w:adjustRightInd w:val="0"/>
              <w:spacing w:before="62" w:after="62"/>
              <w:rPr>
                <w:color w:val="auto"/>
                <w:highlight w:val="none"/>
              </w:rPr>
            </w:pPr>
            <w:r>
              <w:rPr>
                <w:color w:val="auto"/>
                <w:highlight w:val="none"/>
              </w:rPr>
              <w:t>W3</w:t>
            </w:r>
          </w:p>
        </w:tc>
        <w:tc>
          <w:tcPr>
            <w:tcW w:w="907" w:type="pct"/>
            <w:vAlign w:val="center"/>
          </w:tcPr>
          <w:p w14:paraId="6FB8FBF0">
            <w:pPr>
              <w:pStyle w:val="37"/>
              <w:adjustRightInd w:val="0"/>
              <w:spacing w:before="62" w:after="62"/>
              <w:rPr>
                <w:color w:val="auto"/>
                <w:highlight w:val="none"/>
              </w:rPr>
            </w:pPr>
            <w:r>
              <w:rPr>
                <w:color w:val="auto"/>
                <w:highlight w:val="none"/>
              </w:rPr>
              <w:t>29.50906439</w:t>
            </w:r>
          </w:p>
        </w:tc>
        <w:tc>
          <w:tcPr>
            <w:tcW w:w="848" w:type="pct"/>
            <w:vAlign w:val="center"/>
          </w:tcPr>
          <w:p w14:paraId="26A61622">
            <w:pPr>
              <w:pStyle w:val="37"/>
              <w:adjustRightInd w:val="0"/>
              <w:spacing w:before="62" w:after="62"/>
              <w:rPr>
                <w:color w:val="auto"/>
                <w:highlight w:val="none"/>
              </w:rPr>
            </w:pPr>
            <w:r>
              <w:rPr>
                <w:color w:val="auto"/>
                <w:highlight w:val="none"/>
              </w:rPr>
              <w:t>103.6133383</w:t>
            </w:r>
          </w:p>
        </w:tc>
        <w:tc>
          <w:tcPr>
            <w:tcW w:w="663" w:type="pct"/>
            <w:vAlign w:val="center"/>
          </w:tcPr>
          <w:p w14:paraId="4CABD837">
            <w:pPr>
              <w:pStyle w:val="37"/>
              <w:adjustRightInd w:val="0"/>
              <w:spacing w:before="62" w:after="62"/>
              <w:rPr>
                <w:color w:val="auto"/>
                <w:highlight w:val="none"/>
              </w:rPr>
            </w:pPr>
          </w:p>
        </w:tc>
        <w:tc>
          <w:tcPr>
            <w:tcW w:w="968" w:type="pct"/>
            <w:vAlign w:val="center"/>
          </w:tcPr>
          <w:p w14:paraId="779282DB">
            <w:pPr>
              <w:pStyle w:val="37"/>
              <w:adjustRightInd w:val="0"/>
              <w:spacing w:before="62" w:after="62"/>
              <w:rPr>
                <w:color w:val="auto"/>
                <w:highlight w:val="none"/>
              </w:rPr>
            </w:pPr>
          </w:p>
        </w:tc>
        <w:tc>
          <w:tcPr>
            <w:tcW w:w="920" w:type="pct"/>
            <w:vAlign w:val="center"/>
          </w:tcPr>
          <w:p w14:paraId="4AB2F355">
            <w:pPr>
              <w:pStyle w:val="37"/>
              <w:adjustRightInd w:val="0"/>
              <w:spacing w:before="62" w:after="62"/>
              <w:rPr>
                <w:color w:val="auto"/>
                <w:highlight w:val="none"/>
              </w:rPr>
            </w:pPr>
          </w:p>
        </w:tc>
      </w:tr>
      <w:tr w14:paraId="731FB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53ECC77E">
            <w:pPr>
              <w:pStyle w:val="37"/>
              <w:adjustRightInd w:val="0"/>
              <w:spacing w:before="62" w:after="62"/>
              <w:rPr>
                <w:color w:val="auto"/>
                <w:highlight w:val="none"/>
              </w:rPr>
            </w:pPr>
            <w:r>
              <w:rPr>
                <w:color w:val="auto"/>
                <w:highlight w:val="none"/>
              </w:rPr>
              <w:t>W4</w:t>
            </w:r>
          </w:p>
        </w:tc>
        <w:tc>
          <w:tcPr>
            <w:tcW w:w="907" w:type="pct"/>
            <w:vAlign w:val="center"/>
          </w:tcPr>
          <w:p w14:paraId="3DAE1633">
            <w:pPr>
              <w:pStyle w:val="37"/>
              <w:adjustRightInd w:val="0"/>
              <w:spacing w:before="62" w:after="62"/>
              <w:rPr>
                <w:color w:val="auto"/>
                <w:highlight w:val="none"/>
              </w:rPr>
            </w:pPr>
            <w:r>
              <w:rPr>
                <w:color w:val="auto"/>
                <w:highlight w:val="none"/>
              </w:rPr>
              <w:t>29.50881455</w:t>
            </w:r>
          </w:p>
        </w:tc>
        <w:tc>
          <w:tcPr>
            <w:tcW w:w="848" w:type="pct"/>
            <w:vAlign w:val="center"/>
          </w:tcPr>
          <w:p w14:paraId="5A966BCE">
            <w:pPr>
              <w:pStyle w:val="37"/>
              <w:adjustRightInd w:val="0"/>
              <w:spacing w:before="62" w:after="62"/>
              <w:rPr>
                <w:color w:val="auto"/>
                <w:highlight w:val="none"/>
              </w:rPr>
            </w:pPr>
            <w:r>
              <w:rPr>
                <w:color w:val="auto"/>
                <w:highlight w:val="none"/>
              </w:rPr>
              <w:t>103.6209514</w:t>
            </w:r>
          </w:p>
        </w:tc>
        <w:tc>
          <w:tcPr>
            <w:tcW w:w="663" w:type="pct"/>
            <w:vAlign w:val="center"/>
          </w:tcPr>
          <w:p w14:paraId="57B2B066">
            <w:pPr>
              <w:pStyle w:val="37"/>
              <w:adjustRightInd w:val="0"/>
              <w:spacing w:before="62" w:after="62"/>
              <w:rPr>
                <w:color w:val="auto"/>
                <w:highlight w:val="none"/>
              </w:rPr>
            </w:pPr>
          </w:p>
        </w:tc>
        <w:tc>
          <w:tcPr>
            <w:tcW w:w="968" w:type="pct"/>
            <w:vAlign w:val="center"/>
          </w:tcPr>
          <w:p w14:paraId="7D262ED7">
            <w:pPr>
              <w:pStyle w:val="37"/>
              <w:adjustRightInd w:val="0"/>
              <w:spacing w:before="62" w:after="62"/>
              <w:rPr>
                <w:color w:val="auto"/>
                <w:highlight w:val="none"/>
              </w:rPr>
            </w:pPr>
          </w:p>
        </w:tc>
        <w:tc>
          <w:tcPr>
            <w:tcW w:w="920" w:type="pct"/>
            <w:vAlign w:val="center"/>
          </w:tcPr>
          <w:p w14:paraId="3CDFDCA0">
            <w:pPr>
              <w:pStyle w:val="37"/>
              <w:adjustRightInd w:val="0"/>
              <w:spacing w:before="62" w:after="62"/>
              <w:rPr>
                <w:color w:val="auto"/>
                <w:highlight w:val="none"/>
              </w:rPr>
            </w:pPr>
          </w:p>
        </w:tc>
      </w:tr>
      <w:tr w14:paraId="7F3A4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23A13D94">
            <w:pPr>
              <w:pStyle w:val="37"/>
              <w:adjustRightInd w:val="0"/>
              <w:spacing w:before="62" w:after="62"/>
              <w:rPr>
                <w:color w:val="auto"/>
                <w:highlight w:val="none"/>
              </w:rPr>
            </w:pPr>
            <w:r>
              <w:rPr>
                <w:color w:val="auto"/>
                <w:highlight w:val="none"/>
              </w:rPr>
              <w:t>W5</w:t>
            </w:r>
          </w:p>
        </w:tc>
        <w:tc>
          <w:tcPr>
            <w:tcW w:w="907" w:type="pct"/>
            <w:vAlign w:val="center"/>
          </w:tcPr>
          <w:p w14:paraId="7BC41554">
            <w:pPr>
              <w:pStyle w:val="37"/>
              <w:adjustRightInd w:val="0"/>
              <w:spacing w:before="62" w:after="62"/>
              <w:rPr>
                <w:color w:val="auto"/>
                <w:highlight w:val="none"/>
              </w:rPr>
            </w:pPr>
            <w:r>
              <w:rPr>
                <w:color w:val="auto"/>
                <w:highlight w:val="none"/>
              </w:rPr>
              <w:t>29.5111607</w:t>
            </w:r>
          </w:p>
        </w:tc>
        <w:tc>
          <w:tcPr>
            <w:tcW w:w="848" w:type="pct"/>
            <w:vAlign w:val="center"/>
          </w:tcPr>
          <w:p w14:paraId="2C732B0E">
            <w:pPr>
              <w:pStyle w:val="37"/>
              <w:adjustRightInd w:val="0"/>
              <w:spacing w:before="62" w:after="62"/>
              <w:rPr>
                <w:color w:val="auto"/>
                <w:highlight w:val="none"/>
              </w:rPr>
            </w:pPr>
            <w:r>
              <w:rPr>
                <w:color w:val="auto"/>
                <w:highlight w:val="none"/>
              </w:rPr>
              <w:t>103.617619</w:t>
            </w:r>
          </w:p>
        </w:tc>
        <w:tc>
          <w:tcPr>
            <w:tcW w:w="663" w:type="pct"/>
            <w:vAlign w:val="center"/>
          </w:tcPr>
          <w:p w14:paraId="59479585">
            <w:pPr>
              <w:pStyle w:val="37"/>
              <w:adjustRightInd w:val="0"/>
              <w:spacing w:before="62" w:after="62"/>
              <w:rPr>
                <w:color w:val="auto"/>
                <w:highlight w:val="none"/>
              </w:rPr>
            </w:pPr>
          </w:p>
        </w:tc>
        <w:tc>
          <w:tcPr>
            <w:tcW w:w="968" w:type="pct"/>
            <w:vAlign w:val="center"/>
          </w:tcPr>
          <w:p w14:paraId="2A3FFC90">
            <w:pPr>
              <w:pStyle w:val="37"/>
              <w:adjustRightInd w:val="0"/>
              <w:spacing w:before="62" w:after="62"/>
              <w:rPr>
                <w:color w:val="auto"/>
                <w:highlight w:val="none"/>
              </w:rPr>
            </w:pPr>
          </w:p>
        </w:tc>
        <w:tc>
          <w:tcPr>
            <w:tcW w:w="920" w:type="pct"/>
            <w:vAlign w:val="center"/>
          </w:tcPr>
          <w:p w14:paraId="73C8F3B4">
            <w:pPr>
              <w:pStyle w:val="37"/>
              <w:adjustRightInd w:val="0"/>
              <w:spacing w:before="62" w:after="62"/>
              <w:rPr>
                <w:color w:val="auto"/>
                <w:highlight w:val="none"/>
              </w:rPr>
            </w:pPr>
          </w:p>
        </w:tc>
      </w:tr>
      <w:tr w14:paraId="6152E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79C12DE5">
            <w:pPr>
              <w:pStyle w:val="37"/>
              <w:adjustRightInd w:val="0"/>
              <w:spacing w:before="62" w:after="62"/>
              <w:rPr>
                <w:color w:val="auto"/>
                <w:highlight w:val="none"/>
              </w:rPr>
            </w:pPr>
            <w:r>
              <w:rPr>
                <w:color w:val="auto"/>
                <w:highlight w:val="none"/>
              </w:rPr>
              <w:t>W6</w:t>
            </w:r>
          </w:p>
        </w:tc>
        <w:tc>
          <w:tcPr>
            <w:tcW w:w="907" w:type="pct"/>
            <w:vAlign w:val="center"/>
          </w:tcPr>
          <w:p w14:paraId="030AA501">
            <w:pPr>
              <w:pStyle w:val="37"/>
              <w:adjustRightInd w:val="0"/>
              <w:spacing w:before="62" w:after="62"/>
              <w:rPr>
                <w:color w:val="auto"/>
                <w:highlight w:val="none"/>
              </w:rPr>
            </w:pPr>
            <w:r>
              <w:rPr>
                <w:color w:val="auto"/>
                <w:highlight w:val="none"/>
              </w:rPr>
              <w:t>29.51171313</w:t>
            </w:r>
          </w:p>
        </w:tc>
        <w:tc>
          <w:tcPr>
            <w:tcW w:w="848" w:type="pct"/>
            <w:vAlign w:val="center"/>
          </w:tcPr>
          <w:p w14:paraId="4A68BFC0">
            <w:pPr>
              <w:pStyle w:val="37"/>
              <w:adjustRightInd w:val="0"/>
              <w:spacing w:before="62" w:after="62"/>
              <w:rPr>
                <w:color w:val="auto"/>
                <w:highlight w:val="none"/>
              </w:rPr>
            </w:pPr>
            <w:r>
              <w:rPr>
                <w:color w:val="auto"/>
                <w:highlight w:val="none"/>
              </w:rPr>
              <w:t>103.622558</w:t>
            </w:r>
          </w:p>
        </w:tc>
        <w:tc>
          <w:tcPr>
            <w:tcW w:w="663" w:type="pct"/>
            <w:vAlign w:val="center"/>
          </w:tcPr>
          <w:p w14:paraId="2F90FEEC">
            <w:pPr>
              <w:pStyle w:val="37"/>
              <w:adjustRightInd w:val="0"/>
              <w:spacing w:before="62" w:after="62"/>
              <w:rPr>
                <w:color w:val="auto"/>
                <w:highlight w:val="none"/>
              </w:rPr>
            </w:pPr>
          </w:p>
        </w:tc>
        <w:tc>
          <w:tcPr>
            <w:tcW w:w="968" w:type="pct"/>
            <w:vAlign w:val="center"/>
          </w:tcPr>
          <w:p w14:paraId="689069DD">
            <w:pPr>
              <w:pStyle w:val="37"/>
              <w:adjustRightInd w:val="0"/>
              <w:spacing w:before="62" w:after="62"/>
              <w:rPr>
                <w:color w:val="auto"/>
                <w:highlight w:val="none"/>
              </w:rPr>
            </w:pPr>
          </w:p>
        </w:tc>
        <w:tc>
          <w:tcPr>
            <w:tcW w:w="920" w:type="pct"/>
            <w:vAlign w:val="center"/>
          </w:tcPr>
          <w:p w14:paraId="073A4417">
            <w:pPr>
              <w:pStyle w:val="37"/>
              <w:adjustRightInd w:val="0"/>
              <w:spacing w:before="62" w:after="62"/>
              <w:rPr>
                <w:color w:val="auto"/>
                <w:highlight w:val="none"/>
              </w:rPr>
            </w:pPr>
          </w:p>
        </w:tc>
      </w:tr>
      <w:tr w14:paraId="7EFCD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43DD2225">
            <w:pPr>
              <w:pStyle w:val="37"/>
              <w:adjustRightInd w:val="0"/>
              <w:spacing w:before="62" w:after="62"/>
              <w:rPr>
                <w:color w:val="auto"/>
                <w:highlight w:val="none"/>
              </w:rPr>
            </w:pPr>
            <w:r>
              <w:rPr>
                <w:color w:val="auto"/>
                <w:highlight w:val="none"/>
              </w:rPr>
              <w:t>W7</w:t>
            </w:r>
          </w:p>
        </w:tc>
        <w:tc>
          <w:tcPr>
            <w:tcW w:w="907" w:type="pct"/>
            <w:vAlign w:val="center"/>
          </w:tcPr>
          <w:p w14:paraId="1573B6AB">
            <w:pPr>
              <w:pStyle w:val="37"/>
              <w:adjustRightInd w:val="0"/>
              <w:spacing w:before="62" w:after="62"/>
              <w:rPr>
                <w:color w:val="auto"/>
                <w:highlight w:val="none"/>
              </w:rPr>
            </w:pPr>
            <w:r>
              <w:rPr>
                <w:color w:val="auto"/>
                <w:highlight w:val="none"/>
              </w:rPr>
              <w:t>29.51254594</w:t>
            </w:r>
          </w:p>
        </w:tc>
        <w:tc>
          <w:tcPr>
            <w:tcW w:w="848" w:type="pct"/>
            <w:vAlign w:val="center"/>
          </w:tcPr>
          <w:p w14:paraId="13336DB4">
            <w:pPr>
              <w:pStyle w:val="37"/>
              <w:adjustRightInd w:val="0"/>
              <w:spacing w:before="62" w:after="62"/>
              <w:rPr>
                <w:color w:val="auto"/>
                <w:highlight w:val="none"/>
              </w:rPr>
            </w:pPr>
            <w:r>
              <w:rPr>
                <w:color w:val="auto"/>
                <w:highlight w:val="none"/>
              </w:rPr>
              <w:t>103.623718</w:t>
            </w:r>
          </w:p>
        </w:tc>
        <w:tc>
          <w:tcPr>
            <w:tcW w:w="663" w:type="pct"/>
            <w:vAlign w:val="center"/>
          </w:tcPr>
          <w:p w14:paraId="370452FB">
            <w:pPr>
              <w:pStyle w:val="37"/>
              <w:adjustRightInd w:val="0"/>
              <w:spacing w:before="62" w:after="62"/>
              <w:rPr>
                <w:color w:val="auto"/>
                <w:highlight w:val="none"/>
              </w:rPr>
            </w:pPr>
          </w:p>
        </w:tc>
        <w:tc>
          <w:tcPr>
            <w:tcW w:w="968" w:type="pct"/>
            <w:vAlign w:val="center"/>
          </w:tcPr>
          <w:p w14:paraId="3BF030B0">
            <w:pPr>
              <w:pStyle w:val="37"/>
              <w:adjustRightInd w:val="0"/>
              <w:spacing w:before="62" w:after="62"/>
              <w:rPr>
                <w:color w:val="auto"/>
                <w:highlight w:val="none"/>
              </w:rPr>
            </w:pPr>
          </w:p>
        </w:tc>
        <w:tc>
          <w:tcPr>
            <w:tcW w:w="920" w:type="pct"/>
            <w:vAlign w:val="center"/>
          </w:tcPr>
          <w:p w14:paraId="0888B10C">
            <w:pPr>
              <w:pStyle w:val="37"/>
              <w:adjustRightInd w:val="0"/>
              <w:spacing w:before="62" w:after="62"/>
              <w:rPr>
                <w:color w:val="auto"/>
                <w:highlight w:val="none"/>
              </w:rPr>
            </w:pPr>
          </w:p>
        </w:tc>
      </w:tr>
      <w:tr w14:paraId="066C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45A0E484">
            <w:pPr>
              <w:pStyle w:val="37"/>
              <w:adjustRightInd w:val="0"/>
              <w:spacing w:before="62" w:after="62"/>
              <w:rPr>
                <w:color w:val="auto"/>
                <w:highlight w:val="none"/>
              </w:rPr>
            </w:pPr>
            <w:r>
              <w:rPr>
                <w:color w:val="auto"/>
                <w:highlight w:val="none"/>
              </w:rPr>
              <w:t>W8</w:t>
            </w:r>
          </w:p>
        </w:tc>
        <w:tc>
          <w:tcPr>
            <w:tcW w:w="907" w:type="pct"/>
            <w:vAlign w:val="center"/>
          </w:tcPr>
          <w:p w14:paraId="486B684E">
            <w:pPr>
              <w:pStyle w:val="37"/>
              <w:adjustRightInd w:val="0"/>
              <w:spacing w:before="62" w:after="62"/>
              <w:rPr>
                <w:color w:val="auto"/>
                <w:highlight w:val="none"/>
              </w:rPr>
            </w:pPr>
            <w:r>
              <w:rPr>
                <w:color w:val="auto"/>
                <w:highlight w:val="none"/>
              </w:rPr>
              <w:t>29.51515978</w:t>
            </w:r>
          </w:p>
        </w:tc>
        <w:tc>
          <w:tcPr>
            <w:tcW w:w="848" w:type="pct"/>
            <w:vAlign w:val="center"/>
          </w:tcPr>
          <w:p w14:paraId="5B8D55B2">
            <w:pPr>
              <w:pStyle w:val="37"/>
              <w:adjustRightInd w:val="0"/>
              <w:spacing w:before="62" w:after="62"/>
              <w:rPr>
                <w:color w:val="auto"/>
                <w:highlight w:val="none"/>
              </w:rPr>
            </w:pPr>
            <w:r>
              <w:rPr>
                <w:color w:val="auto"/>
                <w:highlight w:val="none"/>
              </w:rPr>
              <w:t>103.6224898</w:t>
            </w:r>
          </w:p>
        </w:tc>
        <w:tc>
          <w:tcPr>
            <w:tcW w:w="663" w:type="pct"/>
            <w:vAlign w:val="center"/>
          </w:tcPr>
          <w:p w14:paraId="581D73F1">
            <w:pPr>
              <w:pStyle w:val="37"/>
              <w:adjustRightInd w:val="0"/>
              <w:spacing w:before="62" w:after="62"/>
              <w:rPr>
                <w:color w:val="auto"/>
                <w:highlight w:val="none"/>
              </w:rPr>
            </w:pPr>
          </w:p>
        </w:tc>
        <w:tc>
          <w:tcPr>
            <w:tcW w:w="968" w:type="pct"/>
            <w:vAlign w:val="center"/>
          </w:tcPr>
          <w:p w14:paraId="7CF5BC10">
            <w:pPr>
              <w:pStyle w:val="37"/>
              <w:adjustRightInd w:val="0"/>
              <w:spacing w:before="62" w:after="62"/>
              <w:rPr>
                <w:color w:val="auto"/>
                <w:highlight w:val="none"/>
              </w:rPr>
            </w:pPr>
          </w:p>
        </w:tc>
        <w:tc>
          <w:tcPr>
            <w:tcW w:w="920" w:type="pct"/>
            <w:vAlign w:val="center"/>
          </w:tcPr>
          <w:p w14:paraId="7A3CB801">
            <w:pPr>
              <w:pStyle w:val="37"/>
              <w:adjustRightInd w:val="0"/>
              <w:spacing w:before="62" w:after="62"/>
              <w:rPr>
                <w:color w:val="auto"/>
                <w:highlight w:val="none"/>
              </w:rPr>
            </w:pPr>
          </w:p>
        </w:tc>
      </w:tr>
      <w:tr w14:paraId="30C8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79E93D36">
            <w:pPr>
              <w:pStyle w:val="37"/>
              <w:adjustRightInd w:val="0"/>
              <w:spacing w:before="62" w:after="62"/>
              <w:rPr>
                <w:color w:val="auto"/>
                <w:highlight w:val="none"/>
              </w:rPr>
            </w:pPr>
            <w:r>
              <w:rPr>
                <w:color w:val="auto"/>
                <w:highlight w:val="none"/>
              </w:rPr>
              <w:t>W9</w:t>
            </w:r>
          </w:p>
        </w:tc>
        <w:tc>
          <w:tcPr>
            <w:tcW w:w="907" w:type="pct"/>
            <w:vAlign w:val="center"/>
          </w:tcPr>
          <w:p w14:paraId="03DE2FAA">
            <w:pPr>
              <w:pStyle w:val="37"/>
              <w:adjustRightInd w:val="0"/>
              <w:spacing w:before="62" w:after="62"/>
              <w:rPr>
                <w:color w:val="auto"/>
                <w:highlight w:val="none"/>
              </w:rPr>
            </w:pPr>
            <w:r>
              <w:rPr>
                <w:color w:val="auto"/>
                <w:highlight w:val="none"/>
              </w:rPr>
              <w:t>29.51406522</w:t>
            </w:r>
          </w:p>
        </w:tc>
        <w:tc>
          <w:tcPr>
            <w:tcW w:w="848" w:type="pct"/>
            <w:vAlign w:val="center"/>
          </w:tcPr>
          <w:p w14:paraId="7DD747B9">
            <w:pPr>
              <w:pStyle w:val="37"/>
              <w:adjustRightInd w:val="0"/>
              <w:spacing w:before="62" w:after="62"/>
              <w:rPr>
                <w:color w:val="auto"/>
                <w:highlight w:val="none"/>
              </w:rPr>
            </w:pPr>
            <w:r>
              <w:rPr>
                <w:color w:val="auto"/>
                <w:highlight w:val="none"/>
              </w:rPr>
              <w:t>103.6240364</w:t>
            </w:r>
          </w:p>
        </w:tc>
        <w:tc>
          <w:tcPr>
            <w:tcW w:w="663" w:type="pct"/>
            <w:vAlign w:val="center"/>
          </w:tcPr>
          <w:p w14:paraId="46E78289">
            <w:pPr>
              <w:pStyle w:val="37"/>
              <w:adjustRightInd w:val="0"/>
              <w:spacing w:before="62" w:after="62"/>
              <w:rPr>
                <w:color w:val="auto"/>
                <w:highlight w:val="none"/>
              </w:rPr>
            </w:pPr>
          </w:p>
        </w:tc>
        <w:tc>
          <w:tcPr>
            <w:tcW w:w="968" w:type="pct"/>
            <w:vAlign w:val="center"/>
          </w:tcPr>
          <w:p w14:paraId="3A87A533">
            <w:pPr>
              <w:pStyle w:val="37"/>
              <w:adjustRightInd w:val="0"/>
              <w:spacing w:before="62" w:after="62"/>
              <w:rPr>
                <w:color w:val="auto"/>
                <w:highlight w:val="none"/>
              </w:rPr>
            </w:pPr>
          </w:p>
        </w:tc>
        <w:tc>
          <w:tcPr>
            <w:tcW w:w="920" w:type="pct"/>
            <w:vAlign w:val="center"/>
          </w:tcPr>
          <w:p w14:paraId="00D970CB">
            <w:pPr>
              <w:pStyle w:val="37"/>
              <w:adjustRightInd w:val="0"/>
              <w:spacing w:before="62" w:after="62"/>
              <w:rPr>
                <w:color w:val="auto"/>
                <w:highlight w:val="none"/>
              </w:rPr>
            </w:pPr>
          </w:p>
        </w:tc>
      </w:tr>
      <w:tr w14:paraId="75C8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24213F9B">
            <w:pPr>
              <w:pStyle w:val="37"/>
              <w:adjustRightInd w:val="0"/>
              <w:spacing w:before="62" w:after="62"/>
              <w:rPr>
                <w:color w:val="auto"/>
                <w:highlight w:val="none"/>
              </w:rPr>
            </w:pPr>
            <w:r>
              <w:rPr>
                <w:color w:val="auto"/>
                <w:highlight w:val="none"/>
              </w:rPr>
              <w:t>W10</w:t>
            </w:r>
          </w:p>
        </w:tc>
        <w:tc>
          <w:tcPr>
            <w:tcW w:w="907" w:type="pct"/>
            <w:vAlign w:val="center"/>
          </w:tcPr>
          <w:p w14:paraId="2A91D7CB">
            <w:pPr>
              <w:pStyle w:val="37"/>
              <w:adjustRightInd w:val="0"/>
              <w:spacing w:before="62" w:after="62"/>
              <w:rPr>
                <w:color w:val="auto"/>
                <w:highlight w:val="none"/>
              </w:rPr>
            </w:pPr>
            <w:r>
              <w:rPr>
                <w:color w:val="auto"/>
                <w:highlight w:val="none"/>
              </w:rPr>
              <w:t>29.51304206</w:t>
            </w:r>
          </w:p>
        </w:tc>
        <w:tc>
          <w:tcPr>
            <w:tcW w:w="848" w:type="pct"/>
            <w:vAlign w:val="center"/>
          </w:tcPr>
          <w:p w14:paraId="3810449A">
            <w:pPr>
              <w:pStyle w:val="37"/>
              <w:adjustRightInd w:val="0"/>
              <w:spacing w:before="62" w:after="62"/>
              <w:rPr>
                <w:color w:val="auto"/>
                <w:highlight w:val="none"/>
              </w:rPr>
            </w:pPr>
            <w:r>
              <w:rPr>
                <w:color w:val="auto"/>
                <w:highlight w:val="none"/>
              </w:rPr>
              <w:t>103.626059</w:t>
            </w:r>
          </w:p>
        </w:tc>
        <w:tc>
          <w:tcPr>
            <w:tcW w:w="663" w:type="pct"/>
            <w:vAlign w:val="center"/>
          </w:tcPr>
          <w:p w14:paraId="63248C77">
            <w:pPr>
              <w:pStyle w:val="37"/>
              <w:adjustRightInd w:val="0"/>
              <w:spacing w:before="62" w:after="62"/>
              <w:rPr>
                <w:color w:val="auto"/>
                <w:highlight w:val="none"/>
              </w:rPr>
            </w:pPr>
          </w:p>
        </w:tc>
        <w:tc>
          <w:tcPr>
            <w:tcW w:w="968" w:type="pct"/>
            <w:vAlign w:val="center"/>
          </w:tcPr>
          <w:p w14:paraId="0C2DA287">
            <w:pPr>
              <w:pStyle w:val="37"/>
              <w:adjustRightInd w:val="0"/>
              <w:spacing w:before="62" w:after="62"/>
              <w:rPr>
                <w:color w:val="auto"/>
                <w:highlight w:val="none"/>
              </w:rPr>
            </w:pPr>
          </w:p>
        </w:tc>
        <w:tc>
          <w:tcPr>
            <w:tcW w:w="920" w:type="pct"/>
            <w:vAlign w:val="center"/>
          </w:tcPr>
          <w:p w14:paraId="4DC0BABB">
            <w:pPr>
              <w:pStyle w:val="37"/>
              <w:adjustRightInd w:val="0"/>
              <w:spacing w:before="62" w:after="62"/>
              <w:rPr>
                <w:color w:val="auto"/>
                <w:highlight w:val="none"/>
              </w:rPr>
            </w:pPr>
          </w:p>
        </w:tc>
      </w:tr>
      <w:tr w14:paraId="1457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27DB126B">
            <w:pPr>
              <w:pStyle w:val="37"/>
              <w:adjustRightInd w:val="0"/>
              <w:spacing w:before="62" w:after="62"/>
              <w:rPr>
                <w:color w:val="auto"/>
                <w:highlight w:val="none"/>
              </w:rPr>
            </w:pPr>
            <w:r>
              <w:rPr>
                <w:color w:val="auto"/>
                <w:highlight w:val="none"/>
              </w:rPr>
              <w:t>W11</w:t>
            </w:r>
          </w:p>
        </w:tc>
        <w:tc>
          <w:tcPr>
            <w:tcW w:w="907" w:type="pct"/>
            <w:vAlign w:val="center"/>
          </w:tcPr>
          <w:p w14:paraId="1A5E68F7">
            <w:pPr>
              <w:pStyle w:val="37"/>
              <w:adjustRightInd w:val="0"/>
              <w:spacing w:before="62" w:after="62"/>
              <w:rPr>
                <w:color w:val="auto"/>
                <w:highlight w:val="none"/>
              </w:rPr>
            </w:pPr>
            <w:r>
              <w:rPr>
                <w:color w:val="auto"/>
                <w:highlight w:val="none"/>
              </w:rPr>
              <w:t>29.51356554</w:t>
            </w:r>
          </w:p>
        </w:tc>
        <w:tc>
          <w:tcPr>
            <w:tcW w:w="848" w:type="pct"/>
            <w:vAlign w:val="center"/>
          </w:tcPr>
          <w:p w14:paraId="32ED9A42">
            <w:pPr>
              <w:pStyle w:val="37"/>
              <w:adjustRightInd w:val="0"/>
              <w:spacing w:before="62" w:after="62"/>
              <w:rPr>
                <w:color w:val="auto"/>
                <w:highlight w:val="none"/>
              </w:rPr>
            </w:pPr>
            <w:r>
              <w:rPr>
                <w:color w:val="auto"/>
                <w:highlight w:val="none"/>
              </w:rPr>
              <w:t>103.6292475</w:t>
            </w:r>
          </w:p>
        </w:tc>
        <w:tc>
          <w:tcPr>
            <w:tcW w:w="663" w:type="pct"/>
            <w:vAlign w:val="center"/>
          </w:tcPr>
          <w:p w14:paraId="6043973D">
            <w:pPr>
              <w:pStyle w:val="37"/>
              <w:adjustRightInd w:val="0"/>
              <w:spacing w:before="62" w:after="62"/>
              <w:rPr>
                <w:color w:val="auto"/>
                <w:highlight w:val="none"/>
              </w:rPr>
            </w:pPr>
          </w:p>
        </w:tc>
        <w:tc>
          <w:tcPr>
            <w:tcW w:w="968" w:type="pct"/>
            <w:vAlign w:val="center"/>
          </w:tcPr>
          <w:p w14:paraId="1C0DE105">
            <w:pPr>
              <w:pStyle w:val="37"/>
              <w:adjustRightInd w:val="0"/>
              <w:spacing w:before="62" w:after="62"/>
              <w:rPr>
                <w:color w:val="auto"/>
                <w:highlight w:val="none"/>
              </w:rPr>
            </w:pPr>
          </w:p>
        </w:tc>
        <w:tc>
          <w:tcPr>
            <w:tcW w:w="920" w:type="pct"/>
            <w:vAlign w:val="center"/>
          </w:tcPr>
          <w:p w14:paraId="5B7E38D5">
            <w:pPr>
              <w:pStyle w:val="37"/>
              <w:adjustRightInd w:val="0"/>
              <w:spacing w:before="62" w:after="62"/>
              <w:rPr>
                <w:color w:val="auto"/>
                <w:highlight w:val="none"/>
              </w:rPr>
            </w:pPr>
          </w:p>
        </w:tc>
      </w:tr>
      <w:tr w14:paraId="3A25B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FDFFE4B">
            <w:pPr>
              <w:pStyle w:val="37"/>
              <w:adjustRightInd w:val="0"/>
              <w:spacing w:before="62" w:after="62"/>
              <w:rPr>
                <w:color w:val="auto"/>
                <w:highlight w:val="none"/>
              </w:rPr>
            </w:pPr>
            <w:r>
              <w:rPr>
                <w:color w:val="auto"/>
                <w:highlight w:val="none"/>
              </w:rPr>
              <w:t>W12</w:t>
            </w:r>
          </w:p>
        </w:tc>
        <w:tc>
          <w:tcPr>
            <w:tcW w:w="907" w:type="pct"/>
            <w:vAlign w:val="center"/>
          </w:tcPr>
          <w:p w14:paraId="7F2B7C2D">
            <w:pPr>
              <w:pStyle w:val="37"/>
              <w:adjustRightInd w:val="0"/>
              <w:spacing w:before="62" w:after="62"/>
              <w:rPr>
                <w:color w:val="auto"/>
                <w:highlight w:val="none"/>
              </w:rPr>
            </w:pPr>
            <w:r>
              <w:rPr>
                <w:color w:val="auto"/>
                <w:highlight w:val="none"/>
              </w:rPr>
              <w:t>29.51458871</w:t>
            </w:r>
          </w:p>
        </w:tc>
        <w:tc>
          <w:tcPr>
            <w:tcW w:w="848" w:type="pct"/>
            <w:vAlign w:val="center"/>
          </w:tcPr>
          <w:p w14:paraId="4247D125">
            <w:pPr>
              <w:pStyle w:val="37"/>
              <w:adjustRightInd w:val="0"/>
              <w:spacing w:before="62" w:after="62"/>
              <w:rPr>
                <w:color w:val="auto"/>
                <w:highlight w:val="none"/>
              </w:rPr>
            </w:pPr>
            <w:r>
              <w:rPr>
                <w:color w:val="auto"/>
                <w:highlight w:val="none"/>
              </w:rPr>
              <w:t>103.630342</w:t>
            </w:r>
          </w:p>
        </w:tc>
        <w:tc>
          <w:tcPr>
            <w:tcW w:w="663" w:type="pct"/>
            <w:vAlign w:val="center"/>
          </w:tcPr>
          <w:p w14:paraId="582F4996">
            <w:pPr>
              <w:pStyle w:val="37"/>
              <w:adjustRightInd w:val="0"/>
              <w:spacing w:before="62" w:after="62"/>
              <w:rPr>
                <w:color w:val="auto"/>
                <w:highlight w:val="none"/>
              </w:rPr>
            </w:pPr>
          </w:p>
        </w:tc>
        <w:tc>
          <w:tcPr>
            <w:tcW w:w="968" w:type="pct"/>
            <w:vAlign w:val="center"/>
          </w:tcPr>
          <w:p w14:paraId="2926F4D5">
            <w:pPr>
              <w:pStyle w:val="37"/>
              <w:adjustRightInd w:val="0"/>
              <w:spacing w:before="62" w:after="62"/>
              <w:rPr>
                <w:color w:val="auto"/>
                <w:highlight w:val="none"/>
              </w:rPr>
            </w:pPr>
          </w:p>
        </w:tc>
        <w:tc>
          <w:tcPr>
            <w:tcW w:w="920" w:type="pct"/>
            <w:vAlign w:val="center"/>
          </w:tcPr>
          <w:p w14:paraId="568B5416">
            <w:pPr>
              <w:pStyle w:val="37"/>
              <w:adjustRightInd w:val="0"/>
              <w:spacing w:before="62" w:after="62"/>
              <w:rPr>
                <w:color w:val="auto"/>
                <w:highlight w:val="none"/>
              </w:rPr>
            </w:pPr>
          </w:p>
        </w:tc>
      </w:tr>
      <w:tr w14:paraId="02A2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552FDCAD">
            <w:pPr>
              <w:pStyle w:val="37"/>
              <w:adjustRightInd w:val="0"/>
              <w:spacing w:before="62" w:after="62"/>
              <w:rPr>
                <w:color w:val="auto"/>
                <w:highlight w:val="none"/>
              </w:rPr>
            </w:pPr>
            <w:r>
              <w:rPr>
                <w:color w:val="auto"/>
                <w:highlight w:val="none"/>
              </w:rPr>
              <w:t>W13</w:t>
            </w:r>
          </w:p>
        </w:tc>
        <w:tc>
          <w:tcPr>
            <w:tcW w:w="907" w:type="pct"/>
            <w:vAlign w:val="center"/>
          </w:tcPr>
          <w:p w14:paraId="2831B084">
            <w:pPr>
              <w:pStyle w:val="37"/>
              <w:adjustRightInd w:val="0"/>
              <w:spacing w:before="62" w:after="62"/>
              <w:rPr>
                <w:color w:val="auto"/>
                <w:highlight w:val="none"/>
              </w:rPr>
            </w:pPr>
            <w:r>
              <w:rPr>
                <w:color w:val="auto"/>
                <w:highlight w:val="none"/>
              </w:rPr>
              <w:t>29.5159212</w:t>
            </w:r>
          </w:p>
        </w:tc>
        <w:tc>
          <w:tcPr>
            <w:tcW w:w="848" w:type="pct"/>
            <w:vAlign w:val="center"/>
          </w:tcPr>
          <w:p w14:paraId="154D7F5D">
            <w:pPr>
              <w:pStyle w:val="37"/>
              <w:adjustRightInd w:val="0"/>
              <w:spacing w:before="62" w:after="62"/>
              <w:rPr>
                <w:color w:val="auto"/>
                <w:highlight w:val="none"/>
              </w:rPr>
            </w:pPr>
            <w:r>
              <w:rPr>
                <w:color w:val="auto"/>
                <w:highlight w:val="none"/>
              </w:rPr>
              <w:t>103.6310796</w:t>
            </w:r>
          </w:p>
        </w:tc>
        <w:tc>
          <w:tcPr>
            <w:tcW w:w="663" w:type="pct"/>
            <w:vAlign w:val="center"/>
          </w:tcPr>
          <w:p w14:paraId="591BCA3B">
            <w:pPr>
              <w:pStyle w:val="37"/>
              <w:adjustRightInd w:val="0"/>
              <w:spacing w:before="62" w:after="62"/>
              <w:rPr>
                <w:color w:val="auto"/>
                <w:highlight w:val="none"/>
              </w:rPr>
            </w:pPr>
          </w:p>
        </w:tc>
        <w:tc>
          <w:tcPr>
            <w:tcW w:w="968" w:type="pct"/>
            <w:vAlign w:val="center"/>
          </w:tcPr>
          <w:p w14:paraId="1A2A2329">
            <w:pPr>
              <w:pStyle w:val="37"/>
              <w:adjustRightInd w:val="0"/>
              <w:spacing w:before="62" w:after="62"/>
              <w:rPr>
                <w:color w:val="auto"/>
                <w:highlight w:val="none"/>
              </w:rPr>
            </w:pPr>
          </w:p>
        </w:tc>
        <w:tc>
          <w:tcPr>
            <w:tcW w:w="920" w:type="pct"/>
            <w:vAlign w:val="center"/>
          </w:tcPr>
          <w:p w14:paraId="5D939AAF">
            <w:pPr>
              <w:pStyle w:val="37"/>
              <w:adjustRightInd w:val="0"/>
              <w:spacing w:before="62" w:after="62"/>
              <w:rPr>
                <w:color w:val="auto"/>
                <w:highlight w:val="none"/>
              </w:rPr>
            </w:pPr>
          </w:p>
        </w:tc>
      </w:tr>
      <w:tr w14:paraId="7384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1DF2B6F5">
            <w:pPr>
              <w:pStyle w:val="37"/>
              <w:adjustRightInd w:val="0"/>
              <w:spacing w:before="62" w:after="62"/>
              <w:rPr>
                <w:color w:val="auto"/>
                <w:highlight w:val="none"/>
              </w:rPr>
            </w:pPr>
            <w:r>
              <w:rPr>
                <w:color w:val="auto"/>
                <w:highlight w:val="none"/>
              </w:rPr>
              <w:t>W14</w:t>
            </w:r>
          </w:p>
        </w:tc>
        <w:tc>
          <w:tcPr>
            <w:tcW w:w="907" w:type="pct"/>
            <w:vAlign w:val="center"/>
          </w:tcPr>
          <w:p w14:paraId="03618F14">
            <w:pPr>
              <w:pStyle w:val="37"/>
              <w:adjustRightInd w:val="0"/>
              <w:spacing w:before="62" w:after="62"/>
              <w:rPr>
                <w:color w:val="auto"/>
                <w:highlight w:val="none"/>
              </w:rPr>
            </w:pPr>
            <w:r>
              <w:rPr>
                <w:color w:val="auto"/>
                <w:highlight w:val="none"/>
              </w:rPr>
              <w:t>29.51772959</w:t>
            </w:r>
          </w:p>
        </w:tc>
        <w:tc>
          <w:tcPr>
            <w:tcW w:w="848" w:type="pct"/>
            <w:vAlign w:val="center"/>
          </w:tcPr>
          <w:p w14:paraId="50BAB3FA">
            <w:pPr>
              <w:pStyle w:val="37"/>
              <w:adjustRightInd w:val="0"/>
              <w:spacing w:before="62" w:after="62"/>
              <w:rPr>
                <w:color w:val="auto"/>
                <w:highlight w:val="none"/>
              </w:rPr>
            </w:pPr>
            <w:r>
              <w:rPr>
                <w:color w:val="auto"/>
                <w:highlight w:val="none"/>
              </w:rPr>
              <w:t>103.6299851</w:t>
            </w:r>
          </w:p>
        </w:tc>
        <w:tc>
          <w:tcPr>
            <w:tcW w:w="663" w:type="pct"/>
            <w:vAlign w:val="center"/>
          </w:tcPr>
          <w:p w14:paraId="25976320">
            <w:pPr>
              <w:pStyle w:val="37"/>
              <w:adjustRightInd w:val="0"/>
              <w:spacing w:before="62" w:after="62"/>
              <w:rPr>
                <w:color w:val="auto"/>
                <w:highlight w:val="none"/>
              </w:rPr>
            </w:pPr>
          </w:p>
        </w:tc>
        <w:tc>
          <w:tcPr>
            <w:tcW w:w="968" w:type="pct"/>
            <w:vAlign w:val="center"/>
          </w:tcPr>
          <w:p w14:paraId="3BC28C48">
            <w:pPr>
              <w:pStyle w:val="37"/>
              <w:adjustRightInd w:val="0"/>
              <w:spacing w:before="62" w:after="62"/>
              <w:rPr>
                <w:color w:val="auto"/>
                <w:highlight w:val="none"/>
              </w:rPr>
            </w:pPr>
          </w:p>
        </w:tc>
        <w:tc>
          <w:tcPr>
            <w:tcW w:w="920" w:type="pct"/>
            <w:vAlign w:val="center"/>
          </w:tcPr>
          <w:p w14:paraId="318C6ED7">
            <w:pPr>
              <w:pStyle w:val="37"/>
              <w:adjustRightInd w:val="0"/>
              <w:spacing w:before="62" w:after="62"/>
              <w:rPr>
                <w:color w:val="auto"/>
                <w:highlight w:val="none"/>
              </w:rPr>
            </w:pPr>
          </w:p>
        </w:tc>
      </w:tr>
    </w:tbl>
    <w:p w14:paraId="4CE89620">
      <w:pPr>
        <w:adjustRightInd w:val="0"/>
        <w:ind w:firstLine="480"/>
        <w:rPr>
          <w:color w:val="auto"/>
          <w:highlight w:val="none"/>
        </w:rPr>
      </w:pPr>
      <w:r>
        <w:rPr>
          <w:rFonts w:hint="eastAsia"/>
          <w:color w:val="auto"/>
          <w:highlight w:val="none"/>
        </w:rPr>
        <w:t>2025年9月，本项目丰水期地下水水位调查结果如下：</w:t>
      </w:r>
    </w:p>
    <w:p w14:paraId="11D43526">
      <w:pPr>
        <w:pStyle w:val="12"/>
        <w:adjustRightInd w:val="0"/>
        <w:rPr>
          <w:rFonts w:ascii="宋体" w:hAnsi="宋体" w:cs="宋体"/>
          <w:color w:val="auto"/>
          <w:kern w:val="0"/>
          <w:sz w:val="20"/>
          <w:szCs w:val="28"/>
          <w:highlight w:val="none"/>
        </w:rPr>
      </w:pPr>
      <w:r>
        <w:rPr>
          <w:color w:val="auto"/>
          <w:highlight w:val="none"/>
        </w:rPr>
        <w:t xml:space="preserve">表 </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4</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kern w:val="0"/>
          <w:sz w:val="20"/>
          <w:szCs w:val="28"/>
          <w:highlight w:val="none"/>
        </w:rPr>
        <w:t>地下水水位调查结果一览表（丰水期）</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6"/>
        <w:gridCol w:w="1643"/>
        <w:gridCol w:w="1535"/>
        <w:gridCol w:w="1201"/>
        <w:gridCol w:w="1754"/>
        <w:gridCol w:w="1667"/>
      </w:tblGrid>
      <w:tr w14:paraId="7E4F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3" w:type="pct"/>
            <w:vMerge w:val="restart"/>
            <w:vAlign w:val="center"/>
          </w:tcPr>
          <w:p w14:paraId="1507BF62">
            <w:pPr>
              <w:pStyle w:val="37"/>
              <w:adjustRightInd w:val="0"/>
              <w:spacing w:before="62" w:after="62"/>
              <w:rPr>
                <w:b/>
                <w:bCs/>
                <w:color w:val="auto"/>
                <w:highlight w:val="none"/>
              </w:rPr>
            </w:pPr>
            <w:r>
              <w:rPr>
                <w:rFonts w:hint="eastAsia"/>
                <w:b/>
                <w:bCs/>
                <w:color w:val="auto"/>
                <w:highlight w:val="none"/>
              </w:rPr>
              <w:t>分散式水源地序号</w:t>
            </w:r>
          </w:p>
        </w:tc>
        <w:tc>
          <w:tcPr>
            <w:tcW w:w="1754" w:type="pct"/>
            <w:gridSpan w:val="2"/>
            <w:vAlign w:val="center"/>
          </w:tcPr>
          <w:p w14:paraId="6545DE81">
            <w:pPr>
              <w:pStyle w:val="37"/>
              <w:adjustRightInd w:val="0"/>
              <w:spacing w:before="62" w:after="62"/>
              <w:rPr>
                <w:b/>
                <w:bCs/>
                <w:color w:val="auto"/>
                <w:highlight w:val="none"/>
              </w:rPr>
            </w:pPr>
            <w:r>
              <w:rPr>
                <w:rFonts w:hint="eastAsia"/>
                <w:b/>
                <w:bCs/>
                <w:color w:val="auto"/>
                <w:highlight w:val="none"/>
              </w:rPr>
              <w:t>坐标</w:t>
            </w:r>
          </w:p>
        </w:tc>
        <w:tc>
          <w:tcPr>
            <w:tcW w:w="663" w:type="pct"/>
            <w:vMerge w:val="restart"/>
            <w:vAlign w:val="center"/>
          </w:tcPr>
          <w:p w14:paraId="4475D4C7">
            <w:pPr>
              <w:pStyle w:val="37"/>
              <w:adjustRightInd w:val="0"/>
              <w:spacing w:before="62" w:after="62"/>
              <w:rPr>
                <w:b/>
                <w:bCs/>
                <w:color w:val="auto"/>
                <w:highlight w:val="none"/>
              </w:rPr>
            </w:pPr>
            <w:r>
              <w:rPr>
                <w:rFonts w:hint="eastAsia"/>
                <w:b/>
                <w:bCs/>
                <w:color w:val="auto"/>
                <w:highlight w:val="none"/>
              </w:rPr>
              <w:t>埋深（m）</w:t>
            </w:r>
          </w:p>
        </w:tc>
        <w:tc>
          <w:tcPr>
            <w:tcW w:w="968" w:type="pct"/>
            <w:vMerge w:val="restart"/>
            <w:vAlign w:val="center"/>
          </w:tcPr>
          <w:p w14:paraId="7770AEEE">
            <w:pPr>
              <w:pStyle w:val="37"/>
              <w:adjustRightInd w:val="0"/>
              <w:spacing w:before="62" w:after="62"/>
              <w:rPr>
                <w:b/>
                <w:bCs/>
                <w:color w:val="auto"/>
                <w:highlight w:val="none"/>
              </w:rPr>
            </w:pPr>
            <w:r>
              <w:rPr>
                <w:rFonts w:hint="eastAsia"/>
                <w:b/>
                <w:bCs/>
                <w:color w:val="auto"/>
                <w:highlight w:val="none"/>
              </w:rPr>
              <w:t>地表高程（m）</w:t>
            </w:r>
          </w:p>
        </w:tc>
        <w:tc>
          <w:tcPr>
            <w:tcW w:w="920" w:type="pct"/>
            <w:vMerge w:val="restart"/>
            <w:vAlign w:val="center"/>
          </w:tcPr>
          <w:p w14:paraId="38F3DC18">
            <w:pPr>
              <w:pStyle w:val="37"/>
              <w:adjustRightInd w:val="0"/>
              <w:spacing w:before="62" w:after="62"/>
              <w:rPr>
                <w:b/>
                <w:bCs/>
                <w:color w:val="auto"/>
                <w:highlight w:val="none"/>
              </w:rPr>
            </w:pPr>
            <w:r>
              <w:rPr>
                <w:rFonts w:hint="eastAsia"/>
                <w:b/>
                <w:bCs/>
                <w:color w:val="auto"/>
                <w:highlight w:val="none"/>
              </w:rPr>
              <w:t>水位高程（m）</w:t>
            </w:r>
          </w:p>
        </w:tc>
      </w:tr>
      <w:tr w14:paraId="0EDD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93" w:type="pct"/>
            <w:vMerge w:val="continue"/>
            <w:vAlign w:val="center"/>
          </w:tcPr>
          <w:p w14:paraId="4441F8C3">
            <w:pPr>
              <w:pStyle w:val="37"/>
              <w:adjustRightInd w:val="0"/>
              <w:spacing w:before="62" w:after="62"/>
              <w:rPr>
                <w:color w:val="auto"/>
                <w:highlight w:val="none"/>
              </w:rPr>
            </w:pPr>
          </w:p>
        </w:tc>
        <w:tc>
          <w:tcPr>
            <w:tcW w:w="907" w:type="pct"/>
            <w:vAlign w:val="center"/>
          </w:tcPr>
          <w:p w14:paraId="31F1267C">
            <w:pPr>
              <w:pStyle w:val="37"/>
              <w:adjustRightInd w:val="0"/>
              <w:spacing w:before="62" w:after="62"/>
              <w:rPr>
                <w:b/>
                <w:bCs/>
                <w:color w:val="auto"/>
                <w:highlight w:val="none"/>
              </w:rPr>
            </w:pPr>
            <w:r>
              <w:rPr>
                <w:rFonts w:hint="eastAsia"/>
                <w:b/>
                <w:bCs/>
                <w:color w:val="auto"/>
                <w:highlight w:val="none"/>
              </w:rPr>
              <w:t>E</w:t>
            </w:r>
          </w:p>
        </w:tc>
        <w:tc>
          <w:tcPr>
            <w:tcW w:w="846" w:type="pct"/>
            <w:vAlign w:val="center"/>
          </w:tcPr>
          <w:p w14:paraId="0B5E2E21">
            <w:pPr>
              <w:pStyle w:val="37"/>
              <w:adjustRightInd w:val="0"/>
              <w:spacing w:before="62" w:after="62"/>
              <w:rPr>
                <w:b/>
                <w:bCs/>
                <w:color w:val="auto"/>
                <w:highlight w:val="none"/>
              </w:rPr>
            </w:pPr>
            <w:r>
              <w:rPr>
                <w:rFonts w:hint="eastAsia"/>
                <w:b/>
                <w:bCs/>
                <w:color w:val="auto"/>
                <w:highlight w:val="none"/>
              </w:rPr>
              <w:t>N</w:t>
            </w:r>
          </w:p>
        </w:tc>
        <w:tc>
          <w:tcPr>
            <w:tcW w:w="663" w:type="pct"/>
            <w:vMerge w:val="continue"/>
            <w:vAlign w:val="center"/>
          </w:tcPr>
          <w:p w14:paraId="371C5B9D">
            <w:pPr>
              <w:pStyle w:val="37"/>
              <w:adjustRightInd w:val="0"/>
              <w:spacing w:before="62" w:after="62"/>
              <w:rPr>
                <w:color w:val="auto"/>
                <w:highlight w:val="none"/>
              </w:rPr>
            </w:pPr>
          </w:p>
        </w:tc>
        <w:tc>
          <w:tcPr>
            <w:tcW w:w="968" w:type="pct"/>
            <w:vMerge w:val="continue"/>
            <w:vAlign w:val="center"/>
          </w:tcPr>
          <w:p w14:paraId="55F375A5">
            <w:pPr>
              <w:pStyle w:val="37"/>
              <w:adjustRightInd w:val="0"/>
              <w:spacing w:before="62" w:after="62"/>
              <w:rPr>
                <w:color w:val="auto"/>
                <w:highlight w:val="none"/>
              </w:rPr>
            </w:pPr>
          </w:p>
        </w:tc>
        <w:tc>
          <w:tcPr>
            <w:tcW w:w="920" w:type="pct"/>
            <w:vMerge w:val="continue"/>
            <w:vAlign w:val="center"/>
          </w:tcPr>
          <w:p w14:paraId="77F50C16">
            <w:pPr>
              <w:pStyle w:val="37"/>
              <w:adjustRightInd w:val="0"/>
              <w:spacing w:before="62" w:after="62"/>
              <w:rPr>
                <w:color w:val="auto"/>
                <w:highlight w:val="none"/>
              </w:rPr>
            </w:pPr>
          </w:p>
        </w:tc>
      </w:tr>
      <w:tr w14:paraId="064EF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6E98ABC">
            <w:pPr>
              <w:pStyle w:val="37"/>
              <w:adjustRightInd w:val="0"/>
              <w:spacing w:before="62" w:after="62"/>
              <w:rPr>
                <w:color w:val="auto"/>
                <w:highlight w:val="none"/>
              </w:rPr>
            </w:pPr>
            <w:r>
              <w:rPr>
                <w:color w:val="auto"/>
                <w:highlight w:val="none"/>
              </w:rPr>
              <w:t>W1</w:t>
            </w:r>
          </w:p>
        </w:tc>
        <w:tc>
          <w:tcPr>
            <w:tcW w:w="907" w:type="pct"/>
            <w:vAlign w:val="center"/>
          </w:tcPr>
          <w:p w14:paraId="287C4BBB">
            <w:pPr>
              <w:pStyle w:val="37"/>
              <w:adjustRightInd w:val="0"/>
              <w:spacing w:before="62" w:after="62"/>
              <w:rPr>
                <w:color w:val="auto"/>
                <w:highlight w:val="none"/>
              </w:rPr>
            </w:pPr>
            <w:r>
              <w:rPr>
                <w:color w:val="auto"/>
                <w:highlight w:val="none"/>
              </w:rPr>
              <w:t>29.5012661</w:t>
            </w:r>
          </w:p>
        </w:tc>
        <w:tc>
          <w:tcPr>
            <w:tcW w:w="846" w:type="pct"/>
            <w:vAlign w:val="center"/>
          </w:tcPr>
          <w:p w14:paraId="4371FAF5">
            <w:pPr>
              <w:pStyle w:val="37"/>
              <w:adjustRightInd w:val="0"/>
              <w:spacing w:before="62" w:after="62"/>
              <w:rPr>
                <w:color w:val="auto"/>
                <w:highlight w:val="none"/>
              </w:rPr>
            </w:pPr>
            <w:r>
              <w:rPr>
                <w:color w:val="auto"/>
                <w:highlight w:val="none"/>
              </w:rPr>
              <w:t>103.5987483</w:t>
            </w:r>
          </w:p>
        </w:tc>
        <w:tc>
          <w:tcPr>
            <w:tcW w:w="663" w:type="pct"/>
            <w:vAlign w:val="center"/>
          </w:tcPr>
          <w:p w14:paraId="06B5616C">
            <w:pPr>
              <w:pStyle w:val="37"/>
              <w:adjustRightInd w:val="0"/>
              <w:spacing w:before="62" w:after="62"/>
              <w:rPr>
                <w:color w:val="auto"/>
                <w:highlight w:val="none"/>
              </w:rPr>
            </w:pPr>
          </w:p>
        </w:tc>
        <w:tc>
          <w:tcPr>
            <w:tcW w:w="968" w:type="pct"/>
            <w:vAlign w:val="center"/>
          </w:tcPr>
          <w:p w14:paraId="77672C98">
            <w:pPr>
              <w:pStyle w:val="37"/>
              <w:adjustRightInd w:val="0"/>
              <w:spacing w:before="62" w:after="62"/>
              <w:rPr>
                <w:color w:val="auto"/>
                <w:highlight w:val="none"/>
              </w:rPr>
            </w:pPr>
          </w:p>
        </w:tc>
        <w:tc>
          <w:tcPr>
            <w:tcW w:w="920" w:type="pct"/>
            <w:vAlign w:val="center"/>
          </w:tcPr>
          <w:p w14:paraId="4C26C48B">
            <w:pPr>
              <w:pStyle w:val="37"/>
              <w:adjustRightInd w:val="0"/>
              <w:spacing w:before="62" w:after="62"/>
              <w:rPr>
                <w:color w:val="auto"/>
                <w:highlight w:val="none"/>
              </w:rPr>
            </w:pPr>
          </w:p>
        </w:tc>
      </w:tr>
      <w:tr w14:paraId="0F6B9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1E44ACC6">
            <w:pPr>
              <w:pStyle w:val="37"/>
              <w:adjustRightInd w:val="0"/>
              <w:spacing w:before="62" w:after="62"/>
              <w:rPr>
                <w:color w:val="auto"/>
                <w:highlight w:val="none"/>
              </w:rPr>
            </w:pPr>
            <w:r>
              <w:rPr>
                <w:color w:val="auto"/>
                <w:highlight w:val="none"/>
              </w:rPr>
              <w:t>W2</w:t>
            </w:r>
          </w:p>
        </w:tc>
        <w:tc>
          <w:tcPr>
            <w:tcW w:w="907" w:type="pct"/>
            <w:vAlign w:val="center"/>
          </w:tcPr>
          <w:p w14:paraId="4BA4F388">
            <w:pPr>
              <w:pStyle w:val="37"/>
              <w:adjustRightInd w:val="0"/>
              <w:spacing w:before="62" w:after="62"/>
              <w:rPr>
                <w:color w:val="auto"/>
                <w:highlight w:val="none"/>
              </w:rPr>
            </w:pPr>
            <w:r>
              <w:rPr>
                <w:color w:val="auto"/>
                <w:highlight w:val="none"/>
              </w:rPr>
              <w:t>29.50374788</w:t>
            </w:r>
          </w:p>
        </w:tc>
        <w:tc>
          <w:tcPr>
            <w:tcW w:w="846" w:type="pct"/>
            <w:vAlign w:val="center"/>
          </w:tcPr>
          <w:p w14:paraId="121F8CD0">
            <w:pPr>
              <w:pStyle w:val="37"/>
              <w:adjustRightInd w:val="0"/>
              <w:spacing w:before="62" w:after="62"/>
              <w:rPr>
                <w:color w:val="auto"/>
                <w:highlight w:val="none"/>
              </w:rPr>
            </w:pPr>
            <w:r>
              <w:rPr>
                <w:color w:val="auto"/>
                <w:highlight w:val="none"/>
              </w:rPr>
              <w:t>103.6154628</w:t>
            </w:r>
          </w:p>
        </w:tc>
        <w:tc>
          <w:tcPr>
            <w:tcW w:w="663" w:type="pct"/>
            <w:vAlign w:val="center"/>
          </w:tcPr>
          <w:p w14:paraId="5F69CA52">
            <w:pPr>
              <w:pStyle w:val="37"/>
              <w:adjustRightInd w:val="0"/>
              <w:spacing w:before="62" w:after="62"/>
              <w:rPr>
                <w:color w:val="auto"/>
                <w:highlight w:val="none"/>
              </w:rPr>
            </w:pPr>
          </w:p>
        </w:tc>
        <w:tc>
          <w:tcPr>
            <w:tcW w:w="968" w:type="pct"/>
            <w:vAlign w:val="center"/>
          </w:tcPr>
          <w:p w14:paraId="7883A5EB">
            <w:pPr>
              <w:pStyle w:val="37"/>
              <w:adjustRightInd w:val="0"/>
              <w:spacing w:before="62" w:after="62"/>
              <w:rPr>
                <w:color w:val="auto"/>
                <w:highlight w:val="none"/>
              </w:rPr>
            </w:pPr>
          </w:p>
        </w:tc>
        <w:tc>
          <w:tcPr>
            <w:tcW w:w="920" w:type="pct"/>
            <w:vAlign w:val="center"/>
          </w:tcPr>
          <w:p w14:paraId="6D812B6B">
            <w:pPr>
              <w:pStyle w:val="37"/>
              <w:adjustRightInd w:val="0"/>
              <w:spacing w:before="62" w:after="62"/>
              <w:rPr>
                <w:color w:val="auto"/>
                <w:highlight w:val="none"/>
              </w:rPr>
            </w:pPr>
          </w:p>
        </w:tc>
      </w:tr>
      <w:tr w14:paraId="128A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2E558716">
            <w:pPr>
              <w:pStyle w:val="37"/>
              <w:adjustRightInd w:val="0"/>
              <w:spacing w:before="62" w:after="62"/>
              <w:rPr>
                <w:color w:val="auto"/>
                <w:highlight w:val="none"/>
              </w:rPr>
            </w:pPr>
            <w:r>
              <w:rPr>
                <w:color w:val="auto"/>
                <w:highlight w:val="none"/>
              </w:rPr>
              <w:t>W3</w:t>
            </w:r>
          </w:p>
        </w:tc>
        <w:tc>
          <w:tcPr>
            <w:tcW w:w="907" w:type="pct"/>
            <w:vAlign w:val="center"/>
          </w:tcPr>
          <w:p w14:paraId="222C0FF1">
            <w:pPr>
              <w:pStyle w:val="37"/>
              <w:adjustRightInd w:val="0"/>
              <w:spacing w:before="62" w:after="62"/>
              <w:rPr>
                <w:color w:val="auto"/>
                <w:highlight w:val="none"/>
              </w:rPr>
            </w:pPr>
            <w:r>
              <w:rPr>
                <w:color w:val="auto"/>
                <w:highlight w:val="none"/>
              </w:rPr>
              <w:t>29.50906439</w:t>
            </w:r>
          </w:p>
        </w:tc>
        <w:tc>
          <w:tcPr>
            <w:tcW w:w="846" w:type="pct"/>
            <w:vAlign w:val="center"/>
          </w:tcPr>
          <w:p w14:paraId="0F6C45D4">
            <w:pPr>
              <w:pStyle w:val="37"/>
              <w:adjustRightInd w:val="0"/>
              <w:spacing w:before="62" w:after="62"/>
              <w:rPr>
                <w:color w:val="auto"/>
                <w:highlight w:val="none"/>
              </w:rPr>
            </w:pPr>
            <w:r>
              <w:rPr>
                <w:color w:val="auto"/>
                <w:highlight w:val="none"/>
              </w:rPr>
              <w:t>103.6133383</w:t>
            </w:r>
          </w:p>
        </w:tc>
        <w:tc>
          <w:tcPr>
            <w:tcW w:w="663" w:type="pct"/>
            <w:vAlign w:val="center"/>
          </w:tcPr>
          <w:p w14:paraId="47BF8F1C">
            <w:pPr>
              <w:pStyle w:val="37"/>
              <w:adjustRightInd w:val="0"/>
              <w:spacing w:before="62" w:after="62"/>
              <w:rPr>
                <w:color w:val="auto"/>
                <w:highlight w:val="none"/>
              </w:rPr>
            </w:pPr>
          </w:p>
        </w:tc>
        <w:tc>
          <w:tcPr>
            <w:tcW w:w="968" w:type="pct"/>
            <w:vAlign w:val="center"/>
          </w:tcPr>
          <w:p w14:paraId="1AE20EC0">
            <w:pPr>
              <w:pStyle w:val="37"/>
              <w:adjustRightInd w:val="0"/>
              <w:spacing w:before="62" w:after="62"/>
              <w:rPr>
                <w:color w:val="auto"/>
                <w:highlight w:val="none"/>
              </w:rPr>
            </w:pPr>
          </w:p>
        </w:tc>
        <w:tc>
          <w:tcPr>
            <w:tcW w:w="920" w:type="pct"/>
            <w:vAlign w:val="center"/>
          </w:tcPr>
          <w:p w14:paraId="6D5C8C9A">
            <w:pPr>
              <w:pStyle w:val="37"/>
              <w:adjustRightInd w:val="0"/>
              <w:spacing w:before="62" w:after="62"/>
              <w:rPr>
                <w:color w:val="auto"/>
                <w:highlight w:val="none"/>
              </w:rPr>
            </w:pPr>
          </w:p>
        </w:tc>
      </w:tr>
      <w:tr w14:paraId="52E6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73E45950">
            <w:pPr>
              <w:pStyle w:val="37"/>
              <w:adjustRightInd w:val="0"/>
              <w:spacing w:before="62" w:after="62"/>
              <w:rPr>
                <w:color w:val="auto"/>
                <w:highlight w:val="none"/>
              </w:rPr>
            </w:pPr>
            <w:r>
              <w:rPr>
                <w:color w:val="auto"/>
                <w:highlight w:val="none"/>
              </w:rPr>
              <w:t>W4</w:t>
            </w:r>
          </w:p>
        </w:tc>
        <w:tc>
          <w:tcPr>
            <w:tcW w:w="907" w:type="pct"/>
            <w:vAlign w:val="center"/>
          </w:tcPr>
          <w:p w14:paraId="1A434082">
            <w:pPr>
              <w:pStyle w:val="37"/>
              <w:adjustRightInd w:val="0"/>
              <w:spacing w:before="62" w:after="62"/>
              <w:rPr>
                <w:color w:val="auto"/>
                <w:highlight w:val="none"/>
              </w:rPr>
            </w:pPr>
            <w:r>
              <w:rPr>
                <w:color w:val="auto"/>
                <w:highlight w:val="none"/>
              </w:rPr>
              <w:t>29.50881455</w:t>
            </w:r>
          </w:p>
        </w:tc>
        <w:tc>
          <w:tcPr>
            <w:tcW w:w="846" w:type="pct"/>
            <w:vAlign w:val="center"/>
          </w:tcPr>
          <w:p w14:paraId="210E8B2D">
            <w:pPr>
              <w:pStyle w:val="37"/>
              <w:adjustRightInd w:val="0"/>
              <w:spacing w:before="62" w:after="62"/>
              <w:rPr>
                <w:color w:val="auto"/>
                <w:highlight w:val="none"/>
              </w:rPr>
            </w:pPr>
            <w:r>
              <w:rPr>
                <w:color w:val="auto"/>
                <w:highlight w:val="none"/>
              </w:rPr>
              <w:t>103.6209514</w:t>
            </w:r>
          </w:p>
        </w:tc>
        <w:tc>
          <w:tcPr>
            <w:tcW w:w="663" w:type="pct"/>
            <w:vAlign w:val="center"/>
          </w:tcPr>
          <w:p w14:paraId="45FE0FEB">
            <w:pPr>
              <w:pStyle w:val="37"/>
              <w:adjustRightInd w:val="0"/>
              <w:spacing w:before="62" w:after="62"/>
              <w:rPr>
                <w:color w:val="auto"/>
                <w:highlight w:val="none"/>
              </w:rPr>
            </w:pPr>
          </w:p>
        </w:tc>
        <w:tc>
          <w:tcPr>
            <w:tcW w:w="968" w:type="pct"/>
            <w:vAlign w:val="center"/>
          </w:tcPr>
          <w:p w14:paraId="3EB58AA8">
            <w:pPr>
              <w:pStyle w:val="37"/>
              <w:adjustRightInd w:val="0"/>
              <w:spacing w:before="62" w:after="62"/>
              <w:rPr>
                <w:color w:val="auto"/>
                <w:highlight w:val="none"/>
              </w:rPr>
            </w:pPr>
          </w:p>
        </w:tc>
        <w:tc>
          <w:tcPr>
            <w:tcW w:w="920" w:type="pct"/>
            <w:vAlign w:val="center"/>
          </w:tcPr>
          <w:p w14:paraId="5595122A">
            <w:pPr>
              <w:pStyle w:val="37"/>
              <w:adjustRightInd w:val="0"/>
              <w:spacing w:before="62" w:after="62"/>
              <w:rPr>
                <w:color w:val="auto"/>
                <w:highlight w:val="none"/>
              </w:rPr>
            </w:pPr>
          </w:p>
        </w:tc>
      </w:tr>
      <w:tr w14:paraId="0289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7B27F217">
            <w:pPr>
              <w:pStyle w:val="37"/>
              <w:adjustRightInd w:val="0"/>
              <w:spacing w:before="62" w:after="62"/>
              <w:rPr>
                <w:color w:val="auto"/>
                <w:highlight w:val="none"/>
              </w:rPr>
            </w:pPr>
            <w:r>
              <w:rPr>
                <w:color w:val="auto"/>
                <w:highlight w:val="none"/>
              </w:rPr>
              <w:t>W5</w:t>
            </w:r>
          </w:p>
        </w:tc>
        <w:tc>
          <w:tcPr>
            <w:tcW w:w="907" w:type="pct"/>
            <w:vAlign w:val="center"/>
          </w:tcPr>
          <w:p w14:paraId="467F5284">
            <w:pPr>
              <w:pStyle w:val="37"/>
              <w:adjustRightInd w:val="0"/>
              <w:spacing w:before="62" w:after="62"/>
              <w:rPr>
                <w:color w:val="auto"/>
                <w:highlight w:val="none"/>
              </w:rPr>
            </w:pPr>
            <w:r>
              <w:rPr>
                <w:color w:val="auto"/>
                <w:highlight w:val="none"/>
              </w:rPr>
              <w:t>29.5111607</w:t>
            </w:r>
          </w:p>
        </w:tc>
        <w:tc>
          <w:tcPr>
            <w:tcW w:w="846" w:type="pct"/>
            <w:vAlign w:val="center"/>
          </w:tcPr>
          <w:p w14:paraId="1D8D7D07">
            <w:pPr>
              <w:pStyle w:val="37"/>
              <w:adjustRightInd w:val="0"/>
              <w:spacing w:before="62" w:after="62"/>
              <w:rPr>
                <w:color w:val="auto"/>
                <w:highlight w:val="none"/>
              </w:rPr>
            </w:pPr>
            <w:r>
              <w:rPr>
                <w:color w:val="auto"/>
                <w:highlight w:val="none"/>
              </w:rPr>
              <w:t>103.617619</w:t>
            </w:r>
          </w:p>
        </w:tc>
        <w:tc>
          <w:tcPr>
            <w:tcW w:w="663" w:type="pct"/>
            <w:vAlign w:val="center"/>
          </w:tcPr>
          <w:p w14:paraId="58023EAC">
            <w:pPr>
              <w:pStyle w:val="37"/>
              <w:adjustRightInd w:val="0"/>
              <w:spacing w:before="62" w:after="62"/>
              <w:rPr>
                <w:color w:val="auto"/>
                <w:highlight w:val="none"/>
              </w:rPr>
            </w:pPr>
          </w:p>
        </w:tc>
        <w:tc>
          <w:tcPr>
            <w:tcW w:w="968" w:type="pct"/>
            <w:vAlign w:val="center"/>
          </w:tcPr>
          <w:p w14:paraId="692B311C">
            <w:pPr>
              <w:pStyle w:val="37"/>
              <w:adjustRightInd w:val="0"/>
              <w:spacing w:before="62" w:after="62"/>
              <w:rPr>
                <w:color w:val="auto"/>
                <w:highlight w:val="none"/>
              </w:rPr>
            </w:pPr>
          </w:p>
        </w:tc>
        <w:tc>
          <w:tcPr>
            <w:tcW w:w="920" w:type="pct"/>
            <w:vAlign w:val="center"/>
          </w:tcPr>
          <w:p w14:paraId="3907FD34">
            <w:pPr>
              <w:pStyle w:val="37"/>
              <w:adjustRightInd w:val="0"/>
              <w:spacing w:before="62" w:after="62"/>
              <w:rPr>
                <w:color w:val="auto"/>
                <w:highlight w:val="none"/>
              </w:rPr>
            </w:pPr>
          </w:p>
        </w:tc>
      </w:tr>
      <w:tr w14:paraId="2447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F4BF06B">
            <w:pPr>
              <w:pStyle w:val="37"/>
              <w:spacing w:before="62" w:after="62"/>
              <w:rPr>
                <w:color w:val="auto"/>
                <w:highlight w:val="none"/>
              </w:rPr>
            </w:pPr>
            <w:r>
              <w:rPr>
                <w:color w:val="auto"/>
                <w:highlight w:val="none"/>
              </w:rPr>
              <w:t>W6</w:t>
            </w:r>
          </w:p>
        </w:tc>
        <w:tc>
          <w:tcPr>
            <w:tcW w:w="907" w:type="pct"/>
            <w:vAlign w:val="center"/>
          </w:tcPr>
          <w:p w14:paraId="4F532299">
            <w:pPr>
              <w:pStyle w:val="37"/>
              <w:spacing w:before="62" w:after="62"/>
              <w:rPr>
                <w:color w:val="auto"/>
                <w:highlight w:val="none"/>
              </w:rPr>
            </w:pPr>
            <w:r>
              <w:rPr>
                <w:color w:val="auto"/>
                <w:highlight w:val="none"/>
              </w:rPr>
              <w:t>29.51171313</w:t>
            </w:r>
          </w:p>
        </w:tc>
        <w:tc>
          <w:tcPr>
            <w:tcW w:w="846" w:type="pct"/>
            <w:vAlign w:val="center"/>
          </w:tcPr>
          <w:p w14:paraId="43631D60">
            <w:pPr>
              <w:pStyle w:val="37"/>
              <w:spacing w:before="62" w:after="62"/>
              <w:rPr>
                <w:color w:val="auto"/>
                <w:highlight w:val="none"/>
              </w:rPr>
            </w:pPr>
            <w:r>
              <w:rPr>
                <w:color w:val="auto"/>
                <w:highlight w:val="none"/>
              </w:rPr>
              <w:t>103.622558</w:t>
            </w:r>
          </w:p>
        </w:tc>
        <w:tc>
          <w:tcPr>
            <w:tcW w:w="663" w:type="pct"/>
            <w:vAlign w:val="center"/>
          </w:tcPr>
          <w:p w14:paraId="4C6AC4E4">
            <w:pPr>
              <w:pStyle w:val="37"/>
              <w:spacing w:before="62" w:after="62"/>
              <w:rPr>
                <w:color w:val="auto"/>
                <w:highlight w:val="none"/>
              </w:rPr>
            </w:pPr>
          </w:p>
        </w:tc>
        <w:tc>
          <w:tcPr>
            <w:tcW w:w="968" w:type="pct"/>
            <w:vAlign w:val="center"/>
          </w:tcPr>
          <w:p w14:paraId="37103093">
            <w:pPr>
              <w:pStyle w:val="37"/>
              <w:spacing w:before="62" w:after="62"/>
              <w:rPr>
                <w:color w:val="auto"/>
                <w:highlight w:val="none"/>
              </w:rPr>
            </w:pPr>
          </w:p>
        </w:tc>
        <w:tc>
          <w:tcPr>
            <w:tcW w:w="920" w:type="pct"/>
            <w:vAlign w:val="center"/>
          </w:tcPr>
          <w:p w14:paraId="032457C4">
            <w:pPr>
              <w:pStyle w:val="37"/>
              <w:spacing w:before="62" w:after="62"/>
              <w:rPr>
                <w:color w:val="auto"/>
                <w:highlight w:val="none"/>
              </w:rPr>
            </w:pPr>
          </w:p>
        </w:tc>
      </w:tr>
      <w:tr w14:paraId="6730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A83190B">
            <w:pPr>
              <w:pStyle w:val="37"/>
              <w:spacing w:before="62" w:after="62"/>
              <w:rPr>
                <w:color w:val="auto"/>
                <w:highlight w:val="none"/>
              </w:rPr>
            </w:pPr>
            <w:r>
              <w:rPr>
                <w:color w:val="auto"/>
                <w:highlight w:val="none"/>
              </w:rPr>
              <w:t>W7</w:t>
            </w:r>
          </w:p>
        </w:tc>
        <w:tc>
          <w:tcPr>
            <w:tcW w:w="907" w:type="pct"/>
            <w:vAlign w:val="center"/>
          </w:tcPr>
          <w:p w14:paraId="42649A74">
            <w:pPr>
              <w:pStyle w:val="37"/>
              <w:spacing w:before="62" w:after="62"/>
              <w:rPr>
                <w:color w:val="auto"/>
                <w:highlight w:val="none"/>
              </w:rPr>
            </w:pPr>
            <w:r>
              <w:rPr>
                <w:color w:val="auto"/>
                <w:highlight w:val="none"/>
              </w:rPr>
              <w:t>29.51254594</w:t>
            </w:r>
          </w:p>
        </w:tc>
        <w:tc>
          <w:tcPr>
            <w:tcW w:w="846" w:type="pct"/>
            <w:vAlign w:val="center"/>
          </w:tcPr>
          <w:p w14:paraId="28863DB7">
            <w:pPr>
              <w:pStyle w:val="37"/>
              <w:spacing w:before="62" w:after="62"/>
              <w:rPr>
                <w:color w:val="auto"/>
                <w:highlight w:val="none"/>
              </w:rPr>
            </w:pPr>
            <w:r>
              <w:rPr>
                <w:color w:val="auto"/>
                <w:highlight w:val="none"/>
              </w:rPr>
              <w:t>103.623718</w:t>
            </w:r>
          </w:p>
        </w:tc>
        <w:tc>
          <w:tcPr>
            <w:tcW w:w="663" w:type="pct"/>
            <w:vAlign w:val="center"/>
          </w:tcPr>
          <w:p w14:paraId="40FA6CB3">
            <w:pPr>
              <w:pStyle w:val="37"/>
              <w:spacing w:before="62" w:after="62"/>
              <w:rPr>
                <w:color w:val="auto"/>
                <w:highlight w:val="none"/>
              </w:rPr>
            </w:pPr>
          </w:p>
        </w:tc>
        <w:tc>
          <w:tcPr>
            <w:tcW w:w="968" w:type="pct"/>
            <w:vAlign w:val="center"/>
          </w:tcPr>
          <w:p w14:paraId="6228D2FC">
            <w:pPr>
              <w:pStyle w:val="37"/>
              <w:spacing w:before="62" w:after="62"/>
              <w:rPr>
                <w:color w:val="auto"/>
                <w:highlight w:val="none"/>
              </w:rPr>
            </w:pPr>
          </w:p>
        </w:tc>
        <w:tc>
          <w:tcPr>
            <w:tcW w:w="920" w:type="pct"/>
            <w:vAlign w:val="center"/>
          </w:tcPr>
          <w:p w14:paraId="53330415">
            <w:pPr>
              <w:pStyle w:val="37"/>
              <w:spacing w:before="62" w:after="62"/>
              <w:rPr>
                <w:color w:val="auto"/>
                <w:highlight w:val="none"/>
              </w:rPr>
            </w:pPr>
          </w:p>
        </w:tc>
      </w:tr>
      <w:tr w14:paraId="15B0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4AD5BCBA">
            <w:pPr>
              <w:pStyle w:val="37"/>
              <w:spacing w:before="62" w:after="62"/>
              <w:rPr>
                <w:color w:val="auto"/>
                <w:highlight w:val="none"/>
              </w:rPr>
            </w:pPr>
            <w:r>
              <w:rPr>
                <w:color w:val="auto"/>
                <w:highlight w:val="none"/>
              </w:rPr>
              <w:t>W8</w:t>
            </w:r>
          </w:p>
        </w:tc>
        <w:tc>
          <w:tcPr>
            <w:tcW w:w="907" w:type="pct"/>
            <w:vAlign w:val="center"/>
          </w:tcPr>
          <w:p w14:paraId="04B61632">
            <w:pPr>
              <w:pStyle w:val="37"/>
              <w:spacing w:before="62" w:after="62"/>
              <w:rPr>
                <w:color w:val="auto"/>
                <w:highlight w:val="none"/>
              </w:rPr>
            </w:pPr>
            <w:r>
              <w:rPr>
                <w:color w:val="auto"/>
                <w:highlight w:val="none"/>
              </w:rPr>
              <w:t>29.51515978</w:t>
            </w:r>
          </w:p>
        </w:tc>
        <w:tc>
          <w:tcPr>
            <w:tcW w:w="846" w:type="pct"/>
            <w:vAlign w:val="center"/>
          </w:tcPr>
          <w:p w14:paraId="587E41D9">
            <w:pPr>
              <w:pStyle w:val="37"/>
              <w:spacing w:before="62" w:after="62"/>
              <w:rPr>
                <w:color w:val="auto"/>
                <w:highlight w:val="none"/>
              </w:rPr>
            </w:pPr>
            <w:r>
              <w:rPr>
                <w:color w:val="auto"/>
                <w:highlight w:val="none"/>
              </w:rPr>
              <w:t>103.6224898</w:t>
            </w:r>
          </w:p>
        </w:tc>
        <w:tc>
          <w:tcPr>
            <w:tcW w:w="663" w:type="pct"/>
            <w:vAlign w:val="center"/>
          </w:tcPr>
          <w:p w14:paraId="7EB0F8D2">
            <w:pPr>
              <w:pStyle w:val="37"/>
              <w:spacing w:before="62" w:after="62"/>
              <w:rPr>
                <w:color w:val="auto"/>
                <w:highlight w:val="none"/>
              </w:rPr>
            </w:pPr>
          </w:p>
        </w:tc>
        <w:tc>
          <w:tcPr>
            <w:tcW w:w="968" w:type="pct"/>
            <w:vAlign w:val="center"/>
          </w:tcPr>
          <w:p w14:paraId="66468C12">
            <w:pPr>
              <w:pStyle w:val="37"/>
              <w:spacing w:before="62" w:after="62"/>
              <w:rPr>
                <w:color w:val="auto"/>
                <w:highlight w:val="none"/>
              </w:rPr>
            </w:pPr>
          </w:p>
        </w:tc>
        <w:tc>
          <w:tcPr>
            <w:tcW w:w="920" w:type="pct"/>
            <w:vAlign w:val="center"/>
          </w:tcPr>
          <w:p w14:paraId="3B786B13">
            <w:pPr>
              <w:pStyle w:val="37"/>
              <w:spacing w:before="62" w:after="62"/>
              <w:rPr>
                <w:color w:val="auto"/>
                <w:highlight w:val="none"/>
              </w:rPr>
            </w:pPr>
          </w:p>
        </w:tc>
      </w:tr>
      <w:tr w14:paraId="629F9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33B40219">
            <w:pPr>
              <w:pStyle w:val="37"/>
              <w:spacing w:before="62" w:after="62"/>
              <w:rPr>
                <w:color w:val="auto"/>
                <w:highlight w:val="none"/>
              </w:rPr>
            </w:pPr>
            <w:r>
              <w:rPr>
                <w:color w:val="auto"/>
                <w:highlight w:val="none"/>
              </w:rPr>
              <w:t>W9</w:t>
            </w:r>
          </w:p>
        </w:tc>
        <w:tc>
          <w:tcPr>
            <w:tcW w:w="907" w:type="pct"/>
            <w:vAlign w:val="center"/>
          </w:tcPr>
          <w:p w14:paraId="1BC154CC">
            <w:pPr>
              <w:pStyle w:val="37"/>
              <w:spacing w:before="62" w:after="62"/>
              <w:rPr>
                <w:color w:val="auto"/>
                <w:highlight w:val="none"/>
              </w:rPr>
            </w:pPr>
            <w:r>
              <w:rPr>
                <w:color w:val="auto"/>
                <w:highlight w:val="none"/>
              </w:rPr>
              <w:t>29.51406522</w:t>
            </w:r>
          </w:p>
        </w:tc>
        <w:tc>
          <w:tcPr>
            <w:tcW w:w="846" w:type="pct"/>
            <w:vAlign w:val="center"/>
          </w:tcPr>
          <w:p w14:paraId="62DED62C">
            <w:pPr>
              <w:pStyle w:val="37"/>
              <w:spacing w:before="62" w:after="62"/>
              <w:rPr>
                <w:color w:val="auto"/>
                <w:highlight w:val="none"/>
              </w:rPr>
            </w:pPr>
            <w:r>
              <w:rPr>
                <w:color w:val="auto"/>
                <w:highlight w:val="none"/>
              </w:rPr>
              <w:t>103.6240364</w:t>
            </w:r>
          </w:p>
        </w:tc>
        <w:tc>
          <w:tcPr>
            <w:tcW w:w="663" w:type="pct"/>
            <w:vAlign w:val="center"/>
          </w:tcPr>
          <w:p w14:paraId="19CB3B71">
            <w:pPr>
              <w:pStyle w:val="37"/>
              <w:spacing w:before="62" w:after="62"/>
              <w:rPr>
                <w:color w:val="auto"/>
                <w:highlight w:val="none"/>
              </w:rPr>
            </w:pPr>
          </w:p>
        </w:tc>
        <w:tc>
          <w:tcPr>
            <w:tcW w:w="968" w:type="pct"/>
            <w:vAlign w:val="center"/>
          </w:tcPr>
          <w:p w14:paraId="24B40F48">
            <w:pPr>
              <w:pStyle w:val="37"/>
              <w:spacing w:before="62" w:after="62"/>
              <w:rPr>
                <w:color w:val="auto"/>
                <w:highlight w:val="none"/>
              </w:rPr>
            </w:pPr>
          </w:p>
        </w:tc>
        <w:tc>
          <w:tcPr>
            <w:tcW w:w="920" w:type="pct"/>
            <w:vAlign w:val="center"/>
          </w:tcPr>
          <w:p w14:paraId="2ABAFD99">
            <w:pPr>
              <w:pStyle w:val="37"/>
              <w:spacing w:before="62" w:after="62"/>
              <w:rPr>
                <w:color w:val="auto"/>
                <w:highlight w:val="none"/>
              </w:rPr>
            </w:pPr>
          </w:p>
        </w:tc>
      </w:tr>
      <w:tr w14:paraId="45BE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1EB6A528">
            <w:pPr>
              <w:pStyle w:val="37"/>
              <w:spacing w:before="62" w:after="62"/>
              <w:rPr>
                <w:color w:val="auto"/>
                <w:highlight w:val="none"/>
              </w:rPr>
            </w:pPr>
            <w:r>
              <w:rPr>
                <w:color w:val="auto"/>
                <w:highlight w:val="none"/>
              </w:rPr>
              <w:t>W10</w:t>
            </w:r>
          </w:p>
        </w:tc>
        <w:tc>
          <w:tcPr>
            <w:tcW w:w="907" w:type="pct"/>
            <w:vAlign w:val="center"/>
          </w:tcPr>
          <w:p w14:paraId="5FEAB1D7">
            <w:pPr>
              <w:pStyle w:val="37"/>
              <w:spacing w:before="62" w:after="62"/>
              <w:rPr>
                <w:color w:val="auto"/>
                <w:highlight w:val="none"/>
              </w:rPr>
            </w:pPr>
            <w:r>
              <w:rPr>
                <w:color w:val="auto"/>
                <w:highlight w:val="none"/>
              </w:rPr>
              <w:t>29.51304206</w:t>
            </w:r>
          </w:p>
        </w:tc>
        <w:tc>
          <w:tcPr>
            <w:tcW w:w="846" w:type="pct"/>
            <w:vAlign w:val="center"/>
          </w:tcPr>
          <w:p w14:paraId="49B57BCB">
            <w:pPr>
              <w:pStyle w:val="37"/>
              <w:spacing w:before="62" w:after="62"/>
              <w:rPr>
                <w:color w:val="auto"/>
                <w:highlight w:val="none"/>
              </w:rPr>
            </w:pPr>
            <w:r>
              <w:rPr>
                <w:color w:val="auto"/>
                <w:highlight w:val="none"/>
              </w:rPr>
              <w:t>103.626059</w:t>
            </w:r>
          </w:p>
        </w:tc>
        <w:tc>
          <w:tcPr>
            <w:tcW w:w="663" w:type="pct"/>
            <w:vAlign w:val="center"/>
          </w:tcPr>
          <w:p w14:paraId="525AE9CB">
            <w:pPr>
              <w:pStyle w:val="37"/>
              <w:spacing w:before="62" w:after="62"/>
              <w:rPr>
                <w:color w:val="auto"/>
                <w:highlight w:val="none"/>
              </w:rPr>
            </w:pPr>
          </w:p>
        </w:tc>
        <w:tc>
          <w:tcPr>
            <w:tcW w:w="968" w:type="pct"/>
            <w:vAlign w:val="center"/>
          </w:tcPr>
          <w:p w14:paraId="04C802CA">
            <w:pPr>
              <w:pStyle w:val="37"/>
              <w:spacing w:before="62" w:after="62"/>
              <w:rPr>
                <w:color w:val="auto"/>
                <w:highlight w:val="none"/>
              </w:rPr>
            </w:pPr>
          </w:p>
        </w:tc>
        <w:tc>
          <w:tcPr>
            <w:tcW w:w="920" w:type="pct"/>
            <w:vAlign w:val="center"/>
          </w:tcPr>
          <w:p w14:paraId="081FC465">
            <w:pPr>
              <w:pStyle w:val="37"/>
              <w:spacing w:before="62" w:after="62"/>
              <w:rPr>
                <w:color w:val="auto"/>
                <w:highlight w:val="none"/>
              </w:rPr>
            </w:pPr>
          </w:p>
        </w:tc>
      </w:tr>
      <w:tr w14:paraId="36A5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28453206">
            <w:pPr>
              <w:pStyle w:val="37"/>
              <w:spacing w:before="62" w:after="62"/>
              <w:rPr>
                <w:color w:val="auto"/>
                <w:highlight w:val="none"/>
              </w:rPr>
            </w:pPr>
            <w:r>
              <w:rPr>
                <w:color w:val="auto"/>
                <w:highlight w:val="none"/>
              </w:rPr>
              <w:t>W11</w:t>
            </w:r>
          </w:p>
        </w:tc>
        <w:tc>
          <w:tcPr>
            <w:tcW w:w="907" w:type="pct"/>
            <w:vAlign w:val="center"/>
          </w:tcPr>
          <w:p w14:paraId="019CE959">
            <w:pPr>
              <w:pStyle w:val="37"/>
              <w:spacing w:before="62" w:after="62"/>
              <w:rPr>
                <w:color w:val="auto"/>
                <w:highlight w:val="none"/>
              </w:rPr>
            </w:pPr>
            <w:r>
              <w:rPr>
                <w:color w:val="auto"/>
                <w:highlight w:val="none"/>
              </w:rPr>
              <w:t>29.51356554</w:t>
            </w:r>
          </w:p>
        </w:tc>
        <w:tc>
          <w:tcPr>
            <w:tcW w:w="846" w:type="pct"/>
            <w:vAlign w:val="center"/>
          </w:tcPr>
          <w:p w14:paraId="7BB0B4A6">
            <w:pPr>
              <w:pStyle w:val="37"/>
              <w:spacing w:before="62" w:after="62"/>
              <w:rPr>
                <w:color w:val="auto"/>
                <w:highlight w:val="none"/>
              </w:rPr>
            </w:pPr>
            <w:r>
              <w:rPr>
                <w:color w:val="auto"/>
                <w:highlight w:val="none"/>
              </w:rPr>
              <w:t>103.6292475</w:t>
            </w:r>
          </w:p>
        </w:tc>
        <w:tc>
          <w:tcPr>
            <w:tcW w:w="663" w:type="pct"/>
            <w:vAlign w:val="center"/>
          </w:tcPr>
          <w:p w14:paraId="450F42C9">
            <w:pPr>
              <w:pStyle w:val="37"/>
              <w:spacing w:before="62" w:after="62"/>
              <w:rPr>
                <w:color w:val="auto"/>
                <w:highlight w:val="none"/>
              </w:rPr>
            </w:pPr>
          </w:p>
        </w:tc>
        <w:tc>
          <w:tcPr>
            <w:tcW w:w="968" w:type="pct"/>
            <w:vAlign w:val="center"/>
          </w:tcPr>
          <w:p w14:paraId="7581EF69">
            <w:pPr>
              <w:pStyle w:val="37"/>
              <w:spacing w:before="62" w:after="62"/>
              <w:rPr>
                <w:color w:val="auto"/>
                <w:highlight w:val="none"/>
              </w:rPr>
            </w:pPr>
          </w:p>
        </w:tc>
        <w:tc>
          <w:tcPr>
            <w:tcW w:w="920" w:type="pct"/>
            <w:vAlign w:val="center"/>
          </w:tcPr>
          <w:p w14:paraId="14CA798C">
            <w:pPr>
              <w:pStyle w:val="37"/>
              <w:spacing w:before="62" w:after="62"/>
              <w:rPr>
                <w:color w:val="auto"/>
                <w:highlight w:val="none"/>
              </w:rPr>
            </w:pPr>
          </w:p>
        </w:tc>
      </w:tr>
      <w:tr w14:paraId="57E0F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0B107093">
            <w:pPr>
              <w:pStyle w:val="37"/>
              <w:spacing w:before="62" w:after="62"/>
              <w:rPr>
                <w:color w:val="auto"/>
                <w:highlight w:val="none"/>
              </w:rPr>
            </w:pPr>
            <w:r>
              <w:rPr>
                <w:color w:val="auto"/>
                <w:highlight w:val="none"/>
              </w:rPr>
              <w:t>W12</w:t>
            </w:r>
          </w:p>
        </w:tc>
        <w:tc>
          <w:tcPr>
            <w:tcW w:w="907" w:type="pct"/>
            <w:vAlign w:val="center"/>
          </w:tcPr>
          <w:p w14:paraId="10BB6556">
            <w:pPr>
              <w:pStyle w:val="37"/>
              <w:spacing w:before="62" w:after="62"/>
              <w:rPr>
                <w:color w:val="auto"/>
                <w:highlight w:val="none"/>
              </w:rPr>
            </w:pPr>
            <w:r>
              <w:rPr>
                <w:color w:val="auto"/>
                <w:highlight w:val="none"/>
              </w:rPr>
              <w:t>29.51458871</w:t>
            </w:r>
          </w:p>
        </w:tc>
        <w:tc>
          <w:tcPr>
            <w:tcW w:w="846" w:type="pct"/>
            <w:vAlign w:val="center"/>
          </w:tcPr>
          <w:p w14:paraId="002B54FC">
            <w:pPr>
              <w:pStyle w:val="37"/>
              <w:spacing w:before="62" w:after="62"/>
              <w:rPr>
                <w:color w:val="auto"/>
                <w:highlight w:val="none"/>
              </w:rPr>
            </w:pPr>
            <w:r>
              <w:rPr>
                <w:color w:val="auto"/>
                <w:highlight w:val="none"/>
              </w:rPr>
              <w:t>103.630342</w:t>
            </w:r>
          </w:p>
        </w:tc>
        <w:tc>
          <w:tcPr>
            <w:tcW w:w="663" w:type="pct"/>
            <w:vAlign w:val="center"/>
          </w:tcPr>
          <w:p w14:paraId="1967F8A1">
            <w:pPr>
              <w:pStyle w:val="37"/>
              <w:spacing w:before="62" w:after="62"/>
              <w:rPr>
                <w:color w:val="auto"/>
                <w:highlight w:val="none"/>
              </w:rPr>
            </w:pPr>
          </w:p>
        </w:tc>
        <w:tc>
          <w:tcPr>
            <w:tcW w:w="968" w:type="pct"/>
            <w:vAlign w:val="center"/>
          </w:tcPr>
          <w:p w14:paraId="44B9EAFE">
            <w:pPr>
              <w:pStyle w:val="37"/>
              <w:spacing w:before="62" w:after="62"/>
              <w:rPr>
                <w:color w:val="auto"/>
                <w:highlight w:val="none"/>
              </w:rPr>
            </w:pPr>
          </w:p>
        </w:tc>
        <w:tc>
          <w:tcPr>
            <w:tcW w:w="920" w:type="pct"/>
            <w:vAlign w:val="center"/>
          </w:tcPr>
          <w:p w14:paraId="2B78E474">
            <w:pPr>
              <w:pStyle w:val="37"/>
              <w:spacing w:before="62" w:after="62"/>
              <w:rPr>
                <w:color w:val="auto"/>
                <w:highlight w:val="none"/>
              </w:rPr>
            </w:pPr>
          </w:p>
        </w:tc>
      </w:tr>
      <w:tr w14:paraId="63AE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6D1B454A">
            <w:pPr>
              <w:pStyle w:val="37"/>
              <w:spacing w:before="62" w:after="62"/>
              <w:rPr>
                <w:color w:val="auto"/>
                <w:highlight w:val="none"/>
              </w:rPr>
            </w:pPr>
            <w:r>
              <w:rPr>
                <w:color w:val="auto"/>
                <w:highlight w:val="none"/>
              </w:rPr>
              <w:t>W13</w:t>
            </w:r>
          </w:p>
        </w:tc>
        <w:tc>
          <w:tcPr>
            <w:tcW w:w="907" w:type="pct"/>
            <w:vAlign w:val="center"/>
          </w:tcPr>
          <w:p w14:paraId="4A3E11E8">
            <w:pPr>
              <w:pStyle w:val="37"/>
              <w:spacing w:before="62" w:after="62"/>
              <w:rPr>
                <w:color w:val="auto"/>
                <w:highlight w:val="none"/>
              </w:rPr>
            </w:pPr>
            <w:r>
              <w:rPr>
                <w:color w:val="auto"/>
                <w:highlight w:val="none"/>
              </w:rPr>
              <w:t>29.5159212</w:t>
            </w:r>
          </w:p>
        </w:tc>
        <w:tc>
          <w:tcPr>
            <w:tcW w:w="846" w:type="pct"/>
            <w:vAlign w:val="center"/>
          </w:tcPr>
          <w:p w14:paraId="4A41CC05">
            <w:pPr>
              <w:pStyle w:val="37"/>
              <w:spacing w:before="62" w:after="62"/>
              <w:rPr>
                <w:color w:val="auto"/>
                <w:highlight w:val="none"/>
              </w:rPr>
            </w:pPr>
            <w:r>
              <w:rPr>
                <w:color w:val="auto"/>
                <w:highlight w:val="none"/>
              </w:rPr>
              <w:t>103.6310796</w:t>
            </w:r>
          </w:p>
        </w:tc>
        <w:tc>
          <w:tcPr>
            <w:tcW w:w="663" w:type="pct"/>
            <w:vAlign w:val="center"/>
          </w:tcPr>
          <w:p w14:paraId="593CB461">
            <w:pPr>
              <w:pStyle w:val="37"/>
              <w:spacing w:before="62" w:after="62"/>
              <w:rPr>
                <w:color w:val="auto"/>
                <w:highlight w:val="none"/>
              </w:rPr>
            </w:pPr>
          </w:p>
        </w:tc>
        <w:tc>
          <w:tcPr>
            <w:tcW w:w="968" w:type="pct"/>
            <w:vAlign w:val="center"/>
          </w:tcPr>
          <w:p w14:paraId="08E0E1E8">
            <w:pPr>
              <w:pStyle w:val="37"/>
              <w:spacing w:before="62" w:after="62"/>
              <w:rPr>
                <w:color w:val="auto"/>
                <w:highlight w:val="none"/>
              </w:rPr>
            </w:pPr>
          </w:p>
        </w:tc>
        <w:tc>
          <w:tcPr>
            <w:tcW w:w="920" w:type="pct"/>
            <w:vAlign w:val="center"/>
          </w:tcPr>
          <w:p w14:paraId="36472DA4">
            <w:pPr>
              <w:pStyle w:val="37"/>
              <w:spacing w:before="62" w:after="62"/>
              <w:rPr>
                <w:color w:val="auto"/>
                <w:highlight w:val="none"/>
              </w:rPr>
            </w:pPr>
          </w:p>
        </w:tc>
      </w:tr>
      <w:tr w14:paraId="704F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pct"/>
            <w:vAlign w:val="center"/>
          </w:tcPr>
          <w:p w14:paraId="404CE795">
            <w:pPr>
              <w:pStyle w:val="37"/>
              <w:spacing w:before="62" w:after="62"/>
              <w:rPr>
                <w:color w:val="auto"/>
                <w:highlight w:val="none"/>
              </w:rPr>
            </w:pPr>
            <w:r>
              <w:rPr>
                <w:color w:val="auto"/>
                <w:highlight w:val="none"/>
              </w:rPr>
              <w:t>W14</w:t>
            </w:r>
          </w:p>
        </w:tc>
        <w:tc>
          <w:tcPr>
            <w:tcW w:w="907" w:type="pct"/>
            <w:vAlign w:val="center"/>
          </w:tcPr>
          <w:p w14:paraId="615D1020">
            <w:pPr>
              <w:pStyle w:val="37"/>
              <w:spacing w:before="62" w:after="62"/>
              <w:rPr>
                <w:color w:val="auto"/>
                <w:highlight w:val="none"/>
              </w:rPr>
            </w:pPr>
            <w:r>
              <w:rPr>
                <w:color w:val="auto"/>
                <w:highlight w:val="none"/>
              </w:rPr>
              <w:t>29.51772959</w:t>
            </w:r>
          </w:p>
        </w:tc>
        <w:tc>
          <w:tcPr>
            <w:tcW w:w="846" w:type="pct"/>
            <w:vAlign w:val="center"/>
          </w:tcPr>
          <w:p w14:paraId="4A408307">
            <w:pPr>
              <w:pStyle w:val="37"/>
              <w:spacing w:before="62" w:after="62"/>
              <w:rPr>
                <w:color w:val="auto"/>
                <w:highlight w:val="none"/>
              </w:rPr>
            </w:pPr>
            <w:r>
              <w:rPr>
                <w:color w:val="auto"/>
                <w:highlight w:val="none"/>
              </w:rPr>
              <w:t>103.6299851</w:t>
            </w:r>
          </w:p>
        </w:tc>
        <w:tc>
          <w:tcPr>
            <w:tcW w:w="663" w:type="pct"/>
            <w:vAlign w:val="center"/>
          </w:tcPr>
          <w:p w14:paraId="27EF707F">
            <w:pPr>
              <w:pStyle w:val="37"/>
              <w:spacing w:before="62" w:after="62"/>
              <w:rPr>
                <w:color w:val="auto"/>
                <w:highlight w:val="none"/>
              </w:rPr>
            </w:pPr>
          </w:p>
        </w:tc>
        <w:tc>
          <w:tcPr>
            <w:tcW w:w="968" w:type="pct"/>
            <w:vAlign w:val="center"/>
          </w:tcPr>
          <w:p w14:paraId="27BB8085">
            <w:pPr>
              <w:pStyle w:val="37"/>
              <w:spacing w:before="62" w:after="62"/>
              <w:rPr>
                <w:color w:val="auto"/>
                <w:highlight w:val="none"/>
              </w:rPr>
            </w:pPr>
          </w:p>
        </w:tc>
        <w:tc>
          <w:tcPr>
            <w:tcW w:w="920" w:type="pct"/>
            <w:vAlign w:val="center"/>
          </w:tcPr>
          <w:p w14:paraId="5F3E33A0">
            <w:pPr>
              <w:pStyle w:val="37"/>
              <w:spacing w:before="62" w:after="62"/>
              <w:rPr>
                <w:color w:val="auto"/>
                <w:highlight w:val="none"/>
              </w:rPr>
            </w:pPr>
          </w:p>
        </w:tc>
      </w:tr>
    </w:tbl>
    <w:p w14:paraId="2F7B663D">
      <w:pPr>
        <w:ind w:firstLine="480"/>
        <w:rPr>
          <w:color w:val="auto"/>
          <w:highlight w:val="none"/>
        </w:rPr>
      </w:pPr>
      <w:r>
        <w:rPr>
          <w:rFonts w:hint="eastAsia"/>
          <w:color w:val="auto"/>
          <w:highlight w:val="none"/>
        </w:rPr>
        <w:t>（三）地下水环境质量现状评价</w:t>
      </w:r>
    </w:p>
    <w:p w14:paraId="2C0E0CE6">
      <w:pPr>
        <w:adjustRightInd w:val="0"/>
        <w:ind w:firstLine="482" w:firstLineChars="0"/>
        <w:rPr>
          <w:rFonts w:cs="Times New Roman"/>
          <w:b/>
          <w:color w:val="auto"/>
          <w:szCs w:val="24"/>
          <w:highlight w:val="none"/>
        </w:rPr>
      </w:pPr>
      <w:r>
        <w:rPr>
          <w:rFonts w:hint="eastAsia" w:cs="Times New Roman"/>
          <w:b/>
          <w:color w:val="auto"/>
          <w:szCs w:val="24"/>
          <w:highlight w:val="none"/>
        </w:rPr>
        <w:t>（1）评价</w:t>
      </w:r>
      <w:r>
        <w:rPr>
          <w:rFonts w:cs="Times New Roman"/>
          <w:b/>
          <w:color w:val="auto"/>
          <w:szCs w:val="24"/>
          <w:highlight w:val="none"/>
        </w:rPr>
        <w:t>方法</w:t>
      </w:r>
    </w:p>
    <w:p w14:paraId="3211AC1F">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根据《环境影响评价技术导则－地下水环境》（HJ610-2016），地下水环境质量现状评价采用标准指数法进行评价。</w:t>
      </w:r>
    </w:p>
    <w:p w14:paraId="6B04EF8F">
      <w:pPr>
        <w:adjustRightInd w:val="0"/>
        <w:ind w:firstLine="480" w:firstLineChars="0"/>
        <w:rPr>
          <w:rFonts w:cs="Times New Roman"/>
          <w:color w:val="auto"/>
          <w:szCs w:val="24"/>
          <w:highlight w:val="none"/>
        </w:rPr>
      </w:pPr>
      <w:r>
        <w:rPr>
          <w:rFonts w:hint="eastAsia" w:cs="Times New Roman"/>
          <w:color w:val="auto"/>
          <w:szCs w:val="24"/>
          <w:highlight w:val="none"/>
        </w:rPr>
        <w:t>标准指数法数学模式如下：</w:t>
      </w:r>
    </w:p>
    <w:p w14:paraId="37673A09">
      <w:pPr>
        <w:adjustRightInd w:val="0"/>
        <w:ind w:firstLine="0" w:firstLineChars="0"/>
        <w:jc w:val="center"/>
        <w:rPr>
          <w:rFonts w:cs="Times New Roman"/>
          <w:color w:val="auto"/>
          <w:szCs w:val="24"/>
          <w:highlight w:val="none"/>
        </w:rPr>
      </w:pPr>
      <w:r>
        <w:rPr>
          <w:rFonts w:cs="Times New Roman"/>
          <w:color w:val="auto"/>
          <w:position w:val="-14"/>
          <w:szCs w:val="24"/>
          <w:highlight w:val="none"/>
        </w:rPr>
        <w:object>
          <v:shape id="_x0000_i1035" o:spt="75" type="#_x0000_t75" style="height:21.5pt;width:82.3pt;" o:ole="t" filled="f" o:preferrelative="t" stroked="f" coordsize="21600,21600">
            <v:path/>
            <v:fill on="f" focussize="0,0"/>
            <v:stroke on="f" joinstyle="miter"/>
            <v:imagedata r:id="rId49" o:title=""/>
            <o:lock v:ext="edit" aspectratio="t"/>
            <w10:wrap type="none"/>
            <w10:anchorlock/>
          </v:shape>
          <o:OLEObject Type="Embed" ProgID="Equation.3" ShapeID="_x0000_i1035" DrawAspect="Content" ObjectID="_1468075735" r:id="rId48">
            <o:LockedField>false</o:LockedField>
          </o:OLEObject>
        </w:object>
      </w:r>
    </w:p>
    <w:p w14:paraId="0E2A3321">
      <w:pPr>
        <w:adjustRightInd w:val="0"/>
        <w:ind w:firstLine="480" w:firstLineChars="0"/>
        <w:rPr>
          <w:rFonts w:cs="Times New Roman"/>
          <w:color w:val="auto"/>
          <w:szCs w:val="24"/>
          <w:highlight w:val="none"/>
        </w:rPr>
      </w:pPr>
      <w:r>
        <w:rPr>
          <w:rFonts w:hint="eastAsia" w:cs="Times New Roman"/>
          <w:color w:val="auto"/>
          <w:szCs w:val="24"/>
          <w:highlight w:val="none"/>
        </w:rPr>
        <w:t>式中：Si,j—i污染物指数；</w:t>
      </w:r>
    </w:p>
    <w:p w14:paraId="03F833E3">
      <w:pPr>
        <w:adjustRightInd w:val="0"/>
        <w:ind w:firstLine="1200" w:firstLineChars="500"/>
        <w:rPr>
          <w:rFonts w:cs="Times New Roman"/>
          <w:color w:val="auto"/>
          <w:szCs w:val="24"/>
          <w:highlight w:val="none"/>
        </w:rPr>
      </w:pPr>
      <w:r>
        <w:rPr>
          <w:rFonts w:hint="eastAsia" w:cs="Times New Roman"/>
          <w:color w:val="auto"/>
          <w:szCs w:val="24"/>
          <w:highlight w:val="none"/>
        </w:rPr>
        <w:t>Ci,j—i污染物的监测值，mg/L；</w:t>
      </w:r>
    </w:p>
    <w:p w14:paraId="63EB3619">
      <w:pPr>
        <w:adjustRightInd w:val="0"/>
        <w:ind w:firstLine="1200" w:firstLineChars="500"/>
        <w:rPr>
          <w:rFonts w:cs="Times New Roman"/>
          <w:color w:val="auto"/>
          <w:szCs w:val="24"/>
          <w:highlight w:val="none"/>
        </w:rPr>
      </w:pPr>
      <w:r>
        <w:rPr>
          <w:rFonts w:hint="eastAsia" w:cs="Times New Roman"/>
          <w:color w:val="auto"/>
          <w:szCs w:val="24"/>
          <w:highlight w:val="none"/>
        </w:rPr>
        <w:t>Csi—i污染物的评价标准；mg/L。</w:t>
      </w:r>
    </w:p>
    <w:p w14:paraId="5187447B">
      <w:pPr>
        <w:adjustRightInd w:val="0"/>
        <w:ind w:firstLine="480" w:firstLineChars="0"/>
        <w:rPr>
          <w:rFonts w:cs="Times New Roman"/>
          <w:color w:val="auto"/>
          <w:szCs w:val="24"/>
          <w:highlight w:val="none"/>
        </w:rPr>
      </w:pPr>
      <w:r>
        <w:rPr>
          <w:rFonts w:hint="eastAsia" w:cs="Times New Roman"/>
          <w:color w:val="auto"/>
          <w:szCs w:val="24"/>
          <w:highlight w:val="none"/>
        </w:rPr>
        <w:t>水质参数的标准指数&gt;1，表明该项水质参数超过了规定的指数水质指标，已不能满足使用要求；水质参数的标准指数≤1，表明该项水质参数到达或优于规定的水质，完全符合国家标准，可以满足使用要求。</w:t>
      </w:r>
    </w:p>
    <w:p w14:paraId="4D5B15FF">
      <w:pPr>
        <w:adjustRightInd w:val="0"/>
        <w:ind w:firstLine="482" w:firstLineChars="0"/>
        <w:rPr>
          <w:rFonts w:cs="Times New Roman"/>
          <w:b/>
          <w:color w:val="auto"/>
          <w:szCs w:val="24"/>
          <w:highlight w:val="none"/>
        </w:rPr>
      </w:pPr>
      <w:r>
        <w:rPr>
          <w:rFonts w:hint="eastAsia" w:cs="Times New Roman"/>
          <w:b/>
          <w:color w:val="auto"/>
          <w:szCs w:val="24"/>
          <w:highlight w:val="none"/>
        </w:rPr>
        <w:t>（2）评价结果</w:t>
      </w:r>
    </w:p>
    <w:p w14:paraId="3A67C662">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 地下水环境》（HJ610-2016），对现状监测结果进行统计分析，给出最大值、最小值、均值、标准差、检出率和超标率等。本项目地下水环境质量评价</w:t>
      </w:r>
      <w:r>
        <w:rPr>
          <w:rFonts w:cs="Times New Roman"/>
          <w:color w:val="auto"/>
          <w:szCs w:val="24"/>
          <w:highlight w:val="none"/>
        </w:rPr>
        <w:t>结果</w:t>
      </w:r>
      <w:r>
        <w:rPr>
          <w:rFonts w:hint="eastAsia" w:cs="Times New Roman"/>
          <w:color w:val="auto"/>
          <w:szCs w:val="24"/>
          <w:highlight w:val="none"/>
        </w:rPr>
        <w:t>如下：</w:t>
      </w:r>
    </w:p>
    <w:p w14:paraId="3A3262E9">
      <w:pPr>
        <w:keepNext/>
        <w:adjustRightInd w:val="0"/>
        <w:ind w:firstLine="402"/>
        <w:jc w:val="center"/>
        <w:rPr>
          <w:rFonts w:ascii="宋体" w:hAnsi="宋体" w:cs="宋体"/>
          <w:b/>
          <w:color w:val="auto"/>
          <w:kern w:val="0"/>
          <w:sz w:val="20"/>
          <w:highlight w:val="none"/>
        </w:rPr>
      </w:pPr>
      <w:r>
        <w:rPr>
          <w:rFonts w:hint="eastAsia" w:cs="Times New Roman"/>
          <w:b/>
          <w:color w:val="auto"/>
          <w:kern w:val="0"/>
          <w:sz w:val="20"/>
          <w:szCs w:val="20"/>
          <w:highlight w:val="none"/>
        </w:rPr>
        <w:t xml:space="preserve">表 </w:t>
      </w:r>
      <w:r>
        <w:rPr>
          <w:rFonts w:cs="Times New Roman"/>
          <w:b/>
          <w:color w:val="auto"/>
          <w:kern w:val="0"/>
          <w:sz w:val="20"/>
          <w:szCs w:val="20"/>
          <w:highlight w:val="none"/>
        </w:rPr>
        <w:fldChar w:fldCharType="begin"/>
      </w:r>
      <w:r>
        <w:rPr>
          <w:rFonts w:cs="Times New Roman"/>
          <w:b/>
          <w:color w:val="auto"/>
          <w:kern w:val="0"/>
          <w:sz w:val="20"/>
          <w:szCs w:val="20"/>
          <w:highlight w:val="none"/>
        </w:rPr>
        <w:instrText xml:space="preserve"> </w:instrText>
      </w:r>
      <w:r>
        <w:rPr>
          <w:rFonts w:hint="eastAsia" w:cs="Times New Roman"/>
          <w:b/>
          <w:color w:val="auto"/>
          <w:kern w:val="0"/>
          <w:sz w:val="20"/>
          <w:szCs w:val="20"/>
          <w:highlight w:val="none"/>
        </w:rPr>
        <w:instrText xml:space="preserve">STYLEREF 1 \s</w:instrText>
      </w:r>
      <w:r>
        <w:rPr>
          <w:rFonts w:cs="Times New Roman"/>
          <w:b/>
          <w:color w:val="auto"/>
          <w:kern w:val="0"/>
          <w:sz w:val="20"/>
          <w:szCs w:val="20"/>
          <w:highlight w:val="none"/>
        </w:rPr>
        <w:instrText xml:space="preserve"> </w:instrText>
      </w:r>
      <w:r>
        <w:rPr>
          <w:rFonts w:cs="Times New Roman"/>
          <w:b/>
          <w:color w:val="auto"/>
          <w:kern w:val="0"/>
          <w:sz w:val="20"/>
          <w:szCs w:val="20"/>
          <w:highlight w:val="none"/>
        </w:rPr>
        <w:fldChar w:fldCharType="separate"/>
      </w:r>
      <w:r>
        <w:rPr>
          <w:rFonts w:hint="eastAsia" w:cs="Times New Roman"/>
          <w:b/>
          <w:color w:val="auto"/>
          <w:kern w:val="0"/>
          <w:sz w:val="20"/>
          <w:szCs w:val="20"/>
          <w:highlight w:val="none"/>
        </w:rPr>
        <w:t>4</w:t>
      </w:r>
      <w:r>
        <w:rPr>
          <w:rFonts w:cs="Times New Roman"/>
          <w:b/>
          <w:color w:val="auto"/>
          <w:kern w:val="0"/>
          <w:sz w:val="20"/>
          <w:szCs w:val="20"/>
          <w:highlight w:val="none"/>
        </w:rPr>
        <w:fldChar w:fldCharType="end"/>
      </w:r>
      <w:r>
        <w:rPr>
          <w:rFonts w:cs="Times New Roman"/>
          <w:b/>
          <w:color w:val="auto"/>
          <w:kern w:val="0"/>
          <w:sz w:val="20"/>
          <w:szCs w:val="20"/>
          <w:highlight w:val="none"/>
        </w:rPr>
        <w:noBreakHyphen/>
      </w:r>
      <w:r>
        <w:rPr>
          <w:rFonts w:cs="Times New Roman"/>
          <w:b/>
          <w:color w:val="auto"/>
          <w:kern w:val="0"/>
          <w:sz w:val="20"/>
          <w:szCs w:val="20"/>
          <w:highlight w:val="none"/>
        </w:rPr>
        <w:fldChar w:fldCharType="begin"/>
      </w:r>
      <w:r>
        <w:rPr>
          <w:rFonts w:cs="Times New Roman"/>
          <w:b/>
          <w:color w:val="auto"/>
          <w:kern w:val="0"/>
          <w:sz w:val="20"/>
          <w:szCs w:val="20"/>
          <w:highlight w:val="none"/>
        </w:rPr>
        <w:instrText xml:space="preserve"> </w:instrText>
      </w:r>
      <w:r>
        <w:rPr>
          <w:rFonts w:hint="eastAsia" w:cs="Times New Roman"/>
          <w:b/>
          <w:color w:val="auto"/>
          <w:kern w:val="0"/>
          <w:sz w:val="20"/>
          <w:szCs w:val="20"/>
          <w:highlight w:val="none"/>
        </w:rPr>
        <w:instrText xml:space="preserve">SEQ 表 \* ARABIC \s 1</w:instrText>
      </w:r>
      <w:r>
        <w:rPr>
          <w:rFonts w:cs="Times New Roman"/>
          <w:b/>
          <w:color w:val="auto"/>
          <w:kern w:val="0"/>
          <w:sz w:val="20"/>
          <w:szCs w:val="20"/>
          <w:highlight w:val="none"/>
        </w:rPr>
        <w:instrText xml:space="preserve"> </w:instrText>
      </w:r>
      <w:r>
        <w:rPr>
          <w:rFonts w:cs="Times New Roman"/>
          <w:b/>
          <w:color w:val="auto"/>
          <w:kern w:val="0"/>
          <w:sz w:val="20"/>
          <w:szCs w:val="20"/>
          <w:highlight w:val="none"/>
        </w:rPr>
        <w:fldChar w:fldCharType="separate"/>
      </w:r>
      <w:r>
        <w:rPr>
          <w:rFonts w:hint="eastAsia" w:cs="Times New Roman"/>
          <w:b/>
          <w:color w:val="auto"/>
          <w:kern w:val="0"/>
          <w:sz w:val="20"/>
          <w:szCs w:val="20"/>
          <w:highlight w:val="none"/>
        </w:rPr>
        <w:t>15</w:t>
      </w:r>
      <w:r>
        <w:rPr>
          <w:rFonts w:cs="Times New Roman"/>
          <w:b/>
          <w:color w:val="auto"/>
          <w:kern w:val="0"/>
          <w:sz w:val="20"/>
          <w:szCs w:val="20"/>
          <w:highlight w:val="none"/>
        </w:rPr>
        <w:fldChar w:fldCharType="end"/>
      </w:r>
      <w:r>
        <w:rPr>
          <w:rFonts w:hint="eastAsia" w:ascii="宋体" w:hAnsi="宋体" w:cs="宋体"/>
          <w:b/>
          <w:color w:val="auto"/>
          <w:kern w:val="0"/>
          <w:sz w:val="20"/>
          <w:highlight w:val="none"/>
        </w:rPr>
        <w:t>地下水环境质量现状监测评价结果一览表（pH无量纲，其他mg/L）</w:t>
      </w:r>
    </w:p>
    <w:tbl>
      <w:tblPr>
        <w:tblStyle w:val="3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9"/>
        <w:gridCol w:w="1230"/>
        <w:gridCol w:w="1071"/>
        <w:gridCol w:w="1120"/>
        <w:gridCol w:w="1073"/>
        <w:gridCol w:w="955"/>
        <w:gridCol w:w="1127"/>
      </w:tblGrid>
      <w:tr w14:paraId="3E6A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68" w:type="pct"/>
            <w:shd w:val="clear" w:color="000000" w:fill="FFFFFF"/>
            <w:vAlign w:val="center"/>
          </w:tcPr>
          <w:p w14:paraId="3A095F29">
            <w:pPr>
              <w:pStyle w:val="37"/>
              <w:adjustRightInd w:val="0"/>
              <w:spacing w:before="62" w:after="62"/>
              <w:rPr>
                <w:b/>
                <w:bCs/>
                <w:color w:val="auto"/>
                <w:highlight w:val="none"/>
              </w:rPr>
            </w:pPr>
            <w:r>
              <w:rPr>
                <w:b/>
                <w:bCs/>
                <w:color w:val="auto"/>
                <w:highlight w:val="none"/>
              </w:rPr>
              <w:t>监测因子</w:t>
            </w:r>
          </w:p>
        </w:tc>
        <w:tc>
          <w:tcPr>
            <w:tcW w:w="679" w:type="pct"/>
            <w:shd w:val="clear" w:color="000000" w:fill="FFFFFF"/>
            <w:vAlign w:val="center"/>
          </w:tcPr>
          <w:p w14:paraId="14946B8F">
            <w:pPr>
              <w:pStyle w:val="37"/>
              <w:adjustRightInd w:val="0"/>
              <w:spacing w:before="62" w:after="62"/>
              <w:rPr>
                <w:b/>
                <w:bCs/>
                <w:color w:val="auto"/>
                <w:highlight w:val="none"/>
              </w:rPr>
            </w:pPr>
            <w:r>
              <w:rPr>
                <w:b/>
                <w:bCs/>
                <w:color w:val="auto"/>
                <w:highlight w:val="none"/>
              </w:rPr>
              <w:t>最小值</w:t>
            </w:r>
          </w:p>
        </w:tc>
        <w:tc>
          <w:tcPr>
            <w:tcW w:w="591" w:type="pct"/>
            <w:shd w:val="clear" w:color="000000" w:fill="FFFFFF"/>
            <w:vAlign w:val="center"/>
          </w:tcPr>
          <w:p w14:paraId="1CEF0140">
            <w:pPr>
              <w:pStyle w:val="37"/>
              <w:adjustRightInd w:val="0"/>
              <w:spacing w:before="62" w:after="62"/>
              <w:rPr>
                <w:b/>
                <w:bCs/>
                <w:color w:val="auto"/>
                <w:highlight w:val="none"/>
              </w:rPr>
            </w:pPr>
            <w:r>
              <w:rPr>
                <w:b/>
                <w:bCs/>
                <w:color w:val="auto"/>
                <w:highlight w:val="none"/>
              </w:rPr>
              <w:t>最大值</w:t>
            </w:r>
          </w:p>
        </w:tc>
        <w:tc>
          <w:tcPr>
            <w:tcW w:w="618" w:type="pct"/>
            <w:vAlign w:val="center"/>
          </w:tcPr>
          <w:p w14:paraId="180FC5DA">
            <w:pPr>
              <w:pStyle w:val="37"/>
              <w:adjustRightInd w:val="0"/>
              <w:spacing w:before="62" w:after="62"/>
              <w:rPr>
                <w:b/>
                <w:bCs/>
                <w:color w:val="auto"/>
                <w:highlight w:val="none"/>
              </w:rPr>
            </w:pPr>
            <w:r>
              <w:rPr>
                <w:b/>
                <w:bCs/>
                <w:color w:val="auto"/>
                <w:highlight w:val="none"/>
              </w:rPr>
              <w:t>均值</w:t>
            </w:r>
          </w:p>
        </w:tc>
        <w:tc>
          <w:tcPr>
            <w:tcW w:w="592" w:type="pct"/>
            <w:vAlign w:val="center"/>
          </w:tcPr>
          <w:p w14:paraId="3025E841">
            <w:pPr>
              <w:pStyle w:val="37"/>
              <w:adjustRightInd w:val="0"/>
              <w:spacing w:before="62" w:after="62"/>
              <w:rPr>
                <w:b/>
                <w:bCs/>
                <w:color w:val="auto"/>
                <w:highlight w:val="none"/>
              </w:rPr>
            </w:pPr>
            <w:r>
              <w:rPr>
                <w:b/>
                <w:bCs/>
                <w:color w:val="auto"/>
                <w:highlight w:val="none"/>
              </w:rPr>
              <w:t>检出率</w:t>
            </w:r>
          </w:p>
        </w:tc>
        <w:tc>
          <w:tcPr>
            <w:tcW w:w="527" w:type="pct"/>
            <w:vAlign w:val="center"/>
          </w:tcPr>
          <w:p w14:paraId="394BD7F6">
            <w:pPr>
              <w:pStyle w:val="37"/>
              <w:adjustRightInd w:val="0"/>
              <w:spacing w:before="62" w:after="62"/>
              <w:rPr>
                <w:b/>
                <w:bCs/>
                <w:color w:val="auto"/>
                <w:highlight w:val="none"/>
              </w:rPr>
            </w:pPr>
            <w:r>
              <w:rPr>
                <w:b/>
                <w:bCs/>
                <w:color w:val="auto"/>
                <w:highlight w:val="none"/>
              </w:rPr>
              <w:t>超标率</w:t>
            </w:r>
          </w:p>
        </w:tc>
        <w:tc>
          <w:tcPr>
            <w:tcW w:w="622" w:type="pct"/>
            <w:noWrap/>
            <w:vAlign w:val="center"/>
          </w:tcPr>
          <w:p w14:paraId="2DA8C3BF">
            <w:pPr>
              <w:pStyle w:val="37"/>
              <w:adjustRightInd w:val="0"/>
              <w:spacing w:before="62" w:after="62"/>
              <w:rPr>
                <w:b/>
                <w:bCs/>
                <w:color w:val="auto"/>
                <w:highlight w:val="none"/>
              </w:rPr>
            </w:pPr>
            <w:r>
              <w:rPr>
                <w:b/>
                <w:bCs/>
                <w:color w:val="auto"/>
                <w:highlight w:val="none"/>
              </w:rPr>
              <w:t>达标情况</w:t>
            </w:r>
          </w:p>
        </w:tc>
      </w:tr>
      <w:tr w14:paraId="2AB12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0E07E498">
            <w:pPr>
              <w:pStyle w:val="37"/>
              <w:adjustRightInd w:val="0"/>
              <w:spacing w:before="62" w:after="62"/>
              <w:rPr>
                <w:color w:val="auto"/>
                <w:highlight w:val="none"/>
              </w:rPr>
            </w:pPr>
            <w:r>
              <w:rPr>
                <w:color w:val="auto"/>
                <w:highlight w:val="none"/>
              </w:rPr>
              <w:t>pH（无量纲）</w:t>
            </w:r>
          </w:p>
        </w:tc>
        <w:tc>
          <w:tcPr>
            <w:tcW w:w="679" w:type="pct"/>
            <w:shd w:val="clear" w:color="000000" w:fill="FFFFFF"/>
            <w:vAlign w:val="center"/>
          </w:tcPr>
          <w:p w14:paraId="5FD94780">
            <w:pPr>
              <w:pStyle w:val="37"/>
              <w:adjustRightInd w:val="0"/>
              <w:spacing w:before="62" w:after="62"/>
              <w:rPr>
                <w:color w:val="auto"/>
                <w:highlight w:val="none"/>
              </w:rPr>
            </w:pPr>
          </w:p>
        </w:tc>
        <w:tc>
          <w:tcPr>
            <w:tcW w:w="591" w:type="pct"/>
            <w:noWrap/>
            <w:vAlign w:val="center"/>
          </w:tcPr>
          <w:p w14:paraId="2D98E0C1">
            <w:pPr>
              <w:pStyle w:val="37"/>
              <w:adjustRightInd w:val="0"/>
              <w:spacing w:before="62" w:after="62"/>
              <w:rPr>
                <w:color w:val="auto"/>
                <w:highlight w:val="none"/>
              </w:rPr>
            </w:pPr>
          </w:p>
        </w:tc>
        <w:tc>
          <w:tcPr>
            <w:tcW w:w="618" w:type="pct"/>
            <w:vAlign w:val="center"/>
          </w:tcPr>
          <w:p w14:paraId="5CF30B20">
            <w:pPr>
              <w:pStyle w:val="37"/>
              <w:adjustRightInd w:val="0"/>
              <w:spacing w:before="62" w:after="62"/>
              <w:rPr>
                <w:color w:val="auto"/>
                <w:highlight w:val="none"/>
              </w:rPr>
            </w:pPr>
          </w:p>
        </w:tc>
        <w:tc>
          <w:tcPr>
            <w:tcW w:w="592" w:type="pct"/>
            <w:shd w:val="clear" w:color="000000" w:fill="FFFFFF"/>
            <w:vAlign w:val="center"/>
          </w:tcPr>
          <w:p w14:paraId="72FEC19C">
            <w:pPr>
              <w:pStyle w:val="37"/>
              <w:adjustRightInd w:val="0"/>
              <w:spacing w:before="62" w:after="62"/>
              <w:rPr>
                <w:color w:val="auto"/>
                <w:highlight w:val="none"/>
              </w:rPr>
            </w:pPr>
          </w:p>
        </w:tc>
        <w:tc>
          <w:tcPr>
            <w:tcW w:w="527" w:type="pct"/>
            <w:shd w:val="clear" w:color="000000" w:fill="FFFFFF"/>
            <w:vAlign w:val="center"/>
          </w:tcPr>
          <w:p w14:paraId="32566899">
            <w:pPr>
              <w:pStyle w:val="37"/>
              <w:adjustRightInd w:val="0"/>
              <w:spacing w:before="62" w:after="62"/>
              <w:rPr>
                <w:color w:val="auto"/>
                <w:highlight w:val="none"/>
              </w:rPr>
            </w:pPr>
          </w:p>
        </w:tc>
        <w:tc>
          <w:tcPr>
            <w:tcW w:w="622" w:type="pct"/>
            <w:noWrap/>
            <w:vAlign w:val="center"/>
          </w:tcPr>
          <w:p w14:paraId="37F770DA">
            <w:pPr>
              <w:pStyle w:val="37"/>
              <w:adjustRightInd w:val="0"/>
              <w:spacing w:before="62" w:after="62"/>
              <w:rPr>
                <w:color w:val="auto"/>
                <w:highlight w:val="none"/>
              </w:rPr>
            </w:pPr>
            <w:r>
              <w:rPr>
                <w:color w:val="auto"/>
                <w:highlight w:val="none"/>
              </w:rPr>
              <w:t>达标</w:t>
            </w:r>
          </w:p>
        </w:tc>
      </w:tr>
      <w:tr w14:paraId="0DC4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69722147">
            <w:pPr>
              <w:pStyle w:val="37"/>
              <w:adjustRightInd w:val="0"/>
              <w:spacing w:before="62" w:after="62"/>
              <w:rPr>
                <w:color w:val="auto"/>
                <w:highlight w:val="none"/>
              </w:rPr>
            </w:pPr>
            <w:r>
              <w:rPr>
                <w:color w:val="auto"/>
                <w:highlight w:val="none"/>
              </w:rPr>
              <w:t>镁</w:t>
            </w:r>
          </w:p>
        </w:tc>
        <w:tc>
          <w:tcPr>
            <w:tcW w:w="679" w:type="pct"/>
            <w:shd w:val="clear" w:color="000000" w:fill="FFFFFF"/>
            <w:vAlign w:val="center"/>
          </w:tcPr>
          <w:p w14:paraId="5A7395FB">
            <w:pPr>
              <w:pStyle w:val="37"/>
              <w:adjustRightInd w:val="0"/>
              <w:spacing w:before="62" w:after="62"/>
              <w:rPr>
                <w:color w:val="auto"/>
                <w:highlight w:val="none"/>
              </w:rPr>
            </w:pPr>
          </w:p>
        </w:tc>
        <w:tc>
          <w:tcPr>
            <w:tcW w:w="591" w:type="pct"/>
            <w:noWrap/>
            <w:vAlign w:val="center"/>
          </w:tcPr>
          <w:p w14:paraId="1F4D9B52">
            <w:pPr>
              <w:pStyle w:val="37"/>
              <w:adjustRightInd w:val="0"/>
              <w:spacing w:before="62" w:after="62"/>
              <w:rPr>
                <w:color w:val="auto"/>
                <w:highlight w:val="none"/>
              </w:rPr>
            </w:pPr>
          </w:p>
        </w:tc>
        <w:tc>
          <w:tcPr>
            <w:tcW w:w="618" w:type="pct"/>
            <w:vAlign w:val="center"/>
          </w:tcPr>
          <w:p w14:paraId="7F4C6A28">
            <w:pPr>
              <w:pStyle w:val="37"/>
              <w:adjustRightInd w:val="0"/>
              <w:spacing w:before="62" w:after="62"/>
              <w:rPr>
                <w:color w:val="auto"/>
                <w:highlight w:val="none"/>
              </w:rPr>
            </w:pPr>
          </w:p>
        </w:tc>
        <w:tc>
          <w:tcPr>
            <w:tcW w:w="592" w:type="pct"/>
            <w:shd w:val="clear" w:color="000000" w:fill="FFFFFF"/>
            <w:vAlign w:val="center"/>
          </w:tcPr>
          <w:p w14:paraId="31918AC6">
            <w:pPr>
              <w:pStyle w:val="37"/>
              <w:adjustRightInd w:val="0"/>
              <w:spacing w:before="62" w:after="62"/>
              <w:rPr>
                <w:color w:val="auto"/>
                <w:highlight w:val="none"/>
              </w:rPr>
            </w:pPr>
          </w:p>
        </w:tc>
        <w:tc>
          <w:tcPr>
            <w:tcW w:w="527" w:type="pct"/>
            <w:shd w:val="clear" w:color="000000" w:fill="FFFFFF"/>
            <w:vAlign w:val="center"/>
          </w:tcPr>
          <w:p w14:paraId="3785ACB7">
            <w:pPr>
              <w:pStyle w:val="37"/>
              <w:adjustRightInd w:val="0"/>
              <w:spacing w:before="62" w:after="62"/>
              <w:rPr>
                <w:color w:val="auto"/>
                <w:highlight w:val="none"/>
              </w:rPr>
            </w:pPr>
          </w:p>
        </w:tc>
        <w:tc>
          <w:tcPr>
            <w:tcW w:w="622" w:type="pct"/>
            <w:noWrap/>
            <w:vAlign w:val="center"/>
          </w:tcPr>
          <w:p w14:paraId="1E3FB9B5">
            <w:pPr>
              <w:pStyle w:val="37"/>
              <w:adjustRightInd w:val="0"/>
              <w:spacing w:before="62" w:after="62"/>
              <w:rPr>
                <w:color w:val="auto"/>
                <w:highlight w:val="none"/>
              </w:rPr>
            </w:pPr>
            <w:r>
              <w:rPr>
                <w:color w:val="auto"/>
                <w:highlight w:val="none"/>
              </w:rPr>
              <w:t>达标</w:t>
            </w:r>
          </w:p>
        </w:tc>
      </w:tr>
      <w:tr w14:paraId="0BEC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33E717D5">
            <w:pPr>
              <w:pStyle w:val="37"/>
              <w:adjustRightInd w:val="0"/>
              <w:spacing w:before="62" w:after="62"/>
              <w:rPr>
                <w:color w:val="auto"/>
                <w:highlight w:val="none"/>
              </w:rPr>
            </w:pPr>
            <w:r>
              <w:rPr>
                <w:color w:val="auto"/>
                <w:highlight w:val="none"/>
              </w:rPr>
              <w:t>钙</w:t>
            </w:r>
          </w:p>
        </w:tc>
        <w:tc>
          <w:tcPr>
            <w:tcW w:w="679" w:type="pct"/>
            <w:shd w:val="clear" w:color="000000" w:fill="FFFFFF"/>
            <w:vAlign w:val="center"/>
          </w:tcPr>
          <w:p w14:paraId="438A0FE2">
            <w:pPr>
              <w:pStyle w:val="37"/>
              <w:adjustRightInd w:val="0"/>
              <w:spacing w:before="62" w:after="62"/>
              <w:rPr>
                <w:color w:val="auto"/>
                <w:highlight w:val="none"/>
              </w:rPr>
            </w:pPr>
          </w:p>
        </w:tc>
        <w:tc>
          <w:tcPr>
            <w:tcW w:w="591" w:type="pct"/>
            <w:noWrap/>
            <w:vAlign w:val="center"/>
          </w:tcPr>
          <w:p w14:paraId="22903236">
            <w:pPr>
              <w:pStyle w:val="37"/>
              <w:adjustRightInd w:val="0"/>
              <w:spacing w:before="62" w:after="62"/>
              <w:rPr>
                <w:color w:val="auto"/>
                <w:highlight w:val="none"/>
              </w:rPr>
            </w:pPr>
          </w:p>
        </w:tc>
        <w:tc>
          <w:tcPr>
            <w:tcW w:w="618" w:type="pct"/>
            <w:vAlign w:val="center"/>
          </w:tcPr>
          <w:p w14:paraId="10E304AE">
            <w:pPr>
              <w:pStyle w:val="37"/>
              <w:adjustRightInd w:val="0"/>
              <w:spacing w:before="62" w:after="62"/>
              <w:rPr>
                <w:color w:val="auto"/>
                <w:highlight w:val="none"/>
              </w:rPr>
            </w:pPr>
          </w:p>
        </w:tc>
        <w:tc>
          <w:tcPr>
            <w:tcW w:w="592" w:type="pct"/>
            <w:shd w:val="clear" w:color="000000" w:fill="FFFFFF"/>
            <w:vAlign w:val="center"/>
          </w:tcPr>
          <w:p w14:paraId="7037507D">
            <w:pPr>
              <w:pStyle w:val="37"/>
              <w:adjustRightInd w:val="0"/>
              <w:spacing w:before="62" w:after="62"/>
              <w:rPr>
                <w:color w:val="auto"/>
                <w:highlight w:val="none"/>
              </w:rPr>
            </w:pPr>
          </w:p>
        </w:tc>
        <w:tc>
          <w:tcPr>
            <w:tcW w:w="527" w:type="pct"/>
            <w:shd w:val="clear" w:color="000000" w:fill="FFFFFF"/>
            <w:vAlign w:val="center"/>
          </w:tcPr>
          <w:p w14:paraId="1517BDFA">
            <w:pPr>
              <w:pStyle w:val="37"/>
              <w:adjustRightInd w:val="0"/>
              <w:spacing w:before="62" w:after="62"/>
              <w:rPr>
                <w:color w:val="auto"/>
                <w:highlight w:val="none"/>
              </w:rPr>
            </w:pPr>
          </w:p>
        </w:tc>
        <w:tc>
          <w:tcPr>
            <w:tcW w:w="622" w:type="pct"/>
            <w:noWrap/>
            <w:vAlign w:val="center"/>
          </w:tcPr>
          <w:p w14:paraId="4ADFEF52">
            <w:pPr>
              <w:pStyle w:val="37"/>
              <w:adjustRightInd w:val="0"/>
              <w:spacing w:before="62" w:after="62"/>
              <w:rPr>
                <w:color w:val="auto"/>
                <w:highlight w:val="none"/>
              </w:rPr>
            </w:pPr>
            <w:r>
              <w:rPr>
                <w:color w:val="auto"/>
                <w:highlight w:val="none"/>
              </w:rPr>
              <w:t>达标</w:t>
            </w:r>
          </w:p>
        </w:tc>
      </w:tr>
      <w:tr w14:paraId="7F441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1B2342A8">
            <w:pPr>
              <w:pStyle w:val="37"/>
              <w:adjustRightInd w:val="0"/>
              <w:spacing w:before="62" w:after="62"/>
              <w:rPr>
                <w:color w:val="auto"/>
                <w:highlight w:val="none"/>
              </w:rPr>
            </w:pPr>
            <w:r>
              <w:rPr>
                <w:color w:val="auto"/>
                <w:highlight w:val="none"/>
              </w:rPr>
              <w:t>钾</w:t>
            </w:r>
          </w:p>
        </w:tc>
        <w:tc>
          <w:tcPr>
            <w:tcW w:w="679" w:type="pct"/>
            <w:shd w:val="clear" w:color="000000" w:fill="FFFFFF"/>
            <w:vAlign w:val="center"/>
          </w:tcPr>
          <w:p w14:paraId="32C0E7EC">
            <w:pPr>
              <w:pStyle w:val="37"/>
              <w:adjustRightInd w:val="0"/>
              <w:spacing w:before="62" w:after="62"/>
              <w:rPr>
                <w:color w:val="auto"/>
                <w:highlight w:val="none"/>
              </w:rPr>
            </w:pPr>
          </w:p>
        </w:tc>
        <w:tc>
          <w:tcPr>
            <w:tcW w:w="591" w:type="pct"/>
            <w:noWrap/>
            <w:vAlign w:val="center"/>
          </w:tcPr>
          <w:p w14:paraId="2D8E07C0">
            <w:pPr>
              <w:pStyle w:val="37"/>
              <w:adjustRightInd w:val="0"/>
              <w:spacing w:before="62" w:after="62"/>
              <w:rPr>
                <w:color w:val="auto"/>
                <w:highlight w:val="none"/>
              </w:rPr>
            </w:pPr>
          </w:p>
        </w:tc>
        <w:tc>
          <w:tcPr>
            <w:tcW w:w="618" w:type="pct"/>
            <w:vAlign w:val="center"/>
          </w:tcPr>
          <w:p w14:paraId="3CCC2160">
            <w:pPr>
              <w:pStyle w:val="37"/>
              <w:adjustRightInd w:val="0"/>
              <w:spacing w:before="62" w:after="62"/>
              <w:rPr>
                <w:color w:val="auto"/>
                <w:highlight w:val="none"/>
              </w:rPr>
            </w:pPr>
          </w:p>
        </w:tc>
        <w:tc>
          <w:tcPr>
            <w:tcW w:w="592" w:type="pct"/>
            <w:shd w:val="clear" w:color="000000" w:fill="FFFFFF"/>
            <w:vAlign w:val="center"/>
          </w:tcPr>
          <w:p w14:paraId="7E29246E">
            <w:pPr>
              <w:pStyle w:val="37"/>
              <w:adjustRightInd w:val="0"/>
              <w:spacing w:before="62" w:after="62"/>
              <w:rPr>
                <w:color w:val="auto"/>
                <w:highlight w:val="none"/>
              </w:rPr>
            </w:pPr>
          </w:p>
        </w:tc>
        <w:tc>
          <w:tcPr>
            <w:tcW w:w="527" w:type="pct"/>
            <w:shd w:val="clear" w:color="000000" w:fill="FFFFFF"/>
            <w:vAlign w:val="center"/>
          </w:tcPr>
          <w:p w14:paraId="0B6797E2">
            <w:pPr>
              <w:pStyle w:val="37"/>
              <w:adjustRightInd w:val="0"/>
              <w:spacing w:before="62" w:after="62"/>
              <w:rPr>
                <w:color w:val="auto"/>
                <w:highlight w:val="none"/>
              </w:rPr>
            </w:pPr>
          </w:p>
        </w:tc>
        <w:tc>
          <w:tcPr>
            <w:tcW w:w="622" w:type="pct"/>
            <w:noWrap/>
            <w:vAlign w:val="center"/>
          </w:tcPr>
          <w:p w14:paraId="203A7FC3">
            <w:pPr>
              <w:pStyle w:val="37"/>
              <w:adjustRightInd w:val="0"/>
              <w:spacing w:before="62" w:after="62"/>
              <w:rPr>
                <w:color w:val="auto"/>
                <w:highlight w:val="none"/>
              </w:rPr>
            </w:pPr>
            <w:r>
              <w:rPr>
                <w:color w:val="auto"/>
                <w:highlight w:val="none"/>
              </w:rPr>
              <w:t>达标</w:t>
            </w:r>
          </w:p>
        </w:tc>
      </w:tr>
      <w:tr w14:paraId="47C0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72B2F515">
            <w:pPr>
              <w:pStyle w:val="37"/>
              <w:adjustRightInd w:val="0"/>
              <w:spacing w:before="62" w:after="62"/>
              <w:rPr>
                <w:color w:val="auto"/>
                <w:highlight w:val="none"/>
              </w:rPr>
            </w:pPr>
            <w:r>
              <w:rPr>
                <w:color w:val="auto"/>
                <w:highlight w:val="none"/>
              </w:rPr>
              <w:t>钠</w:t>
            </w:r>
          </w:p>
        </w:tc>
        <w:tc>
          <w:tcPr>
            <w:tcW w:w="679" w:type="pct"/>
            <w:shd w:val="clear" w:color="000000" w:fill="FFFFFF"/>
            <w:vAlign w:val="center"/>
          </w:tcPr>
          <w:p w14:paraId="56712E79">
            <w:pPr>
              <w:pStyle w:val="37"/>
              <w:adjustRightInd w:val="0"/>
              <w:spacing w:before="62" w:after="62"/>
              <w:rPr>
                <w:color w:val="auto"/>
                <w:highlight w:val="none"/>
              </w:rPr>
            </w:pPr>
          </w:p>
        </w:tc>
        <w:tc>
          <w:tcPr>
            <w:tcW w:w="591" w:type="pct"/>
            <w:shd w:val="clear" w:color="000000" w:fill="FFFFFF"/>
            <w:vAlign w:val="center"/>
          </w:tcPr>
          <w:p w14:paraId="4F10BDEF">
            <w:pPr>
              <w:pStyle w:val="37"/>
              <w:adjustRightInd w:val="0"/>
              <w:spacing w:before="62" w:after="62"/>
              <w:rPr>
                <w:color w:val="auto"/>
                <w:highlight w:val="none"/>
              </w:rPr>
            </w:pPr>
          </w:p>
        </w:tc>
        <w:tc>
          <w:tcPr>
            <w:tcW w:w="618" w:type="pct"/>
            <w:vAlign w:val="center"/>
          </w:tcPr>
          <w:p w14:paraId="50535BD4">
            <w:pPr>
              <w:pStyle w:val="37"/>
              <w:adjustRightInd w:val="0"/>
              <w:spacing w:before="62" w:after="62"/>
              <w:rPr>
                <w:color w:val="auto"/>
                <w:highlight w:val="none"/>
              </w:rPr>
            </w:pPr>
          </w:p>
        </w:tc>
        <w:tc>
          <w:tcPr>
            <w:tcW w:w="592" w:type="pct"/>
            <w:vAlign w:val="center"/>
          </w:tcPr>
          <w:p w14:paraId="28F6C456">
            <w:pPr>
              <w:pStyle w:val="37"/>
              <w:adjustRightInd w:val="0"/>
              <w:spacing w:before="62" w:after="62"/>
              <w:rPr>
                <w:color w:val="auto"/>
                <w:highlight w:val="none"/>
              </w:rPr>
            </w:pPr>
          </w:p>
        </w:tc>
        <w:tc>
          <w:tcPr>
            <w:tcW w:w="527" w:type="pct"/>
            <w:vAlign w:val="center"/>
          </w:tcPr>
          <w:p w14:paraId="1DD6D56F">
            <w:pPr>
              <w:pStyle w:val="37"/>
              <w:adjustRightInd w:val="0"/>
              <w:spacing w:before="62" w:after="62"/>
              <w:rPr>
                <w:color w:val="auto"/>
                <w:highlight w:val="none"/>
              </w:rPr>
            </w:pPr>
          </w:p>
        </w:tc>
        <w:tc>
          <w:tcPr>
            <w:tcW w:w="622" w:type="pct"/>
            <w:noWrap/>
            <w:vAlign w:val="center"/>
          </w:tcPr>
          <w:p w14:paraId="55C6D405">
            <w:pPr>
              <w:pStyle w:val="37"/>
              <w:adjustRightInd w:val="0"/>
              <w:spacing w:before="62" w:after="62"/>
              <w:rPr>
                <w:color w:val="auto"/>
                <w:highlight w:val="none"/>
              </w:rPr>
            </w:pPr>
            <w:r>
              <w:rPr>
                <w:color w:val="auto"/>
                <w:highlight w:val="none"/>
              </w:rPr>
              <w:t>达标</w:t>
            </w:r>
          </w:p>
        </w:tc>
      </w:tr>
      <w:tr w14:paraId="4717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4707BE30">
            <w:pPr>
              <w:pStyle w:val="37"/>
              <w:adjustRightInd w:val="0"/>
              <w:spacing w:before="62" w:after="62"/>
              <w:rPr>
                <w:color w:val="auto"/>
                <w:highlight w:val="none"/>
              </w:rPr>
            </w:pPr>
            <w:r>
              <w:rPr>
                <w:color w:val="auto"/>
                <w:highlight w:val="none"/>
              </w:rPr>
              <w:t>碳酸根离子</w:t>
            </w:r>
          </w:p>
        </w:tc>
        <w:tc>
          <w:tcPr>
            <w:tcW w:w="679" w:type="pct"/>
            <w:shd w:val="clear" w:color="000000" w:fill="FFFFFF"/>
            <w:vAlign w:val="center"/>
          </w:tcPr>
          <w:p w14:paraId="0F1824B0">
            <w:pPr>
              <w:pStyle w:val="37"/>
              <w:adjustRightInd w:val="0"/>
              <w:spacing w:before="62" w:after="62"/>
              <w:rPr>
                <w:color w:val="auto"/>
                <w:highlight w:val="none"/>
              </w:rPr>
            </w:pPr>
          </w:p>
        </w:tc>
        <w:tc>
          <w:tcPr>
            <w:tcW w:w="591" w:type="pct"/>
            <w:shd w:val="clear" w:color="000000" w:fill="FFFFFF"/>
            <w:vAlign w:val="center"/>
          </w:tcPr>
          <w:p w14:paraId="2C4420F9">
            <w:pPr>
              <w:pStyle w:val="37"/>
              <w:adjustRightInd w:val="0"/>
              <w:spacing w:before="62" w:after="62"/>
              <w:rPr>
                <w:color w:val="auto"/>
                <w:highlight w:val="none"/>
              </w:rPr>
            </w:pPr>
          </w:p>
        </w:tc>
        <w:tc>
          <w:tcPr>
            <w:tcW w:w="618" w:type="pct"/>
            <w:vAlign w:val="center"/>
          </w:tcPr>
          <w:p w14:paraId="4CB1AA4D">
            <w:pPr>
              <w:pStyle w:val="37"/>
              <w:adjustRightInd w:val="0"/>
              <w:spacing w:before="62" w:after="62"/>
              <w:rPr>
                <w:color w:val="auto"/>
                <w:highlight w:val="none"/>
              </w:rPr>
            </w:pPr>
          </w:p>
        </w:tc>
        <w:tc>
          <w:tcPr>
            <w:tcW w:w="592" w:type="pct"/>
            <w:vAlign w:val="center"/>
          </w:tcPr>
          <w:p w14:paraId="56DF2E81">
            <w:pPr>
              <w:pStyle w:val="37"/>
              <w:adjustRightInd w:val="0"/>
              <w:spacing w:before="62" w:after="62"/>
              <w:rPr>
                <w:color w:val="auto"/>
                <w:highlight w:val="none"/>
              </w:rPr>
            </w:pPr>
          </w:p>
        </w:tc>
        <w:tc>
          <w:tcPr>
            <w:tcW w:w="527" w:type="pct"/>
            <w:vAlign w:val="center"/>
          </w:tcPr>
          <w:p w14:paraId="4B07DF3B">
            <w:pPr>
              <w:pStyle w:val="37"/>
              <w:adjustRightInd w:val="0"/>
              <w:spacing w:before="62" w:after="62"/>
              <w:rPr>
                <w:color w:val="auto"/>
                <w:highlight w:val="none"/>
              </w:rPr>
            </w:pPr>
          </w:p>
        </w:tc>
        <w:tc>
          <w:tcPr>
            <w:tcW w:w="622" w:type="pct"/>
            <w:noWrap/>
            <w:vAlign w:val="center"/>
          </w:tcPr>
          <w:p w14:paraId="080BC882">
            <w:pPr>
              <w:pStyle w:val="37"/>
              <w:adjustRightInd w:val="0"/>
              <w:spacing w:before="62" w:after="62"/>
              <w:rPr>
                <w:color w:val="auto"/>
                <w:highlight w:val="none"/>
              </w:rPr>
            </w:pPr>
            <w:r>
              <w:rPr>
                <w:color w:val="auto"/>
                <w:highlight w:val="none"/>
              </w:rPr>
              <w:t>达标</w:t>
            </w:r>
          </w:p>
        </w:tc>
      </w:tr>
      <w:tr w14:paraId="019F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shd w:val="clear" w:color="000000" w:fill="FFFFFF"/>
            <w:vAlign w:val="center"/>
          </w:tcPr>
          <w:p w14:paraId="779A7450">
            <w:pPr>
              <w:pStyle w:val="37"/>
              <w:adjustRightInd w:val="0"/>
              <w:spacing w:before="62" w:after="62"/>
              <w:rPr>
                <w:color w:val="auto"/>
                <w:highlight w:val="none"/>
              </w:rPr>
            </w:pPr>
            <w:r>
              <w:rPr>
                <w:color w:val="auto"/>
                <w:highlight w:val="none"/>
              </w:rPr>
              <w:t>重碳酸根离子</w:t>
            </w:r>
          </w:p>
        </w:tc>
        <w:tc>
          <w:tcPr>
            <w:tcW w:w="679" w:type="pct"/>
            <w:shd w:val="clear" w:color="000000" w:fill="FFFFFF"/>
            <w:vAlign w:val="center"/>
          </w:tcPr>
          <w:p w14:paraId="7B6D07B6">
            <w:pPr>
              <w:pStyle w:val="37"/>
              <w:adjustRightInd w:val="0"/>
              <w:spacing w:before="62" w:after="62"/>
              <w:rPr>
                <w:color w:val="auto"/>
                <w:highlight w:val="none"/>
              </w:rPr>
            </w:pPr>
          </w:p>
        </w:tc>
        <w:tc>
          <w:tcPr>
            <w:tcW w:w="591" w:type="pct"/>
            <w:shd w:val="clear" w:color="000000" w:fill="FFFFFF"/>
            <w:vAlign w:val="center"/>
          </w:tcPr>
          <w:p w14:paraId="20CDCBA1">
            <w:pPr>
              <w:pStyle w:val="37"/>
              <w:adjustRightInd w:val="0"/>
              <w:spacing w:before="62" w:after="62"/>
              <w:rPr>
                <w:color w:val="auto"/>
                <w:highlight w:val="none"/>
              </w:rPr>
            </w:pPr>
          </w:p>
        </w:tc>
        <w:tc>
          <w:tcPr>
            <w:tcW w:w="618" w:type="pct"/>
            <w:vAlign w:val="center"/>
          </w:tcPr>
          <w:p w14:paraId="1209925E">
            <w:pPr>
              <w:pStyle w:val="37"/>
              <w:adjustRightInd w:val="0"/>
              <w:spacing w:before="62" w:after="62"/>
              <w:rPr>
                <w:color w:val="auto"/>
                <w:highlight w:val="none"/>
              </w:rPr>
            </w:pPr>
          </w:p>
        </w:tc>
        <w:tc>
          <w:tcPr>
            <w:tcW w:w="592" w:type="pct"/>
            <w:vAlign w:val="center"/>
          </w:tcPr>
          <w:p w14:paraId="1440E071">
            <w:pPr>
              <w:pStyle w:val="37"/>
              <w:adjustRightInd w:val="0"/>
              <w:spacing w:before="62" w:after="62"/>
              <w:rPr>
                <w:color w:val="auto"/>
                <w:highlight w:val="none"/>
              </w:rPr>
            </w:pPr>
          </w:p>
        </w:tc>
        <w:tc>
          <w:tcPr>
            <w:tcW w:w="527" w:type="pct"/>
            <w:vAlign w:val="center"/>
          </w:tcPr>
          <w:p w14:paraId="17EEFCAF">
            <w:pPr>
              <w:pStyle w:val="37"/>
              <w:adjustRightInd w:val="0"/>
              <w:spacing w:before="62" w:after="62"/>
              <w:rPr>
                <w:color w:val="auto"/>
                <w:highlight w:val="none"/>
              </w:rPr>
            </w:pPr>
          </w:p>
        </w:tc>
        <w:tc>
          <w:tcPr>
            <w:tcW w:w="622" w:type="pct"/>
            <w:noWrap/>
            <w:vAlign w:val="center"/>
          </w:tcPr>
          <w:p w14:paraId="466090CD">
            <w:pPr>
              <w:pStyle w:val="37"/>
              <w:adjustRightInd w:val="0"/>
              <w:spacing w:before="62" w:after="62"/>
              <w:rPr>
                <w:color w:val="auto"/>
                <w:highlight w:val="none"/>
              </w:rPr>
            </w:pPr>
            <w:r>
              <w:rPr>
                <w:color w:val="auto"/>
                <w:highlight w:val="none"/>
              </w:rPr>
              <w:t>达标</w:t>
            </w:r>
          </w:p>
        </w:tc>
      </w:tr>
      <w:tr w14:paraId="79177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6FD6506B">
            <w:pPr>
              <w:pStyle w:val="37"/>
              <w:adjustRightInd w:val="0"/>
              <w:spacing w:before="62" w:after="62"/>
              <w:rPr>
                <w:color w:val="auto"/>
                <w:highlight w:val="none"/>
              </w:rPr>
            </w:pPr>
            <w:r>
              <w:rPr>
                <w:color w:val="auto"/>
                <w:highlight w:val="none"/>
              </w:rPr>
              <w:t>总硬度</w:t>
            </w:r>
          </w:p>
        </w:tc>
        <w:tc>
          <w:tcPr>
            <w:tcW w:w="679" w:type="pct"/>
            <w:noWrap/>
            <w:vAlign w:val="center"/>
          </w:tcPr>
          <w:p w14:paraId="0BD81123">
            <w:pPr>
              <w:pStyle w:val="37"/>
              <w:adjustRightInd w:val="0"/>
              <w:spacing w:before="62" w:after="62"/>
              <w:rPr>
                <w:color w:val="auto"/>
                <w:highlight w:val="none"/>
              </w:rPr>
            </w:pPr>
          </w:p>
        </w:tc>
        <w:tc>
          <w:tcPr>
            <w:tcW w:w="591" w:type="pct"/>
            <w:noWrap/>
            <w:vAlign w:val="center"/>
          </w:tcPr>
          <w:p w14:paraId="7B1618E5">
            <w:pPr>
              <w:pStyle w:val="37"/>
              <w:adjustRightInd w:val="0"/>
              <w:spacing w:before="62" w:after="62"/>
              <w:rPr>
                <w:color w:val="auto"/>
                <w:highlight w:val="none"/>
              </w:rPr>
            </w:pPr>
          </w:p>
        </w:tc>
        <w:tc>
          <w:tcPr>
            <w:tcW w:w="618" w:type="pct"/>
            <w:vAlign w:val="center"/>
          </w:tcPr>
          <w:p w14:paraId="19C5F757">
            <w:pPr>
              <w:pStyle w:val="37"/>
              <w:adjustRightInd w:val="0"/>
              <w:spacing w:before="62" w:after="62"/>
              <w:rPr>
                <w:color w:val="auto"/>
                <w:highlight w:val="none"/>
              </w:rPr>
            </w:pPr>
          </w:p>
        </w:tc>
        <w:tc>
          <w:tcPr>
            <w:tcW w:w="592" w:type="pct"/>
            <w:vAlign w:val="center"/>
          </w:tcPr>
          <w:p w14:paraId="5AAE78AE">
            <w:pPr>
              <w:pStyle w:val="37"/>
              <w:adjustRightInd w:val="0"/>
              <w:spacing w:before="62" w:after="62"/>
              <w:rPr>
                <w:color w:val="auto"/>
                <w:highlight w:val="none"/>
              </w:rPr>
            </w:pPr>
          </w:p>
        </w:tc>
        <w:tc>
          <w:tcPr>
            <w:tcW w:w="527" w:type="pct"/>
            <w:vAlign w:val="center"/>
          </w:tcPr>
          <w:p w14:paraId="72588E43">
            <w:pPr>
              <w:pStyle w:val="37"/>
              <w:adjustRightInd w:val="0"/>
              <w:spacing w:before="62" w:after="62"/>
              <w:rPr>
                <w:color w:val="auto"/>
                <w:highlight w:val="none"/>
              </w:rPr>
            </w:pPr>
          </w:p>
        </w:tc>
        <w:tc>
          <w:tcPr>
            <w:tcW w:w="622" w:type="pct"/>
            <w:noWrap/>
            <w:vAlign w:val="center"/>
          </w:tcPr>
          <w:p w14:paraId="4A56A57D">
            <w:pPr>
              <w:pStyle w:val="37"/>
              <w:adjustRightInd w:val="0"/>
              <w:spacing w:before="62" w:after="62"/>
              <w:rPr>
                <w:color w:val="auto"/>
                <w:highlight w:val="none"/>
              </w:rPr>
            </w:pPr>
            <w:r>
              <w:rPr>
                <w:color w:val="auto"/>
                <w:highlight w:val="none"/>
              </w:rPr>
              <w:t>达标</w:t>
            </w:r>
          </w:p>
        </w:tc>
      </w:tr>
      <w:tr w14:paraId="01FD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153E65AB">
            <w:pPr>
              <w:pStyle w:val="37"/>
              <w:adjustRightInd w:val="0"/>
              <w:spacing w:before="62" w:after="62"/>
              <w:rPr>
                <w:color w:val="auto"/>
                <w:highlight w:val="none"/>
              </w:rPr>
            </w:pPr>
            <w:r>
              <w:rPr>
                <w:color w:val="auto"/>
                <w:highlight w:val="none"/>
              </w:rPr>
              <w:t>镉</w:t>
            </w:r>
          </w:p>
        </w:tc>
        <w:tc>
          <w:tcPr>
            <w:tcW w:w="679" w:type="pct"/>
            <w:noWrap/>
            <w:vAlign w:val="center"/>
          </w:tcPr>
          <w:p w14:paraId="15CF0D97">
            <w:pPr>
              <w:pStyle w:val="37"/>
              <w:adjustRightInd w:val="0"/>
              <w:spacing w:before="62" w:after="62"/>
              <w:rPr>
                <w:color w:val="auto"/>
                <w:highlight w:val="none"/>
              </w:rPr>
            </w:pPr>
          </w:p>
        </w:tc>
        <w:tc>
          <w:tcPr>
            <w:tcW w:w="591" w:type="pct"/>
            <w:noWrap/>
            <w:vAlign w:val="center"/>
          </w:tcPr>
          <w:p w14:paraId="434923BC">
            <w:pPr>
              <w:pStyle w:val="37"/>
              <w:adjustRightInd w:val="0"/>
              <w:spacing w:before="62" w:after="62"/>
              <w:rPr>
                <w:color w:val="auto"/>
                <w:highlight w:val="none"/>
              </w:rPr>
            </w:pPr>
          </w:p>
        </w:tc>
        <w:tc>
          <w:tcPr>
            <w:tcW w:w="618" w:type="pct"/>
            <w:vAlign w:val="center"/>
          </w:tcPr>
          <w:p w14:paraId="67ECC0E1">
            <w:pPr>
              <w:pStyle w:val="37"/>
              <w:adjustRightInd w:val="0"/>
              <w:spacing w:before="62" w:after="62"/>
              <w:rPr>
                <w:color w:val="auto"/>
                <w:highlight w:val="none"/>
              </w:rPr>
            </w:pPr>
          </w:p>
        </w:tc>
        <w:tc>
          <w:tcPr>
            <w:tcW w:w="592" w:type="pct"/>
            <w:vAlign w:val="center"/>
          </w:tcPr>
          <w:p w14:paraId="00B072ED">
            <w:pPr>
              <w:pStyle w:val="37"/>
              <w:adjustRightInd w:val="0"/>
              <w:spacing w:before="62" w:after="62"/>
              <w:rPr>
                <w:color w:val="auto"/>
                <w:highlight w:val="none"/>
              </w:rPr>
            </w:pPr>
          </w:p>
        </w:tc>
        <w:tc>
          <w:tcPr>
            <w:tcW w:w="527" w:type="pct"/>
            <w:vAlign w:val="center"/>
          </w:tcPr>
          <w:p w14:paraId="0C3592E4">
            <w:pPr>
              <w:pStyle w:val="37"/>
              <w:adjustRightInd w:val="0"/>
              <w:spacing w:before="62" w:after="62"/>
              <w:rPr>
                <w:color w:val="auto"/>
                <w:highlight w:val="none"/>
              </w:rPr>
            </w:pPr>
          </w:p>
        </w:tc>
        <w:tc>
          <w:tcPr>
            <w:tcW w:w="622" w:type="pct"/>
            <w:noWrap/>
            <w:vAlign w:val="center"/>
          </w:tcPr>
          <w:p w14:paraId="7E50EF6B">
            <w:pPr>
              <w:pStyle w:val="37"/>
              <w:adjustRightInd w:val="0"/>
              <w:spacing w:before="62" w:after="62"/>
              <w:rPr>
                <w:color w:val="auto"/>
                <w:highlight w:val="none"/>
              </w:rPr>
            </w:pPr>
            <w:r>
              <w:rPr>
                <w:color w:val="auto"/>
                <w:highlight w:val="none"/>
              </w:rPr>
              <w:t>达标</w:t>
            </w:r>
          </w:p>
        </w:tc>
      </w:tr>
      <w:tr w14:paraId="289F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04E90FFE">
            <w:pPr>
              <w:pStyle w:val="37"/>
              <w:adjustRightInd w:val="0"/>
              <w:spacing w:before="62" w:after="62"/>
              <w:rPr>
                <w:color w:val="auto"/>
                <w:highlight w:val="none"/>
              </w:rPr>
            </w:pPr>
            <w:r>
              <w:rPr>
                <w:color w:val="auto"/>
                <w:highlight w:val="none"/>
              </w:rPr>
              <w:t>铅</w:t>
            </w:r>
          </w:p>
        </w:tc>
        <w:tc>
          <w:tcPr>
            <w:tcW w:w="679" w:type="pct"/>
            <w:noWrap/>
            <w:vAlign w:val="center"/>
          </w:tcPr>
          <w:p w14:paraId="7C174668">
            <w:pPr>
              <w:pStyle w:val="37"/>
              <w:adjustRightInd w:val="0"/>
              <w:spacing w:before="62" w:after="62"/>
              <w:rPr>
                <w:color w:val="auto"/>
                <w:highlight w:val="none"/>
              </w:rPr>
            </w:pPr>
          </w:p>
        </w:tc>
        <w:tc>
          <w:tcPr>
            <w:tcW w:w="591" w:type="pct"/>
            <w:noWrap/>
            <w:vAlign w:val="center"/>
          </w:tcPr>
          <w:p w14:paraId="23F51163">
            <w:pPr>
              <w:pStyle w:val="37"/>
              <w:adjustRightInd w:val="0"/>
              <w:spacing w:before="62" w:after="62"/>
              <w:rPr>
                <w:color w:val="auto"/>
                <w:highlight w:val="none"/>
              </w:rPr>
            </w:pPr>
          </w:p>
        </w:tc>
        <w:tc>
          <w:tcPr>
            <w:tcW w:w="618" w:type="pct"/>
            <w:vAlign w:val="center"/>
          </w:tcPr>
          <w:p w14:paraId="0BA8D936">
            <w:pPr>
              <w:pStyle w:val="37"/>
              <w:adjustRightInd w:val="0"/>
              <w:spacing w:before="62" w:after="62"/>
              <w:rPr>
                <w:color w:val="auto"/>
                <w:highlight w:val="none"/>
              </w:rPr>
            </w:pPr>
          </w:p>
        </w:tc>
        <w:tc>
          <w:tcPr>
            <w:tcW w:w="592" w:type="pct"/>
            <w:vAlign w:val="center"/>
          </w:tcPr>
          <w:p w14:paraId="67A1A2B7">
            <w:pPr>
              <w:pStyle w:val="37"/>
              <w:adjustRightInd w:val="0"/>
              <w:spacing w:before="62" w:after="62"/>
              <w:rPr>
                <w:color w:val="auto"/>
                <w:highlight w:val="none"/>
              </w:rPr>
            </w:pPr>
          </w:p>
        </w:tc>
        <w:tc>
          <w:tcPr>
            <w:tcW w:w="527" w:type="pct"/>
            <w:vAlign w:val="center"/>
          </w:tcPr>
          <w:p w14:paraId="3EEC25DD">
            <w:pPr>
              <w:pStyle w:val="37"/>
              <w:adjustRightInd w:val="0"/>
              <w:spacing w:before="62" w:after="62"/>
              <w:rPr>
                <w:color w:val="auto"/>
                <w:highlight w:val="none"/>
              </w:rPr>
            </w:pPr>
          </w:p>
        </w:tc>
        <w:tc>
          <w:tcPr>
            <w:tcW w:w="622" w:type="pct"/>
            <w:noWrap/>
            <w:vAlign w:val="center"/>
          </w:tcPr>
          <w:p w14:paraId="047571E5">
            <w:pPr>
              <w:pStyle w:val="37"/>
              <w:adjustRightInd w:val="0"/>
              <w:spacing w:before="62" w:after="62"/>
              <w:rPr>
                <w:color w:val="auto"/>
                <w:highlight w:val="none"/>
              </w:rPr>
            </w:pPr>
            <w:r>
              <w:rPr>
                <w:color w:val="auto"/>
                <w:highlight w:val="none"/>
              </w:rPr>
              <w:t>达标</w:t>
            </w:r>
          </w:p>
        </w:tc>
      </w:tr>
      <w:tr w14:paraId="3A185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79AF1C34">
            <w:pPr>
              <w:pStyle w:val="37"/>
              <w:adjustRightInd w:val="0"/>
              <w:spacing w:before="62" w:after="62"/>
              <w:rPr>
                <w:color w:val="auto"/>
                <w:highlight w:val="none"/>
              </w:rPr>
            </w:pPr>
            <w:r>
              <w:rPr>
                <w:color w:val="auto"/>
                <w:highlight w:val="none"/>
              </w:rPr>
              <w:t>砷</w:t>
            </w:r>
          </w:p>
        </w:tc>
        <w:tc>
          <w:tcPr>
            <w:tcW w:w="679" w:type="pct"/>
            <w:noWrap/>
            <w:vAlign w:val="center"/>
          </w:tcPr>
          <w:p w14:paraId="4DD9F0F3">
            <w:pPr>
              <w:pStyle w:val="37"/>
              <w:adjustRightInd w:val="0"/>
              <w:spacing w:before="62" w:after="62"/>
              <w:rPr>
                <w:color w:val="auto"/>
                <w:highlight w:val="none"/>
              </w:rPr>
            </w:pPr>
          </w:p>
        </w:tc>
        <w:tc>
          <w:tcPr>
            <w:tcW w:w="591" w:type="pct"/>
            <w:noWrap/>
            <w:vAlign w:val="center"/>
          </w:tcPr>
          <w:p w14:paraId="3CFD7012">
            <w:pPr>
              <w:pStyle w:val="37"/>
              <w:adjustRightInd w:val="0"/>
              <w:spacing w:before="62" w:after="62"/>
              <w:rPr>
                <w:color w:val="auto"/>
                <w:highlight w:val="none"/>
              </w:rPr>
            </w:pPr>
          </w:p>
        </w:tc>
        <w:tc>
          <w:tcPr>
            <w:tcW w:w="618" w:type="pct"/>
            <w:vAlign w:val="center"/>
          </w:tcPr>
          <w:p w14:paraId="61C13B8D">
            <w:pPr>
              <w:pStyle w:val="37"/>
              <w:adjustRightInd w:val="0"/>
              <w:spacing w:before="62" w:after="62"/>
              <w:rPr>
                <w:color w:val="auto"/>
                <w:highlight w:val="none"/>
              </w:rPr>
            </w:pPr>
          </w:p>
        </w:tc>
        <w:tc>
          <w:tcPr>
            <w:tcW w:w="592" w:type="pct"/>
            <w:vAlign w:val="center"/>
          </w:tcPr>
          <w:p w14:paraId="4D168855">
            <w:pPr>
              <w:pStyle w:val="37"/>
              <w:adjustRightInd w:val="0"/>
              <w:spacing w:before="62" w:after="62"/>
              <w:rPr>
                <w:color w:val="auto"/>
                <w:highlight w:val="none"/>
              </w:rPr>
            </w:pPr>
          </w:p>
        </w:tc>
        <w:tc>
          <w:tcPr>
            <w:tcW w:w="527" w:type="pct"/>
            <w:vAlign w:val="center"/>
          </w:tcPr>
          <w:p w14:paraId="7479053C">
            <w:pPr>
              <w:pStyle w:val="37"/>
              <w:adjustRightInd w:val="0"/>
              <w:spacing w:before="62" w:after="62"/>
              <w:rPr>
                <w:color w:val="auto"/>
                <w:highlight w:val="none"/>
              </w:rPr>
            </w:pPr>
          </w:p>
        </w:tc>
        <w:tc>
          <w:tcPr>
            <w:tcW w:w="622" w:type="pct"/>
            <w:noWrap/>
            <w:vAlign w:val="center"/>
          </w:tcPr>
          <w:p w14:paraId="61CABF43">
            <w:pPr>
              <w:pStyle w:val="37"/>
              <w:adjustRightInd w:val="0"/>
              <w:spacing w:before="62" w:after="62"/>
              <w:rPr>
                <w:color w:val="auto"/>
                <w:highlight w:val="none"/>
              </w:rPr>
            </w:pPr>
            <w:r>
              <w:rPr>
                <w:color w:val="auto"/>
                <w:highlight w:val="none"/>
              </w:rPr>
              <w:t>达标</w:t>
            </w:r>
          </w:p>
        </w:tc>
      </w:tr>
      <w:tr w14:paraId="2C1C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542416B4">
            <w:pPr>
              <w:pStyle w:val="37"/>
              <w:adjustRightInd w:val="0"/>
              <w:spacing w:before="62" w:after="62"/>
              <w:rPr>
                <w:color w:val="auto"/>
                <w:highlight w:val="none"/>
              </w:rPr>
            </w:pPr>
            <w:r>
              <w:rPr>
                <w:color w:val="auto"/>
                <w:highlight w:val="none"/>
              </w:rPr>
              <w:t>汞</w:t>
            </w:r>
          </w:p>
        </w:tc>
        <w:tc>
          <w:tcPr>
            <w:tcW w:w="679" w:type="pct"/>
            <w:noWrap/>
            <w:vAlign w:val="center"/>
          </w:tcPr>
          <w:p w14:paraId="0787E5EA">
            <w:pPr>
              <w:pStyle w:val="37"/>
              <w:adjustRightInd w:val="0"/>
              <w:spacing w:before="62" w:after="62"/>
              <w:rPr>
                <w:color w:val="auto"/>
                <w:highlight w:val="none"/>
              </w:rPr>
            </w:pPr>
          </w:p>
        </w:tc>
        <w:tc>
          <w:tcPr>
            <w:tcW w:w="591" w:type="pct"/>
            <w:noWrap/>
            <w:vAlign w:val="center"/>
          </w:tcPr>
          <w:p w14:paraId="038BF26A">
            <w:pPr>
              <w:pStyle w:val="37"/>
              <w:adjustRightInd w:val="0"/>
              <w:spacing w:before="62" w:after="62"/>
              <w:rPr>
                <w:color w:val="auto"/>
                <w:highlight w:val="none"/>
              </w:rPr>
            </w:pPr>
          </w:p>
        </w:tc>
        <w:tc>
          <w:tcPr>
            <w:tcW w:w="618" w:type="pct"/>
            <w:vAlign w:val="center"/>
          </w:tcPr>
          <w:p w14:paraId="2ADF8D06">
            <w:pPr>
              <w:pStyle w:val="37"/>
              <w:adjustRightInd w:val="0"/>
              <w:spacing w:before="62" w:after="62"/>
              <w:rPr>
                <w:color w:val="auto"/>
                <w:highlight w:val="none"/>
              </w:rPr>
            </w:pPr>
          </w:p>
        </w:tc>
        <w:tc>
          <w:tcPr>
            <w:tcW w:w="592" w:type="pct"/>
            <w:vAlign w:val="center"/>
          </w:tcPr>
          <w:p w14:paraId="5D31E1B7">
            <w:pPr>
              <w:pStyle w:val="37"/>
              <w:adjustRightInd w:val="0"/>
              <w:spacing w:before="62" w:after="62"/>
              <w:rPr>
                <w:color w:val="auto"/>
                <w:highlight w:val="none"/>
              </w:rPr>
            </w:pPr>
          </w:p>
        </w:tc>
        <w:tc>
          <w:tcPr>
            <w:tcW w:w="527" w:type="pct"/>
            <w:vAlign w:val="center"/>
          </w:tcPr>
          <w:p w14:paraId="5DAD0EB5">
            <w:pPr>
              <w:pStyle w:val="37"/>
              <w:adjustRightInd w:val="0"/>
              <w:spacing w:before="62" w:after="62"/>
              <w:rPr>
                <w:color w:val="auto"/>
                <w:highlight w:val="none"/>
              </w:rPr>
            </w:pPr>
          </w:p>
        </w:tc>
        <w:tc>
          <w:tcPr>
            <w:tcW w:w="622" w:type="pct"/>
            <w:noWrap/>
            <w:vAlign w:val="center"/>
          </w:tcPr>
          <w:p w14:paraId="531A1ECD">
            <w:pPr>
              <w:pStyle w:val="37"/>
              <w:adjustRightInd w:val="0"/>
              <w:spacing w:before="62" w:after="62"/>
              <w:rPr>
                <w:color w:val="auto"/>
                <w:highlight w:val="none"/>
              </w:rPr>
            </w:pPr>
            <w:r>
              <w:rPr>
                <w:color w:val="auto"/>
                <w:highlight w:val="none"/>
              </w:rPr>
              <w:t>达标</w:t>
            </w:r>
          </w:p>
        </w:tc>
      </w:tr>
      <w:tr w14:paraId="5FED5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5F0BFB05">
            <w:pPr>
              <w:pStyle w:val="37"/>
              <w:adjustRightInd w:val="0"/>
              <w:spacing w:before="62" w:after="62"/>
              <w:rPr>
                <w:color w:val="auto"/>
                <w:highlight w:val="none"/>
              </w:rPr>
            </w:pPr>
            <w:r>
              <w:rPr>
                <w:color w:val="auto"/>
                <w:highlight w:val="none"/>
              </w:rPr>
              <w:t>铁</w:t>
            </w:r>
          </w:p>
        </w:tc>
        <w:tc>
          <w:tcPr>
            <w:tcW w:w="679" w:type="pct"/>
            <w:noWrap/>
            <w:vAlign w:val="center"/>
          </w:tcPr>
          <w:p w14:paraId="69A9E2BA">
            <w:pPr>
              <w:pStyle w:val="37"/>
              <w:adjustRightInd w:val="0"/>
              <w:spacing w:before="62" w:after="62"/>
              <w:rPr>
                <w:color w:val="auto"/>
                <w:highlight w:val="none"/>
              </w:rPr>
            </w:pPr>
          </w:p>
        </w:tc>
        <w:tc>
          <w:tcPr>
            <w:tcW w:w="591" w:type="pct"/>
            <w:noWrap/>
            <w:vAlign w:val="center"/>
          </w:tcPr>
          <w:p w14:paraId="356BF9B3">
            <w:pPr>
              <w:pStyle w:val="37"/>
              <w:adjustRightInd w:val="0"/>
              <w:spacing w:before="62" w:after="62"/>
              <w:rPr>
                <w:color w:val="auto"/>
                <w:highlight w:val="none"/>
              </w:rPr>
            </w:pPr>
          </w:p>
        </w:tc>
        <w:tc>
          <w:tcPr>
            <w:tcW w:w="618" w:type="pct"/>
            <w:vAlign w:val="center"/>
          </w:tcPr>
          <w:p w14:paraId="0A5712BC">
            <w:pPr>
              <w:pStyle w:val="37"/>
              <w:adjustRightInd w:val="0"/>
              <w:spacing w:before="62" w:after="62"/>
              <w:rPr>
                <w:color w:val="auto"/>
                <w:highlight w:val="none"/>
              </w:rPr>
            </w:pPr>
          </w:p>
        </w:tc>
        <w:tc>
          <w:tcPr>
            <w:tcW w:w="592" w:type="pct"/>
            <w:vAlign w:val="center"/>
          </w:tcPr>
          <w:p w14:paraId="49766D72">
            <w:pPr>
              <w:pStyle w:val="37"/>
              <w:adjustRightInd w:val="0"/>
              <w:spacing w:before="62" w:after="62"/>
              <w:rPr>
                <w:color w:val="auto"/>
                <w:highlight w:val="none"/>
              </w:rPr>
            </w:pPr>
          </w:p>
        </w:tc>
        <w:tc>
          <w:tcPr>
            <w:tcW w:w="527" w:type="pct"/>
            <w:vAlign w:val="center"/>
          </w:tcPr>
          <w:p w14:paraId="5F517C43">
            <w:pPr>
              <w:pStyle w:val="37"/>
              <w:adjustRightInd w:val="0"/>
              <w:spacing w:before="62" w:after="62"/>
              <w:rPr>
                <w:color w:val="auto"/>
                <w:highlight w:val="none"/>
              </w:rPr>
            </w:pPr>
          </w:p>
        </w:tc>
        <w:tc>
          <w:tcPr>
            <w:tcW w:w="622" w:type="pct"/>
            <w:noWrap/>
            <w:vAlign w:val="center"/>
          </w:tcPr>
          <w:p w14:paraId="54190BFA">
            <w:pPr>
              <w:pStyle w:val="37"/>
              <w:adjustRightInd w:val="0"/>
              <w:spacing w:before="62" w:after="62"/>
              <w:rPr>
                <w:color w:val="auto"/>
                <w:highlight w:val="none"/>
              </w:rPr>
            </w:pPr>
            <w:r>
              <w:rPr>
                <w:rFonts w:hint="eastAsia"/>
                <w:color w:val="auto"/>
                <w:highlight w:val="none"/>
              </w:rPr>
              <w:t>超标</w:t>
            </w:r>
          </w:p>
        </w:tc>
      </w:tr>
      <w:tr w14:paraId="36ED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2F188C6E">
            <w:pPr>
              <w:pStyle w:val="37"/>
              <w:adjustRightInd w:val="0"/>
              <w:spacing w:before="62" w:after="62"/>
              <w:rPr>
                <w:color w:val="auto"/>
                <w:highlight w:val="none"/>
              </w:rPr>
            </w:pPr>
            <w:r>
              <w:rPr>
                <w:color w:val="auto"/>
                <w:highlight w:val="none"/>
              </w:rPr>
              <w:t>锰</w:t>
            </w:r>
          </w:p>
        </w:tc>
        <w:tc>
          <w:tcPr>
            <w:tcW w:w="679" w:type="pct"/>
            <w:noWrap/>
            <w:vAlign w:val="center"/>
          </w:tcPr>
          <w:p w14:paraId="5BD017B9">
            <w:pPr>
              <w:pStyle w:val="37"/>
              <w:adjustRightInd w:val="0"/>
              <w:spacing w:before="62" w:after="62"/>
              <w:rPr>
                <w:color w:val="auto"/>
                <w:highlight w:val="none"/>
              </w:rPr>
            </w:pPr>
          </w:p>
        </w:tc>
        <w:tc>
          <w:tcPr>
            <w:tcW w:w="591" w:type="pct"/>
            <w:noWrap/>
            <w:vAlign w:val="center"/>
          </w:tcPr>
          <w:p w14:paraId="592B0426">
            <w:pPr>
              <w:pStyle w:val="37"/>
              <w:adjustRightInd w:val="0"/>
              <w:spacing w:before="62" w:after="62"/>
              <w:rPr>
                <w:color w:val="auto"/>
                <w:highlight w:val="none"/>
              </w:rPr>
            </w:pPr>
          </w:p>
        </w:tc>
        <w:tc>
          <w:tcPr>
            <w:tcW w:w="618" w:type="pct"/>
            <w:vAlign w:val="center"/>
          </w:tcPr>
          <w:p w14:paraId="624B0DE1">
            <w:pPr>
              <w:pStyle w:val="37"/>
              <w:adjustRightInd w:val="0"/>
              <w:spacing w:before="62" w:after="62"/>
              <w:rPr>
                <w:color w:val="auto"/>
                <w:highlight w:val="none"/>
              </w:rPr>
            </w:pPr>
          </w:p>
        </w:tc>
        <w:tc>
          <w:tcPr>
            <w:tcW w:w="592" w:type="pct"/>
            <w:vAlign w:val="center"/>
          </w:tcPr>
          <w:p w14:paraId="7460560A">
            <w:pPr>
              <w:pStyle w:val="37"/>
              <w:adjustRightInd w:val="0"/>
              <w:spacing w:before="62" w:after="62"/>
              <w:rPr>
                <w:color w:val="auto"/>
                <w:highlight w:val="none"/>
              </w:rPr>
            </w:pPr>
          </w:p>
        </w:tc>
        <w:tc>
          <w:tcPr>
            <w:tcW w:w="527" w:type="pct"/>
            <w:vAlign w:val="center"/>
          </w:tcPr>
          <w:p w14:paraId="2ED1ADA7">
            <w:pPr>
              <w:pStyle w:val="37"/>
              <w:adjustRightInd w:val="0"/>
              <w:spacing w:before="62" w:after="62"/>
              <w:rPr>
                <w:color w:val="auto"/>
                <w:highlight w:val="none"/>
              </w:rPr>
            </w:pPr>
          </w:p>
        </w:tc>
        <w:tc>
          <w:tcPr>
            <w:tcW w:w="622" w:type="pct"/>
            <w:noWrap/>
            <w:vAlign w:val="center"/>
          </w:tcPr>
          <w:p w14:paraId="3CFFA86D">
            <w:pPr>
              <w:pStyle w:val="37"/>
              <w:adjustRightInd w:val="0"/>
              <w:spacing w:before="62" w:after="62"/>
              <w:rPr>
                <w:color w:val="auto"/>
                <w:highlight w:val="none"/>
              </w:rPr>
            </w:pPr>
            <w:r>
              <w:rPr>
                <w:color w:val="auto"/>
                <w:highlight w:val="none"/>
              </w:rPr>
              <w:t>达标</w:t>
            </w:r>
          </w:p>
        </w:tc>
      </w:tr>
      <w:tr w14:paraId="6974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1D9DEE0">
            <w:pPr>
              <w:pStyle w:val="37"/>
              <w:adjustRightInd w:val="0"/>
              <w:spacing w:before="62" w:after="62"/>
              <w:rPr>
                <w:color w:val="auto"/>
                <w:highlight w:val="none"/>
              </w:rPr>
            </w:pPr>
            <w:r>
              <w:rPr>
                <w:color w:val="auto"/>
                <w:highlight w:val="none"/>
              </w:rPr>
              <w:t>锂</w:t>
            </w:r>
          </w:p>
        </w:tc>
        <w:tc>
          <w:tcPr>
            <w:tcW w:w="679" w:type="pct"/>
            <w:noWrap/>
            <w:vAlign w:val="center"/>
          </w:tcPr>
          <w:p w14:paraId="5E47FCE8">
            <w:pPr>
              <w:pStyle w:val="37"/>
              <w:adjustRightInd w:val="0"/>
              <w:spacing w:before="62" w:after="62"/>
              <w:rPr>
                <w:color w:val="auto"/>
                <w:highlight w:val="none"/>
              </w:rPr>
            </w:pPr>
          </w:p>
        </w:tc>
        <w:tc>
          <w:tcPr>
            <w:tcW w:w="591" w:type="pct"/>
            <w:noWrap/>
            <w:vAlign w:val="center"/>
          </w:tcPr>
          <w:p w14:paraId="0ABE3FB4">
            <w:pPr>
              <w:pStyle w:val="37"/>
              <w:adjustRightInd w:val="0"/>
              <w:spacing w:before="62" w:after="62"/>
              <w:rPr>
                <w:color w:val="auto"/>
                <w:highlight w:val="none"/>
              </w:rPr>
            </w:pPr>
          </w:p>
        </w:tc>
        <w:tc>
          <w:tcPr>
            <w:tcW w:w="618" w:type="pct"/>
            <w:vAlign w:val="center"/>
          </w:tcPr>
          <w:p w14:paraId="3F9E93B0">
            <w:pPr>
              <w:pStyle w:val="37"/>
              <w:adjustRightInd w:val="0"/>
              <w:spacing w:before="62" w:after="62"/>
              <w:rPr>
                <w:color w:val="auto"/>
                <w:highlight w:val="none"/>
              </w:rPr>
            </w:pPr>
          </w:p>
        </w:tc>
        <w:tc>
          <w:tcPr>
            <w:tcW w:w="592" w:type="pct"/>
            <w:vAlign w:val="center"/>
          </w:tcPr>
          <w:p w14:paraId="4194A2BA">
            <w:pPr>
              <w:pStyle w:val="37"/>
              <w:adjustRightInd w:val="0"/>
              <w:spacing w:before="62" w:after="62"/>
              <w:rPr>
                <w:color w:val="auto"/>
                <w:highlight w:val="none"/>
              </w:rPr>
            </w:pPr>
          </w:p>
        </w:tc>
        <w:tc>
          <w:tcPr>
            <w:tcW w:w="527" w:type="pct"/>
            <w:vAlign w:val="center"/>
          </w:tcPr>
          <w:p w14:paraId="7E338099">
            <w:pPr>
              <w:pStyle w:val="37"/>
              <w:adjustRightInd w:val="0"/>
              <w:spacing w:before="62" w:after="62"/>
              <w:rPr>
                <w:color w:val="auto"/>
                <w:highlight w:val="none"/>
              </w:rPr>
            </w:pPr>
          </w:p>
        </w:tc>
        <w:tc>
          <w:tcPr>
            <w:tcW w:w="622" w:type="pct"/>
            <w:noWrap/>
            <w:vAlign w:val="center"/>
          </w:tcPr>
          <w:p w14:paraId="18D97548">
            <w:pPr>
              <w:pStyle w:val="37"/>
              <w:adjustRightInd w:val="0"/>
              <w:spacing w:before="62" w:after="62"/>
              <w:rPr>
                <w:color w:val="auto"/>
                <w:highlight w:val="none"/>
              </w:rPr>
            </w:pPr>
            <w:r>
              <w:rPr>
                <w:rFonts w:hint="eastAsia"/>
                <w:color w:val="auto"/>
                <w:highlight w:val="none"/>
              </w:rPr>
              <w:t>/</w:t>
            </w:r>
          </w:p>
        </w:tc>
      </w:tr>
      <w:tr w14:paraId="5818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81461A1">
            <w:pPr>
              <w:pStyle w:val="37"/>
              <w:adjustRightInd w:val="0"/>
              <w:spacing w:before="62" w:after="62"/>
              <w:rPr>
                <w:color w:val="auto"/>
                <w:highlight w:val="none"/>
              </w:rPr>
            </w:pPr>
            <w:r>
              <w:rPr>
                <w:color w:val="auto"/>
                <w:highlight w:val="none"/>
              </w:rPr>
              <w:t>氰化物</w:t>
            </w:r>
          </w:p>
        </w:tc>
        <w:tc>
          <w:tcPr>
            <w:tcW w:w="679" w:type="pct"/>
            <w:noWrap/>
            <w:vAlign w:val="center"/>
          </w:tcPr>
          <w:p w14:paraId="50F226B1">
            <w:pPr>
              <w:pStyle w:val="37"/>
              <w:adjustRightInd w:val="0"/>
              <w:spacing w:before="62" w:after="62"/>
              <w:rPr>
                <w:color w:val="auto"/>
                <w:highlight w:val="none"/>
              </w:rPr>
            </w:pPr>
          </w:p>
        </w:tc>
        <w:tc>
          <w:tcPr>
            <w:tcW w:w="591" w:type="pct"/>
            <w:noWrap/>
            <w:vAlign w:val="center"/>
          </w:tcPr>
          <w:p w14:paraId="74C33FE5">
            <w:pPr>
              <w:pStyle w:val="37"/>
              <w:adjustRightInd w:val="0"/>
              <w:spacing w:before="62" w:after="62"/>
              <w:rPr>
                <w:color w:val="auto"/>
                <w:highlight w:val="none"/>
              </w:rPr>
            </w:pPr>
          </w:p>
        </w:tc>
        <w:tc>
          <w:tcPr>
            <w:tcW w:w="618" w:type="pct"/>
            <w:vAlign w:val="center"/>
          </w:tcPr>
          <w:p w14:paraId="01772E1B">
            <w:pPr>
              <w:pStyle w:val="37"/>
              <w:adjustRightInd w:val="0"/>
              <w:spacing w:before="62" w:after="62"/>
              <w:rPr>
                <w:color w:val="auto"/>
                <w:highlight w:val="none"/>
              </w:rPr>
            </w:pPr>
          </w:p>
        </w:tc>
        <w:tc>
          <w:tcPr>
            <w:tcW w:w="592" w:type="pct"/>
            <w:vAlign w:val="center"/>
          </w:tcPr>
          <w:p w14:paraId="5430634D">
            <w:pPr>
              <w:pStyle w:val="37"/>
              <w:adjustRightInd w:val="0"/>
              <w:spacing w:before="62" w:after="62"/>
              <w:rPr>
                <w:color w:val="auto"/>
                <w:highlight w:val="none"/>
              </w:rPr>
            </w:pPr>
          </w:p>
        </w:tc>
        <w:tc>
          <w:tcPr>
            <w:tcW w:w="527" w:type="pct"/>
            <w:vAlign w:val="center"/>
          </w:tcPr>
          <w:p w14:paraId="5F5E623B">
            <w:pPr>
              <w:pStyle w:val="37"/>
              <w:adjustRightInd w:val="0"/>
              <w:spacing w:before="62" w:after="62"/>
              <w:rPr>
                <w:color w:val="auto"/>
                <w:highlight w:val="none"/>
              </w:rPr>
            </w:pPr>
          </w:p>
        </w:tc>
        <w:tc>
          <w:tcPr>
            <w:tcW w:w="622" w:type="pct"/>
            <w:noWrap/>
            <w:vAlign w:val="center"/>
          </w:tcPr>
          <w:p w14:paraId="42EB4DE5">
            <w:pPr>
              <w:pStyle w:val="37"/>
              <w:adjustRightInd w:val="0"/>
              <w:spacing w:before="62" w:after="62"/>
              <w:rPr>
                <w:color w:val="auto"/>
                <w:highlight w:val="none"/>
              </w:rPr>
            </w:pPr>
            <w:r>
              <w:rPr>
                <w:color w:val="auto"/>
                <w:highlight w:val="none"/>
              </w:rPr>
              <w:t>达标</w:t>
            </w:r>
          </w:p>
        </w:tc>
      </w:tr>
      <w:tr w14:paraId="2ED5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31FFCF02">
            <w:pPr>
              <w:pStyle w:val="37"/>
              <w:adjustRightInd w:val="0"/>
              <w:spacing w:before="62" w:after="62"/>
              <w:rPr>
                <w:color w:val="auto"/>
                <w:highlight w:val="none"/>
              </w:rPr>
            </w:pPr>
            <w:r>
              <w:rPr>
                <w:color w:val="auto"/>
                <w:highlight w:val="none"/>
              </w:rPr>
              <w:t>挥发酚</w:t>
            </w:r>
          </w:p>
        </w:tc>
        <w:tc>
          <w:tcPr>
            <w:tcW w:w="679" w:type="pct"/>
            <w:noWrap/>
            <w:vAlign w:val="center"/>
          </w:tcPr>
          <w:p w14:paraId="3DB55B11">
            <w:pPr>
              <w:pStyle w:val="37"/>
              <w:adjustRightInd w:val="0"/>
              <w:spacing w:before="62" w:after="62"/>
              <w:rPr>
                <w:color w:val="auto"/>
                <w:highlight w:val="none"/>
              </w:rPr>
            </w:pPr>
          </w:p>
        </w:tc>
        <w:tc>
          <w:tcPr>
            <w:tcW w:w="591" w:type="pct"/>
            <w:noWrap/>
            <w:vAlign w:val="center"/>
          </w:tcPr>
          <w:p w14:paraId="71735EC2">
            <w:pPr>
              <w:pStyle w:val="37"/>
              <w:adjustRightInd w:val="0"/>
              <w:spacing w:before="62" w:after="62"/>
              <w:rPr>
                <w:color w:val="auto"/>
                <w:highlight w:val="none"/>
              </w:rPr>
            </w:pPr>
          </w:p>
        </w:tc>
        <w:tc>
          <w:tcPr>
            <w:tcW w:w="618" w:type="pct"/>
            <w:vAlign w:val="center"/>
          </w:tcPr>
          <w:p w14:paraId="72073288">
            <w:pPr>
              <w:pStyle w:val="37"/>
              <w:adjustRightInd w:val="0"/>
              <w:spacing w:before="62" w:after="62"/>
              <w:rPr>
                <w:color w:val="auto"/>
                <w:highlight w:val="none"/>
              </w:rPr>
            </w:pPr>
          </w:p>
        </w:tc>
        <w:tc>
          <w:tcPr>
            <w:tcW w:w="592" w:type="pct"/>
            <w:vAlign w:val="center"/>
          </w:tcPr>
          <w:p w14:paraId="192A8791">
            <w:pPr>
              <w:pStyle w:val="37"/>
              <w:adjustRightInd w:val="0"/>
              <w:spacing w:before="62" w:after="62"/>
              <w:rPr>
                <w:color w:val="auto"/>
                <w:highlight w:val="none"/>
              </w:rPr>
            </w:pPr>
          </w:p>
        </w:tc>
        <w:tc>
          <w:tcPr>
            <w:tcW w:w="527" w:type="pct"/>
            <w:vAlign w:val="center"/>
          </w:tcPr>
          <w:p w14:paraId="0F9F7868">
            <w:pPr>
              <w:pStyle w:val="37"/>
              <w:adjustRightInd w:val="0"/>
              <w:spacing w:before="62" w:after="62"/>
              <w:rPr>
                <w:color w:val="auto"/>
                <w:highlight w:val="none"/>
              </w:rPr>
            </w:pPr>
          </w:p>
        </w:tc>
        <w:tc>
          <w:tcPr>
            <w:tcW w:w="622" w:type="pct"/>
            <w:noWrap/>
            <w:vAlign w:val="center"/>
          </w:tcPr>
          <w:p w14:paraId="73DAE021">
            <w:pPr>
              <w:pStyle w:val="37"/>
              <w:adjustRightInd w:val="0"/>
              <w:spacing w:before="62" w:after="62"/>
              <w:rPr>
                <w:color w:val="auto"/>
                <w:highlight w:val="none"/>
              </w:rPr>
            </w:pPr>
            <w:r>
              <w:rPr>
                <w:color w:val="auto"/>
                <w:highlight w:val="none"/>
              </w:rPr>
              <w:t>达标</w:t>
            </w:r>
          </w:p>
        </w:tc>
      </w:tr>
      <w:tr w14:paraId="26889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91AEF69">
            <w:pPr>
              <w:pStyle w:val="37"/>
              <w:adjustRightInd w:val="0"/>
              <w:spacing w:before="62" w:after="62"/>
              <w:rPr>
                <w:color w:val="auto"/>
                <w:highlight w:val="none"/>
              </w:rPr>
            </w:pPr>
            <w:r>
              <w:rPr>
                <w:color w:val="auto"/>
                <w:highlight w:val="none"/>
              </w:rPr>
              <w:t>六价铬</w:t>
            </w:r>
          </w:p>
        </w:tc>
        <w:tc>
          <w:tcPr>
            <w:tcW w:w="679" w:type="pct"/>
            <w:noWrap/>
            <w:vAlign w:val="center"/>
          </w:tcPr>
          <w:p w14:paraId="295F5EB8">
            <w:pPr>
              <w:pStyle w:val="37"/>
              <w:adjustRightInd w:val="0"/>
              <w:spacing w:before="62" w:after="62"/>
              <w:rPr>
                <w:color w:val="auto"/>
                <w:highlight w:val="none"/>
              </w:rPr>
            </w:pPr>
          </w:p>
        </w:tc>
        <w:tc>
          <w:tcPr>
            <w:tcW w:w="591" w:type="pct"/>
            <w:noWrap/>
            <w:vAlign w:val="center"/>
          </w:tcPr>
          <w:p w14:paraId="4AC18EF0">
            <w:pPr>
              <w:pStyle w:val="37"/>
              <w:adjustRightInd w:val="0"/>
              <w:spacing w:before="62" w:after="62"/>
              <w:rPr>
                <w:color w:val="auto"/>
                <w:highlight w:val="none"/>
              </w:rPr>
            </w:pPr>
          </w:p>
        </w:tc>
        <w:tc>
          <w:tcPr>
            <w:tcW w:w="618" w:type="pct"/>
            <w:vAlign w:val="center"/>
          </w:tcPr>
          <w:p w14:paraId="7E955BB5">
            <w:pPr>
              <w:pStyle w:val="37"/>
              <w:adjustRightInd w:val="0"/>
              <w:spacing w:before="62" w:after="62"/>
              <w:rPr>
                <w:color w:val="auto"/>
                <w:highlight w:val="none"/>
              </w:rPr>
            </w:pPr>
          </w:p>
        </w:tc>
        <w:tc>
          <w:tcPr>
            <w:tcW w:w="592" w:type="pct"/>
            <w:vAlign w:val="center"/>
          </w:tcPr>
          <w:p w14:paraId="42EC3CBE">
            <w:pPr>
              <w:pStyle w:val="37"/>
              <w:adjustRightInd w:val="0"/>
              <w:spacing w:before="62" w:after="62"/>
              <w:rPr>
                <w:color w:val="auto"/>
                <w:highlight w:val="none"/>
              </w:rPr>
            </w:pPr>
          </w:p>
        </w:tc>
        <w:tc>
          <w:tcPr>
            <w:tcW w:w="527" w:type="pct"/>
            <w:vAlign w:val="center"/>
          </w:tcPr>
          <w:p w14:paraId="7BE326F4">
            <w:pPr>
              <w:pStyle w:val="37"/>
              <w:adjustRightInd w:val="0"/>
              <w:spacing w:before="62" w:after="62"/>
              <w:rPr>
                <w:color w:val="auto"/>
                <w:highlight w:val="none"/>
              </w:rPr>
            </w:pPr>
          </w:p>
        </w:tc>
        <w:tc>
          <w:tcPr>
            <w:tcW w:w="622" w:type="pct"/>
            <w:noWrap/>
            <w:vAlign w:val="center"/>
          </w:tcPr>
          <w:p w14:paraId="545A47FD">
            <w:pPr>
              <w:pStyle w:val="37"/>
              <w:adjustRightInd w:val="0"/>
              <w:spacing w:before="62" w:after="62"/>
              <w:rPr>
                <w:color w:val="auto"/>
                <w:highlight w:val="none"/>
              </w:rPr>
            </w:pPr>
            <w:r>
              <w:rPr>
                <w:color w:val="auto"/>
                <w:highlight w:val="none"/>
              </w:rPr>
              <w:t>达标</w:t>
            </w:r>
          </w:p>
        </w:tc>
      </w:tr>
      <w:tr w14:paraId="7869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6218138E">
            <w:pPr>
              <w:pStyle w:val="37"/>
              <w:adjustRightInd w:val="0"/>
              <w:spacing w:before="62" w:after="62"/>
              <w:rPr>
                <w:color w:val="auto"/>
                <w:highlight w:val="none"/>
              </w:rPr>
            </w:pPr>
            <w:r>
              <w:rPr>
                <w:color w:val="auto"/>
                <w:highlight w:val="none"/>
              </w:rPr>
              <w:t>氨氮</w:t>
            </w:r>
          </w:p>
        </w:tc>
        <w:tc>
          <w:tcPr>
            <w:tcW w:w="679" w:type="pct"/>
            <w:noWrap/>
            <w:vAlign w:val="center"/>
          </w:tcPr>
          <w:p w14:paraId="50B31BC1">
            <w:pPr>
              <w:pStyle w:val="37"/>
              <w:adjustRightInd w:val="0"/>
              <w:spacing w:before="62" w:after="62"/>
              <w:rPr>
                <w:color w:val="auto"/>
                <w:highlight w:val="none"/>
              </w:rPr>
            </w:pPr>
          </w:p>
        </w:tc>
        <w:tc>
          <w:tcPr>
            <w:tcW w:w="591" w:type="pct"/>
            <w:noWrap/>
            <w:vAlign w:val="center"/>
          </w:tcPr>
          <w:p w14:paraId="023CADE8">
            <w:pPr>
              <w:pStyle w:val="37"/>
              <w:adjustRightInd w:val="0"/>
              <w:spacing w:before="62" w:after="62"/>
              <w:rPr>
                <w:color w:val="auto"/>
                <w:highlight w:val="none"/>
              </w:rPr>
            </w:pPr>
          </w:p>
        </w:tc>
        <w:tc>
          <w:tcPr>
            <w:tcW w:w="618" w:type="pct"/>
            <w:vAlign w:val="center"/>
          </w:tcPr>
          <w:p w14:paraId="6CE85B3F">
            <w:pPr>
              <w:pStyle w:val="37"/>
              <w:adjustRightInd w:val="0"/>
              <w:spacing w:before="62" w:after="62"/>
              <w:rPr>
                <w:color w:val="auto"/>
                <w:highlight w:val="none"/>
              </w:rPr>
            </w:pPr>
          </w:p>
        </w:tc>
        <w:tc>
          <w:tcPr>
            <w:tcW w:w="592" w:type="pct"/>
            <w:vAlign w:val="center"/>
          </w:tcPr>
          <w:p w14:paraId="2901620C">
            <w:pPr>
              <w:pStyle w:val="37"/>
              <w:adjustRightInd w:val="0"/>
              <w:spacing w:before="62" w:after="62"/>
              <w:rPr>
                <w:color w:val="auto"/>
                <w:highlight w:val="none"/>
              </w:rPr>
            </w:pPr>
          </w:p>
        </w:tc>
        <w:tc>
          <w:tcPr>
            <w:tcW w:w="527" w:type="pct"/>
            <w:vAlign w:val="center"/>
          </w:tcPr>
          <w:p w14:paraId="351B2EF7">
            <w:pPr>
              <w:pStyle w:val="37"/>
              <w:adjustRightInd w:val="0"/>
              <w:spacing w:before="62" w:after="62"/>
              <w:rPr>
                <w:color w:val="auto"/>
                <w:highlight w:val="none"/>
              </w:rPr>
            </w:pPr>
          </w:p>
        </w:tc>
        <w:tc>
          <w:tcPr>
            <w:tcW w:w="622" w:type="pct"/>
            <w:noWrap/>
            <w:vAlign w:val="center"/>
          </w:tcPr>
          <w:p w14:paraId="6EE593F1">
            <w:pPr>
              <w:pStyle w:val="37"/>
              <w:adjustRightInd w:val="0"/>
              <w:spacing w:before="62" w:after="62"/>
              <w:rPr>
                <w:color w:val="auto"/>
                <w:highlight w:val="none"/>
              </w:rPr>
            </w:pPr>
            <w:r>
              <w:rPr>
                <w:color w:val="auto"/>
                <w:highlight w:val="none"/>
              </w:rPr>
              <w:t>达标</w:t>
            </w:r>
          </w:p>
        </w:tc>
      </w:tr>
      <w:tr w14:paraId="58A01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0156460A">
            <w:pPr>
              <w:pStyle w:val="37"/>
              <w:adjustRightInd w:val="0"/>
              <w:spacing w:before="62" w:after="62"/>
              <w:rPr>
                <w:color w:val="auto"/>
                <w:highlight w:val="none"/>
              </w:rPr>
            </w:pPr>
            <w:r>
              <w:rPr>
                <w:color w:val="auto"/>
                <w:highlight w:val="none"/>
              </w:rPr>
              <w:t>亚硝酸盐氮</w:t>
            </w:r>
          </w:p>
        </w:tc>
        <w:tc>
          <w:tcPr>
            <w:tcW w:w="679" w:type="pct"/>
            <w:noWrap/>
            <w:vAlign w:val="center"/>
          </w:tcPr>
          <w:p w14:paraId="65C99E69">
            <w:pPr>
              <w:pStyle w:val="37"/>
              <w:adjustRightInd w:val="0"/>
              <w:spacing w:before="62" w:after="62"/>
              <w:rPr>
                <w:color w:val="auto"/>
                <w:highlight w:val="none"/>
              </w:rPr>
            </w:pPr>
          </w:p>
        </w:tc>
        <w:tc>
          <w:tcPr>
            <w:tcW w:w="591" w:type="pct"/>
            <w:noWrap/>
            <w:vAlign w:val="center"/>
          </w:tcPr>
          <w:p w14:paraId="02CF0581">
            <w:pPr>
              <w:pStyle w:val="37"/>
              <w:adjustRightInd w:val="0"/>
              <w:spacing w:before="62" w:after="62"/>
              <w:rPr>
                <w:color w:val="auto"/>
                <w:highlight w:val="none"/>
              </w:rPr>
            </w:pPr>
          </w:p>
        </w:tc>
        <w:tc>
          <w:tcPr>
            <w:tcW w:w="618" w:type="pct"/>
            <w:vAlign w:val="center"/>
          </w:tcPr>
          <w:p w14:paraId="5B12DF42">
            <w:pPr>
              <w:pStyle w:val="37"/>
              <w:adjustRightInd w:val="0"/>
              <w:spacing w:before="62" w:after="62"/>
              <w:rPr>
                <w:color w:val="auto"/>
                <w:highlight w:val="none"/>
              </w:rPr>
            </w:pPr>
          </w:p>
        </w:tc>
        <w:tc>
          <w:tcPr>
            <w:tcW w:w="592" w:type="pct"/>
            <w:vAlign w:val="center"/>
          </w:tcPr>
          <w:p w14:paraId="7E0BC60F">
            <w:pPr>
              <w:pStyle w:val="37"/>
              <w:adjustRightInd w:val="0"/>
              <w:spacing w:before="62" w:after="62"/>
              <w:rPr>
                <w:color w:val="auto"/>
                <w:highlight w:val="none"/>
              </w:rPr>
            </w:pPr>
          </w:p>
        </w:tc>
        <w:tc>
          <w:tcPr>
            <w:tcW w:w="527" w:type="pct"/>
            <w:vAlign w:val="center"/>
          </w:tcPr>
          <w:p w14:paraId="24BA318D">
            <w:pPr>
              <w:pStyle w:val="37"/>
              <w:adjustRightInd w:val="0"/>
              <w:spacing w:before="62" w:after="62"/>
              <w:rPr>
                <w:color w:val="auto"/>
                <w:highlight w:val="none"/>
              </w:rPr>
            </w:pPr>
          </w:p>
        </w:tc>
        <w:tc>
          <w:tcPr>
            <w:tcW w:w="622" w:type="pct"/>
            <w:noWrap/>
            <w:vAlign w:val="center"/>
          </w:tcPr>
          <w:p w14:paraId="160BAAB1">
            <w:pPr>
              <w:pStyle w:val="37"/>
              <w:adjustRightInd w:val="0"/>
              <w:spacing w:before="62" w:after="62"/>
              <w:rPr>
                <w:color w:val="auto"/>
                <w:highlight w:val="none"/>
              </w:rPr>
            </w:pPr>
            <w:r>
              <w:rPr>
                <w:color w:val="auto"/>
                <w:highlight w:val="none"/>
              </w:rPr>
              <w:t>达标</w:t>
            </w:r>
          </w:p>
        </w:tc>
      </w:tr>
      <w:tr w14:paraId="3CC7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0FE64C4D">
            <w:pPr>
              <w:pStyle w:val="37"/>
              <w:adjustRightInd w:val="0"/>
              <w:spacing w:before="62" w:after="62"/>
              <w:rPr>
                <w:color w:val="auto"/>
                <w:highlight w:val="none"/>
              </w:rPr>
            </w:pPr>
            <w:r>
              <w:rPr>
                <w:color w:val="auto"/>
                <w:highlight w:val="none"/>
              </w:rPr>
              <w:t>氯化物</w:t>
            </w:r>
          </w:p>
        </w:tc>
        <w:tc>
          <w:tcPr>
            <w:tcW w:w="679" w:type="pct"/>
            <w:noWrap/>
            <w:vAlign w:val="center"/>
          </w:tcPr>
          <w:p w14:paraId="1109D46E">
            <w:pPr>
              <w:pStyle w:val="37"/>
              <w:adjustRightInd w:val="0"/>
              <w:spacing w:before="62" w:after="62"/>
              <w:rPr>
                <w:color w:val="auto"/>
                <w:highlight w:val="none"/>
              </w:rPr>
            </w:pPr>
          </w:p>
        </w:tc>
        <w:tc>
          <w:tcPr>
            <w:tcW w:w="591" w:type="pct"/>
            <w:noWrap/>
            <w:vAlign w:val="center"/>
          </w:tcPr>
          <w:p w14:paraId="41274B1D">
            <w:pPr>
              <w:pStyle w:val="37"/>
              <w:adjustRightInd w:val="0"/>
              <w:spacing w:before="62" w:after="62"/>
              <w:rPr>
                <w:color w:val="auto"/>
                <w:highlight w:val="none"/>
              </w:rPr>
            </w:pPr>
          </w:p>
        </w:tc>
        <w:tc>
          <w:tcPr>
            <w:tcW w:w="618" w:type="pct"/>
            <w:vAlign w:val="center"/>
          </w:tcPr>
          <w:p w14:paraId="1B79787F">
            <w:pPr>
              <w:pStyle w:val="37"/>
              <w:adjustRightInd w:val="0"/>
              <w:spacing w:before="62" w:after="62"/>
              <w:rPr>
                <w:color w:val="auto"/>
                <w:highlight w:val="none"/>
              </w:rPr>
            </w:pPr>
          </w:p>
        </w:tc>
        <w:tc>
          <w:tcPr>
            <w:tcW w:w="592" w:type="pct"/>
            <w:vAlign w:val="center"/>
          </w:tcPr>
          <w:p w14:paraId="1E105543">
            <w:pPr>
              <w:pStyle w:val="37"/>
              <w:adjustRightInd w:val="0"/>
              <w:spacing w:before="62" w:after="62"/>
              <w:rPr>
                <w:color w:val="auto"/>
                <w:highlight w:val="none"/>
              </w:rPr>
            </w:pPr>
          </w:p>
        </w:tc>
        <w:tc>
          <w:tcPr>
            <w:tcW w:w="527" w:type="pct"/>
            <w:vAlign w:val="center"/>
          </w:tcPr>
          <w:p w14:paraId="73A3BCDC">
            <w:pPr>
              <w:pStyle w:val="37"/>
              <w:adjustRightInd w:val="0"/>
              <w:spacing w:before="62" w:after="62"/>
              <w:rPr>
                <w:color w:val="auto"/>
                <w:highlight w:val="none"/>
              </w:rPr>
            </w:pPr>
          </w:p>
        </w:tc>
        <w:tc>
          <w:tcPr>
            <w:tcW w:w="622" w:type="pct"/>
            <w:noWrap/>
            <w:vAlign w:val="center"/>
          </w:tcPr>
          <w:p w14:paraId="6B9135BC">
            <w:pPr>
              <w:pStyle w:val="37"/>
              <w:adjustRightInd w:val="0"/>
              <w:spacing w:before="62" w:after="62"/>
              <w:rPr>
                <w:color w:val="auto"/>
                <w:highlight w:val="none"/>
              </w:rPr>
            </w:pPr>
            <w:r>
              <w:rPr>
                <w:color w:val="auto"/>
                <w:highlight w:val="none"/>
              </w:rPr>
              <w:t>达标</w:t>
            </w:r>
          </w:p>
        </w:tc>
      </w:tr>
      <w:tr w14:paraId="1872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9421EF0">
            <w:pPr>
              <w:pStyle w:val="37"/>
              <w:adjustRightInd w:val="0"/>
              <w:spacing w:before="62" w:after="62"/>
              <w:rPr>
                <w:color w:val="auto"/>
                <w:highlight w:val="none"/>
              </w:rPr>
            </w:pPr>
            <w:r>
              <w:rPr>
                <w:color w:val="auto"/>
                <w:highlight w:val="none"/>
              </w:rPr>
              <w:t>硝酸盐（以N计）</w:t>
            </w:r>
          </w:p>
        </w:tc>
        <w:tc>
          <w:tcPr>
            <w:tcW w:w="679" w:type="pct"/>
            <w:noWrap/>
            <w:vAlign w:val="center"/>
          </w:tcPr>
          <w:p w14:paraId="08A9B30F">
            <w:pPr>
              <w:pStyle w:val="37"/>
              <w:adjustRightInd w:val="0"/>
              <w:spacing w:before="62" w:after="62"/>
              <w:rPr>
                <w:color w:val="auto"/>
                <w:highlight w:val="none"/>
              </w:rPr>
            </w:pPr>
          </w:p>
        </w:tc>
        <w:tc>
          <w:tcPr>
            <w:tcW w:w="591" w:type="pct"/>
            <w:noWrap/>
            <w:vAlign w:val="center"/>
          </w:tcPr>
          <w:p w14:paraId="71470011">
            <w:pPr>
              <w:pStyle w:val="37"/>
              <w:adjustRightInd w:val="0"/>
              <w:spacing w:before="62" w:after="62"/>
              <w:rPr>
                <w:color w:val="auto"/>
                <w:highlight w:val="none"/>
              </w:rPr>
            </w:pPr>
          </w:p>
        </w:tc>
        <w:tc>
          <w:tcPr>
            <w:tcW w:w="618" w:type="pct"/>
            <w:vAlign w:val="center"/>
          </w:tcPr>
          <w:p w14:paraId="4BDA802A">
            <w:pPr>
              <w:pStyle w:val="37"/>
              <w:adjustRightInd w:val="0"/>
              <w:spacing w:before="62" w:after="62"/>
              <w:rPr>
                <w:color w:val="auto"/>
                <w:highlight w:val="none"/>
              </w:rPr>
            </w:pPr>
          </w:p>
        </w:tc>
        <w:tc>
          <w:tcPr>
            <w:tcW w:w="592" w:type="pct"/>
            <w:vAlign w:val="center"/>
          </w:tcPr>
          <w:p w14:paraId="1873ABFE">
            <w:pPr>
              <w:pStyle w:val="37"/>
              <w:adjustRightInd w:val="0"/>
              <w:spacing w:before="62" w:after="62"/>
              <w:rPr>
                <w:color w:val="auto"/>
                <w:highlight w:val="none"/>
              </w:rPr>
            </w:pPr>
          </w:p>
        </w:tc>
        <w:tc>
          <w:tcPr>
            <w:tcW w:w="527" w:type="pct"/>
            <w:vAlign w:val="center"/>
          </w:tcPr>
          <w:p w14:paraId="2899F5DC">
            <w:pPr>
              <w:pStyle w:val="37"/>
              <w:adjustRightInd w:val="0"/>
              <w:spacing w:before="62" w:after="62"/>
              <w:rPr>
                <w:color w:val="auto"/>
                <w:highlight w:val="none"/>
              </w:rPr>
            </w:pPr>
          </w:p>
        </w:tc>
        <w:tc>
          <w:tcPr>
            <w:tcW w:w="622" w:type="pct"/>
            <w:noWrap/>
            <w:vAlign w:val="center"/>
          </w:tcPr>
          <w:p w14:paraId="3579B072">
            <w:pPr>
              <w:pStyle w:val="37"/>
              <w:adjustRightInd w:val="0"/>
              <w:spacing w:before="62" w:after="62"/>
              <w:rPr>
                <w:color w:val="auto"/>
                <w:highlight w:val="none"/>
              </w:rPr>
            </w:pPr>
            <w:r>
              <w:rPr>
                <w:color w:val="auto"/>
                <w:highlight w:val="none"/>
              </w:rPr>
              <w:t>达标</w:t>
            </w:r>
          </w:p>
        </w:tc>
      </w:tr>
      <w:tr w14:paraId="7BF3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07988D0F">
            <w:pPr>
              <w:pStyle w:val="37"/>
              <w:adjustRightInd w:val="0"/>
              <w:spacing w:before="62" w:after="62"/>
              <w:rPr>
                <w:color w:val="auto"/>
                <w:highlight w:val="none"/>
              </w:rPr>
            </w:pPr>
            <w:r>
              <w:rPr>
                <w:color w:val="auto"/>
                <w:highlight w:val="none"/>
              </w:rPr>
              <w:t>硫酸盐</w:t>
            </w:r>
          </w:p>
        </w:tc>
        <w:tc>
          <w:tcPr>
            <w:tcW w:w="679" w:type="pct"/>
            <w:noWrap/>
            <w:vAlign w:val="center"/>
          </w:tcPr>
          <w:p w14:paraId="0268348C">
            <w:pPr>
              <w:pStyle w:val="37"/>
              <w:adjustRightInd w:val="0"/>
              <w:spacing w:before="62" w:after="62"/>
              <w:rPr>
                <w:color w:val="auto"/>
                <w:highlight w:val="none"/>
              </w:rPr>
            </w:pPr>
          </w:p>
        </w:tc>
        <w:tc>
          <w:tcPr>
            <w:tcW w:w="591" w:type="pct"/>
            <w:noWrap/>
            <w:vAlign w:val="center"/>
          </w:tcPr>
          <w:p w14:paraId="72B485E5">
            <w:pPr>
              <w:pStyle w:val="37"/>
              <w:adjustRightInd w:val="0"/>
              <w:spacing w:before="62" w:after="62"/>
              <w:rPr>
                <w:color w:val="auto"/>
                <w:highlight w:val="none"/>
              </w:rPr>
            </w:pPr>
          </w:p>
        </w:tc>
        <w:tc>
          <w:tcPr>
            <w:tcW w:w="618" w:type="pct"/>
            <w:vAlign w:val="center"/>
          </w:tcPr>
          <w:p w14:paraId="12819463">
            <w:pPr>
              <w:pStyle w:val="37"/>
              <w:adjustRightInd w:val="0"/>
              <w:spacing w:before="62" w:after="62"/>
              <w:rPr>
                <w:color w:val="auto"/>
                <w:highlight w:val="none"/>
              </w:rPr>
            </w:pPr>
          </w:p>
        </w:tc>
        <w:tc>
          <w:tcPr>
            <w:tcW w:w="592" w:type="pct"/>
            <w:vAlign w:val="center"/>
          </w:tcPr>
          <w:p w14:paraId="10265DA1">
            <w:pPr>
              <w:pStyle w:val="37"/>
              <w:adjustRightInd w:val="0"/>
              <w:spacing w:before="62" w:after="62"/>
              <w:rPr>
                <w:color w:val="auto"/>
                <w:highlight w:val="none"/>
              </w:rPr>
            </w:pPr>
          </w:p>
        </w:tc>
        <w:tc>
          <w:tcPr>
            <w:tcW w:w="527" w:type="pct"/>
            <w:vAlign w:val="center"/>
          </w:tcPr>
          <w:p w14:paraId="2AE29DCA">
            <w:pPr>
              <w:pStyle w:val="37"/>
              <w:adjustRightInd w:val="0"/>
              <w:spacing w:before="62" w:after="62"/>
              <w:rPr>
                <w:color w:val="auto"/>
                <w:highlight w:val="none"/>
              </w:rPr>
            </w:pPr>
          </w:p>
        </w:tc>
        <w:tc>
          <w:tcPr>
            <w:tcW w:w="622" w:type="pct"/>
            <w:noWrap/>
            <w:vAlign w:val="center"/>
          </w:tcPr>
          <w:p w14:paraId="52CC1FFB">
            <w:pPr>
              <w:pStyle w:val="37"/>
              <w:adjustRightInd w:val="0"/>
              <w:spacing w:before="62" w:after="62"/>
              <w:rPr>
                <w:color w:val="auto"/>
                <w:highlight w:val="none"/>
              </w:rPr>
            </w:pPr>
            <w:r>
              <w:rPr>
                <w:color w:val="auto"/>
                <w:highlight w:val="none"/>
              </w:rPr>
              <w:t>达标</w:t>
            </w:r>
          </w:p>
        </w:tc>
      </w:tr>
      <w:tr w14:paraId="7FD2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F17B6A7">
            <w:pPr>
              <w:pStyle w:val="37"/>
              <w:adjustRightInd w:val="0"/>
              <w:spacing w:before="62" w:after="62"/>
              <w:rPr>
                <w:color w:val="auto"/>
                <w:highlight w:val="none"/>
              </w:rPr>
            </w:pPr>
            <w:r>
              <w:rPr>
                <w:color w:val="auto"/>
                <w:highlight w:val="none"/>
              </w:rPr>
              <w:t>耗氧量</w:t>
            </w:r>
          </w:p>
        </w:tc>
        <w:tc>
          <w:tcPr>
            <w:tcW w:w="679" w:type="pct"/>
            <w:noWrap/>
            <w:vAlign w:val="center"/>
          </w:tcPr>
          <w:p w14:paraId="5BC7167C">
            <w:pPr>
              <w:pStyle w:val="37"/>
              <w:adjustRightInd w:val="0"/>
              <w:spacing w:before="62" w:after="62"/>
              <w:rPr>
                <w:color w:val="auto"/>
                <w:highlight w:val="none"/>
              </w:rPr>
            </w:pPr>
          </w:p>
        </w:tc>
        <w:tc>
          <w:tcPr>
            <w:tcW w:w="591" w:type="pct"/>
            <w:noWrap/>
            <w:vAlign w:val="center"/>
          </w:tcPr>
          <w:p w14:paraId="7FB66983">
            <w:pPr>
              <w:pStyle w:val="37"/>
              <w:adjustRightInd w:val="0"/>
              <w:spacing w:before="62" w:after="62"/>
              <w:rPr>
                <w:color w:val="auto"/>
                <w:highlight w:val="none"/>
              </w:rPr>
            </w:pPr>
          </w:p>
        </w:tc>
        <w:tc>
          <w:tcPr>
            <w:tcW w:w="618" w:type="pct"/>
            <w:vAlign w:val="center"/>
          </w:tcPr>
          <w:p w14:paraId="13FAB7F6">
            <w:pPr>
              <w:pStyle w:val="37"/>
              <w:adjustRightInd w:val="0"/>
              <w:spacing w:before="62" w:after="62"/>
              <w:rPr>
                <w:color w:val="auto"/>
                <w:highlight w:val="none"/>
              </w:rPr>
            </w:pPr>
          </w:p>
        </w:tc>
        <w:tc>
          <w:tcPr>
            <w:tcW w:w="592" w:type="pct"/>
            <w:vAlign w:val="center"/>
          </w:tcPr>
          <w:p w14:paraId="1470051A">
            <w:pPr>
              <w:pStyle w:val="37"/>
              <w:adjustRightInd w:val="0"/>
              <w:spacing w:before="62" w:after="62"/>
              <w:rPr>
                <w:color w:val="auto"/>
                <w:highlight w:val="none"/>
              </w:rPr>
            </w:pPr>
          </w:p>
        </w:tc>
        <w:tc>
          <w:tcPr>
            <w:tcW w:w="527" w:type="pct"/>
            <w:vAlign w:val="center"/>
          </w:tcPr>
          <w:p w14:paraId="28807AC8">
            <w:pPr>
              <w:pStyle w:val="37"/>
              <w:adjustRightInd w:val="0"/>
              <w:spacing w:before="62" w:after="62"/>
              <w:rPr>
                <w:color w:val="auto"/>
                <w:highlight w:val="none"/>
              </w:rPr>
            </w:pPr>
          </w:p>
        </w:tc>
        <w:tc>
          <w:tcPr>
            <w:tcW w:w="622" w:type="pct"/>
            <w:noWrap/>
            <w:vAlign w:val="center"/>
          </w:tcPr>
          <w:p w14:paraId="63F3174E">
            <w:pPr>
              <w:pStyle w:val="37"/>
              <w:adjustRightInd w:val="0"/>
              <w:spacing w:before="62" w:after="62"/>
              <w:rPr>
                <w:color w:val="auto"/>
                <w:highlight w:val="none"/>
              </w:rPr>
            </w:pPr>
            <w:r>
              <w:rPr>
                <w:color w:val="auto"/>
                <w:highlight w:val="none"/>
              </w:rPr>
              <w:t>达标</w:t>
            </w:r>
          </w:p>
        </w:tc>
      </w:tr>
      <w:tr w14:paraId="59B3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37062AD5">
            <w:pPr>
              <w:pStyle w:val="37"/>
              <w:adjustRightInd w:val="0"/>
              <w:spacing w:before="62" w:after="62"/>
              <w:rPr>
                <w:color w:val="auto"/>
                <w:highlight w:val="none"/>
              </w:rPr>
            </w:pPr>
            <w:r>
              <w:rPr>
                <w:color w:val="auto"/>
                <w:highlight w:val="none"/>
              </w:rPr>
              <w:t>石油类</w:t>
            </w:r>
          </w:p>
        </w:tc>
        <w:tc>
          <w:tcPr>
            <w:tcW w:w="679" w:type="pct"/>
            <w:noWrap/>
            <w:vAlign w:val="center"/>
          </w:tcPr>
          <w:p w14:paraId="02A60679">
            <w:pPr>
              <w:pStyle w:val="37"/>
              <w:adjustRightInd w:val="0"/>
              <w:spacing w:before="62" w:after="62"/>
              <w:rPr>
                <w:color w:val="auto"/>
                <w:highlight w:val="none"/>
              </w:rPr>
            </w:pPr>
          </w:p>
        </w:tc>
        <w:tc>
          <w:tcPr>
            <w:tcW w:w="591" w:type="pct"/>
            <w:noWrap/>
            <w:vAlign w:val="center"/>
          </w:tcPr>
          <w:p w14:paraId="3653024F">
            <w:pPr>
              <w:pStyle w:val="37"/>
              <w:adjustRightInd w:val="0"/>
              <w:spacing w:before="62" w:after="62"/>
              <w:rPr>
                <w:color w:val="auto"/>
                <w:highlight w:val="none"/>
              </w:rPr>
            </w:pPr>
          </w:p>
        </w:tc>
        <w:tc>
          <w:tcPr>
            <w:tcW w:w="618" w:type="pct"/>
            <w:vAlign w:val="center"/>
          </w:tcPr>
          <w:p w14:paraId="298C6CF1">
            <w:pPr>
              <w:pStyle w:val="37"/>
              <w:adjustRightInd w:val="0"/>
              <w:spacing w:before="62" w:after="62"/>
              <w:rPr>
                <w:color w:val="auto"/>
                <w:highlight w:val="none"/>
              </w:rPr>
            </w:pPr>
          </w:p>
        </w:tc>
        <w:tc>
          <w:tcPr>
            <w:tcW w:w="592" w:type="pct"/>
            <w:vAlign w:val="center"/>
          </w:tcPr>
          <w:p w14:paraId="0B3C14AC">
            <w:pPr>
              <w:pStyle w:val="37"/>
              <w:adjustRightInd w:val="0"/>
              <w:spacing w:before="62" w:after="62"/>
              <w:rPr>
                <w:color w:val="auto"/>
                <w:highlight w:val="none"/>
              </w:rPr>
            </w:pPr>
          </w:p>
        </w:tc>
        <w:tc>
          <w:tcPr>
            <w:tcW w:w="527" w:type="pct"/>
            <w:vAlign w:val="center"/>
          </w:tcPr>
          <w:p w14:paraId="1AF1CA07">
            <w:pPr>
              <w:pStyle w:val="37"/>
              <w:adjustRightInd w:val="0"/>
              <w:spacing w:before="62" w:after="62"/>
              <w:rPr>
                <w:color w:val="auto"/>
                <w:highlight w:val="none"/>
              </w:rPr>
            </w:pPr>
          </w:p>
        </w:tc>
        <w:tc>
          <w:tcPr>
            <w:tcW w:w="622" w:type="pct"/>
            <w:noWrap/>
            <w:vAlign w:val="center"/>
          </w:tcPr>
          <w:p w14:paraId="48E02338">
            <w:pPr>
              <w:pStyle w:val="37"/>
              <w:adjustRightInd w:val="0"/>
              <w:spacing w:before="62" w:after="62"/>
              <w:rPr>
                <w:color w:val="auto"/>
                <w:highlight w:val="none"/>
              </w:rPr>
            </w:pPr>
            <w:r>
              <w:rPr>
                <w:rFonts w:hint="eastAsia"/>
                <w:color w:val="auto"/>
                <w:highlight w:val="none"/>
              </w:rPr>
              <w:t>/</w:t>
            </w:r>
          </w:p>
        </w:tc>
      </w:tr>
      <w:tr w14:paraId="330E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660E920C">
            <w:pPr>
              <w:pStyle w:val="37"/>
              <w:adjustRightInd w:val="0"/>
              <w:spacing w:before="62" w:after="62"/>
              <w:rPr>
                <w:color w:val="auto"/>
                <w:highlight w:val="none"/>
              </w:rPr>
            </w:pPr>
            <w:r>
              <w:rPr>
                <w:color w:val="auto"/>
                <w:highlight w:val="none"/>
              </w:rPr>
              <w:t>溶解性总固体</w:t>
            </w:r>
          </w:p>
        </w:tc>
        <w:tc>
          <w:tcPr>
            <w:tcW w:w="679" w:type="pct"/>
            <w:noWrap/>
            <w:vAlign w:val="center"/>
          </w:tcPr>
          <w:p w14:paraId="5805D0F1">
            <w:pPr>
              <w:pStyle w:val="37"/>
              <w:adjustRightInd w:val="0"/>
              <w:spacing w:before="62" w:after="62"/>
              <w:rPr>
                <w:color w:val="auto"/>
                <w:highlight w:val="none"/>
              </w:rPr>
            </w:pPr>
          </w:p>
        </w:tc>
        <w:tc>
          <w:tcPr>
            <w:tcW w:w="591" w:type="pct"/>
            <w:noWrap/>
            <w:vAlign w:val="center"/>
          </w:tcPr>
          <w:p w14:paraId="722D8DAE">
            <w:pPr>
              <w:pStyle w:val="37"/>
              <w:adjustRightInd w:val="0"/>
              <w:spacing w:before="62" w:after="62"/>
              <w:rPr>
                <w:color w:val="auto"/>
                <w:highlight w:val="none"/>
              </w:rPr>
            </w:pPr>
          </w:p>
        </w:tc>
        <w:tc>
          <w:tcPr>
            <w:tcW w:w="618" w:type="pct"/>
            <w:vAlign w:val="center"/>
          </w:tcPr>
          <w:p w14:paraId="58A14E23">
            <w:pPr>
              <w:pStyle w:val="37"/>
              <w:adjustRightInd w:val="0"/>
              <w:spacing w:before="62" w:after="62"/>
              <w:rPr>
                <w:color w:val="auto"/>
                <w:highlight w:val="none"/>
              </w:rPr>
            </w:pPr>
          </w:p>
        </w:tc>
        <w:tc>
          <w:tcPr>
            <w:tcW w:w="592" w:type="pct"/>
            <w:vAlign w:val="center"/>
          </w:tcPr>
          <w:p w14:paraId="3F3F6D5B">
            <w:pPr>
              <w:pStyle w:val="37"/>
              <w:adjustRightInd w:val="0"/>
              <w:spacing w:before="62" w:after="62"/>
              <w:rPr>
                <w:color w:val="auto"/>
                <w:highlight w:val="none"/>
              </w:rPr>
            </w:pPr>
          </w:p>
        </w:tc>
        <w:tc>
          <w:tcPr>
            <w:tcW w:w="527" w:type="pct"/>
            <w:vAlign w:val="center"/>
          </w:tcPr>
          <w:p w14:paraId="7F531153">
            <w:pPr>
              <w:pStyle w:val="37"/>
              <w:adjustRightInd w:val="0"/>
              <w:spacing w:before="62" w:after="62"/>
              <w:rPr>
                <w:color w:val="auto"/>
                <w:highlight w:val="none"/>
              </w:rPr>
            </w:pPr>
          </w:p>
        </w:tc>
        <w:tc>
          <w:tcPr>
            <w:tcW w:w="622" w:type="pct"/>
            <w:noWrap/>
            <w:vAlign w:val="center"/>
          </w:tcPr>
          <w:p w14:paraId="30CC921E">
            <w:pPr>
              <w:pStyle w:val="37"/>
              <w:adjustRightInd w:val="0"/>
              <w:spacing w:before="62" w:after="62"/>
              <w:rPr>
                <w:color w:val="auto"/>
                <w:highlight w:val="none"/>
              </w:rPr>
            </w:pPr>
            <w:r>
              <w:rPr>
                <w:color w:val="auto"/>
                <w:highlight w:val="none"/>
              </w:rPr>
              <w:t>达标</w:t>
            </w:r>
          </w:p>
        </w:tc>
      </w:tr>
      <w:tr w14:paraId="1F31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74E1C98">
            <w:pPr>
              <w:pStyle w:val="37"/>
              <w:adjustRightInd w:val="0"/>
              <w:spacing w:before="62" w:after="62"/>
              <w:rPr>
                <w:color w:val="auto"/>
                <w:highlight w:val="none"/>
              </w:rPr>
            </w:pPr>
            <w:r>
              <w:rPr>
                <w:color w:val="auto"/>
                <w:highlight w:val="none"/>
              </w:rPr>
              <w:t>氟化物</w:t>
            </w:r>
          </w:p>
        </w:tc>
        <w:tc>
          <w:tcPr>
            <w:tcW w:w="679" w:type="pct"/>
            <w:noWrap/>
            <w:vAlign w:val="center"/>
          </w:tcPr>
          <w:p w14:paraId="1AABD1DB">
            <w:pPr>
              <w:pStyle w:val="37"/>
              <w:adjustRightInd w:val="0"/>
              <w:spacing w:before="62" w:after="62"/>
              <w:rPr>
                <w:color w:val="auto"/>
                <w:highlight w:val="none"/>
              </w:rPr>
            </w:pPr>
          </w:p>
        </w:tc>
        <w:tc>
          <w:tcPr>
            <w:tcW w:w="591" w:type="pct"/>
            <w:noWrap/>
            <w:vAlign w:val="center"/>
          </w:tcPr>
          <w:p w14:paraId="4C9E81D8">
            <w:pPr>
              <w:pStyle w:val="37"/>
              <w:adjustRightInd w:val="0"/>
              <w:spacing w:before="62" w:after="62"/>
              <w:rPr>
                <w:color w:val="auto"/>
                <w:highlight w:val="none"/>
              </w:rPr>
            </w:pPr>
          </w:p>
        </w:tc>
        <w:tc>
          <w:tcPr>
            <w:tcW w:w="618" w:type="pct"/>
            <w:vAlign w:val="center"/>
          </w:tcPr>
          <w:p w14:paraId="77E819A7">
            <w:pPr>
              <w:pStyle w:val="37"/>
              <w:adjustRightInd w:val="0"/>
              <w:spacing w:before="62" w:after="62"/>
              <w:rPr>
                <w:color w:val="auto"/>
                <w:highlight w:val="none"/>
              </w:rPr>
            </w:pPr>
          </w:p>
        </w:tc>
        <w:tc>
          <w:tcPr>
            <w:tcW w:w="592" w:type="pct"/>
            <w:vAlign w:val="center"/>
          </w:tcPr>
          <w:p w14:paraId="1E2D01DF">
            <w:pPr>
              <w:pStyle w:val="37"/>
              <w:adjustRightInd w:val="0"/>
              <w:spacing w:before="62" w:after="62"/>
              <w:rPr>
                <w:color w:val="auto"/>
                <w:highlight w:val="none"/>
              </w:rPr>
            </w:pPr>
          </w:p>
        </w:tc>
        <w:tc>
          <w:tcPr>
            <w:tcW w:w="527" w:type="pct"/>
            <w:vAlign w:val="center"/>
          </w:tcPr>
          <w:p w14:paraId="3FAD988F">
            <w:pPr>
              <w:pStyle w:val="37"/>
              <w:adjustRightInd w:val="0"/>
              <w:spacing w:before="62" w:after="62"/>
              <w:rPr>
                <w:color w:val="auto"/>
                <w:highlight w:val="none"/>
              </w:rPr>
            </w:pPr>
          </w:p>
        </w:tc>
        <w:tc>
          <w:tcPr>
            <w:tcW w:w="622" w:type="pct"/>
            <w:noWrap/>
            <w:vAlign w:val="center"/>
          </w:tcPr>
          <w:p w14:paraId="01C289E8">
            <w:pPr>
              <w:pStyle w:val="37"/>
              <w:adjustRightInd w:val="0"/>
              <w:spacing w:before="62" w:after="62"/>
              <w:rPr>
                <w:color w:val="auto"/>
                <w:highlight w:val="none"/>
              </w:rPr>
            </w:pPr>
            <w:r>
              <w:rPr>
                <w:color w:val="auto"/>
                <w:highlight w:val="none"/>
              </w:rPr>
              <w:t>达标</w:t>
            </w:r>
          </w:p>
        </w:tc>
      </w:tr>
      <w:tr w14:paraId="57EF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40BADBB8">
            <w:pPr>
              <w:pStyle w:val="37"/>
              <w:adjustRightInd w:val="0"/>
              <w:spacing w:before="62" w:after="62"/>
              <w:rPr>
                <w:color w:val="auto"/>
                <w:highlight w:val="none"/>
              </w:rPr>
            </w:pPr>
            <w:r>
              <w:rPr>
                <w:color w:val="auto"/>
                <w:highlight w:val="none"/>
              </w:rPr>
              <w:t>细菌总数（CFU/mL）</w:t>
            </w:r>
          </w:p>
        </w:tc>
        <w:tc>
          <w:tcPr>
            <w:tcW w:w="679" w:type="pct"/>
            <w:noWrap/>
            <w:vAlign w:val="center"/>
          </w:tcPr>
          <w:p w14:paraId="5B8BECEC">
            <w:pPr>
              <w:pStyle w:val="37"/>
              <w:adjustRightInd w:val="0"/>
              <w:spacing w:before="62" w:after="62"/>
              <w:rPr>
                <w:color w:val="auto"/>
                <w:highlight w:val="none"/>
              </w:rPr>
            </w:pPr>
          </w:p>
        </w:tc>
        <w:tc>
          <w:tcPr>
            <w:tcW w:w="591" w:type="pct"/>
            <w:noWrap/>
            <w:vAlign w:val="center"/>
          </w:tcPr>
          <w:p w14:paraId="220CF3BA">
            <w:pPr>
              <w:pStyle w:val="37"/>
              <w:adjustRightInd w:val="0"/>
              <w:spacing w:before="62" w:after="62"/>
              <w:rPr>
                <w:color w:val="auto"/>
                <w:highlight w:val="none"/>
              </w:rPr>
            </w:pPr>
          </w:p>
        </w:tc>
        <w:tc>
          <w:tcPr>
            <w:tcW w:w="618" w:type="pct"/>
            <w:vAlign w:val="center"/>
          </w:tcPr>
          <w:p w14:paraId="65EEDFD0">
            <w:pPr>
              <w:pStyle w:val="37"/>
              <w:adjustRightInd w:val="0"/>
              <w:spacing w:before="62" w:after="62"/>
              <w:rPr>
                <w:color w:val="auto"/>
                <w:highlight w:val="none"/>
              </w:rPr>
            </w:pPr>
          </w:p>
        </w:tc>
        <w:tc>
          <w:tcPr>
            <w:tcW w:w="592" w:type="pct"/>
            <w:vAlign w:val="center"/>
          </w:tcPr>
          <w:p w14:paraId="180D2613">
            <w:pPr>
              <w:pStyle w:val="37"/>
              <w:adjustRightInd w:val="0"/>
              <w:spacing w:before="62" w:after="62"/>
              <w:rPr>
                <w:color w:val="auto"/>
                <w:highlight w:val="none"/>
              </w:rPr>
            </w:pPr>
          </w:p>
        </w:tc>
        <w:tc>
          <w:tcPr>
            <w:tcW w:w="527" w:type="pct"/>
            <w:vAlign w:val="center"/>
          </w:tcPr>
          <w:p w14:paraId="4B7A75E0">
            <w:pPr>
              <w:pStyle w:val="37"/>
              <w:adjustRightInd w:val="0"/>
              <w:spacing w:before="62" w:after="62"/>
              <w:rPr>
                <w:color w:val="auto"/>
                <w:highlight w:val="none"/>
              </w:rPr>
            </w:pPr>
          </w:p>
        </w:tc>
        <w:tc>
          <w:tcPr>
            <w:tcW w:w="622" w:type="pct"/>
            <w:noWrap/>
            <w:vAlign w:val="center"/>
          </w:tcPr>
          <w:p w14:paraId="3408FD73">
            <w:pPr>
              <w:pStyle w:val="37"/>
              <w:adjustRightInd w:val="0"/>
              <w:spacing w:before="62" w:after="62"/>
              <w:rPr>
                <w:color w:val="auto"/>
                <w:highlight w:val="none"/>
              </w:rPr>
            </w:pPr>
            <w:r>
              <w:rPr>
                <w:rFonts w:hint="eastAsia"/>
                <w:color w:val="auto"/>
                <w:highlight w:val="none"/>
              </w:rPr>
              <w:t>超标</w:t>
            </w:r>
          </w:p>
        </w:tc>
      </w:tr>
      <w:tr w14:paraId="28D1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pct"/>
            <w:noWrap/>
            <w:vAlign w:val="center"/>
          </w:tcPr>
          <w:p w14:paraId="2A86C1E9">
            <w:pPr>
              <w:pStyle w:val="37"/>
              <w:adjustRightInd w:val="0"/>
              <w:spacing w:before="62" w:after="62"/>
              <w:rPr>
                <w:color w:val="auto"/>
                <w:highlight w:val="none"/>
              </w:rPr>
            </w:pPr>
            <w:r>
              <w:rPr>
                <w:color w:val="auto"/>
                <w:highlight w:val="none"/>
              </w:rPr>
              <w:t>总大肠菌群（MPN/L）</w:t>
            </w:r>
          </w:p>
        </w:tc>
        <w:tc>
          <w:tcPr>
            <w:tcW w:w="679" w:type="pct"/>
            <w:noWrap/>
            <w:vAlign w:val="center"/>
          </w:tcPr>
          <w:p w14:paraId="0EC9DF50">
            <w:pPr>
              <w:pStyle w:val="37"/>
              <w:adjustRightInd w:val="0"/>
              <w:spacing w:before="62" w:after="62"/>
              <w:rPr>
                <w:color w:val="auto"/>
                <w:highlight w:val="none"/>
              </w:rPr>
            </w:pPr>
          </w:p>
        </w:tc>
        <w:tc>
          <w:tcPr>
            <w:tcW w:w="591" w:type="pct"/>
            <w:noWrap/>
            <w:vAlign w:val="center"/>
          </w:tcPr>
          <w:p w14:paraId="7188C777">
            <w:pPr>
              <w:pStyle w:val="37"/>
              <w:adjustRightInd w:val="0"/>
              <w:spacing w:before="62" w:after="62"/>
              <w:rPr>
                <w:color w:val="auto"/>
                <w:highlight w:val="none"/>
              </w:rPr>
            </w:pPr>
          </w:p>
        </w:tc>
        <w:tc>
          <w:tcPr>
            <w:tcW w:w="618" w:type="pct"/>
            <w:vAlign w:val="center"/>
          </w:tcPr>
          <w:p w14:paraId="27592468">
            <w:pPr>
              <w:pStyle w:val="37"/>
              <w:adjustRightInd w:val="0"/>
              <w:spacing w:before="62" w:after="62"/>
              <w:rPr>
                <w:color w:val="auto"/>
                <w:highlight w:val="none"/>
              </w:rPr>
            </w:pPr>
          </w:p>
        </w:tc>
        <w:tc>
          <w:tcPr>
            <w:tcW w:w="592" w:type="pct"/>
            <w:vAlign w:val="center"/>
          </w:tcPr>
          <w:p w14:paraId="21D66D25">
            <w:pPr>
              <w:pStyle w:val="37"/>
              <w:adjustRightInd w:val="0"/>
              <w:spacing w:before="62" w:after="62"/>
              <w:rPr>
                <w:color w:val="auto"/>
                <w:highlight w:val="none"/>
              </w:rPr>
            </w:pPr>
          </w:p>
        </w:tc>
        <w:tc>
          <w:tcPr>
            <w:tcW w:w="527" w:type="pct"/>
            <w:vAlign w:val="center"/>
          </w:tcPr>
          <w:p w14:paraId="3A25E33B">
            <w:pPr>
              <w:pStyle w:val="37"/>
              <w:adjustRightInd w:val="0"/>
              <w:spacing w:before="62" w:after="62"/>
              <w:rPr>
                <w:color w:val="auto"/>
                <w:highlight w:val="none"/>
              </w:rPr>
            </w:pPr>
          </w:p>
        </w:tc>
        <w:tc>
          <w:tcPr>
            <w:tcW w:w="622" w:type="pct"/>
            <w:noWrap/>
            <w:vAlign w:val="center"/>
          </w:tcPr>
          <w:p w14:paraId="5A8B3083">
            <w:pPr>
              <w:pStyle w:val="37"/>
              <w:adjustRightInd w:val="0"/>
              <w:spacing w:before="62" w:after="62"/>
              <w:rPr>
                <w:color w:val="auto"/>
                <w:highlight w:val="none"/>
              </w:rPr>
            </w:pPr>
            <w:r>
              <w:rPr>
                <w:rFonts w:hint="eastAsia"/>
                <w:color w:val="auto"/>
                <w:highlight w:val="none"/>
              </w:rPr>
              <w:t>超标</w:t>
            </w:r>
          </w:p>
        </w:tc>
      </w:tr>
    </w:tbl>
    <w:p w14:paraId="1E00E497">
      <w:pPr>
        <w:adjustRightInd w:val="0"/>
        <w:ind w:firstLine="480"/>
        <w:jc w:val="left"/>
        <w:rPr>
          <w:rFonts w:cs="Times New Roman"/>
          <w:color w:val="auto"/>
          <w:szCs w:val="24"/>
          <w:highlight w:val="none"/>
        </w:rPr>
      </w:pPr>
      <w:r>
        <w:rPr>
          <w:rFonts w:cs="Times New Roman"/>
          <w:color w:val="auto"/>
          <w:szCs w:val="24"/>
          <w:highlight w:val="none"/>
        </w:rPr>
        <w:t>其余项目的监测结果符合GB/T14848-2017《地下水质量标准》表1和表2中标准限值要求。区域地下水质量现状</w:t>
      </w:r>
      <w:r>
        <w:rPr>
          <w:rFonts w:hint="eastAsia" w:cs="Times New Roman"/>
          <w:color w:val="auto"/>
          <w:szCs w:val="24"/>
          <w:highlight w:val="none"/>
        </w:rPr>
        <w:t>一般</w:t>
      </w:r>
      <w:r>
        <w:rPr>
          <w:rFonts w:cs="Times New Roman"/>
          <w:color w:val="auto"/>
          <w:szCs w:val="24"/>
          <w:highlight w:val="none"/>
        </w:rPr>
        <w:t>。</w:t>
      </w:r>
    </w:p>
    <w:p w14:paraId="234E2543">
      <w:pPr>
        <w:pStyle w:val="5"/>
        <w:rPr>
          <w:color w:val="auto"/>
          <w:highlight w:val="none"/>
          <w:lang w:val="zh-CN"/>
        </w:rPr>
      </w:pPr>
      <w:r>
        <w:rPr>
          <w:rFonts w:hint="eastAsia"/>
          <w:color w:val="auto"/>
          <w:highlight w:val="none"/>
          <w:lang w:val="zh-CN"/>
        </w:rPr>
        <w:t>环境水文地质调查勘察与试验</w:t>
      </w:r>
    </w:p>
    <w:p w14:paraId="07F83BDB">
      <w:pPr>
        <w:adjustRightInd w:val="0"/>
        <w:ind w:firstLine="480" w:firstLineChars="0"/>
        <w:rPr>
          <w:rFonts w:cs="Times New Roman"/>
          <w:color w:val="auto"/>
          <w:szCs w:val="24"/>
          <w:highlight w:val="none"/>
        </w:rPr>
      </w:pPr>
      <w:r>
        <w:rPr>
          <w:rFonts w:hint="eastAsia" w:cs="Times New Roman"/>
          <w:color w:val="auto"/>
          <w:szCs w:val="24"/>
          <w:highlight w:val="none"/>
        </w:rPr>
        <w:t>根据《环境影响评价技术导则 地下水环境》（HJ610-2016），环境水文地质勘察与试验是在充分收集已有资料和地下水环境现状调查的基础上，针对需要进一步查明的地下水含水层特征和为获取预测评价中必要的水文地质参数而进行的工作。水文地质勘察可采用钻探、物探和水土化学分析以及室内外测试、试验等手段开展。环境水文地质试验项目通常有抽水试验、注水试验、渗水试验、浸溶试验及土柱淋滤试验等。进行环境水文地质勘察时，除采用常规方法外，还可采用其他辅助方法配合勘察。</w:t>
      </w:r>
    </w:p>
    <w:p w14:paraId="591D0318">
      <w:pPr>
        <w:adjustRightInd w:val="0"/>
        <w:ind w:firstLine="480"/>
        <w:rPr>
          <w:rFonts w:cs="Times New Roman"/>
          <w:color w:val="auto"/>
          <w:szCs w:val="24"/>
          <w:highlight w:val="none"/>
        </w:rPr>
      </w:pPr>
      <w:r>
        <w:rPr>
          <w:rFonts w:hint="eastAsia" w:cs="Times New Roman"/>
          <w:color w:val="auto"/>
          <w:szCs w:val="24"/>
          <w:highlight w:val="none"/>
        </w:rPr>
        <w:t>本项目水文地质条件相对简单：</w:t>
      </w:r>
      <w:r>
        <w:rPr>
          <w:rFonts w:hint="eastAsia" w:hAnsi="宋体" w:cs="Times New Roman"/>
          <w:color w:val="auto"/>
          <w:szCs w:val="24"/>
          <w:highlight w:val="none"/>
        </w:rPr>
        <w:t>场地</w:t>
      </w:r>
      <w:r>
        <w:rPr>
          <w:rFonts w:hAnsi="宋体" w:cs="Times New Roman"/>
          <w:color w:val="auto"/>
          <w:szCs w:val="24"/>
          <w:highlight w:val="none"/>
        </w:rPr>
        <w:t>位于</w:t>
      </w:r>
      <w:r>
        <w:rPr>
          <w:rFonts w:hint="eastAsia" w:hAnsi="宋体" w:cs="Times New Roman"/>
          <w:color w:val="auto"/>
          <w:szCs w:val="24"/>
          <w:highlight w:val="none"/>
        </w:rPr>
        <w:t>大渡河</w:t>
      </w:r>
      <w:r>
        <w:rPr>
          <w:rFonts w:hAnsi="宋体" w:cs="Times New Roman"/>
          <w:color w:val="auto"/>
          <w:szCs w:val="24"/>
          <w:highlight w:val="none"/>
        </w:rPr>
        <w:t>北岸</w:t>
      </w:r>
      <w:r>
        <w:rPr>
          <w:rFonts w:hint="eastAsia" w:cs="Times New Roman"/>
          <w:color w:val="auto"/>
          <w:szCs w:val="24"/>
          <w:highlight w:val="none"/>
        </w:rPr>
        <w:t>I</w:t>
      </w:r>
      <w:r>
        <w:rPr>
          <w:rFonts w:hAnsi="宋体" w:cs="Times New Roman"/>
          <w:color w:val="auto"/>
          <w:szCs w:val="24"/>
          <w:highlight w:val="none"/>
        </w:rPr>
        <w:t>级阶地，潜水含水层岩性</w:t>
      </w:r>
      <w:r>
        <w:rPr>
          <w:rFonts w:hint="eastAsia" w:hAnsi="宋体" w:cs="Times New Roman"/>
          <w:color w:val="auto"/>
          <w:szCs w:val="24"/>
          <w:highlight w:val="none"/>
        </w:rPr>
        <w:t>以第四系全新统冲积砂砾卵石层为主，</w:t>
      </w:r>
      <w:r>
        <w:rPr>
          <w:rFonts w:hint="eastAsia" w:cs="Times New Roman"/>
          <w:bCs/>
          <w:color w:val="auto"/>
          <w:szCs w:val="32"/>
          <w:highlight w:val="none"/>
        </w:rPr>
        <w:t>卵石厚度约15～18m左右。</w:t>
      </w:r>
      <w:r>
        <w:rPr>
          <w:rFonts w:hint="eastAsia" w:hAnsi="宋体" w:cs="Times New Roman"/>
          <w:color w:val="auto"/>
          <w:szCs w:val="24"/>
          <w:highlight w:val="none"/>
        </w:rPr>
        <w:t>根据实测水位，</w:t>
      </w:r>
      <w:r>
        <w:rPr>
          <w:rFonts w:hAnsi="宋体" w:cs="Times New Roman"/>
          <w:color w:val="auto"/>
          <w:szCs w:val="24"/>
          <w:highlight w:val="none"/>
        </w:rPr>
        <w:t>潜水位埋深在</w:t>
      </w:r>
      <w:r>
        <w:rPr>
          <w:rFonts w:hint="eastAsia" w:cs="Times New Roman"/>
          <w:color w:val="auto"/>
          <w:szCs w:val="24"/>
          <w:highlight w:val="none"/>
        </w:rPr>
        <w:t>4.6</w:t>
      </w:r>
      <w:r>
        <w:rPr>
          <w:rFonts w:cs="Times New Roman"/>
          <w:color w:val="auto"/>
          <w:szCs w:val="24"/>
          <w:highlight w:val="none"/>
        </w:rPr>
        <w:t>~</w:t>
      </w:r>
      <w:r>
        <w:rPr>
          <w:rFonts w:hint="eastAsia" w:cs="Times New Roman"/>
          <w:color w:val="auto"/>
          <w:szCs w:val="24"/>
          <w:highlight w:val="none"/>
        </w:rPr>
        <w:t>5.7</w:t>
      </w:r>
      <w:r>
        <w:rPr>
          <w:rFonts w:cs="Times New Roman"/>
          <w:color w:val="auto"/>
          <w:szCs w:val="24"/>
          <w:highlight w:val="none"/>
        </w:rPr>
        <w:t>m</w:t>
      </w:r>
      <w:r>
        <w:rPr>
          <w:rFonts w:hAnsi="宋体" w:cs="Times New Roman"/>
          <w:color w:val="auto"/>
          <w:szCs w:val="24"/>
          <w:highlight w:val="none"/>
        </w:rPr>
        <w:t>之间，含水层厚度约</w:t>
      </w:r>
      <w:r>
        <w:rPr>
          <w:rFonts w:hint="eastAsia" w:cs="Times New Roman"/>
          <w:bCs/>
          <w:color w:val="auto"/>
          <w:szCs w:val="32"/>
          <w:highlight w:val="none"/>
        </w:rPr>
        <w:t>15～18m，其下白垩系中统灌口组粉砂质泥岩，渗透系数较小，属于隔水层</w:t>
      </w:r>
      <w:r>
        <w:rPr>
          <w:rFonts w:hAnsi="宋体" w:cs="Times New Roman"/>
          <w:color w:val="auto"/>
          <w:szCs w:val="24"/>
          <w:highlight w:val="none"/>
        </w:rPr>
        <w:t>。</w:t>
      </w:r>
    </w:p>
    <w:p w14:paraId="490C94F2">
      <w:pPr>
        <w:adjustRightInd w:val="0"/>
        <w:ind w:firstLine="480"/>
        <w:rPr>
          <w:rFonts w:cs="Times New Roman"/>
          <w:color w:val="auto"/>
          <w:highlight w:val="none"/>
        </w:rPr>
      </w:pPr>
      <w:r>
        <w:rPr>
          <w:rFonts w:hint="eastAsia" w:cs="Times New Roman"/>
          <w:color w:val="auto"/>
          <w:szCs w:val="24"/>
          <w:highlight w:val="none"/>
        </w:rPr>
        <w:t>由于水文地质条件相对简单，相关参数来源于</w:t>
      </w:r>
      <w:r>
        <w:rPr>
          <w:rFonts w:hint="eastAsia" w:cs="Times New Roman"/>
          <w:color w:val="auto"/>
          <w:kern w:val="21"/>
          <w:szCs w:val="24"/>
          <w:highlight w:val="none"/>
        </w:rPr>
        <w:t>《沙湾区新建50万吨锂矿加工综合利用项目岩土工程勘察报告（详细勘察）》和经验系数，不再单独开展水文地质试验。</w:t>
      </w:r>
      <w:r>
        <w:rPr>
          <w:rFonts w:cs="Times New Roman"/>
          <w:color w:val="auto"/>
          <w:kern w:val="21"/>
          <w:szCs w:val="24"/>
          <w:highlight w:val="none"/>
        </w:rPr>
        <w:t>第四系全新统冲洪积堆积层</w:t>
      </w:r>
      <w:r>
        <w:rPr>
          <w:rFonts w:hint="eastAsia" w:cs="Times New Roman"/>
          <w:color w:val="auto"/>
          <w:kern w:val="21"/>
          <w:szCs w:val="24"/>
          <w:highlight w:val="none"/>
        </w:rPr>
        <w:t>卵石层孔隙水含水层渗透系数45m/d。</w:t>
      </w:r>
    </w:p>
    <w:p w14:paraId="02BAF0F8">
      <w:pPr>
        <w:pStyle w:val="4"/>
        <w:rPr>
          <w:color w:val="auto"/>
          <w:highlight w:val="none"/>
        </w:rPr>
      </w:pPr>
      <w:bookmarkStart w:id="169" w:name="_Toc11417"/>
      <w:r>
        <w:rPr>
          <w:color w:val="auto"/>
          <w:highlight w:val="none"/>
        </w:rPr>
        <w:t>土壤环境质量现状与评价</w:t>
      </w:r>
      <w:bookmarkEnd w:id="169"/>
    </w:p>
    <w:p w14:paraId="58BB0088">
      <w:pPr>
        <w:adjustRightInd w:val="0"/>
        <w:ind w:firstLine="480"/>
        <w:rPr>
          <w:rFonts w:cs="Times New Roman"/>
          <w:color w:val="auto"/>
          <w:highlight w:val="none"/>
        </w:rPr>
      </w:pPr>
      <w:r>
        <w:rPr>
          <w:rFonts w:hint="eastAsia" w:cs="Times New Roman"/>
          <w:color w:val="auto"/>
          <w:highlight w:val="none"/>
        </w:rPr>
        <w:t>建设单位委托四川华皓检测技术有限公司</w:t>
      </w:r>
      <w:r>
        <w:rPr>
          <w:rFonts w:cs="Times New Roman"/>
          <w:color w:val="auto"/>
          <w:highlight w:val="none"/>
        </w:rPr>
        <w:t>对项目场地区域的土壤环境质量进行监测。</w:t>
      </w:r>
    </w:p>
    <w:p w14:paraId="19104238">
      <w:pPr>
        <w:adjustRightInd w:val="0"/>
        <w:ind w:firstLine="480"/>
        <w:rPr>
          <w:rFonts w:cs="Times New Roman"/>
          <w:color w:val="auto"/>
          <w:highlight w:val="none"/>
        </w:rPr>
      </w:pPr>
      <w:r>
        <w:rPr>
          <w:rFonts w:cs="Times New Roman"/>
          <w:color w:val="auto"/>
          <w:highlight w:val="none"/>
        </w:rPr>
        <w:t>（1）监测点位</w:t>
      </w:r>
    </w:p>
    <w:p w14:paraId="1FC91C89">
      <w:pPr>
        <w:adjustRightInd w:val="0"/>
        <w:ind w:firstLine="480"/>
        <w:rPr>
          <w:rFonts w:cs="Times New Roman"/>
          <w:color w:val="auto"/>
          <w:highlight w:val="none"/>
        </w:rPr>
      </w:pPr>
      <w:r>
        <w:rPr>
          <w:rFonts w:cs="Times New Roman"/>
          <w:color w:val="auto"/>
          <w:highlight w:val="none"/>
        </w:rPr>
        <w:t>本项目土壤监测点位如下。</w:t>
      </w:r>
    </w:p>
    <w:p w14:paraId="01588479">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16</w:t>
      </w:r>
      <w:r>
        <w:rPr>
          <w:rFonts w:cs="Times New Roman"/>
          <w:color w:val="auto"/>
          <w:highlight w:val="none"/>
        </w:rPr>
        <w:fldChar w:fldCharType="end"/>
      </w:r>
      <w:r>
        <w:rPr>
          <w:rFonts w:cs="Times New Roman"/>
          <w:color w:val="auto"/>
          <w:highlight w:val="none"/>
        </w:rPr>
        <w:t>本项目土壤监测点位</w:t>
      </w:r>
    </w:p>
    <w:tbl>
      <w:tblPr>
        <w:tblStyle w:val="31"/>
        <w:tblW w:w="50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48"/>
        <w:gridCol w:w="1847"/>
        <w:gridCol w:w="1374"/>
        <w:gridCol w:w="1153"/>
        <w:gridCol w:w="1317"/>
        <w:gridCol w:w="2656"/>
      </w:tblGrid>
      <w:tr w14:paraId="67B7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08" w:type="pct"/>
            <w:vMerge w:val="restart"/>
            <w:vAlign w:val="center"/>
          </w:tcPr>
          <w:p w14:paraId="3BDEBB1F">
            <w:pPr>
              <w:pStyle w:val="69"/>
              <w:spacing w:before="62" w:after="62"/>
              <w:rPr>
                <w:rFonts w:cs="Times New Roman"/>
                <w:b/>
                <w:bCs w:val="0"/>
                <w:color w:val="auto"/>
                <w:highlight w:val="none"/>
              </w:rPr>
            </w:pPr>
            <w:r>
              <w:rPr>
                <w:rFonts w:cs="Times New Roman"/>
                <w:b/>
                <w:bCs w:val="0"/>
                <w:color w:val="auto"/>
                <w:highlight w:val="none"/>
              </w:rPr>
              <w:t>序号</w:t>
            </w:r>
          </w:p>
        </w:tc>
        <w:tc>
          <w:tcPr>
            <w:tcW w:w="1038" w:type="pct"/>
            <w:vMerge w:val="restart"/>
            <w:vAlign w:val="center"/>
          </w:tcPr>
          <w:p w14:paraId="6ABD71B2">
            <w:pPr>
              <w:pStyle w:val="69"/>
              <w:spacing w:before="62" w:after="62"/>
              <w:rPr>
                <w:rFonts w:cs="Times New Roman"/>
                <w:b/>
                <w:bCs w:val="0"/>
                <w:color w:val="auto"/>
                <w:highlight w:val="none"/>
              </w:rPr>
            </w:pPr>
            <w:r>
              <w:rPr>
                <w:rFonts w:cs="Times New Roman"/>
                <w:b/>
                <w:bCs w:val="0"/>
                <w:color w:val="auto"/>
                <w:highlight w:val="none"/>
              </w:rPr>
              <w:t>监测位置</w:t>
            </w:r>
          </w:p>
        </w:tc>
        <w:tc>
          <w:tcPr>
            <w:tcW w:w="1420" w:type="pct"/>
            <w:gridSpan w:val="2"/>
            <w:vMerge w:val="restart"/>
            <w:vAlign w:val="center"/>
          </w:tcPr>
          <w:p w14:paraId="00BFB261">
            <w:pPr>
              <w:pStyle w:val="69"/>
              <w:spacing w:before="62" w:after="62"/>
              <w:rPr>
                <w:rFonts w:cs="Times New Roman"/>
                <w:b/>
                <w:bCs w:val="0"/>
                <w:color w:val="auto"/>
                <w:highlight w:val="none"/>
              </w:rPr>
            </w:pPr>
            <w:r>
              <w:rPr>
                <w:rFonts w:cs="Times New Roman"/>
                <w:b/>
                <w:bCs w:val="0"/>
                <w:color w:val="auto"/>
                <w:highlight w:val="none"/>
              </w:rPr>
              <w:t>采样位置</w:t>
            </w:r>
          </w:p>
        </w:tc>
        <w:tc>
          <w:tcPr>
            <w:tcW w:w="2232" w:type="pct"/>
            <w:gridSpan w:val="2"/>
            <w:vAlign w:val="center"/>
          </w:tcPr>
          <w:p w14:paraId="552AD840">
            <w:pPr>
              <w:pStyle w:val="69"/>
              <w:spacing w:before="62" w:after="62"/>
              <w:rPr>
                <w:rFonts w:cs="Times New Roman"/>
                <w:b/>
                <w:bCs w:val="0"/>
                <w:color w:val="auto"/>
                <w:highlight w:val="none"/>
              </w:rPr>
            </w:pPr>
            <w:r>
              <w:rPr>
                <w:rFonts w:cs="Times New Roman"/>
                <w:b/>
                <w:bCs w:val="0"/>
                <w:color w:val="auto"/>
                <w:highlight w:val="none"/>
              </w:rPr>
              <w:t>监测项目</w:t>
            </w:r>
          </w:p>
        </w:tc>
      </w:tr>
      <w:tr w14:paraId="6C743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08" w:type="pct"/>
            <w:vMerge w:val="continue"/>
            <w:vAlign w:val="center"/>
          </w:tcPr>
          <w:p w14:paraId="734C041F">
            <w:pPr>
              <w:pStyle w:val="69"/>
              <w:spacing w:before="62" w:after="62"/>
              <w:rPr>
                <w:rFonts w:cs="Times New Roman"/>
                <w:b/>
                <w:bCs w:val="0"/>
                <w:color w:val="auto"/>
                <w:highlight w:val="none"/>
              </w:rPr>
            </w:pPr>
          </w:p>
        </w:tc>
        <w:tc>
          <w:tcPr>
            <w:tcW w:w="1038" w:type="pct"/>
            <w:vMerge w:val="continue"/>
            <w:vAlign w:val="center"/>
          </w:tcPr>
          <w:p w14:paraId="46470A41">
            <w:pPr>
              <w:pStyle w:val="69"/>
              <w:spacing w:before="62" w:after="62"/>
              <w:rPr>
                <w:rFonts w:cs="Times New Roman"/>
                <w:b/>
                <w:bCs w:val="0"/>
                <w:color w:val="auto"/>
                <w:highlight w:val="none"/>
              </w:rPr>
            </w:pPr>
          </w:p>
        </w:tc>
        <w:tc>
          <w:tcPr>
            <w:tcW w:w="1420" w:type="pct"/>
            <w:gridSpan w:val="2"/>
            <w:vMerge w:val="continue"/>
            <w:vAlign w:val="center"/>
          </w:tcPr>
          <w:p w14:paraId="2E613628">
            <w:pPr>
              <w:pStyle w:val="69"/>
              <w:spacing w:before="62" w:after="62"/>
              <w:rPr>
                <w:rFonts w:cs="Times New Roman"/>
                <w:b/>
                <w:bCs w:val="0"/>
                <w:color w:val="auto"/>
                <w:highlight w:val="none"/>
              </w:rPr>
            </w:pPr>
          </w:p>
        </w:tc>
        <w:tc>
          <w:tcPr>
            <w:tcW w:w="740" w:type="pct"/>
            <w:vAlign w:val="center"/>
          </w:tcPr>
          <w:p w14:paraId="62676E80">
            <w:pPr>
              <w:pStyle w:val="69"/>
              <w:spacing w:before="62" w:after="62"/>
              <w:rPr>
                <w:rFonts w:cs="Times New Roman"/>
                <w:b/>
                <w:bCs w:val="0"/>
                <w:color w:val="auto"/>
                <w:highlight w:val="none"/>
              </w:rPr>
            </w:pPr>
            <w:r>
              <w:rPr>
                <w:rFonts w:cs="Times New Roman"/>
                <w:b/>
                <w:bCs w:val="0"/>
                <w:color w:val="auto"/>
                <w:highlight w:val="none"/>
              </w:rPr>
              <w:t>基本项</w:t>
            </w:r>
          </w:p>
        </w:tc>
        <w:tc>
          <w:tcPr>
            <w:tcW w:w="1491" w:type="pct"/>
            <w:vAlign w:val="center"/>
          </w:tcPr>
          <w:p w14:paraId="350719C4">
            <w:pPr>
              <w:pStyle w:val="69"/>
              <w:spacing w:before="62" w:after="62"/>
              <w:rPr>
                <w:rFonts w:cs="Times New Roman"/>
                <w:b/>
                <w:bCs w:val="0"/>
                <w:color w:val="auto"/>
                <w:highlight w:val="none"/>
              </w:rPr>
            </w:pPr>
            <w:r>
              <w:rPr>
                <w:rFonts w:cs="Times New Roman"/>
                <w:b/>
                <w:bCs w:val="0"/>
                <w:color w:val="auto"/>
                <w:highlight w:val="none"/>
              </w:rPr>
              <w:t>特征项</w:t>
            </w:r>
          </w:p>
        </w:tc>
      </w:tr>
      <w:tr w14:paraId="407FE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Align w:val="center"/>
          </w:tcPr>
          <w:p w14:paraId="40ACDE2A">
            <w:pPr>
              <w:pStyle w:val="69"/>
              <w:spacing w:before="62" w:after="62"/>
              <w:rPr>
                <w:rFonts w:cs="Times New Roman"/>
                <w:color w:val="auto"/>
                <w:highlight w:val="none"/>
              </w:rPr>
            </w:pPr>
            <w:r>
              <w:rPr>
                <w:rFonts w:cs="Times New Roman"/>
                <w:color w:val="auto"/>
                <w:highlight w:val="none"/>
              </w:rPr>
              <w:t>S1</w:t>
            </w:r>
          </w:p>
        </w:tc>
        <w:tc>
          <w:tcPr>
            <w:tcW w:w="1038" w:type="pct"/>
            <w:vAlign w:val="center"/>
          </w:tcPr>
          <w:p w14:paraId="42D3D596">
            <w:pPr>
              <w:pStyle w:val="69"/>
              <w:spacing w:before="62" w:after="62"/>
              <w:rPr>
                <w:rFonts w:cs="Times New Roman"/>
                <w:color w:val="auto"/>
                <w:highlight w:val="none"/>
              </w:rPr>
            </w:pPr>
            <w:r>
              <w:rPr>
                <w:rFonts w:cs="Times New Roman"/>
                <w:color w:val="auto"/>
                <w:highlight w:val="none"/>
              </w:rPr>
              <w:t>拟建浓密机区域</w:t>
            </w:r>
          </w:p>
        </w:tc>
        <w:tc>
          <w:tcPr>
            <w:tcW w:w="772" w:type="pct"/>
            <w:vAlign w:val="center"/>
          </w:tcPr>
          <w:p w14:paraId="53B5BDA6">
            <w:pPr>
              <w:pStyle w:val="69"/>
              <w:spacing w:before="62" w:after="62"/>
              <w:rPr>
                <w:rFonts w:cs="Times New Roman"/>
                <w:color w:val="auto"/>
                <w:highlight w:val="none"/>
              </w:rPr>
            </w:pPr>
            <w:r>
              <w:rPr>
                <w:rFonts w:cs="Times New Roman"/>
                <w:color w:val="auto"/>
                <w:highlight w:val="none"/>
              </w:rPr>
              <w:t>表层样</w:t>
            </w:r>
          </w:p>
        </w:tc>
        <w:tc>
          <w:tcPr>
            <w:tcW w:w="648" w:type="pct"/>
            <w:vAlign w:val="center"/>
          </w:tcPr>
          <w:p w14:paraId="7E396131">
            <w:pPr>
              <w:pStyle w:val="69"/>
              <w:spacing w:before="62" w:after="62"/>
              <w:rPr>
                <w:rFonts w:cs="Times New Roman"/>
                <w:color w:val="auto"/>
                <w:highlight w:val="none"/>
              </w:rPr>
            </w:pPr>
            <w:r>
              <w:rPr>
                <w:rFonts w:cs="Times New Roman"/>
                <w:color w:val="auto"/>
                <w:highlight w:val="none"/>
              </w:rPr>
              <w:t>0.2m</w:t>
            </w:r>
          </w:p>
        </w:tc>
        <w:tc>
          <w:tcPr>
            <w:tcW w:w="740" w:type="pct"/>
            <w:vAlign w:val="center"/>
          </w:tcPr>
          <w:p w14:paraId="7A529779">
            <w:pPr>
              <w:pStyle w:val="69"/>
              <w:spacing w:before="62" w:after="62"/>
              <w:rPr>
                <w:rFonts w:cs="Times New Roman"/>
                <w:color w:val="auto"/>
                <w:highlight w:val="none"/>
              </w:rPr>
            </w:pPr>
            <w:r>
              <w:rPr>
                <w:rFonts w:cs="Times New Roman"/>
                <w:color w:val="auto"/>
                <w:highlight w:val="none"/>
              </w:rPr>
              <w:t>GB36600-2018表1的45项</w:t>
            </w:r>
          </w:p>
        </w:tc>
        <w:tc>
          <w:tcPr>
            <w:tcW w:w="1491" w:type="pct"/>
            <w:vAlign w:val="center"/>
          </w:tcPr>
          <w:p w14:paraId="4D89F4C4">
            <w:pPr>
              <w:pStyle w:val="69"/>
              <w:spacing w:before="62" w:after="62"/>
              <w:rPr>
                <w:rFonts w:cs="Times New Roman"/>
                <w:color w:val="auto"/>
                <w:highlight w:val="none"/>
              </w:rPr>
            </w:pPr>
            <w:r>
              <w:rPr>
                <w:rFonts w:cs="Times New Roman"/>
                <w:color w:val="auto"/>
                <w:highlight w:val="none"/>
              </w:rPr>
              <w:t>pH、石油烃</w:t>
            </w:r>
            <w:r>
              <w:rPr>
                <w:rFonts w:hint="eastAsia" w:cs="Times New Roman"/>
                <w:color w:val="auto"/>
                <w:highlight w:val="none"/>
              </w:rPr>
              <w:t>（C</w:t>
            </w:r>
            <w:r>
              <w:rPr>
                <w:rFonts w:hint="eastAsia" w:cs="Times New Roman"/>
                <w:color w:val="auto"/>
                <w:highlight w:val="none"/>
                <w:vertAlign w:val="subscript"/>
              </w:rPr>
              <w:t>10</w:t>
            </w:r>
            <w:r>
              <w:rPr>
                <w:rFonts w:hint="eastAsia" w:cs="Times New Roman"/>
                <w:color w:val="auto"/>
                <w:highlight w:val="none"/>
              </w:rPr>
              <w:t>-C</w:t>
            </w:r>
            <w:r>
              <w:rPr>
                <w:rFonts w:hint="eastAsia" w:cs="Times New Roman"/>
                <w:color w:val="auto"/>
                <w:highlight w:val="none"/>
                <w:vertAlign w:val="subscript"/>
              </w:rPr>
              <w:t>40</w:t>
            </w:r>
            <w:r>
              <w:rPr>
                <w:rFonts w:hint="eastAsia" w:cs="Times New Roman"/>
                <w:color w:val="auto"/>
                <w:highlight w:val="none"/>
              </w:rPr>
              <w:t>）</w:t>
            </w:r>
            <w:r>
              <w:rPr>
                <w:rFonts w:cs="Times New Roman"/>
                <w:color w:val="auto"/>
                <w:highlight w:val="none"/>
              </w:rPr>
              <w:t>、锂</w:t>
            </w:r>
          </w:p>
        </w:tc>
      </w:tr>
      <w:tr w14:paraId="3C19B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Align w:val="center"/>
          </w:tcPr>
          <w:p w14:paraId="06DF232F">
            <w:pPr>
              <w:pStyle w:val="69"/>
              <w:spacing w:before="62" w:after="62"/>
              <w:rPr>
                <w:rFonts w:cs="Times New Roman"/>
                <w:color w:val="auto"/>
                <w:highlight w:val="none"/>
              </w:rPr>
            </w:pPr>
            <w:r>
              <w:rPr>
                <w:rFonts w:cs="Times New Roman"/>
                <w:color w:val="auto"/>
                <w:highlight w:val="none"/>
              </w:rPr>
              <w:t>S2</w:t>
            </w:r>
          </w:p>
        </w:tc>
        <w:tc>
          <w:tcPr>
            <w:tcW w:w="1038" w:type="pct"/>
            <w:vAlign w:val="center"/>
          </w:tcPr>
          <w:p w14:paraId="39558895">
            <w:pPr>
              <w:pStyle w:val="69"/>
              <w:spacing w:before="62" w:after="62"/>
              <w:rPr>
                <w:rFonts w:cs="Times New Roman"/>
                <w:color w:val="auto"/>
                <w:highlight w:val="none"/>
              </w:rPr>
            </w:pPr>
            <w:r>
              <w:rPr>
                <w:rFonts w:cs="Times New Roman"/>
                <w:color w:val="auto"/>
                <w:highlight w:val="none"/>
              </w:rPr>
              <w:t>拟建浮选机区域</w:t>
            </w:r>
          </w:p>
        </w:tc>
        <w:tc>
          <w:tcPr>
            <w:tcW w:w="772" w:type="pct"/>
            <w:vAlign w:val="center"/>
          </w:tcPr>
          <w:p w14:paraId="2165930C">
            <w:pPr>
              <w:pStyle w:val="69"/>
              <w:spacing w:before="62" w:after="62"/>
              <w:rPr>
                <w:rFonts w:cs="Times New Roman"/>
                <w:color w:val="auto"/>
                <w:highlight w:val="none"/>
              </w:rPr>
            </w:pPr>
            <w:r>
              <w:rPr>
                <w:rFonts w:cs="Times New Roman"/>
                <w:color w:val="auto"/>
                <w:highlight w:val="none"/>
              </w:rPr>
              <w:t>表层样</w:t>
            </w:r>
          </w:p>
        </w:tc>
        <w:tc>
          <w:tcPr>
            <w:tcW w:w="648" w:type="pct"/>
            <w:vAlign w:val="center"/>
          </w:tcPr>
          <w:p w14:paraId="50C701CF">
            <w:pPr>
              <w:pStyle w:val="69"/>
              <w:spacing w:before="62" w:after="62"/>
              <w:rPr>
                <w:rFonts w:cs="Times New Roman"/>
                <w:color w:val="auto"/>
                <w:highlight w:val="none"/>
              </w:rPr>
            </w:pPr>
            <w:r>
              <w:rPr>
                <w:rFonts w:cs="Times New Roman"/>
                <w:color w:val="auto"/>
                <w:highlight w:val="none"/>
              </w:rPr>
              <w:t>0.2m</w:t>
            </w:r>
          </w:p>
        </w:tc>
        <w:tc>
          <w:tcPr>
            <w:tcW w:w="740" w:type="pct"/>
            <w:vAlign w:val="center"/>
          </w:tcPr>
          <w:p w14:paraId="7D9D42DA">
            <w:pPr>
              <w:pStyle w:val="69"/>
              <w:spacing w:before="62" w:after="62"/>
              <w:rPr>
                <w:rFonts w:cs="Times New Roman"/>
                <w:color w:val="auto"/>
                <w:highlight w:val="none"/>
              </w:rPr>
            </w:pPr>
            <w:r>
              <w:rPr>
                <w:rFonts w:cs="Times New Roman"/>
                <w:color w:val="auto"/>
                <w:highlight w:val="none"/>
              </w:rPr>
              <w:t>GB36600-2018表1的45项</w:t>
            </w:r>
          </w:p>
        </w:tc>
        <w:tc>
          <w:tcPr>
            <w:tcW w:w="1491" w:type="pct"/>
            <w:vAlign w:val="center"/>
          </w:tcPr>
          <w:p w14:paraId="151AB18A">
            <w:pPr>
              <w:pStyle w:val="69"/>
              <w:spacing w:before="62" w:after="62"/>
              <w:rPr>
                <w:rFonts w:cs="Times New Roman"/>
                <w:color w:val="auto"/>
                <w:highlight w:val="none"/>
              </w:rPr>
            </w:pPr>
            <w:r>
              <w:rPr>
                <w:rFonts w:cs="Times New Roman"/>
                <w:color w:val="auto"/>
                <w:highlight w:val="none"/>
              </w:rPr>
              <w:t>pH、石油烃（C</w:t>
            </w:r>
            <w:r>
              <w:rPr>
                <w:rFonts w:cs="Times New Roman"/>
                <w:color w:val="auto"/>
                <w:highlight w:val="none"/>
                <w:vertAlign w:val="subscript"/>
              </w:rPr>
              <w:t>10</w:t>
            </w:r>
            <w:r>
              <w:rPr>
                <w:rFonts w:cs="Times New Roman"/>
                <w:color w:val="auto"/>
                <w:highlight w:val="none"/>
              </w:rPr>
              <w:t>-C</w:t>
            </w:r>
            <w:r>
              <w:rPr>
                <w:rFonts w:cs="Times New Roman"/>
                <w:color w:val="auto"/>
                <w:highlight w:val="none"/>
                <w:vertAlign w:val="subscript"/>
              </w:rPr>
              <w:t>40</w:t>
            </w:r>
            <w:r>
              <w:rPr>
                <w:rFonts w:cs="Times New Roman"/>
                <w:color w:val="auto"/>
                <w:highlight w:val="none"/>
              </w:rPr>
              <w:t>）、锂</w:t>
            </w:r>
          </w:p>
        </w:tc>
      </w:tr>
      <w:tr w14:paraId="3FA9F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08" w:type="pct"/>
            <w:vAlign w:val="center"/>
          </w:tcPr>
          <w:p w14:paraId="41889A1E">
            <w:pPr>
              <w:pStyle w:val="69"/>
              <w:spacing w:before="62" w:after="62"/>
              <w:rPr>
                <w:rFonts w:cs="Times New Roman"/>
                <w:color w:val="auto"/>
                <w:highlight w:val="none"/>
              </w:rPr>
            </w:pPr>
            <w:r>
              <w:rPr>
                <w:rFonts w:cs="Times New Roman"/>
                <w:color w:val="auto"/>
                <w:highlight w:val="none"/>
              </w:rPr>
              <w:t>S3</w:t>
            </w:r>
          </w:p>
        </w:tc>
        <w:tc>
          <w:tcPr>
            <w:tcW w:w="1038" w:type="pct"/>
            <w:vAlign w:val="center"/>
          </w:tcPr>
          <w:p w14:paraId="308D5155">
            <w:pPr>
              <w:pStyle w:val="69"/>
              <w:spacing w:before="62" w:after="62"/>
              <w:rPr>
                <w:rFonts w:cs="Times New Roman"/>
                <w:color w:val="auto"/>
                <w:highlight w:val="none"/>
              </w:rPr>
            </w:pPr>
            <w:r>
              <w:rPr>
                <w:rFonts w:cs="Times New Roman"/>
                <w:color w:val="auto"/>
                <w:highlight w:val="none"/>
              </w:rPr>
              <w:t>拟建堆矿区域</w:t>
            </w:r>
          </w:p>
        </w:tc>
        <w:tc>
          <w:tcPr>
            <w:tcW w:w="772" w:type="pct"/>
            <w:vAlign w:val="center"/>
          </w:tcPr>
          <w:p w14:paraId="3875FAF4">
            <w:pPr>
              <w:pStyle w:val="69"/>
              <w:spacing w:before="62" w:after="62"/>
              <w:rPr>
                <w:rFonts w:cs="Times New Roman"/>
                <w:color w:val="auto"/>
                <w:highlight w:val="none"/>
              </w:rPr>
            </w:pPr>
            <w:r>
              <w:rPr>
                <w:rFonts w:cs="Times New Roman"/>
                <w:color w:val="auto"/>
                <w:highlight w:val="none"/>
              </w:rPr>
              <w:t>表层样</w:t>
            </w:r>
          </w:p>
        </w:tc>
        <w:tc>
          <w:tcPr>
            <w:tcW w:w="648" w:type="pct"/>
            <w:vAlign w:val="center"/>
          </w:tcPr>
          <w:p w14:paraId="21292AA6">
            <w:pPr>
              <w:pStyle w:val="69"/>
              <w:spacing w:before="62" w:after="62"/>
              <w:rPr>
                <w:rFonts w:cs="Times New Roman"/>
                <w:color w:val="auto"/>
                <w:highlight w:val="none"/>
              </w:rPr>
            </w:pPr>
            <w:r>
              <w:rPr>
                <w:rFonts w:cs="Times New Roman"/>
                <w:color w:val="auto"/>
                <w:highlight w:val="none"/>
              </w:rPr>
              <w:t>0.2m</w:t>
            </w:r>
          </w:p>
        </w:tc>
        <w:tc>
          <w:tcPr>
            <w:tcW w:w="740" w:type="pct"/>
            <w:vAlign w:val="center"/>
          </w:tcPr>
          <w:p w14:paraId="4355EB23">
            <w:pPr>
              <w:pStyle w:val="69"/>
              <w:spacing w:before="62" w:after="62"/>
              <w:rPr>
                <w:rFonts w:cs="Times New Roman"/>
                <w:color w:val="auto"/>
                <w:highlight w:val="none"/>
              </w:rPr>
            </w:pPr>
            <w:r>
              <w:rPr>
                <w:rFonts w:cs="Times New Roman"/>
                <w:color w:val="auto"/>
                <w:highlight w:val="none"/>
              </w:rPr>
              <w:t>GB36600-2018表1的45项</w:t>
            </w:r>
          </w:p>
        </w:tc>
        <w:tc>
          <w:tcPr>
            <w:tcW w:w="1491" w:type="pct"/>
            <w:vAlign w:val="center"/>
          </w:tcPr>
          <w:p w14:paraId="522A6678">
            <w:pPr>
              <w:pStyle w:val="69"/>
              <w:spacing w:before="62" w:after="62"/>
              <w:rPr>
                <w:rFonts w:cs="Times New Roman"/>
                <w:color w:val="auto"/>
                <w:highlight w:val="none"/>
              </w:rPr>
            </w:pPr>
            <w:r>
              <w:rPr>
                <w:rFonts w:cs="Times New Roman"/>
                <w:color w:val="auto"/>
                <w:highlight w:val="none"/>
              </w:rPr>
              <w:t>pH、石油烃（C</w:t>
            </w:r>
            <w:r>
              <w:rPr>
                <w:rFonts w:cs="Times New Roman"/>
                <w:color w:val="auto"/>
                <w:highlight w:val="none"/>
                <w:vertAlign w:val="subscript"/>
              </w:rPr>
              <w:t>10</w:t>
            </w:r>
            <w:r>
              <w:rPr>
                <w:rFonts w:cs="Times New Roman"/>
                <w:color w:val="auto"/>
                <w:highlight w:val="none"/>
              </w:rPr>
              <w:t>-C</w:t>
            </w:r>
            <w:r>
              <w:rPr>
                <w:rFonts w:cs="Times New Roman"/>
                <w:color w:val="auto"/>
                <w:highlight w:val="none"/>
                <w:vertAlign w:val="subscript"/>
              </w:rPr>
              <w:t>40</w:t>
            </w:r>
            <w:r>
              <w:rPr>
                <w:rFonts w:cs="Times New Roman"/>
                <w:color w:val="auto"/>
                <w:highlight w:val="none"/>
              </w:rPr>
              <w:t>）、锂</w:t>
            </w:r>
          </w:p>
        </w:tc>
      </w:tr>
    </w:tbl>
    <w:p w14:paraId="75ABF24B">
      <w:pPr>
        <w:adjustRightInd w:val="0"/>
        <w:ind w:firstLine="480"/>
        <w:rPr>
          <w:rFonts w:cs="Times New Roman"/>
          <w:color w:val="auto"/>
          <w:highlight w:val="none"/>
        </w:rPr>
      </w:pPr>
      <w:r>
        <w:rPr>
          <w:rFonts w:cs="Times New Roman"/>
          <w:color w:val="auto"/>
          <w:highlight w:val="none"/>
        </w:rPr>
        <w:t>（2）监测因子</w:t>
      </w:r>
    </w:p>
    <w:p w14:paraId="607B1324">
      <w:pPr>
        <w:adjustRightInd w:val="0"/>
        <w:ind w:firstLine="480"/>
        <w:rPr>
          <w:rFonts w:cs="Times New Roman"/>
          <w:color w:val="auto"/>
          <w:highlight w:val="none"/>
        </w:rPr>
      </w:pPr>
      <w:r>
        <w:rPr>
          <w:rFonts w:cs="Times New Roman"/>
          <w:color w:val="auto"/>
          <w:highlight w:val="none"/>
        </w:rPr>
        <w:t>本项目土壤监测因子为45项基本因子+pH、石油烃（C</w:t>
      </w:r>
      <w:r>
        <w:rPr>
          <w:rFonts w:cs="Times New Roman"/>
          <w:color w:val="auto"/>
          <w:highlight w:val="none"/>
          <w:vertAlign w:val="subscript"/>
        </w:rPr>
        <w:t>10</w:t>
      </w:r>
      <w:r>
        <w:rPr>
          <w:rFonts w:cs="Times New Roman"/>
          <w:color w:val="auto"/>
          <w:highlight w:val="none"/>
        </w:rPr>
        <w:t>-C</w:t>
      </w:r>
      <w:r>
        <w:rPr>
          <w:rFonts w:cs="Times New Roman"/>
          <w:color w:val="auto"/>
          <w:highlight w:val="none"/>
          <w:vertAlign w:val="subscript"/>
        </w:rPr>
        <w:t>40</w:t>
      </w:r>
      <w:r>
        <w:rPr>
          <w:rFonts w:cs="Times New Roman"/>
          <w:color w:val="auto"/>
          <w:highlight w:val="none"/>
        </w:rPr>
        <w:t>）、锂。</w:t>
      </w:r>
    </w:p>
    <w:p w14:paraId="6C9A3B7E">
      <w:pPr>
        <w:adjustRightInd w:val="0"/>
        <w:ind w:firstLine="482"/>
        <w:rPr>
          <w:rFonts w:cs="Times New Roman"/>
          <w:color w:val="auto"/>
          <w:highlight w:val="none"/>
        </w:rPr>
      </w:pPr>
      <w:r>
        <w:rPr>
          <w:rFonts w:cs="Times New Roman"/>
          <w:b/>
          <w:bCs/>
          <w:color w:val="auto"/>
          <w:highlight w:val="none"/>
        </w:rPr>
        <w:t>45项基本因子</w:t>
      </w:r>
      <w:r>
        <w:rPr>
          <w:rFonts w:cs="Times New Roman"/>
          <w:color w:val="auto"/>
          <w:highlight w:val="none"/>
        </w:rPr>
        <w:t>为《土壤环境质量 建设用地土壤污染风险管控标准》（GB36600—2018）中基本因子：砷、镉、铬（六价）、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 h]蒽、茚并[1,2,3-cd]芘、萘。</w:t>
      </w:r>
    </w:p>
    <w:p w14:paraId="73E954CB">
      <w:pPr>
        <w:adjustRightInd w:val="0"/>
        <w:ind w:firstLine="480"/>
        <w:rPr>
          <w:rFonts w:cs="Times New Roman"/>
          <w:color w:val="auto"/>
          <w:highlight w:val="none"/>
        </w:rPr>
      </w:pPr>
      <w:r>
        <w:rPr>
          <w:rFonts w:cs="Times New Roman"/>
          <w:color w:val="auto"/>
          <w:highlight w:val="none"/>
        </w:rPr>
        <w:t>（3）评价标准</w:t>
      </w:r>
    </w:p>
    <w:p w14:paraId="5966F20C">
      <w:pPr>
        <w:adjustRightInd w:val="0"/>
        <w:ind w:firstLine="480"/>
        <w:rPr>
          <w:rFonts w:cs="Times New Roman"/>
          <w:color w:val="auto"/>
          <w:highlight w:val="none"/>
        </w:rPr>
      </w:pPr>
      <w:r>
        <w:rPr>
          <w:rFonts w:cs="Times New Roman"/>
          <w:color w:val="auto"/>
          <w:highlight w:val="none"/>
        </w:rPr>
        <w:t>本项目占地范围内土壤执行《四川省建设用地土壤污染风险管控标准》（DB51/2978-2023），该标准未规定的项目参照执行《土壤环境质量 建设用地土壤污染风险管控标准（试行）》(GB36600-2018)第二类用地筛选值，锂无评价标准。</w:t>
      </w:r>
    </w:p>
    <w:p w14:paraId="5D608B67">
      <w:pPr>
        <w:adjustRightInd w:val="0"/>
        <w:ind w:firstLine="480"/>
        <w:rPr>
          <w:rFonts w:cs="Times New Roman"/>
          <w:color w:val="auto"/>
          <w:highlight w:val="none"/>
        </w:rPr>
      </w:pPr>
      <w:r>
        <w:rPr>
          <w:rFonts w:cs="Times New Roman"/>
          <w:color w:val="auto"/>
          <w:highlight w:val="none"/>
        </w:rPr>
        <w:t>（4）监测结果</w:t>
      </w:r>
    </w:p>
    <w:p w14:paraId="5BD0CE7A">
      <w:pPr>
        <w:adjustRightInd w:val="0"/>
        <w:ind w:firstLine="480"/>
        <w:rPr>
          <w:rFonts w:cs="Times New Roman"/>
          <w:color w:val="auto"/>
          <w:highlight w:val="none"/>
        </w:rPr>
      </w:pPr>
      <w:r>
        <w:rPr>
          <w:rFonts w:cs="Times New Roman"/>
          <w:color w:val="auto"/>
          <w:highlight w:val="none"/>
        </w:rPr>
        <w:t>本项目土壤监测结果见下表。</w:t>
      </w:r>
    </w:p>
    <w:p w14:paraId="748DF2E9">
      <w:pPr>
        <w:pStyle w:val="12"/>
        <w:adjustRightInd w:val="0"/>
        <w:rPr>
          <w:rFonts w:cs="Times New Roman"/>
          <w:color w:val="auto"/>
          <w:highlight w:val="none"/>
        </w:rPr>
      </w:pPr>
      <w:r>
        <w:rPr>
          <w:rFonts w:cs="Times New Roman"/>
          <w:color w:val="auto"/>
          <w:highlight w:val="none"/>
        </w:rPr>
        <w:t xml:space="preserve">表 </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17</w:t>
      </w:r>
      <w:r>
        <w:rPr>
          <w:rFonts w:cs="Times New Roman"/>
          <w:color w:val="auto"/>
          <w:highlight w:val="none"/>
        </w:rPr>
        <w:fldChar w:fldCharType="end"/>
      </w:r>
      <w:r>
        <w:rPr>
          <w:rFonts w:cs="Times New Roman"/>
          <w:color w:val="auto"/>
          <w:highlight w:val="none"/>
        </w:rPr>
        <w:t>本项目土壤监测结果</w:t>
      </w:r>
    </w:p>
    <w:tbl>
      <w:tblPr>
        <w:tblStyle w:val="31"/>
        <w:tblW w:w="4997" w:type="pct"/>
        <w:tblInd w:w="0" w:type="dxa"/>
        <w:tblLayout w:type="autofit"/>
        <w:tblCellMar>
          <w:top w:w="0" w:type="dxa"/>
          <w:left w:w="108" w:type="dxa"/>
          <w:bottom w:w="0" w:type="dxa"/>
          <w:right w:w="108" w:type="dxa"/>
        </w:tblCellMar>
      </w:tblPr>
      <w:tblGrid>
        <w:gridCol w:w="2166"/>
        <w:gridCol w:w="1147"/>
        <w:gridCol w:w="1147"/>
        <w:gridCol w:w="1147"/>
        <w:gridCol w:w="1153"/>
        <w:gridCol w:w="1147"/>
        <w:gridCol w:w="1148"/>
      </w:tblGrid>
      <w:tr w14:paraId="357EDD38">
        <w:tblPrEx>
          <w:tblCellMar>
            <w:top w:w="0" w:type="dxa"/>
            <w:left w:w="108" w:type="dxa"/>
            <w:bottom w:w="0" w:type="dxa"/>
            <w:right w:w="108" w:type="dxa"/>
          </w:tblCellMar>
        </w:tblPrEx>
        <w:trPr>
          <w:trHeight w:val="270" w:hRule="atLeast"/>
          <w:tblHeader/>
        </w:trPr>
        <w:tc>
          <w:tcPr>
            <w:tcW w:w="1195"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4ACD7A0">
            <w:pPr>
              <w:pStyle w:val="69"/>
              <w:spacing w:before="62" w:after="62"/>
              <w:rPr>
                <w:rFonts w:cs="Times New Roman"/>
                <w:b/>
                <w:bCs w:val="0"/>
                <w:color w:val="auto"/>
                <w:highlight w:val="none"/>
              </w:rPr>
            </w:pPr>
            <w:r>
              <w:rPr>
                <w:rFonts w:cs="Times New Roman"/>
                <w:b/>
                <w:bCs w:val="0"/>
                <w:color w:val="auto"/>
                <w:highlight w:val="none"/>
              </w:rPr>
              <w:t>检测项目</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8B5B7">
            <w:pPr>
              <w:pStyle w:val="69"/>
              <w:spacing w:before="62" w:after="62"/>
              <w:rPr>
                <w:rFonts w:cs="Times New Roman"/>
                <w:b/>
                <w:bCs w:val="0"/>
                <w:color w:val="auto"/>
                <w:highlight w:val="none"/>
              </w:rPr>
            </w:pPr>
            <w:r>
              <w:rPr>
                <w:rFonts w:cs="Times New Roman"/>
                <w:b/>
                <w:bCs w:val="0"/>
                <w:color w:val="auto"/>
                <w:highlight w:val="none"/>
              </w:rPr>
              <w:t>单位</w:t>
            </w:r>
          </w:p>
        </w:tc>
        <w:tc>
          <w:tcPr>
            <w:tcW w:w="190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C02E36">
            <w:pPr>
              <w:pStyle w:val="69"/>
              <w:spacing w:before="62" w:after="62"/>
              <w:rPr>
                <w:rFonts w:cs="Times New Roman"/>
                <w:b/>
                <w:bCs w:val="0"/>
                <w:color w:val="auto"/>
                <w:highlight w:val="none"/>
              </w:rPr>
            </w:pPr>
            <w:r>
              <w:rPr>
                <w:rFonts w:cs="Times New Roman"/>
                <w:b/>
                <w:bCs w:val="0"/>
                <w:color w:val="auto"/>
                <w:highlight w:val="none"/>
              </w:rPr>
              <w:t>检测结果</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B9837F">
            <w:pPr>
              <w:pStyle w:val="69"/>
              <w:spacing w:before="62" w:after="62"/>
              <w:rPr>
                <w:rFonts w:cs="Times New Roman"/>
                <w:b/>
                <w:bCs w:val="0"/>
                <w:color w:val="auto"/>
                <w:highlight w:val="none"/>
              </w:rPr>
            </w:pPr>
            <w:r>
              <w:rPr>
                <w:rFonts w:cs="Times New Roman"/>
                <w:b/>
                <w:bCs w:val="0"/>
                <w:color w:val="auto"/>
                <w:highlight w:val="none"/>
              </w:rPr>
              <w:t>评价标准</w:t>
            </w:r>
          </w:p>
        </w:tc>
        <w:tc>
          <w:tcPr>
            <w:tcW w:w="633"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64340">
            <w:pPr>
              <w:pStyle w:val="69"/>
              <w:spacing w:before="62" w:after="62"/>
              <w:rPr>
                <w:rFonts w:cs="Times New Roman"/>
                <w:b/>
                <w:bCs w:val="0"/>
                <w:color w:val="auto"/>
                <w:highlight w:val="none"/>
              </w:rPr>
            </w:pPr>
            <w:r>
              <w:rPr>
                <w:rFonts w:cs="Times New Roman"/>
                <w:b/>
                <w:bCs w:val="0"/>
                <w:color w:val="auto"/>
                <w:highlight w:val="none"/>
              </w:rPr>
              <w:t>评价结果</w:t>
            </w:r>
          </w:p>
        </w:tc>
      </w:tr>
      <w:tr w14:paraId="3AEE25E1">
        <w:tblPrEx>
          <w:tblCellMar>
            <w:top w:w="0" w:type="dxa"/>
            <w:left w:w="108" w:type="dxa"/>
            <w:bottom w:w="0" w:type="dxa"/>
            <w:right w:w="108" w:type="dxa"/>
          </w:tblCellMar>
        </w:tblPrEx>
        <w:trPr>
          <w:trHeight w:val="270" w:hRule="atLeast"/>
          <w:tblHeader/>
        </w:trPr>
        <w:tc>
          <w:tcPr>
            <w:tcW w:w="1195"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EF9878E">
            <w:pPr>
              <w:pStyle w:val="69"/>
              <w:spacing w:before="62" w:after="62"/>
              <w:rPr>
                <w:rFonts w:cs="Times New Roman"/>
                <w:color w:val="auto"/>
                <w:highlight w:val="none"/>
              </w:rPr>
            </w:pP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D2471A">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E753C">
            <w:pPr>
              <w:pStyle w:val="69"/>
              <w:spacing w:before="62" w:after="62"/>
              <w:rPr>
                <w:rFonts w:cs="Times New Roman"/>
                <w:b/>
                <w:bCs w:val="0"/>
                <w:color w:val="auto"/>
                <w:highlight w:val="none"/>
              </w:rPr>
            </w:pPr>
            <w:r>
              <w:rPr>
                <w:rFonts w:cs="Times New Roman"/>
                <w:b/>
                <w:bCs w:val="0"/>
                <w:color w:val="auto"/>
                <w:highlight w:val="none"/>
              </w:rPr>
              <w:t>S1</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42888">
            <w:pPr>
              <w:pStyle w:val="69"/>
              <w:spacing w:before="62" w:after="62"/>
              <w:rPr>
                <w:rFonts w:cs="Times New Roman"/>
                <w:b/>
                <w:bCs w:val="0"/>
                <w:color w:val="auto"/>
                <w:highlight w:val="none"/>
              </w:rPr>
            </w:pPr>
            <w:r>
              <w:rPr>
                <w:rFonts w:cs="Times New Roman"/>
                <w:b/>
                <w:bCs w:val="0"/>
                <w:color w:val="auto"/>
                <w:highlight w:val="none"/>
              </w:rPr>
              <w:t>S2</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F3C9EB">
            <w:pPr>
              <w:pStyle w:val="69"/>
              <w:spacing w:before="62" w:after="62"/>
              <w:rPr>
                <w:rFonts w:cs="Times New Roman"/>
                <w:b/>
                <w:bCs w:val="0"/>
                <w:color w:val="auto"/>
                <w:highlight w:val="none"/>
              </w:rPr>
            </w:pPr>
            <w:r>
              <w:rPr>
                <w:rFonts w:cs="Times New Roman"/>
                <w:b/>
                <w:bCs w:val="0"/>
                <w:color w:val="auto"/>
                <w:highlight w:val="none"/>
              </w:rPr>
              <w:t>S3</w:t>
            </w: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5EE0C">
            <w:pPr>
              <w:pStyle w:val="69"/>
              <w:spacing w:before="62" w:after="62"/>
              <w:rPr>
                <w:rFonts w:cs="Times New Roman"/>
                <w:color w:val="auto"/>
                <w:highlight w:val="none"/>
              </w:rPr>
            </w:pPr>
          </w:p>
        </w:tc>
        <w:tc>
          <w:tcPr>
            <w:tcW w:w="633"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A2C9C">
            <w:pPr>
              <w:pStyle w:val="69"/>
              <w:spacing w:before="62" w:after="62"/>
              <w:rPr>
                <w:rFonts w:cs="Times New Roman"/>
                <w:color w:val="auto"/>
                <w:highlight w:val="none"/>
              </w:rPr>
            </w:pPr>
          </w:p>
        </w:tc>
      </w:tr>
      <w:tr w14:paraId="2BD54DD8">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FEDF8">
            <w:pPr>
              <w:pStyle w:val="69"/>
              <w:spacing w:before="62" w:after="62"/>
              <w:rPr>
                <w:rFonts w:cs="Times New Roman"/>
                <w:color w:val="auto"/>
                <w:highlight w:val="none"/>
              </w:rPr>
            </w:pPr>
            <w:r>
              <w:rPr>
                <w:rFonts w:cs="Times New Roman"/>
                <w:color w:val="auto"/>
                <w:highlight w:val="none"/>
              </w:rPr>
              <w:t>pH</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C93D01">
            <w:pPr>
              <w:pStyle w:val="69"/>
              <w:spacing w:before="62" w:after="62"/>
              <w:rPr>
                <w:rFonts w:cs="Times New Roman"/>
                <w:color w:val="auto"/>
                <w:highlight w:val="none"/>
              </w:rPr>
            </w:pPr>
            <w:r>
              <w:rPr>
                <w:rFonts w:cs="Times New Roman"/>
                <w:color w:val="auto"/>
                <w:highlight w:val="none"/>
              </w:rPr>
              <w:t>无量纲</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61725">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22C0BB">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89B0D">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7128BF">
            <w:pPr>
              <w:pStyle w:val="69"/>
              <w:spacing w:before="62" w:after="62"/>
              <w:rPr>
                <w:rFonts w:cs="Times New Roman"/>
                <w:color w:val="auto"/>
                <w:highlight w:val="none"/>
              </w:rPr>
            </w:pPr>
            <w:r>
              <w:rPr>
                <w:rFonts w:cs="Times New Roman"/>
                <w:color w:val="auto"/>
                <w:highlight w:val="none"/>
              </w:rPr>
              <w:t>/</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351E39">
            <w:pPr>
              <w:pStyle w:val="69"/>
              <w:spacing w:before="62" w:after="62"/>
              <w:rPr>
                <w:rFonts w:cs="Times New Roman"/>
                <w:color w:val="auto"/>
                <w:highlight w:val="none"/>
              </w:rPr>
            </w:pPr>
            <w:r>
              <w:rPr>
                <w:rFonts w:cs="Times New Roman"/>
                <w:color w:val="auto"/>
                <w:highlight w:val="none"/>
              </w:rPr>
              <w:t>/</w:t>
            </w:r>
          </w:p>
        </w:tc>
      </w:tr>
      <w:tr w14:paraId="04B84594">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1828D8">
            <w:pPr>
              <w:pStyle w:val="69"/>
              <w:spacing w:before="62" w:after="62"/>
              <w:rPr>
                <w:rFonts w:cs="Times New Roman"/>
                <w:color w:val="auto"/>
                <w:highlight w:val="none"/>
              </w:rPr>
            </w:pPr>
            <w:r>
              <w:rPr>
                <w:rFonts w:cs="Times New Roman"/>
                <w:color w:val="auto"/>
                <w:highlight w:val="none"/>
              </w:rPr>
              <w:t>石油烃（C</w:t>
            </w:r>
            <w:r>
              <w:rPr>
                <w:rFonts w:cs="Times New Roman"/>
                <w:color w:val="auto"/>
                <w:highlight w:val="none"/>
                <w:vertAlign w:val="subscript"/>
              </w:rPr>
              <w:t>10</w:t>
            </w:r>
            <w:r>
              <w:rPr>
                <w:rFonts w:cs="Times New Roman"/>
                <w:color w:val="auto"/>
                <w:highlight w:val="none"/>
              </w:rPr>
              <w:t>-C</w:t>
            </w:r>
            <w:r>
              <w:rPr>
                <w:rFonts w:cs="Times New Roman"/>
                <w:color w:val="auto"/>
                <w:highlight w:val="none"/>
                <w:vertAlign w:val="subscript"/>
              </w:rPr>
              <w:t>40</w:t>
            </w:r>
            <w:r>
              <w:rPr>
                <w:rFonts w:cs="Times New Roman"/>
                <w:color w:val="auto"/>
                <w:highlight w:val="none"/>
              </w:rPr>
              <w:t>）</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3A3FD">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16D941">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9833C">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4C487F">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8616B7">
            <w:pPr>
              <w:pStyle w:val="69"/>
              <w:spacing w:before="62" w:after="62"/>
              <w:rPr>
                <w:rFonts w:cs="Times New Roman"/>
                <w:color w:val="auto"/>
                <w:highlight w:val="none"/>
              </w:rPr>
            </w:pPr>
            <w:r>
              <w:rPr>
                <w:rFonts w:cs="Times New Roman"/>
                <w:color w:val="auto"/>
                <w:highlight w:val="none"/>
              </w:rPr>
              <w:t>4500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23781">
            <w:pPr>
              <w:pStyle w:val="69"/>
              <w:spacing w:before="62" w:after="62"/>
              <w:rPr>
                <w:rFonts w:cs="Times New Roman"/>
                <w:color w:val="auto"/>
                <w:highlight w:val="none"/>
              </w:rPr>
            </w:pPr>
            <w:r>
              <w:rPr>
                <w:rFonts w:cs="Times New Roman"/>
                <w:color w:val="auto"/>
                <w:highlight w:val="none"/>
              </w:rPr>
              <w:t>达标</w:t>
            </w:r>
          </w:p>
        </w:tc>
      </w:tr>
      <w:tr w14:paraId="7B9ECB6B">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1FFF4">
            <w:pPr>
              <w:pStyle w:val="69"/>
              <w:spacing w:before="62" w:after="62"/>
              <w:rPr>
                <w:rFonts w:cs="Times New Roman"/>
                <w:color w:val="auto"/>
                <w:highlight w:val="none"/>
              </w:rPr>
            </w:pPr>
            <w:r>
              <w:rPr>
                <w:rFonts w:cs="Times New Roman"/>
                <w:color w:val="auto"/>
                <w:highlight w:val="none"/>
              </w:rPr>
              <w:t>铜</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D50E87">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B378B">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EBBEB">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6BF9D8">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C9448">
            <w:pPr>
              <w:pStyle w:val="69"/>
              <w:spacing w:before="62" w:after="62"/>
              <w:rPr>
                <w:rFonts w:cs="Times New Roman"/>
                <w:color w:val="auto"/>
                <w:highlight w:val="none"/>
              </w:rPr>
            </w:pPr>
            <w:r>
              <w:rPr>
                <w:rFonts w:cs="Times New Roman"/>
                <w:color w:val="auto"/>
                <w:highlight w:val="none"/>
              </w:rPr>
              <w:t>18000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16C91">
            <w:pPr>
              <w:pStyle w:val="69"/>
              <w:spacing w:before="62" w:after="62"/>
              <w:rPr>
                <w:rFonts w:cs="Times New Roman"/>
                <w:color w:val="auto"/>
                <w:highlight w:val="none"/>
              </w:rPr>
            </w:pPr>
            <w:r>
              <w:rPr>
                <w:rFonts w:cs="Times New Roman"/>
                <w:color w:val="auto"/>
                <w:highlight w:val="none"/>
              </w:rPr>
              <w:t>达标</w:t>
            </w:r>
          </w:p>
        </w:tc>
      </w:tr>
      <w:tr w14:paraId="23760CAB">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EB26C">
            <w:pPr>
              <w:pStyle w:val="69"/>
              <w:spacing w:before="62" w:after="62"/>
              <w:rPr>
                <w:rFonts w:cs="Times New Roman"/>
                <w:color w:val="auto"/>
                <w:highlight w:val="none"/>
              </w:rPr>
            </w:pPr>
            <w:r>
              <w:rPr>
                <w:rFonts w:cs="Times New Roman"/>
                <w:color w:val="auto"/>
                <w:highlight w:val="none"/>
              </w:rPr>
              <w:t>镍</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F981A">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BAE021">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354528">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AD596">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D0D554">
            <w:pPr>
              <w:pStyle w:val="69"/>
              <w:spacing w:before="62" w:after="62"/>
              <w:rPr>
                <w:rFonts w:cs="Times New Roman"/>
                <w:color w:val="auto"/>
                <w:highlight w:val="none"/>
              </w:rPr>
            </w:pPr>
            <w:r>
              <w:rPr>
                <w:rFonts w:cs="Times New Roman"/>
                <w:color w:val="auto"/>
                <w:highlight w:val="none"/>
              </w:rPr>
              <w:t>900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94B87A">
            <w:pPr>
              <w:pStyle w:val="69"/>
              <w:spacing w:before="62" w:after="62"/>
              <w:rPr>
                <w:rFonts w:cs="Times New Roman"/>
                <w:color w:val="auto"/>
                <w:highlight w:val="none"/>
              </w:rPr>
            </w:pPr>
            <w:r>
              <w:rPr>
                <w:rFonts w:cs="Times New Roman"/>
                <w:color w:val="auto"/>
                <w:highlight w:val="none"/>
              </w:rPr>
              <w:t>达标</w:t>
            </w:r>
          </w:p>
        </w:tc>
      </w:tr>
      <w:tr w14:paraId="2D60FEC2">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0C8A0">
            <w:pPr>
              <w:pStyle w:val="69"/>
              <w:spacing w:before="62" w:after="62"/>
              <w:rPr>
                <w:rFonts w:cs="Times New Roman"/>
                <w:color w:val="auto"/>
                <w:highlight w:val="none"/>
              </w:rPr>
            </w:pPr>
            <w:r>
              <w:rPr>
                <w:rFonts w:cs="Times New Roman"/>
                <w:color w:val="auto"/>
                <w:highlight w:val="none"/>
              </w:rPr>
              <w:t>锂</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AD6710">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7887C">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1BEC51">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5AF3A">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008B5">
            <w:pPr>
              <w:pStyle w:val="69"/>
              <w:spacing w:before="62" w:after="62"/>
              <w:rPr>
                <w:rFonts w:cs="Times New Roman"/>
                <w:color w:val="auto"/>
                <w:highlight w:val="none"/>
              </w:rPr>
            </w:pPr>
            <w:r>
              <w:rPr>
                <w:rFonts w:cs="Times New Roman"/>
                <w:color w:val="auto"/>
                <w:highlight w:val="none"/>
              </w:rPr>
              <w:t>/</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3AC9EB">
            <w:pPr>
              <w:pStyle w:val="69"/>
              <w:spacing w:before="62" w:after="62"/>
              <w:rPr>
                <w:rFonts w:cs="Times New Roman"/>
                <w:color w:val="auto"/>
                <w:highlight w:val="none"/>
              </w:rPr>
            </w:pPr>
            <w:r>
              <w:rPr>
                <w:rFonts w:cs="Times New Roman"/>
                <w:color w:val="auto"/>
                <w:highlight w:val="none"/>
              </w:rPr>
              <w:t>/</w:t>
            </w:r>
          </w:p>
        </w:tc>
      </w:tr>
      <w:tr w14:paraId="62AC0CE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A2FC4">
            <w:pPr>
              <w:pStyle w:val="69"/>
              <w:spacing w:before="62" w:after="62"/>
              <w:rPr>
                <w:rFonts w:cs="Times New Roman"/>
                <w:color w:val="auto"/>
                <w:highlight w:val="none"/>
              </w:rPr>
            </w:pPr>
            <w:r>
              <w:rPr>
                <w:rFonts w:cs="Times New Roman"/>
                <w:color w:val="auto"/>
                <w:highlight w:val="none"/>
              </w:rPr>
              <w:t>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7637E">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A0CB30">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FD85E">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C3F26">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4F8D12">
            <w:pPr>
              <w:pStyle w:val="69"/>
              <w:spacing w:before="62" w:after="62"/>
              <w:rPr>
                <w:rFonts w:cs="Times New Roman"/>
                <w:color w:val="auto"/>
                <w:highlight w:val="none"/>
              </w:rPr>
            </w:pPr>
            <w:r>
              <w:rPr>
                <w:rFonts w:cs="Times New Roman"/>
                <w:color w:val="auto"/>
                <w:highlight w:val="none"/>
              </w:rPr>
              <w:t>60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E38D30">
            <w:pPr>
              <w:pStyle w:val="69"/>
              <w:spacing w:before="62" w:after="62"/>
              <w:rPr>
                <w:rFonts w:cs="Times New Roman"/>
                <w:color w:val="auto"/>
                <w:highlight w:val="none"/>
              </w:rPr>
            </w:pPr>
            <w:r>
              <w:rPr>
                <w:rFonts w:cs="Times New Roman"/>
                <w:color w:val="auto"/>
                <w:highlight w:val="none"/>
              </w:rPr>
              <w:t>达标</w:t>
            </w:r>
          </w:p>
        </w:tc>
      </w:tr>
      <w:tr w14:paraId="5326913A">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77F769">
            <w:pPr>
              <w:pStyle w:val="69"/>
              <w:spacing w:before="62" w:after="62"/>
              <w:rPr>
                <w:rFonts w:cs="Times New Roman"/>
                <w:color w:val="auto"/>
                <w:highlight w:val="none"/>
              </w:rPr>
            </w:pPr>
            <w:r>
              <w:rPr>
                <w:rFonts w:cs="Times New Roman"/>
                <w:color w:val="auto"/>
                <w:highlight w:val="none"/>
              </w:rPr>
              <w:t>镉</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B7193">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10D1D">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00DCFD">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2AAC61">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3D03D">
            <w:pPr>
              <w:pStyle w:val="69"/>
              <w:spacing w:before="62" w:after="62"/>
              <w:rPr>
                <w:rFonts w:cs="Times New Roman"/>
                <w:color w:val="auto"/>
                <w:highlight w:val="none"/>
              </w:rPr>
            </w:pPr>
            <w:r>
              <w:rPr>
                <w:rFonts w:cs="Times New Roman"/>
                <w:color w:val="auto"/>
                <w:highlight w:val="none"/>
              </w:rPr>
              <w:t>65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8AD8C">
            <w:pPr>
              <w:pStyle w:val="69"/>
              <w:spacing w:before="62" w:after="62"/>
              <w:rPr>
                <w:rFonts w:cs="Times New Roman"/>
                <w:color w:val="auto"/>
                <w:highlight w:val="none"/>
              </w:rPr>
            </w:pPr>
            <w:r>
              <w:rPr>
                <w:rFonts w:cs="Times New Roman"/>
                <w:color w:val="auto"/>
                <w:highlight w:val="none"/>
              </w:rPr>
              <w:t>达标</w:t>
            </w:r>
          </w:p>
        </w:tc>
      </w:tr>
      <w:tr w14:paraId="4242EED3">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9E2ED9">
            <w:pPr>
              <w:pStyle w:val="69"/>
              <w:spacing w:before="62" w:after="62"/>
              <w:rPr>
                <w:rFonts w:cs="Times New Roman"/>
                <w:color w:val="auto"/>
                <w:highlight w:val="none"/>
              </w:rPr>
            </w:pPr>
            <w:r>
              <w:rPr>
                <w:rFonts w:cs="Times New Roman"/>
                <w:color w:val="auto"/>
                <w:highlight w:val="none"/>
              </w:rPr>
              <w:t>六价铬</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7E6F8">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46B0B">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B729F">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98E746">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ED3408">
            <w:pPr>
              <w:pStyle w:val="69"/>
              <w:spacing w:before="62" w:after="62"/>
              <w:rPr>
                <w:rFonts w:cs="Times New Roman"/>
                <w:color w:val="auto"/>
                <w:highlight w:val="none"/>
              </w:rPr>
            </w:pPr>
            <w:r>
              <w:rPr>
                <w:rFonts w:cs="Times New Roman"/>
                <w:color w:val="auto"/>
                <w:highlight w:val="none"/>
              </w:rPr>
              <w:t>5.7</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1FB50">
            <w:pPr>
              <w:pStyle w:val="69"/>
              <w:spacing w:before="62" w:after="62"/>
              <w:rPr>
                <w:rFonts w:cs="Times New Roman"/>
                <w:color w:val="auto"/>
                <w:highlight w:val="none"/>
              </w:rPr>
            </w:pPr>
            <w:r>
              <w:rPr>
                <w:rFonts w:cs="Times New Roman"/>
                <w:color w:val="auto"/>
                <w:highlight w:val="none"/>
              </w:rPr>
              <w:t>达标</w:t>
            </w:r>
          </w:p>
        </w:tc>
      </w:tr>
      <w:tr w14:paraId="5DB9C8D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0E86D">
            <w:pPr>
              <w:pStyle w:val="69"/>
              <w:spacing w:before="62" w:after="62"/>
              <w:rPr>
                <w:rFonts w:cs="Times New Roman"/>
                <w:color w:val="auto"/>
                <w:highlight w:val="none"/>
              </w:rPr>
            </w:pPr>
            <w:r>
              <w:rPr>
                <w:rFonts w:cs="Times New Roman"/>
                <w:color w:val="auto"/>
                <w:highlight w:val="none"/>
              </w:rPr>
              <w:t>铅</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7153EC">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D52A9">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8F3A4">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B790AC">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61C3C">
            <w:pPr>
              <w:pStyle w:val="69"/>
              <w:spacing w:before="62" w:after="62"/>
              <w:rPr>
                <w:rFonts w:cs="Times New Roman"/>
                <w:color w:val="auto"/>
                <w:highlight w:val="none"/>
              </w:rPr>
            </w:pPr>
            <w:r>
              <w:rPr>
                <w:rFonts w:cs="Times New Roman"/>
                <w:color w:val="auto"/>
                <w:highlight w:val="none"/>
              </w:rPr>
              <w:t>800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5E61E">
            <w:pPr>
              <w:pStyle w:val="69"/>
              <w:spacing w:before="62" w:after="62"/>
              <w:rPr>
                <w:rFonts w:cs="Times New Roman"/>
                <w:color w:val="auto"/>
                <w:highlight w:val="none"/>
              </w:rPr>
            </w:pPr>
            <w:r>
              <w:rPr>
                <w:rFonts w:cs="Times New Roman"/>
                <w:color w:val="auto"/>
                <w:highlight w:val="none"/>
              </w:rPr>
              <w:t>达标</w:t>
            </w:r>
          </w:p>
        </w:tc>
      </w:tr>
      <w:tr w14:paraId="5C8F2FF4">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AC5EF">
            <w:pPr>
              <w:pStyle w:val="69"/>
              <w:spacing w:before="62" w:after="62"/>
              <w:rPr>
                <w:rFonts w:cs="Times New Roman"/>
                <w:color w:val="auto"/>
                <w:highlight w:val="none"/>
              </w:rPr>
            </w:pPr>
            <w:r>
              <w:rPr>
                <w:rFonts w:cs="Times New Roman"/>
                <w:color w:val="auto"/>
                <w:highlight w:val="none"/>
              </w:rPr>
              <w:t>汞</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5E5">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86463">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600DC6">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D164F">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DA314">
            <w:pPr>
              <w:pStyle w:val="69"/>
              <w:spacing w:before="62" w:after="62"/>
              <w:rPr>
                <w:rFonts w:cs="Times New Roman"/>
                <w:color w:val="auto"/>
                <w:highlight w:val="none"/>
              </w:rPr>
            </w:pPr>
            <w:r>
              <w:rPr>
                <w:rFonts w:cs="Times New Roman"/>
                <w:color w:val="auto"/>
                <w:highlight w:val="none"/>
              </w:rPr>
              <w:t>38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75E998">
            <w:pPr>
              <w:pStyle w:val="69"/>
              <w:spacing w:before="62" w:after="62"/>
              <w:rPr>
                <w:rFonts w:cs="Times New Roman"/>
                <w:color w:val="auto"/>
                <w:highlight w:val="none"/>
              </w:rPr>
            </w:pPr>
            <w:r>
              <w:rPr>
                <w:rFonts w:cs="Times New Roman"/>
                <w:color w:val="auto"/>
                <w:highlight w:val="none"/>
              </w:rPr>
              <w:t>达标</w:t>
            </w:r>
          </w:p>
        </w:tc>
      </w:tr>
      <w:tr w14:paraId="31393350">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F8545">
            <w:pPr>
              <w:pStyle w:val="69"/>
              <w:spacing w:before="62" w:after="62"/>
              <w:rPr>
                <w:rFonts w:cs="Times New Roman"/>
                <w:color w:val="auto"/>
                <w:highlight w:val="none"/>
              </w:rPr>
            </w:pPr>
            <w:r>
              <w:rPr>
                <w:rFonts w:cs="Times New Roman"/>
                <w:color w:val="auto"/>
                <w:highlight w:val="none"/>
              </w:rPr>
              <w:t>硝基苯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89BE8">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21E63A">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A1BD4">
            <w:pPr>
              <w:pStyle w:val="69"/>
              <w:spacing w:before="62" w:after="62"/>
              <w:rPr>
                <w:rFonts w:cs="Times New Roman"/>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5A8F46">
            <w:pPr>
              <w:pStyle w:val="69"/>
              <w:spacing w:before="62" w:after="62"/>
              <w:rPr>
                <w:rFonts w:cs="Times New Roman"/>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37428E">
            <w:pPr>
              <w:pStyle w:val="69"/>
              <w:spacing w:before="62" w:after="62"/>
              <w:rPr>
                <w:rFonts w:cs="Times New Roman"/>
                <w:color w:val="auto"/>
                <w:highlight w:val="none"/>
              </w:rPr>
            </w:pPr>
            <w:r>
              <w:rPr>
                <w:rFonts w:cs="Times New Roman"/>
                <w:color w:val="auto"/>
                <w:highlight w:val="none"/>
              </w:rPr>
              <w:t>76</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0F810">
            <w:pPr>
              <w:pStyle w:val="69"/>
              <w:spacing w:before="62" w:after="62"/>
              <w:rPr>
                <w:rFonts w:cs="Times New Roman"/>
                <w:color w:val="auto"/>
                <w:highlight w:val="none"/>
              </w:rPr>
            </w:pPr>
            <w:r>
              <w:rPr>
                <w:rFonts w:cs="Times New Roman"/>
                <w:color w:val="auto"/>
                <w:highlight w:val="none"/>
              </w:rPr>
              <w:t>达标</w:t>
            </w:r>
          </w:p>
        </w:tc>
      </w:tr>
      <w:tr w14:paraId="55B810E9">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2520F">
            <w:pPr>
              <w:pStyle w:val="69"/>
              <w:spacing w:before="62" w:after="62"/>
              <w:rPr>
                <w:rFonts w:cs="Times New Roman"/>
                <w:color w:val="auto"/>
                <w:highlight w:val="none"/>
              </w:rPr>
            </w:pPr>
            <w:r>
              <w:rPr>
                <w:rFonts w:cs="Times New Roman"/>
                <w:color w:val="auto"/>
                <w:highlight w:val="none"/>
              </w:rPr>
              <w:t>2-氯苯酚</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30D07">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77785">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10913">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5FD2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CFC63">
            <w:pPr>
              <w:pStyle w:val="69"/>
              <w:spacing w:before="62" w:after="62"/>
              <w:rPr>
                <w:rFonts w:cs="Times New Roman"/>
                <w:color w:val="auto"/>
                <w:highlight w:val="none"/>
              </w:rPr>
            </w:pPr>
            <w:r>
              <w:rPr>
                <w:rFonts w:cs="Times New Roman"/>
                <w:color w:val="auto"/>
                <w:highlight w:val="none"/>
              </w:rPr>
              <w:t>2256</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B1F2E">
            <w:pPr>
              <w:pStyle w:val="69"/>
              <w:spacing w:before="62" w:after="62"/>
              <w:rPr>
                <w:rFonts w:cs="Times New Roman"/>
                <w:color w:val="auto"/>
                <w:highlight w:val="none"/>
              </w:rPr>
            </w:pPr>
            <w:r>
              <w:rPr>
                <w:rFonts w:cs="Times New Roman"/>
                <w:color w:val="auto"/>
                <w:highlight w:val="none"/>
              </w:rPr>
              <w:t>达标</w:t>
            </w:r>
          </w:p>
        </w:tc>
      </w:tr>
      <w:tr w14:paraId="13DA13E5">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DA0DA">
            <w:pPr>
              <w:pStyle w:val="69"/>
              <w:spacing w:before="62" w:after="62"/>
              <w:rPr>
                <w:rFonts w:cs="Times New Roman"/>
                <w:color w:val="auto"/>
                <w:highlight w:val="none"/>
              </w:rPr>
            </w:pPr>
            <w:r>
              <w:rPr>
                <w:rFonts w:cs="Times New Roman"/>
                <w:color w:val="auto"/>
                <w:highlight w:val="none"/>
              </w:rPr>
              <w:t>苯并[a]蒽</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C07562">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3EE32">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5B37B">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B33BD2">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0A9B5E">
            <w:pPr>
              <w:pStyle w:val="69"/>
              <w:spacing w:before="62" w:after="62"/>
              <w:rPr>
                <w:rFonts w:cs="Times New Roman"/>
                <w:color w:val="auto"/>
                <w:highlight w:val="none"/>
              </w:rPr>
            </w:pPr>
            <w:r>
              <w:rPr>
                <w:rFonts w:cs="Times New Roman"/>
                <w:color w:val="auto"/>
                <w:highlight w:val="none"/>
              </w:rPr>
              <w:t>15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721D7">
            <w:pPr>
              <w:pStyle w:val="69"/>
              <w:spacing w:before="62" w:after="62"/>
              <w:rPr>
                <w:rFonts w:cs="Times New Roman"/>
                <w:color w:val="auto"/>
                <w:highlight w:val="none"/>
              </w:rPr>
            </w:pPr>
            <w:r>
              <w:rPr>
                <w:rFonts w:cs="Times New Roman"/>
                <w:color w:val="auto"/>
                <w:highlight w:val="none"/>
              </w:rPr>
              <w:t>达标</w:t>
            </w:r>
          </w:p>
        </w:tc>
      </w:tr>
      <w:tr w14:paraId="2EDF994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9E30D">
            <w:pPr>
              <w:pStyle w:val="69"/>
              <w:spacing w:before="62" w:after="62"/>
              <w:rPr>
                <w:rFonts w:cs="Times New Roman"/>
                <w:color w:val="auto"/>
                <w:highlight w:val="none"/>
              </w:rPr>
            </w:pPr>
            <w:r>
              <w:rPr>
                <w:rFonts w:cs="Times New Roman"/>
                <w:color w:val="auto"/>
                <w:highlight w:val="none"/>
              </w:rPr>
              <w:t>苯并[a]芘</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C83FAB">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3F43B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5669F">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0EC2D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6A813">
            <w:pPr>
              <w:pStyle w:val="69"/>
              <w:spacing w:before="62" w:after="62"/>
              <w:rPr>
                <w:rFonts w:cs="Times New Roman"/>
                <w:color w:val="auto"/>
                <w:highlight w:val="none"/>
              </w:rPr>
            </w:pPr>
            <w:r>
              <w:rPr>
                <w:rFonts w:cs="Times New Roman"/>
                <w:color w:val="auto"/>
                <w:highlight w:val="none"/>
              </w:rPr>
              <w:t>1.5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7AAA2E">
            <w:pPr>
              <w:pStyle w:val="69"/>
              <w:spacing w:before="62" w:after="62"/>
              <w:rPr>
                <w:rFonts w:cs="Times New Roman"/>
                <w:color w:val="auto"/>
                <w:highlight w:val="none"/>
              </w:rPr>
            </w:pPr>
            <w:r>
              <w:rPr>
                <w:rFonts w:cs="Times New Roman"/>
                <w:color w:val="auto"/>
                <w:highlight w:val="none"/>
              </w:rPr>
              <w:t>达标</w:t>
            </w:r>
          </w:p>
        </w:tc>
      </w:tr>
      <w:tr w14:paraId="12A550E9">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080837">
            <w:pPr>
              <w:pStyle w:val="69"/>
              <w:spacing w:before="62" w:after="62"/>
              <w:rPr>
                <w:rFonts w:cs="Times New Roman"/>
                <w:color w:val="auto"/>
                <w:highlight w:val="none"/>
              </w:rPr>
            </w:pPr>
            <w:r>
              <w:rPr>
                <w:rFonts w:cs="Times New Roman"/>
                <w:color w:val="auto"/>
                <w:highlight w:val="none"/>
              </w:rPr>
              <w:t>苯并[b]荧蒽</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0147F">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F4945">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A9CBA">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B8268">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A6ACEC">
            <w:pPr>
              <w:pStyle w:val="69"/>
              <w:spacing w:before="62" w:after="62"/>
              <w:rPr>
                <w:rFonts w:cs="Times New Roman"/>
                <w:color w:val="auto"/>
                <w:highlight w:val="none"/>
              </w:rPr>
            </w:pPr>
            <w:r>
              <w:rPr>
                <w:rFonts w:cs="Times New Roman"/>
                <w:color w:val="auto"/>
                <w:highlight w:val="none"/>
              </w:rPr>
              <w:t>15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484BE">
            <w:pPr>
              <w:pStyle w:val="69"/>
              <w:spacing w:before="62" w:after="62"/>
              <w:rPr>
                <w:rFonts w:cs="Times New Roman"/>
                <w:color w:val="auto"/>
                <w:highlight w:val="none"/>
              </w:rPr>
            </w:pPr>
            <w:r>
              <w:rPr>
                <w:rFonts w:cs="Times New Roman"/>
                <w:color w:val="auto"/>
                <w:highlight w:val="none"/>
              </w:rPr>
              <w:t>达标</w:t>
            </w:r>
          </w:p>
        </w:tc>
      </w:tr>
      <w:tr w14:paraId="5D78B2C4">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DA3A1">
            <w:pPr>
              <w:pStyle w:val="69"/>
              <w:spacing w:before="62" w:after="62"/>
              <w:rPr>
                <w:rFonts w:cs="Times New Roman"/>
                <w:color w:val="auto"/>
                <w:highlight w:val="none"/>
              </w:rPr>
            </w:pPr>
            <w:r>
              <w:rPr>
                <w:rFonts w:cs="Times New Roman"/>
                <w:color w:val="auto"/>
                <w:highlight w:val="none"/>
              </w:rPr>
              <w:t>苯并[k]荧蒽</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1B3F09">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E3DA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A0BDA2">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7DAF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95F19">
            <w:pPr>
              <w:pStyle w:val="69"/>
              <w:spacing w:before="62" w:after="62"/>
              <w:rPr>
                <w:rFonts w:cs="Times New Roman"/>
                <w:color w:val="auto"/>
                <w:highlight w:val="none"/>
              </w:rPr>
            </w:pPr>
            <w:r>
              <w:rPr>
                <w:rFonts w:cs="Times New Roman"/>
                <w:color w:val="auto"/>
                <w:highlight w:val="none"/>
              </w:rPr>
              <w:t>151</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222AB">
            <w:pPr>
              <w:pStyle w:val="69"/>
              <w:spacing w:before="62" w:after="62"/>
              <w:rPr>
                <w:rFonts w:cs="Times New Roman"/>
                <w:color w:val="auto"/>
                <w:highlight w:val="none"/>
              </w:rPr>
            </w:pPr>
            <w:r>
              <w:rPr>
                <w:rFonts w:cs="Times New Roman"/>
                <w:color w:val="auto"/>
                <w:highlight w:val="none"/>
              </w:rPr>
              <w:t>达标</w:t>
            </w:r>
          </w:p>
        </w:tc>
      </w:tr>
      <w:tr w14:paraId="0C707F83">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6EEF54">
            <w:pPr>
              <w:pStyle w:val="69"/>
              <w:spacing w:before="62" w:after="62"/>
              <w:rPr>
                <w:rFonts w:cs="Times New Roman"/>
                <w:color w:val="auto"/>
                <w:highlight w:val="none"/>
              </w:rPr>
            </w:pPr>
            <w:r>
              <w:rPr>
                <w:rFonts w:cs="Times New Roman"/>
                <w:color w:val="auto"/>
                <w:highlight w:val="none"/>
              </w:rPr>
              <w:t>䓛</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E05976">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D4C5BB">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263D0">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ABE3FA">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5B740">
            <w:pPr>
              <w:pStyle w:val="69"/>
              <w:spacing w:before="62" w:after="62"/>
              <w:rPr>
                <w:rFonts w:cs="Times New Roman"/>
                <w:color w:val="auto"/>
                <w:highlight w:val="none"/>
              </w:rPr>
            </w:pPr>
            <w:r>
              <w:rPr>
                <w:rFonts w:cs="Times New Roman"/>
                <w:color w:val="auto"/>
                <w:highlight w:val="none"/>
              </w:rPr>
              <w:t>1293</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63EC63">
            <w:pPr>
              <w:pStyle w:val="69"/>
              <w:spacing w:before="62" w:after="62"/>
              <w:rPr>
                <w:rFonts w:cs="Times New Roman"/>
                <w:color w:val="auto"/>
                <w:highlight w:val="none"/>
              </w:rPr>
            </w:pPr>
            <w:r>
              <w:rPr>
                <w:rFonts w:cs="Times New Roman"/>
                <w:color w:val="auto"/>
                <w:highlight w:val="none"/>
              </w:rPr>
              <w:t>达标</w:t>
            </w:r>
          </w:p>
        </w:tc>
      </w:tr>
      <w:tr w14:paraId="0FC275D0">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D88D7F">
            <w:pPr>
              <w:pStyle w:val="69"/>
              <w:spacing w:before="62" w:after="62"/>
              <w:rPr>
                <w:rFonts w:cs="Times New Roman"/>
                <w:color w:val="auto"/>
                <w:highlight w:val="none"/>
              </w:rPr>
            </w:pPr>
            <w:r>
              <w:rPr>
                <w:rFonts w:cs="Times New Roman"/>
                <w:color w:val="auto"/>
                <w:highlight w:val="none"/>
              </w:rPr>
              <w:t>二苯并[a, h]蒽</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910DC">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8ABF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7975ED">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ADC71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C57FC">
            <w:pPr>
              <w:pStyle w:val="69"/>
              <w:spacing w:before="62" w:after="62"/>
              <w:rPr>
                <w:rFonts w:cs="Times New Roman"/>
                <w:color w:val="auto"/>
                <w:highlight w:val="none"/>
              </w:rPr>
            </w:pPr>
            <w:r>
              <w:rPr>
                <w:rFonts w:cs="Times New Roman"/>
                <w:color w:val="auto"/>
                <w:highlight w:val="none"/>
              </w:rPr>
              <w:t>1.5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83E15">
            <w:pPr>
              <w:pStyle w:val="69"/>
              <w:spacing w:before="62" w:after="62"/>
              <w:rPr>
                <w:rFonts w:cs="Times New Roman"/>
                <w:color w:val="auto"/>
                <w:highlight w:val="none"/>
              </w:rPr>
            </w:pPr>
            <w:r>
              <w:rPr>
                <w:rFonts w:cs="Times New Roman"/>
                <w:color w:val="auto"/>
                <w:highlight w:val="none"/>
              </w:rPr>
              <w:t>达标</w:t>
            </w:r>
          </w:p>
        </w:tc>
      </w:tr>
      <w:tr w14:paraId="02DE592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E594C">
            <w:pPr>
              <w:pStyle w:val="69"/>
              <w:spacing w:before="62" w:after="62"/>
              <w:rPr>
                <w:rFonts w:cs="Times New Roman"/>
                <w:color w:val="auto"/>
                <w:highlight w:val="none"/>
              </w:rPr>
            </w:pPr>
            <w:r>
              <w:rPr>
                <w:rFonts w:cs="Times New Roman"/>
                <w:color w:val="auto"/>
                <w:highlight w:val="none"/>
              </w:rPr>
              <w:t>茚并[1,2,3-cd]芘</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247CF2">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DA1C92">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86B98D">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905A7">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AB0AF">
            <w:pPr>
              <w:pStyle w:val="69"/>
              <w:spacing w:before="62" w:after="62"/>
              <w:rPr>
                <w:rFonts w:cs="Times New Roman"/>
                <w:color w:val="auto"/>
                <w:highlight w:val="none"/>
              </w:rPr>
            </w:pPr>
            <w:r>
              <w:rPr>
                <w:rFonts w:cs="Times New Roman"/>
                <w:color w:val="auto"/>
                <w:highlight w:val="none"/>
              </w:rPr>
              <w:t>15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48FB52">
            <w:pPr>
              <w:pStyle w:val="69"/>
              <w:spacing w:before="62" w:after="62"/>
              <w:rPr>
                <w:rFonts w:cs="Times New Roman"/>
                <w:color w:val="auto"/>
                <w:highlight w:val="none"/>
              </w:rPr>
            </w:pPr>
            <w:r>
              <w:rPr>
                <w:rFonts w:cs="Times New Roman"/>
                <w:color w:val="auto"/>
                <w:highlight w:val="none"/>
              </w:rPr>
              <w:t>达标</w:t>
            </w:r>
          </w:p>
        </w:tc>
      </w:tr>
      <w:tr w14:paraId="0E906B0A">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0ED0E9">
            <w:pPr>
              <w:pStyle w:val="69"/>
              <w:spacing w:before="62" w:after="62"/>
              <w:rPr>
                <w:rFonts w:cs="Times New Roman"/>
                <w:color w:val="auto"/>
                <w:highlight w:val="none"/>
              </w:rPr>
            </w:pPr>
            <w:r>
              <w:rPr>
                <w:rFonts w:cs="Times New Roman"/>
                <w:color w:val="auto"/>
                <w:highlight w:val="none"/>
              </w:rPr>
              <w:t>萘</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7146C5">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B4F96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D034B0">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822918">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6F3995">
            <w:pPr>
              <w:pStyle w:val="69"/>
              <w:spacing w:before="62" w:after="62"/>
              <w:rPr>
                <w:rFonts w:cs="Times New Roman"/>
                <w:color w:val="auto"/>
                <w:highlight w:val="none"/>
              </w:rPr>
            </w:pPr>
            <w:r>
              <w:rPr>
                <w:rFonts w:cs="Times New Roman"/>
                <w:color w:val="auto"/>
                <w:highlight w:val="none"/>
              </w:rPr>
              <w:t>70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010E5A">
            <w:pPr>
              <w:pStyle w:val="69"/>
              <w:spacing w:before="62" w:after="62"/>
              <w:rPr>
                <w:rFonts w:cs="Times New Roman"/>
                <w:color w:val="auto"/>
                <w:highlight w:val="none"/>
              </w:rPr>
            </w:pPr>
            <w:r>
              <w:rPr>
                <w:rFonts w:cs="Times New Roman"/>
                <w:color w:val="auto"/>
                <w:highlight w:val="none"/>
              </w:rPr>
              <w:t>达标</w:t>
            </w:r>
          </w:p>
        </w:tc>
      </w:tr>
      <w:tr w14:paraId="5DD1AAA0">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71807">
            <w:pPr>
              <w:pStyle w:val="69"/>
              <w:spacing w:before="62" w:after="62"/>
              <w:rPr>
                <w:rFonts w:cs="Times New Roman"/>
                <w:color w:val="auto"/>
                <w:highlight w:val="none"/>
              </w:rPr>
            </w:pPr>
            <w:r>
              <w:rPr>
                <w:rFonts w:cs="Times New Roman"/>
                <w:color w:val="auto"/>
                <w:highlight w:val="none"/>
              </w:rPr>
              <w:t>四氯化碳</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1A3A0">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BF1E39">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7362A">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5D1B5">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AEE89">
            <w:pPr>
              <w:pStyle w:val="69"/>
              <w:spacing w:before="62" w:after="62"/>
              <w:rPr>
                <w:rFonts w:cs="Times New Roman"/>
                <w:color w:val="auto"/>
                <w:highlight w:val="none"/>
              </w:rPr>
            </w:pPr>
            <w:r>
              <w:rPr>
                <w:rFonts w:cs="Times New Roman"/>
                <w:color w:val="auto"/>
                <w:highlight w:val="none"/>
              </w:rPr>
              <w:t>2.8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DD92E">
            <w:pPr>
              <w:pStyle w:val="69"/>
              <w:spacing w:before="62" w:after="62"/>
              <w:rPr>
                <w:rFonts w:cs="Times New Roman"/>
                <w:color w:val="auto"/>
                <w:highlight w:val="none"/>
              </w:rPr>
            </w:pPr>
            <w:r>
              <w:rPr>
                <w:rFonts w:cs="Times New Roman"/>
                <w:color w:val="auto"/>
                <w:highlight w:val="none"/>
              </w:rPr>
              <w:t>达标</w:t>
            </w:r>
          </w:p>
        </w:tc>
      </w:tr>
      <w:tr w14:paraId="2B7718CC">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8BB223">
            <w:pPr>
              <w:pStyle w:val="69"/>
              <w:spacing w:before="62" w:after="62"/>
              <w:rPr>
                <w:rFonts w:cs="Times New Roman"/>
                <w:color w:val="auto"/>
                <w:highlight w:val="none"/>
              </w:rPr>
            </w:pPr>
            <w:r>
              <w:rPr>
                <w:rFonts w:cs="Times New Roman"/>
                <w:color w:val="auto"/>
                <w:highlight w:val="none"/>
              </w:rPr>
              <w:t>氯仿</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3DC5C7">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92DB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AEDA9">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C7117">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CB7391">
            <w:pPr>
              <w:pStyle w:val="69"/>
              <w:spacing w:before="62" w:after="62"/>
              <w:rPr>
                <w:rFonts w:cs="Times New Roman"/>
                <w:color w:val="auto"/>
                <w:highlight w:val="none"/>
              </w:rPr>
            </w:pPr>
            <w:r>
              <w:rPr>
                <w:rFonts w:cs="Times New Roman"/>
                <w:color w:val="auto"/>
                <w:highlight w:val="none"/>
              </w:rPr>
              <w:t>0.9</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D7750">
            <w:pPr>
              <w:pStyle w:val="69"/>
              <w:spacing w:before="62" w:after="62"/>
              <w:rPr>
                <w:rFonts w:cs="Times New Roman"/>
                <w:color w:val="auto"/>
                <w:highlight w:val="none"/>
              </w:rPr>
            </w:pPr>
            <w:r>
              <w:rPr>
                <w:rFonts w:cs="Times New Roman"/>
                <w:color w:val="auto"/>
                <w:highlight w:val="none"/>
              </w:rPr>
              <w:t>达标</w:t>
            </w:r>
          </w:p>
        </w:tc>
      </w:tr>
      <w:tr w14:paraId="3205D44E">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F10B2">
            <w:pPr>
              <w:pStyle w:val="69"/>
              <w:spacing w:before="62" w:after="62"/>
              <w:rPr>
                <w:rFonts w:cs="Times New Roman"/>
                <w:color w:val="auto"/>
                <w:highlight w:val="none"/>
              </w:rPr>
            </w:pPr>
            <w:r>
              <w:rPr>
                <w:rFonts w:cs="Times New Roman"/>
                <w:color w:val="auto"/>
                <w:highlight w:val="none"/>
              </w:rPr>
              <w:t>氯甲烷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30342F">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EDFC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B433C">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F375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7A65E3">
            <w:pPr>
              <w:pStyle w:val="69"/>
              <w:spacing w:before="62" w:after="62"/>
              <w:rPr>
                <w:rFonts w:cs="Times New Roman"/>
                <w:color w:val="auto"/>
                <w:highlight w:val="none"/>
              </w:rPr>
            </w:pPr>
            <w:r>
              <w:rPr>
                <w:rFonts w:cs="Times New Roman"/>
                <w:color w:val="auto"/>
                <w:highlight w:val="none"/>
              </w:rPr>
              <w:t>37</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A37D2D">
            <w:pPr>
              <w:pStyle w:val="69"/>
              <w:spacing w:before="62" w:after="62"/>
              <w:rPr>
                <w:rFonts w:cs="Times New Roman"/>
                <w:color w:val="auto"/>
                <w:highlight w:val="none"/>
              </w:rPr>
            </w:pPr>
            <w:r>
              <w:rPr>
                <w:rFonts w:cs="Times New Roman"/>
                <w:color w:val="auto"/>
                <w:highlight w:val="none"/>
              </w:rPr>
              <w:t>达标</w:t>
            </w:r>
          </w:p>
        </w:tc>
      </w:tr>
      <w:tr w14:paraId="2D2452B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AE8D94">
            <w:pPr>
              <w:pStyle w:val="69"/>
              <w:spacing w:before="62" w:after="62"/>
              <w:rPr>
                <w:rFonts w:cs="Times New Roman"/>
                <w:color w:val="auto"/>
                <w:highlight w:val="none"/>
              </w:rPr>
            </w:pPr>
            <w:r>
              <w:rPr>
                <w:rFonts w:cs="Times New Roman"/>
                <w:color w:val="auto"/>
                <w:highlight w:val="none"/>
              </w:rPr>
              <w:t>1,1-二氯乙烷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A270E">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9181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5DA8DC">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23C17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C2896A">
            <w:pPr>
              <w:pStyle w:val="69"/>
              <w:spacing w:before="62" w:after="62"/>
              <w:rPr>
                <w:rFonts w:cs="Times New Roman"/>
                <w:color w:val="auto"/>
                <w:highlight w:val="none"/>
              </w:rPr>
            </w:pPr>
            <w:r>
              <w:rPr>
                <w:rFonts w:cs="Times New Roman"/>
                <w:color w:val="auto"/>
                <w:highlight w:val="none"/>
              </w:rPr>
              <w:t>9</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1E7967">
            <w:pPr>
              <w:pStyle w:val="69"/>
              <w:spacing w:before="62" w:after="62"/>
              <w:rPr>
                <w:rFonts w:cs="Times New Roman"/>
                <w:color w:val="auto"/>
                <w:highlight w:val="none"/>
              </w:rPr>
            </w:pPr>
            <w:r>
              <w:rPr>
                <w:rFonts w:cs="Times New Roman"/>
                <w:color w:val="auto"/>
                <w:highlight w:val="none"/>
              </w:rPr>
              <w:t>达标</w:t>
            </w:r>
          </w:p>
        </w:tc>
      </w:tr>
      <w:tr w14:paraId="0460AABE">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85F857">
            <w:pPr>
              <w:pStyle w:val="69"/>
              <w:spacing w:before="62" w:after="62"/>
              <w:rPr>
                <w:rFonts w:cs="Times New Roman"/>
                <w:color w:val="auto"/>
                <w:highlight w:val="none"/>
              </w:rPr>
            </w:pPr>
            <w:r>
              <w:rPr>
                <w:rFonts w:cs="Times New Roman"/>
                <w:color w:val="auto"/>
                <w:highlight w:val="none"/>
              </w:rPr>
              <w:t>1,2-二氯乙烷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9514D8">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4D8A3E">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D5C51">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8B6991">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DA6DC">
            <w:pPr>
              <w:pStyle w:val="69"/>
              <w:spacing w:before="62" w:after="62"/>
              <w:rPr>
                <w:rFonts w:cs="Times New Roman"/>
                <w:color w:val="auto"/>
                <w:highlight w:val="none"/>
              </w:rPr>
            </w:pPr>
            <w:r>
              <w:rPr>
                <w:rFonts w:cs="Times New Roman"/>
                <w:color w:val="auto"/>
                <w:highlight w:val="none"/>
              </w:rPr>
              <w:t>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70ED3">
            <w:pPr>
              <w:pStyle w:val="69"/>
              <w:spacing w:before="62" w:after="62"/>
              <w:rPr>
                <w:rFonts w:cs="Times New Roman"/>
                <w:color w:val="auto"/>
                <w:highlight w:val="none"/>
              </w:rPr>
            </w:pPr>
            <w:r>
              <w:rPr>
                <w:rFonts w:cs="Times New Roman"/>
                <w:color w:val="auto"/>
                <w:highlight w:val="none"/>
              </w:rPr>
              <w:t>达标</w:t>
            </w:r>
          </w:p>
        </w:tc>
      </w:tr>
      <w:tr w14:paraId="539B1B72">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82F8B1">
            <w:pPr>
              <w:pStyle w:val="69"/>
              <w:spacing w:before="62" w:after="62"/>
              <w:rPr>
                <w:rFonts w:cs="Times New Roman"/>
                <w:color w:val="auto"/>
                <w:highlight w:val="none"/>
              </w:rPr>
            </w:pPr>
            <w:r>
              <w:rPr>
                <w:rFonts w:cs="Times New Roman"/>
                <w:color w:val="auto"/>
                <w:highlight w:val="none"/>
              </w:rPr>
              <w:t>1,1-二氯乙烯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B6496">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E9082">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1A7FAE">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0EF62">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C4CC8">
            <w:pPr>
              <w:pStyle w:val="69"/>
              <w:spacing w:before="62" w:after="62"/>
              <w:rPr>
                <w:rFonts w:cs="Times New Roman"/>
                <w:color w:val="auto"/>
                <w:highlight w:val="none"/>
              </w:rPr>
            </w:pPr>
            <w:r>
              <w:rPr>
                <w:rFonts w:cs="Times New Roman"/>
                <w:color w:val="auto"/>
                <w:highlight w:val="none"/>
              </w:rPr>
              <w:t>66</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A67C0">
            <w:pPr>
              <w:pStyle w:val="69"/>
              <w:spacing w:before="62" w:after="62"/>
              <w:rPr>
                <w:rFonts w:cs="Times New Roman"/>
                <w:color w:val="auto"/>
                <w:highlight w:val="none"/>
              </w:rPr>
            </w:pPr>
            <w:r>
              <w:rPr>
                <w:rFonts w:cs="Times New Roman"/>
                <w:color w:val="auto"/>
                <w:highlight w:val="none"/>
              </w:rPr>
              <w:t>达标</w:t>
            </w:r>
          </w:p>
        </w:tc>
      </w:tr>
      <w:tr w14:paraId="2AC1855C">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8D76F">
            <w:pPr>
              <w:pStyle w:val="69"/>
              <w:spacing w:before="62" w:after="62"/>
              <w:rPr>
                <w:rFonts w:cs="Times New Roman"/>
                <w:color w:val="auto"/>
                <w:highlight w:val="none"/>
              </w:rPr>
            </w:pPr>
            <w:r>
              <w:rPr>
                <w:rFonts w:cs="Times New Roman"/>
                <w:color w:val="auto"/>
                <w:highlight w:val="none"/>
              </w:rPr>
              <w:t>顺-1,2-二氯乙烯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ED69D5">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1E62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80A76">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E640F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6ED04">
            <w:pPr>
              <w:pStyle w:val="69"/>
              <w:spacing w:before="62" w:after="62"/>
              <w:rPr>
                <w:rFonts w:cs="Times New Roman"/>
                <w:color w:val="auto"/>
                <w:highlight w:val="none"/>
              </w:rPr>
            </w:pPr>
            <w:r>
              <w:rPr>
                <w:rFonts w:cs="Times New Roman"/>
                <w:color w:val="auto"/>
                <w:highlight w:val="none"/>
              </w:rPr>
              <w:t>596</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F8F83">
            <w:pPr>
              <w:pStyle w:val="69"/>
              <w:spacing w:before="62" w:after="62"/>
              <w:rPr>
                <w:rFonts w:cs="Times New Roman"/>
                <w:color w:val="auto"/>
                <w:highlight w:val="none"/>
              </w:rPr>
            </w:pPr>
            <w:r>
              <w:rPr>
                <w:rFonts w:cs="Times New Roman"/>
                <w:color w:val="auto"/>
                <w:highlight w:val="none"/>
              </w:rPr>
              <w:t>达标</w:t>
            </w:r>
          </w:p>
        </w:tc>
      </w:tr>
      <w:tr w14:paraId="273662BD">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25DC22">
            <w:pPr>
              <w:pStyle w:val="69"/>
              <w:spacing w:before="62" w:after="62"/>
              <w:rPr>
                <w:rFonts w:cs="Times New Roman"/>
                <w:color w:val="auto"/>
                <w:highlight w:val="none"/>
              </w:rPr>
            </w:pPr>
            <w:r>
              <w:rPr>
                <w:rFonts w:cs="Times New Roman"/>
                <w:color w:val="auto"/>
                <w:highlight w:val="none"/>
              </w:rPr>
              <w:t>反-1,2-二氯乙烯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AE9A8">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29BA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FB779F">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8C995">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CA2328">
            <w:pPr>
              <w:pStyle w:val="69"/>
              <w:spacing w:before="62" w:after="62"/>
              <w:rPr>
                <w:rFonts w:cs="Times New Roman"/>
                <w:color w:val="auto"/>
                <w:highlight w:val="none"/>
              </w:rPr>
            </w:pPr>
            <w:r>
              <w:rPr>
                <w:rFonts w:cs="Times New Roman"/>
                <w:color w:val="auto"/>
                <w:highlight w:val="none"/>
              </w:rPr>
              <w:t>54</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3A10E">
            <w:pPr>
              <w:pStyle w:val="69"/>
              <w:spacing w:before="62" w:after="62"/>
              <w:rPr>
                <w:rFonts w:cs="Times New Roman"/>
                <w:color w:val="auto"/>
                <w:highlight w:val="none"/>
              </w:rPr>
            </w:pPr>
            <w:r>
              <w:rPr>
                <w:rFonts w:cs="Times New Roman"/>
                <w:color w:val="auto"/>
                <w:highlight w:val="none"/>
              </w:rPr>
              <w:t>达标</w:t>
            </w:r>
          </w:p>
        </w:tc>
      </w:tr>
      <w:tr w14:paraId="2AA466F7">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6BF87">
            <w:pPr>
              <w:pStyle w:val="69"/>
              <w:spacing w:before="62" w:after="62"/>
              <w:rPr>
                <w:rFonts w:cs="Times New Roman"/>
                <w:color w:val="auto"/>
                <w:highlight w:val="none"/>
              </w:rPr>
            </w:pPr>
            <w:r>
              <w:rPr>
                <w:rFonts w:cs="Times New Roman"/>
                <w:color w:val="auto"/>
                <w:highlight w:val="none"/>
              </w:rPr>
              <w:t>二氯甲烷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E9A34">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8E6F9E">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CD91E">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209C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DBB69">
            <w:pPr>
              <w:pStyle w:val="69"/>
              <w:spacing w:before="62" w:after="62"/>
              <w:rPr>
                <w:rFonts w:cs="Times New Roman"/>
                <w:color w:val="auto"/>
                <w:highlight w:val="none"/>
              </w:rPr>
            </w:pPr>
            <w:r>
              <w:rPr>
                <w:rFonts w:cs="Times New Roman"/>
                <w:color w:val="auto"/>
                <w:highlight w:val="none"/>
              </w:rPr>
              <w:t>616</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B73C0">
            <w:pPr>
              <w:pStyle w:val="69"/>
              <w:spacing w:before="62" w:after="62"/>
              <w:rPr>
                <w:rFonts w:cs="Times New Roman"/>
                <w:color w:val="auto"/>
                <w:highlight w:val="none"/>
              </w:rPr>
            </w:pPr>
            <w:r>
              <w:rPr>
                <w:rFonts w:cs="Times New Roman"/>
                <w:color w:val="auto"/>
                <w:highlight w:val="none"/>
              </w:rPr>
              <w:t>达标</w:t>
            </w:r>
          </w:p>
        </w:tc>
      </w:tr>
      <w:tr w14:paraId="07EDB56E">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EDFE3">
            <w:pPr>
              <w:pStyle w:val="69"/>
              <w:spacing w:before="62" w:after="62"/>
              <w:rPr>
                <w:rFonts w:cs="Times New Roman"/>
                <w:color w:val="auto"/>
                <w:highlight w:val="none"/>
              </w:rPr>
            </w:pPr>
            <w:r>
              <w:rPr>
                <w:rFonts w:cs="Times New Roman"/>
                <w:color w:val="auto"/>
                <w:highlight w:val="none"/>
              </w:rPr>
              <w:t>1,2-二氯丙烷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AFA5E2">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7BC590">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71374">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9249C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25C5F0">
            <w:pPr>
              <w:pStyle w:val="69"/>
              <w:spacing w:before="62" w:after="62"/>
              <w:rPr>
                <w:rFonts w:cs="Times New Roman"/>
                <w:color w:val="auto"/>
                <w:highlight w:val="none"/>
              </w:rPr>
            </w:pPr>
            <w:r>
              <w:rPr>
                <w:rFonts w:cs="Times New Roman"/>
                <w:color w:val="auto"/>
                <w:highlight w:val="none"/>
              </w:rPr>
              <w:t>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7762E">
            <w:pPr>
              <w:pStyle w:val="69"/>
              <w:spacing w:before="62" w:after="62"/>
              <w:rPr>
                <w:rFonts w:cs="Times New Roman"/>
                <w:color w:val="auto"/>
                <w:highlight w:val="none"/>
              </w:rPr>
            </w:pPr>
            <w:r>
              <w:rPr>
                <w:rFonts w:cs="Times New Roman"/>
                <w:color w:val="auto"/>
                <w:highlight w:val="none"/>
              </w:rPr>
              <w:t>达标</w:t>
            </w:r>
          </w:p>
        </w:tc>
      </w:tr>
      <w:tr w14:paraId="7F1035FA">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55F3F5">
            <w:pPr>
              <w:pStyle w:val="69"/>
              <w:spacing w:before="62" w:after="62"/>
              <w:rPr>
                <w:rFonts w:cs="Times New Roman"/>
                <w:color w:val="auto"/>
                <w:highlight w:val="none"/>
              </w:rPr>
            </w:pPr>
            <w:r>
              <w:rPr>
                <w:rFonts w:cs="Times New Roman"/>
                <w:color w:val="auto"/>
                <w:highlight w:val="none"/>
              </w:rPr>
              <w:t>1,1,1,2-四氯乙烷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CE449">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E75A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52751">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C2347A">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4154B">
            <w:pPr>
              <w:pStyle w:val="69"/>
              <w:spacing w:before="62" w:after="62"/>
              <w:rPr>
                <w:rFonts w:cs="Times New Roman"/>
                <w:color w:val="auto"/>
                <w:highlight w:val="none"/>
              </w:rPr>
            </w:pPr>
            <w:r>
              <w:rPr>
                <w:rFonts w:cs="Times New Roman"/>
                <w:color w:val="auto"/>
                <w:highlight w:val="none"/>
              </w:rPr>
              <w:t>10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91CA72">
            <w:pPr>
              <w:pStyle w:val="69"/>
              <w:spacing w:before="62" w:after="62"/>
              <w:rPr>
                <w:rFonts w:cs="Times New Roman"/>
                <w:color w:val="auto"/>
                <w:highlight w:val="none"/>
              </w:rPr>
            </w:pPr>
            <w:r>
              <w:rPr>
                <w:rFonts w:cs="Times New Roman"/>
                <w:color w:val="auto"/>
                <w:highlight w:val="none"/>
              </w:rPr>
              <w:t>达标</w:t>
            </w:r>
          </w:p>
        </w:tc>
      </w:tr>
      <w:tr w14:paraId="0C887835">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3AB5C">
            <w:pPr>
              <w:pStyle w:val="69"/>
              <w:spacing w:before="62" w:after="62"/>
              <w:rPr>
                <w:rFonts w:cs="Times New Roman"/>
                <w:color w:val="auto"/>
                <w:highlight w:val="none"/>
              </w:rPr>
            </w:pPr>
            <w:r>
              <w:rPr>
                <w:rFonts w:cs="Times New Roman"/>
                <w:color w:val="auto"/>
                <w:highlight w:val="none"/>
              </w:rPr>
              <w:t>1,1,2,2-四氯乙烷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1C5DC">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104FC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D2653B">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268A4">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F53E1B">
            <w:pPr>
              <w:pStyle w:val="69"/>
              <w:spacing w:before="62" w:after="62"/>
              <w:rPr>
                <w:rFonts w:cs="Times New Roman"/>
                <w:color w:val="auto"/>
                <w:highlight w:val="none"/>
              </w:rPr>
            </w:pPr>
            <w:r>
              <w:rPr>
                <w:rFonts w:cs="Times New Roman"/>
                <w:color w:val="auto"/>
                <w:highlight w:val="none"/>
              </w:rPr>
              <w:t>6.8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C8C8B">
            <w:pPr>
              <w:pStyle w:val="69"/>
              <w:spacing w:before="62" w:after="62"/>
              <w:rPr>
                <w:rFonts w:cs="Times New Roman"/>
                <w:color w:val="auto"/>
                <w:highlight w:val="none"/>
              </w:rPr>
            </w:pPr>
            <w:r>
              <w:rPr>
                <w:rFonts w:cs="Times New Roman"/>
                <w:color w:val="auto"/>
                <w:highlight w:val="none"/>
              </w:rPr>
              <w:t>达标</w:t>
            </w:r>
          </w:p>
        </w:tc>
      </w:tr>
      <w:tr w14:paraId="7EB7196F">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783635">
            <w:pPr>
              <w:pStyle w:val="69"/>
              <w:spacing w:before="62" w:after="62"/>
              <w:rPr>
                <w:rFonts w:cs="Times New Roman"/>
                <w:color w:val="auto"/>
                <w:highlight w:val="none"/>
              </w:rPr>
            </w:pPr>
            <w:r>
              <w:rPr>
                <w:rFonts w:cs="Times New Roman"/>
                <w:color w:val="auto"/>
                <w:highlight w:val="none"/>
              </w:rPr>
              <w:t>四氯乙烯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C48EDC">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A94E3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2A419D">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3EF44">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9EC543">
            <w:pPr>
              <w:pStyle w:val="69"/>
              <w:spacing w:before="62" w:after="62"/>
              <w:rPr>
                <w:rFonts w:cs="Times New Roman"/>
                <w:color w:val="auto"/>
                <w:highlight w:val="none"/>
              </w:rPr>
            </w:pPr>
            <w:r>
              <w:rPr>
                <w:rFonts w:cs="Times New Roman"/>
                <w:color w:val="auto"/>
                <w:highlight w:val="none"/>
              </w:rPr>
              <w:t>53</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29913">
            <w:pPr>
              <w:pStyle w:val="69"/>
              <w:spacing w:before="62" w:after="62"/>
              <w:rPr>
                <w:rFonts w:cs="Times New Roman"/>
                <w:color w:val="auto"/>
                <w:highlight w:val="none"/>
              </w:rPr>
            </w:pPr>
            <w:r>
              <w:rPr>
                <w:rFonts w:cs="Times New Roman"/>
                <w:color w:val="auto"/>
                <w:highlight w:val="none"/>
              </w:rPr>
              <w:t>达标</w:t>
            </w:r>
          </w:p>
        </w:tc>
      </w:tr>
      <w:tr w14:paraId="53B61096">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57A59F">
            <w:pPr>
              <w:pStyle w:val="69"/>
              <w:spacing w:before="62" w:after="62"/>
              <w:rPr>
                <w:rFonts w:cs="Times New Roman"/>
                <w:color w:val="auto"/>
                <w:highlight w:val="none"/>
              </w:rPr>
            </w:pPr>
            <w:r>
              <w:rPr>
                <w:rFonts w:cs="Times New Roman"/>
                <w:color w:val="auto"/>
                <w:highlight w:val="none"/>
              </w:rPr>
              <w:t>1,1,1-三氯乙烷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99490">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451CF3">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45871">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71A96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7E04FA">
            <w:pPr>
              <w:pStyle w:val="69"/>
              <w:spacing w:before="62" w:after="62"/>
              <w:rPr>
                <w:rFonts w:cs="Times New Roman"/>
                <w:color w:val="auto"/>
                <w:highlight w:val="none"/>
              </w:rPr>
            </w:pPr>
            <w:r>
              <w:rPr>
                <w:rFonts w:cs="Times New Roman"/>
                <w:color w:val="auto"/>
                <w:highlight w:val="none"/>
              </w:rPr>
              <w:t>840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1DC1E">
            <w:pPr>
              <w:pStyle w:val="69"/>
              <w:spacing w:before="62" w:after="62"/>
              <w:rPr>
                <w:rFonts w:cs="Times New Roman"/>
                <w:color w:val="auto"/>
                <w:highlight w:val="none"/>
              </w:rPr>
            </w:pPr>
            <w:r>
              <w:rPr>
                <w:rFonts w:cs="Times New Roman"/>
                <w:color w:val="auto"/>
                <w:highlight w:val="none"/>
              </w:rPr>
              <w:t>达标</w:t>
            </w:r>
          </w:p>
        </w:tc>
      </w:tr>
      <w:tr w14:paraId="79368BA1">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73259">
            <w:pPr>
              <w:pStyle w:val="69"/>
              <w:spacing w:before="62" w:after="62"/>
              <w:rPr>
                <w:rFonts w:cs="Times New Roman"/>
                <w:color w:val="auto"/>
                <w:highlight w:val="none"/>
              </w:rPr>
            </w:pPr>
            <w:r>
              <w:rPr>
                <w:rFonts w:cs="Times New Roman"/>
                <w:color w:val="auto"/>
                <w:highlight w:val="none"/>
              </w:rPr>
              <w:t>1,1,2-三氯乙烷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335D5">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4FA60">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63873">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06C1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609AA9">
            <w:pPr>
              <w:pStyle w:val="69"/>
              <w:spacing w:before="62" w:after="62"/>
              <w:rPr>
                <w:rFonts w:cs="Times New Roman"/>
                <w:color w:val="auto"/>
                <w:highlight w:val="none"/>
              </w:rPr>
            </w:pPr>
            <w:r>
              <w:rPr>
                <w:rFonts w:cs="Times New Roman"/>
                <w:color w:val="auto"/>
                <w:highlight w:val="none"/>
              </w:rPr>
              <w:t>2.8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19FE1D">
            <w:pPr>
              <w:pStyle w:val="69"/>
              <w:spacing w:before="62" w:after="62"/>
              <w:rPr>
                <w:rFonts w:cs="Times New Roman"/>
                <w:color w:val="auto"/>
                <w:highlight w:val="none"/>
              </w:rPr>
            </w:pPr>
            <w:r>
              <w:rPr>
                <w:rFonts w:cs="Times New Roman"/>
                <w:color w:val="auto"/>
                <w:highlight w:val="none"/>
              </w:rPr>
              <w:t>达标</w:t>
            </w:r>
          </w:p>
        </w:tc>
      </w:tr>
      <w:tr w14:paraId="0897CADF">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978B50">
            <w:pPr>
              <w:pStyle w:val="69"/>
              <w:spacing w:before="62" w:after="62"/>
              <w:rPr>
                <w:rFonts w:cs="Times New Roman"/>
                <w:color w:val="auto"/>
                <w:highlight w:val="none"/>
              </w:rPr>
            </w:pPr>
            <w:r>
              <w:rPr>
                <w:rFonts w:cs="Times New Roman"/>
                <w:color w:val="auto"/>
                <w:highlight w:val="none"/>
              </w:rPr>
              <w:t>三氯乙烯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83E3A">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7F975">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F9D4CB">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56109">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4888AF">
            <w:pPr>
              <w:pStyle w:val="69"/>
              <w:spacing w:before="62" w:after="62"/>
              <w:rPr>
                <w:rFonts w:cs="Times New Roman"/>
                <w:color w:val="auto"/>
                <w:highlight w:val="none"/>
              </w:rPr>
            </w:pPr>
            <w:r>
              <w:rPr>
                <w:rFonts w:cs="Times New Roman"/>
                <w:color w:val="auto"/>
                <w:highlight w:val="none"/>
              </w:rPr>
              <w:t>2.8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B08980">
            <w:pPr>
              <w:pStyle w:val="69"/>
              <w:spacing w:before="62" w:after="62"/>
              <w:rPr>
                <w:rFonts w:cs="Times New Roman"/>
                <w:color w:val="auto"/>
                <w:highlight w:val="none"/>
              </w:rPr>
            </w:pPr>
            <w:r>
              <w:rPr>
                <w:rFonts w:cs="Times New Roman"/>
                <w:color w:val="auto"/>
                <w:highlight w:val="none"/>
              </w:rPr>
              <w:t>达标</w:t>
            </w:r>
          </w:p>
        </w:tc>
      </w:tr>
      <w:tr w14:paraId="39A2514B">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4E788C">
            <w:pPr>
              <w:pStyle w:val="69"/>
              <w:spacing w:before="62" w:after="62"/>
              <w:rPr>
                <w:rFonts w:cs="Times New Roman"/>
                <w:color w:val="auto"/>
                <w:highlight w:val="none"/>
              </w:rPr>
            </w:pPr>
            <w:r>
              <w:rPr>
                <w:rFonts w:cs="Times New Roman"/>
                <w:color w:val="auto"/>
                <w:highlight w:val="none"/>
              </w:rPr>
              <w:t>1,2,3-三氯丙烷</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35ACA">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EDF9B">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5308C">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A452CA">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08C062">
            <w:pPr>
              <w:pStyle w:val="69"/>
              <w:spacing w:before="62" w:after="62"/>
              <w:rPr>
                <w:rFonts w:cs="Times New Roman"/>
                <w:color w:val="auto"/>
                <w:highlight w:val="none"/>
              </w:rPr>
            </w:pPr>
            <w:r>
              <w:rPr>
                <w:rFonts w:cs="Times New Roman"/>
                <w:color w:val="auto"/>
                <w:highlight w:val="none"/>
              </w:rPr>
              <w:t>0.5</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967DD">
            <w:pPr>
              <w:pStyle w:val="69"/>
              <w:spacing w:before="62" w:after="62"/>
              <w:rPr>
                <w:rFonts w:cs="Times New Roman"/>
                <w:color w:val="auto"/>
                <w:highlight w:val="none"/>
              </w:rPr>
            </w:pPr>
            <w:r>
              <w:rPr>
                <w:rFonts w:cs="Times New Roman"/>
                <w:color w:val="auto"/>
                <w:highlight w:val="none"/>
              </w:rPr>
              <w:t>达标</w:t>
            </w:r>
          </w:p>
        </w:tc>
      </w:tr>
      <w:tr w14:paraId="63DCC7DE">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57314">
            <w:pPr>
              <w:pStyle w:val="69"/>
              <w:spacing w:before="62" w:after="62"/>
              <w:rPr>
                <w:rFonts w:cs="Times New Roman"/>
                <w:color w:val="auto"/>
                <w:highlight w:val="none"/>
              </w:rPr>
            </w:pPr>
            <w:r>
              <w:rPr>
                <w:rFonts w:cs="Times New Roman"/>
                <w:color w:val="auto"/>
                <w:highlight w:val="none"/>
              </w:rPr>
              <w:t>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EC8F06">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79AF7">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0E200">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2B05F9">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90F17B">
            <w:pPr>
              <w:pStyle w:val="69"/>
              <w:spacing w:before="62" w:after="62"/>
              <w:rPr>
                <w:rFonts w:cs="Times New Roman"/>
                <w:color w:val="auto"/>
                <w:highlight w:val="none"/>
              </w:rPr>
            </w:pPr>
            <w:r>
              <w:rPr>
                <w:rFonts w:cs="Times New Roman"/>
                <w:color w:val="auto"/>
                <w:highlight w:val="none"/>
              </w:rPr>
              <w:t>0.43</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CD53A">
            <w:pPr>
              <w:pStyle w:val="69"/>
              <w:spacing w:before="62" w:after="62"/>
              <w:rPr>
                <w:rFonts w:cs="Times New Roman"/>
                <w:color w:val="auto"/>
                <w:highlight w:val="none"/>
              </w:rPr>
            </w:pPr>
            <w:r>
              <w:rPr>
                <w:rFonts w:cs="Times New Roman"/>
                <w:color w:val="auto"/>
                <w:highlight w:val="none"/>
              </w:rPr>
              <w:t>达标</w:t>
            </w:r>
          </w:p>
        </w:tc>
      </w:tr>
      <w:tr w14:paraId="177CF535">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C7986">
            <w:pPr>
              <w:pStyle w:val="69"/>
              <w:spacing w:before="62" w:after="62"/>
              <w:rPr>
                <w:rFonts w:cs="Times New Roman"/>
                <w:color w:val="auto"/>
                <w:highlight w:val="none"/>
              </w:rPr>
            </w:pPr>
            <w:r>
              <w:rPr>
                <w:rFonts w:cs="Times New Roman"/>
                <w:color w:val="auto"/>
                <w:highlight w:val="none"/>
              </w:rPr>
              <w:t>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ED668">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42DA0">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06FE6F">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BC1B8">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357B4">
            <w:pPr>
              <w:pStyle w:val="69"/>
              <w:spacing w:before="62" w:after="62"/>
              <w:rPr>
                <w:rFonts w:cs="Times New Roman"/>
                <w:color w:val="auto"/>
                <w:highlight w:val="none"/>
              </w:rPr>
            </w:pPr>
            <w:r>
              <w:rPr>
                <w:rFonts w:cs="Times New Roman"/>
                <w:color w:val="auto"/>
                <w:highlight w:val="none"/>
              </w:rPr>
              <w:t>4</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E88681">
            <w:pPr>
              <w:pStyle w:val="69"/>
              <w:spacing w:before="62" w:after="62"/>
              <w:rPr>
                <w:rFonts w:cs="Times New Roman"/>
                <w:color w:val="auto"/>
                <w:highlight w:val="none"/>
              </w:rPr>
            </w:pPr>
            <w:r>
              <w:rPr>
                <w:rFonts w:cs="Times New Roman"/>
                <w:color w:val="auto"/>
                <w:highlight w:val="none"/>
              </w:rPr>
              <w:t>达标</w:t>
            </w:r>
          </w:p>
        </w:tc>
      </w:tr>
      <w:tr w14:paraId="21675845">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7ACED">
            <w:pPr>
              <w:pStyle w:val="69"/>
              <w:spacing w:before="62" w:after="62"/>
              <w:rPr>
                <w:rFonts w:cs="Times New Roman"/>
                <w:color w:val="auto"/>
                <w:highlight w:val="none"/>
              </w:rPr>
            </w:pPr>
            <w:r>
              <w:rPr>
                <w:rFonts w:cs="Times New Roman"/>
                <w:color w:val="auto"/>
                <w:highlight w:val="none"/>
              </w:rPr>
              <w:t>氯苯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11BC32">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D7134">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CA3B8">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1AA6E">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33F69B">
            <w:pPr>
              <w:pStyle w:val="69"/>
              <w:spacing w:before="62" w:after="62"/>
              <w:rPr>
                <w:rFonts w:cs="Times New Roman"/>
                <w:color w:val="auto"/>
                <w:highlight w:val="none"/>
              </w:rPr>
            </w:pPr>
            <w:r>
              <w:rPr>
                <w:rFonts w:cs="Times New Roman"/>
                <w:color w:val="auto"/>
                <w:highlight w:val="none"/>
              </w:rPr>
              <w:t>270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887E70">
            <w:pPr>
              <w:pStyle w:val="69"/>
              <w:spacing w:before="62" w:after="62"/>
              <w:rPr>
                <w:rFonts w:cs="Times New Roman"/>
                <w:color w:val="auto"/>
                <w:highlight w:val="none"/>
              </w:rPr>
            </w:pPr>
            <w:r>
              <w:rPr>
                <w:rFonts w:cs="Times New Roman"/>
                <w:color w:val="auto"/>
                <w:highlight w:val="none"/>
              </w:rPr>
              <w:t>达标</w:t>
            </w:r>
          </w:p>
        </w:tc>
      </w:tr>
      <w:tr w14:paraId="400E3F9B">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B210C8">
            <w:pPr>
              <w:pStyle w:val="69"/>
              <w:spacing w:before="62" w:after="62"/>
              <w:rPr>
                <w:rFonts w:cs="Times New Roman"/>
                <w:color w:val="auto"/>
                <w:highlight w:val="none"/>
              </w:rPr>
            </w:pPr>
            <w:r>
              <w:rPr>
                <w:rFonts w:cs="Times New Roman"/>
                <w:color w:val="auto"/>
                <w:highlight w:val="none"/>
              </w:rPr>
              <w:t>1,2-二氯苯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A8799">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70C23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D866D7">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E2770">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6BCBA8">
            <w:pPr>
              <w:pStyle w:val="69"/>
              <w:spacing w:before="62" w:after="62"/>
              <w:rPr>
                <w:rFonts w:cs="Times New Roman"/>
                <w:color w:val="auto"/>
                <w:highlight w:val="none"/>
              </w:rPr>
            </w:pPr>
            <w:r>
              <w:rPr>
                <w:rFonts w:cs="Times New Roman"/>
                <w:color w:val="auto"/>
                <w:highlight w:val="none"/>
              </w:rPr>
              <w:t>560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0A8F3">
            <w:pPr>
              <w:pStyle w:val="69"/>
              <w:spacing w:before="62" w:after="62"/>
              <w:rPr>
                <w:rFonts w:cs="Times New Roman"/>
                <w:color w:val="auto"/>
                <w:highlight w:val="none"/>
              </w:rPr>
            </w:pPr>
            <w:r>
              <w:rPr>
                <w:rFonts w:cs="Times New Roman"/>
                <w:color w:val="auto"/>
                <w:highlight w:val="none"/>
              </w:rPr>
              <w:t>达标</w:t>
            </w:r>
          </w:p>
        </w:tc>
      </w:tr>
      <w:tr w14:paraId="0B5320A5">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AEDAA">
            <w:pPr>
              <w:pStyle w:val="69"/>
              <w:spacing w:before="62" w:after="62"/>
              <w:rPr>
                <w:rFonts w:cs="Times New Roman"/>
                <w:color w:val="auto"/>
                <w:highlight w:val="none"/>
              </w:rPr>
            </w:pPr>
            <w:r>
              <w:rPr>
                <w:rFonts w:cs="Times New Roman"/>
                <w:color w:val="auto"/>
                <w:highlight w:val="none"/>
              </w:rPr>
              <w:t>1,4-二氯苯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C9EE0">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7C4A0">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F1261">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D0EE6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7A79D">
            <w:pPr>
              <w:pStyle w:val="69"/>
              <w:spacing w:before="62" w:after="62"/>
              <w:rPr>
                <w:rFonts w:cs="Times New Roman"/>
                <w:color w:val="auto"/>
                <w:highlight w:val="none"/>
              </w:rPr>
            </w:pPr>
            <w:r>
              <w:rPr>
                <w:rFonts w:cs="Times New Roman"/>
                <w:color w:val="auto"/>
                <w:highlight w:val="none"/>
              </w:rPr>
              <w:t>20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C5E79B">
            <w:pPr>
              <w:pStyle w:val="69"/>
              <w:spacing w:before="62" w:after="62"/>
              <w:rPr>
                <w:rFonts w:cs="Times New Roman"/>
                <w:color w:val="auto"/>
                <w:highlight w:val="none"/>
              </w:rPr>
            </w:pPr>
            <w:r>
              <w:rPr>
                <w:rFonts w:cs="Times New Roman"/>
                <w:color w:val="auto"/>
                <w:highlight w:val="none"/>
              </w:rPr>
              <w:t>达标</w:t>
            </w:r>
          </w:p>
        </w:tc>
      </w:tr>
      <w:tr w14:paraId="6CF08B06">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80CAC">
            <w:pPr>
              <w:pStyle w:val="69"/>
              <w:spacing w:before="62" w:after="62"/>
              <w:rPr>
                <w:rFonts w:cs="Times New Roman"/>
                <w:color w:val="auto"/>
                <w:highlight w:val="none"/>
              </w:rPr>
            </w:pPr>
            <w:r>
              <w:rPr>
                <w:rFonts w:cs="Times New Roman"/>
                <w:color w:val="auto"/>
                <w:highlight w:val="none"/>
              </w:rPr>
              <w:t>乙苯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AD4D7">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B3F1FB">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56F4A9">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F4E65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3657FF">
            <w:pPr>
              <w:pStyle w:val="69"/>
              <w:spacing w:before="62" w:after="62"/>
              <w:rPr>
                <w:rFonts w:cs="Times New Roman"/>
                <w:color w:val="auto"/>
                <w:highlight w:val="none"/>
              </w:rPr>
            </w:pPr>
            <w:r>
              <w:rPr>
                <w:rFonts w:cs="Times New Roman"/>
                <w:color w:val="auto"/>
                <w:highlight w:val="none"/>
              </w:rPr>
              <w:t>28</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DAC627">
            <w:pPr>
              <w:pStyle w:val="69"/>
              <w:spacing w:before="62" w:after="62"/>
              <w:rPr>
                <w:rFonts w:cs="Times New Roman"/>
                <w:color w:val="auto"/>
                <w:highlight w:val="none"/>
              </w:rPr>
            </w:pPr>
            <w:r>
              <w:rPr>
                <w:rFonts w:cs="Times New Roman"/>
                <w:color w:val="auto"/>
                <w:highlight w:val="none"/>
              </w:rPr>
              <w:t>达标</w:t>
            </w:r>
          </w:p>
        </w:tc>
      </w:tr>
      <w:tr w14:paraId="27A13EC0">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12629C">
            <w:pPr>
              <w:pStyle w:val="69"/>
              <w:spacing w:before="62" w:after="62"/>
              <w:rPr>
                <w:rFonts w:cs="Times New Roman"/>
                <w:color w:val="auto"/>
                <w:highlight w:val="none"/>
              </w:rPr>
            </w:pPr>
            <w:r>
              <w:rPr>
                <w:rFonts w:cs="Times New Roman"/>
                <w:color w:val="auto"/>
                <w:highlight w:val="none"/>
              </w:rPr>
              <w:t>苯乙烯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DD735">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15F29B">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902CB">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BD0176">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DCBED">
            <w:pPr>
              <w:pStyle w:val="69"/>
              <w:spacing w:before="62" w:after="62"/>
              <w:rPr>
                <w:rFonts w:cs="Times New Roman"/>
                <w:color w:val="auto"/>
                <w:highlight w:val="none"/>
              </w:rPr>
            </w:pPr>
            <w:r>
              <w:rPr>
                <w:rFonts w:cs="Times New Roman"/>
                <w:color w:val="auto"/>
                <w:highlight w:val="none"/>
              </w:rPr>
              <w:t>1290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54EEA">
            <w:pPr>
              <w:pStyle w:val="69"/>
              <w:spacing w:before="62" w:after="62"/>
              <w:rPr>
                <w:rFonts w:cs="Times New Roman"/>
                <w:color w:val="auto"/>
                <w:highlight w:val="none"/>
              </w:rPr>
            </w:pPr>
            <w:r>
              <w:rPr>
                <w:rFonts w:cs="Times New Roman"/>
                <w:color w:val="auto"/>
                <w:highlight w:val="none"/>
              </w:rPr>
              <w:t>达标</w:t>
            </w:r>
          </w:p>
        </w:tc>
      </w:tr>
      <w:tr w14:paraId="5D4C3DC2">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F11A1F">
            <w:pPr>
              <w:pStyle w:val="69"/>
              <w:spacing w:before="62" w:after="62"/>
              <w:rPr>
                <w:rFonts w:cs="Times New Roman"/>
                <w:color w:val="auto"/>
                <w:highlight w:val="none"/>
              </w:rPr>
            </w:pPr>
            <w:r>
              <w:rPr>
                <w:rFonts w:cs="Times New Roman"/>
                <w:color w:val="auto"/>
                <w:highlight w:val="none"/>
              </w:rPr>
              <w:t>甲苯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841751">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7F423C">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CE067">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97269">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6F951">
            <w:pPr>
              <w:pStyle w:val="69"/>
              <w:spacing w:before="62" w:after="62"/>
              <w:rPr>
                <w:rFonts w:cs="Times New Roman"/>
                <w:color w:val="auto"/>
                <w:highlight w:val="none"/>
              </w:rPr>
            </w:pPr>
            <w:r>
              <w:rPr>
                <w:rFonts w:cs="Times New Roman"/>
                <w:color w:val="auto"/>
                <w:highlight w:val="none"/>
              </w:rPr>
              <w:t>1200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977ABB">
            <w:pPr>
              <w:pStyle w:val="69"/>
              <w:spacing w:before="62" w:after="62"/>
              <w:rPr>
                <w:rFonts w:cs="Times New Roman"/>
                <w:color w:val="auto"/>
                <w:highlight w:val="none"/>
              </w:rPr>
            </w:pPr>
            <w:r>
              <w:rPr>
                <w:rFonts w:cs="Times New Roman"/>
                <w:color w:val="auto"/>
                <w:highlight w:val="none"/>
              </w:rPr>
              <w:t>达标</w:t>
            </w:r>
          </w:p>
        </w:tc>
      </w:tr>
      <w:tr w14:paraId="66DAC199">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A35E9">
            <w:pPr>
              <w:pStyle w:val="69"/>
              <w:spacing w:before="62" w:after="62"/>
              <w:rPr>
                <w:rFonts w:cs="Times New Roman"/>
                <w:color w:val="auto"/>
                <w:highlight w:val="none"/>
              </w:rPr>
            </w:pPr>
            <w:r>
              <w:rPr>
                <w:rFonts w:cs="Times New Roman"/>
                <w:color w:val="auto"/>
                <w:highlight w:val="none"/>
              </w:rPr>
              <w:t>间/对二甲苯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2FDD7">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104EA">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D63663">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F14258">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8ADD4B">
            <w:pPr>
              <w:pStyle w:val="69"/>
              <w:spacing w:before="62" w:after="62"/>
              <w:rPr>
                <w:rFonts w:cs="Times New Roman"/>
                <w:color w:val="auto"/>
                <w:highlight w:val="none"/>
              </w:rPr>
            </w:pPr>
            <w:r>
              <w:rPr>
                <w:rFonts w:cs="Times New Roman"/>
                <w:color w:val="auto"/>
                <w:highlight w:val="none"/>
              </w:rPr>
              <w:t>570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587059">
            <w:pPr>
              <w:pStyle w:val="69"/>
              <w:spacing w:before="62" w:after="62"/>
              <w:rPr>
                <w:rFonts w:cs="Times New Roman"/>
                <w:color w:val="auto"/>
                <w:highlight w:val="none"/>
              </w:rPr>
            </w:pPr>
            <w:r>
              <w:rPr>
                <w:rFonts w:cs="Times New Roman"/>
                <w:color w:val="auto"/>
                <w:highlight w:val="none"/>
              </w:rPr>
              <w:t>达标</w:t>
            </w:r>
          </w:p>
        </w:tc>
      </w:tr>
      <w:tr w14:paraId="027AE591">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41FE6B">
            <w:pPr>
              <w:pStyle w:val="69"/>
              <w:spacing w:before="62" w:after="62"/>
              <w:rPr>
                <w:rFonts w:cs="Times New Roman"/>
                <w:color w:val="auto"/>
                <w:highlight w:val="none"/>
              </w:rPr>
            </w:pPr>
            <w:r>
              <w:rPr>
                <w:rFonts w:cs="Times New Roman"/>
                <w:color w:val="auto"/>
                <w:highlight w:val="none"/>
              </w:rPr>
              <w:t>邻二甲苯</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A4809">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A29CE">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62A7F0">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195CD">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CBDB9">
            <w:pPr>
              <w:pStyle w:val="69"/>
              <w:spacing w:before="62" w:after="62"/>
              <w:rPr>
                <w:rFonts w:cs="Times New Roman"/>
                <w:color w:val="auto"/>
                <w:highlight w:val="none"/>
              </w:rPr>
            </w:pPr>
            <w:r>
              <w:rPr>
                <w:rFonts w:cs="Times New Roman"/>
                <w:color w:val="auto"/>
                <w:highlight w:val="none"/>
              </w:rPr>
              <w:t>640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B763C2">
            <w:pPr>
              <w:pStyle w:val="69"/>
              <w:spacing w:before="62" w:after="62"/>
              <w:rPr>
                <w:rFonts w:cs="Times New Roman"/>
                <w:color w:val="auto"/>
                <w:highlight w:val="none"/>
              </w:rPr>
            </w:pPr>
            <w:r>
              <w:rPr>
                <w:rFonts w:cs="Times New Roman"/>
                <w:color w:val="auto"/>
                <w:highlight w:val="none"/>
              </w:rPr>
              <w:t>达标</w:t>
            </w:r>
          </w:p>
        </w:tc>
      </w:tr>
      <w:tr w14:paraId="30CE3C94">
        <w:tblPrEx>
          <w:tblCellMar>
            <w:top w:w="0" w:type="dxa"/>
            <w:left w:w="108" w:type="dxa"/>
            <w:bottom w:w="0" w:type="dxa"/>
            <w:right w:w="108" w:type="dxa"/>
          </w:tblCellMar>
        </w:tblPrEx>
        <w:trPr>
          <w:trHeight w:val="270" w:hRule="atLeast"/>
        </w:trPr>
        <w:tc>
          <w:tcPr>
            <w:tcW w:w="119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C5A838">
            <w:pPr>
              <w:pStyle w:val="69"/>
              <w:spacing w:before="62" w:after="62"/>
              <w:rPr>
                <w:rFonts w:cs="Times New Roman"/>
                <w:color w:val="auto"/>
                <w:highlight w:val="none"/>
              </w:rPr>
            </w:pPr>
            <w:r>
              <w:rPr>
                <w:rFonts w:cs="Times New Roman"/>
                <w:color w:val="auto"/>
                <w:highlight w:val="none"/>
              </w:rPr>
              <w:t>苯胺</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33D32">
            <w:pPr>
              <w:pStyle w:val="69"/>
              <w:spacing w:before="62" w:after="62"/>
              <w:rPr>
                <w:rFonts w:cs="Times New Roman"/>
                <w:color w:val="auto"/>
                <w:highlight w:val="none"/>
              </w:rPr>
            </w:pPr>
            <w:r>
              <w:rPr>
                <w:rFonts w:cs="Times New Roman"/>
                <w:color w:val="auto"/>
                <w:highlight w:val="none"/>
              </w:rPr>
              <w:t>mg/kg</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DF7144">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93032">
            <w:pPr>
              <w:pStyle w:val="69"/>
              <w:spacing w:before="62" w:after="62"/>
              <w:rPr>
                <w:color w:val="auto"/>
                <w:highlight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AB69F">
            <w:pPr>
              <w:pStyle w:val="69"/>
              <w:spacing w:before="62" w:after="62"/>
              <w:rPr>
                <w:color w:val="auto"/>
                <w:highlight w:val="none"/>
              </w:rPr>
            </w:pP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CBE0A">
            <w:pPr>
              <w:pStyle w:val="69"/>
              <w:spacing w:before="62" w:after="62"/>
              <w:rPr>
                <w:rFonts w:cs="Times New Roman"/>
                <w:color w:val="auto"/>
                <w:highlight w:val="none"/>
              </w:rPr>
            </w:pPr>
            <w:r>
              <w:rPr>
                <w:rFonts w:cs="Times New Roman"/>
                <w:color w:val="auto"/>
                <w:highlight w:val="none"/>
              </w:rPr>
              <w:t>260</w:t>
            </w:r>
          </w:p>
        </w:tc>
        <w:tc>
          <w:tcPr>
            <w:tcW w:w="63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35C06">
            <w:pPr>
              <w:pStyle w:val="69"/>
              <w:spacing w:before="62" w:after="62"/>
              <w:rPr>
                <w:rFonts w:cs="Times New Roman"/>
                <w:color w:val="auto"/>
                <w:highlight w:val="none"/>
              </w:rPr>
            </w:pPr>
            <w:r>
              <w:rPr>
                <w:rFonts w:cs="Times New Roman"/>
                <w:color w:val="auto"/>
                <w:highlight w:val="none"/>
              </w:rPr>
              <w:t>达标</w:t>
            </w:r>
          </w:p>
        </w:tc>
      </w:tr>
    </w:tbl>
    <w:p w14:paraId="72F6D0E8">
      <w:pPr>
        <w:adjustRightInd w:val="0"/>
        <w:ind w:firstLine="480"/>
        <w:rPr>
          <w:rFonts w:cs="Times New Roman"/>
          <w:color w:val="auto"/>
          <w:highlight w:val="none"/>
        </w:rPr>
      </w:pPr>
      <w:r>
        <w:rPr>
          <w:rFonts w:cs="Times New Roman"/>
          <w:color w:val="auto"/>
          <w:highlight w:val="none"/>
        </w:rPr>
        <w:t>监测结果表明，本项目厂内土壤各项监测因子均能满足《四川省建设用地土壤污染风险管控标准》（DB51/2978-2023）和《土壤环境质量 建设用地土壤污染风险管控标准（试行）》(GB36600-2018)第二类用地筛选值要求</w:t>
      </w:r>
      <w:r>
        <w:rPr>
          <w:rFonts w:hint="eastAsia" w:cs="Times New Roman"/>
          <w:color w:val="auto"/>
          <w:highlight w:val="none"/>
        </w:rPr>
        <w:t>，锂无评价标准</w:t>
      </w:r>
      <w:r>
        <w:rPr>
          <w:rFonts w:cs="Times New Roman"/>
          <w:color w:val="auto"/>
          <w:highlight w:val="none"/>
        </w:rPr>
        <w:t>。</w:t>
      </w:r>
    </w:p>
    <w:p w14:paraId="01B937A4">
      <w:pPr>
        <w:pStyle w:val="4"/>
        <w:rPr>
          <w:color w:val="auto"/>
          <w:highlight w:val="none"/>
        </w:rPr>
      </w:pPr>
      <w:bookmarkStart w:id="170" w:name="_Toc24121"/>
      <w:bookmarkStart w:id="171" w:name="_Toc5177"/>
      <w:bookmarkStart w:id="172" w:name="_Toc6410"/>
      <w:bookmarkStart w:id="173" w:name="_Toc20970"/>
      <w:r>
        <w:rPr>
          <w:color w:val="auto"/>
          <w:highlight w:val="none"/>
        </w:rPr>
        <w:t>生态环境质量现状</w:t>
      </w:r>
      <w:bookmarkEnd w:id="170"/>
      <w:bookmarkEnd w:id="171"/>
      <w:bookmarkEnd w:id="172"/>
      <w:bookmarkEnd w:id="173"/>
    </w:p>
    <w:p w14:paraId="39983CA9">
      <w:pPr>
        <w:adjustRightInd w:val="0"/>
        <w:ind w:firstLine="480"/>
        <w:rPr>
          <w:rFonts w:cs="Times New Roman"/>
          <w:color w:val="auto"/>
          <w:highlight w:val="none"/>
        </w:rPr>
      </w:pPr>
      <w:r>
        <w:rPr>
          <w:rFonts w:cs="Times New Roman"/>
          <w:color w:val="auto"/>
          <w:highlight w:val="none"/>
        </w:rPr>
        <w:t>项目选址于乐山市沙湾区嘉农镇凤凰路1号（四川乐山沙湾经济开发区内），项目所占地为工业用地，根据现场踏勘，项目区域为工业园区，现场主要为杂草与灌木丛，无珍稀植物，无古树名木等；区域内动物主要为各类鸡、各类鸭、鹅、蜂、蚕、犬、猫、各类兔等，无国家重点保护与珍稀野生动物；无国家公园、自然保护区、世界自然遗产、自然公园、天然林、公益林等重要保护单位，生态环境质量良好。</w:t>
      </w:r>
    </w:p>
    <w:p w14:paraId="205BEE13">
      <w:pPr>
        <w:adjustRightInd w:val="0"/>
        <w:ind w:firstLine="482"/>
        <w:rPr>
          <w:rFonts w:cs="Times New Roman"/>
          <w:b/>
          <w:bCs/>
          <w:color w:val="auto"/>
          <w:highlight w:val="none"/>
        </w:rPr>
        <w:sectPr>
          <w:pgSz w:w="11906" w:h="16838"/>
          <w:pgMar w:top="1134" w:right="1531" w:bottom="1134" w:left="1531" w:header="851" w:footer="907" w:gutter="0"/>
          <w:cols w:space="425" w:num="1"/>
          <w:docGrid w:type="lines" w:linePitch="312" w:charSpace="0"/>
        </w:sectPr>
      </w:pPr>
      <w:r>
        <w:rPr>
          <w:rFonts w:cs="Times New Roman"/>
          <w:b/>
          <w:bCs/>
          <w:color w:val="auto"/>
          <w:highlight w:val="none"/>
        </w:rPr>
        <w:t>经调查，本项目评价区域范围内无自然保护区、风景名胜区、无列入国家及地方保护名录的珍稀濒危动植物及古、大、珍、奇树木分布，也无社会关注的具有历史、科学、民族、文化意义的保护地。</w:t>
      </w:r>
    </w:p>
    <w:p w14:paraId="01C90EBF">
      <w:pPr>
        <w:pStyle w:val="2"/>
        <w:adjustRightInd w:val="0"/>
        <w:rPr>
          <w:rFonts w:cs="Times New Roman"/>
          <w:color w:val="auto"/>
          <w:highlight w:val="none"/>
        </w:rPr>
      </w:pPr>
      <w:bookmarkStart w:id="174" w:name="_Toc25144"/>
      <w:r>
        <w:rPr>
          <w:rFonts w:cs="Times New Roman"/>
          <w:color w:val="auto"/>
          <w:highlight w:val="none"/>
        </w:rPr>
        <w:t>环境影响</w:t>
      </w:r>
      <w:r>
        <w:rPr>
          <w:rFonts w:hint="eastAsia" w:cs="Times New Roman"/>
          <w:color w:val="auto"/>
          <w:highlight w:val="none"/>
        </w:rPr>
        <w:t>预测与评价</w:t>
      </w:r>
      <w:bookmarkEnd w:id="174"/>
    </w:p>
    <w:p w14:paraId="19475F93">
      <w:pPr>
        <w:pStyle w:val="3"/>
        <w:adjustRightInd w:val="0"/>
        <w:rPr>
          <w:rFonts w:cs="Times New Roman"/>
          <w:color w:val="auto"/>
          <w:highlight w:val="none"/>
        </w:rPr>
      </w:pPr>
      <w:bookmarkStart w:id="175" w:name="_Toc127483574"/>
      <w:bookmarkStart w:id="176" w:name="_Toc23161"/>
      <w:r>
        <w:rPr>
          <w:rFonts w:cs="Times New Roman"/>
          <w:color w:val="auto"/>
          <w:highlight w:val="none"/>
        </w:rPr>
        <w:t>施工期环境</w:t>
      </w:r>
      <w:bookmarkEnd w:id="175"/>
      <w:r>
        <w:rPr>
          <w:rFonts w:hint="eastAsia" w:cs="Times New Roman"/>
          <w:color w:val="auto"/>
          <w:highlight w:val="none"/>
        </w:rPr>
        <w:t>影响分析</w:t>
      </w:r>
      <w:bookmarkEnd w:id="176"/>
    </w:p>
    <w:p w14:paraId="622A47FE">
      <w:pPr>
        <w:pStyle w:val="4"/>
        <w:adjustRightInd w:val="0"/>
        <w:rPr>
          <w:rFonts w:cs="Times New Roman"/>
          <w:color w:val="auto"/>
          <w:highlight w:val="none"/>
        </w:rPr>
      </w:pPr>
      <w:bookmarkStart w:id="177" w:name="_Toc14437"/>
      <w:r>
        <w:rPr>
          <w:rFonts w:cs="Times New Roman"/>
          <w:color w:val="auto"/>
          <w:highlight w:val="none"/>
        </w:rPr>
        <w:t>施工期大气环境</w:t>
      </w:r>
      <w:r>
        <w:rPr>
          <w:rFonts w:hint="eastAsia" w:cs="Times New Roman"/>
          <w:color w:val="auto"/>
          <w:highlight w:val="none"/>
        </w:rPr>
        <w:t>影响分析</w:t>
      </w:r>
      <w:bookmarkEnd w:id="177"/>
    </w:p>
    <w:p w14:paraId="0B18D7F5">
      <w:pPr>
        <w:adjustRightInd w:val="0"/>
        <w:ind w:firstLine="480"/>
        <w:rPr>
          <w:rFonts w:cs="Times New Roman"/>
          <w:color w:val="auto"/>
          <w:highlight w:val="none"/>
        </w:rPr>
      </w:pPr>
      <w:r>
        <w:rPr>
          <w:rFonts w:cs="Times New Roman"/>
          <w:color w:val="auto"/>
          <w:highlight w:val="none"/>
        </w:rPr>
        <w:t>施工期大气污染主要来源于施工扬尘和施工废气。</w:t>
      </w:r>
    </w:p>
    <w:p w14:paraId="53218F12">
      <w:pPr>
        <w:adjustRightInd w:val="0"/>
        <w:ind w:firstLine="482"/>
        <w:rPr>
          <w:rFonts w:cs="Times New Roman"/>
          <w:b/>
          <w:bCs/>
          <w:color w:val="auto"/>
          <w:highlight w:val="none"/>
        </w:rPr>
      </w:pPr>
      <w:r>
        <w:rPr>
          <w:rFonts w:cs="Times New Roman"/>
          <w:b/>
          <w:bCs/>
          <w:color w:val="auto"/>
          <w:highlight w:val="none"/>
        </w:rPr>
        <w:t>（1）施工扬尘</w:t>
      </w:r>
    </w:p>
    <w:p w14:paraId="497A80CD">
      <w:pPr>
        <w:adjustRightInd w:val="0"/>
        <w:ind w:firstLine="480"/>
        <w:rPr>
          <w:rFonts w:cs="Times New Roman"/>
          <w:color w:val="auto"/>
          <w:highlight w:val="none"/>
        </w:rPr>
      </w:pPr>
      <w:r>
        <w:rPr>
          <w:rFonts w:cs="Times New Roman"/>
          <w:color w:val="auto"/>
          <w:highlight w:val="none"/>
        </w:rPr>
        <w:t>扬尘按起尘原因可以分为风力扬尘和动力扬尘。</w:t>
      </w:r>
    </w:p>
    <w:p w14:paraId="7BAC1B73">
      <w:pPr>
        <w:adjustRightInd w:val="0"/>
        <w:ind w:firstLine="482"/>
        <w:rPr>
          <w:rFonts w:cs="Times New Roman"/>
          <w:b/>
          <w:bCs/>
          <w:color w:val="auto"/>
          <w:highlight w:val="none"/>
        </w:rPr>
      </w:pPr>
      <w:r>
        <w:rPr>
          <w:rFonts w:cs="Times New Roman"/>
          <w:b/>
          <w:bCs/>
          <w:color w:val="auto"/>
          <w:highlight w:val="none"/>
        </w:rPr>
        <w:t>①风力扬尘</w:t>
      </w:r>
    </w:p>
    <w:p w14:paraId="14A608F6">
      <w:pPr>
        <w:adjustRightInd w:val="0"/>
        <w:ind w:firstLine="480"/>
        <w:rPr>
          <w:rFonts w:cs="Times New Roman"/>
          <w:color w:val="auto"/>
          <w:highlight w:val="none"/>
        </w:rPr>
      </w:pPr>
      <w:r>
        <w:rPr>
          <w:rFonts w:cs="Times New Roman"/>
          <w:color w:val="auto"/>
          <w:highlight w:val="none"/>
        </w:rPr>
        <w:t>风力起尘主要是由于露天堆放的建材（如砂料、水泥等）及裸露的施工区表层浮尘因天气干燥及大风，产生风尘扬尘。由于本项目污水处理厂施工的需要，一些建材需露天堆放，一些施工点表层土壤需人工开挖、堆放，在气候干燥又有风的情况下，就会产生扬尘，其扬尘可按堆场起尘的经验公式计算：</w:t>
      </w:r>
    </w:p>
    <w:p w14:paraId="40B27459">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114300" distR="114300">
            <wp:extent cx="2009140" cy="380365"/>
            <wp:effectExtent l="0" t="0" r="10160" b="63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50">
                      <a:extLst>
                        <a:ext uri="{28A0092B-C50C-407E-A947-70E740481C1C}">
                          <a14:useLocalDpi xmlns:a14="http://schemas.microsoft.com/office/drawing/2010/main" val="0"/>
                        </a:ext>
                      </a:extLst>
                    </a:blip>
                    <a:stretch>
                      <a:fillRect/>
                    </a:stretch>
                  </pic:blipFill>
                  <pic:spPr>
                    <a:xfrm>
                      <a:off x="0" y="0"/>
                      <a:ext cx="2009140" cy="380365"/>
                    </a:xfrm>
                    <a:prstGeom prst="rect">
                      <a:avLst/>
                    </a:prstGeom>
                  </pic:spPr>
                </pic:pic>
              </a:graphicData>
            </a:graphic>
          </wp:inline>
        </w:drawing>
      </w:r>
    </w:p>
    <w:p w14:paraId="19264FE7">
      <w:pPr>
        <w:adjustRightInd w:val="0"/>
        <w:ind w:firstLine="480"/>
        <w:rPr>
          <w:rFonts w:cs="Times New Roman"/>
          <w:color w:val="auto"/>
          <w:highlight w:val="none"/>
        </w:rPr>
      </w:pPr>
      <w:r>
        <w:rPr>
          <w:rFonts w:cs="Times New Roman"/>
          <w:color w:val="auto"/>
          <w:highlight w:val="none"/>
        </w:rPr>
        <w:t>其中：</w:t>
      </w:r>
    </w:p>
    <w:p w14:paraId="6DD41506">
      <w:pPr>
        <w:adjustRightInd w:val="0"/>
        <w:ind w:firstLine="480"/>
        <w:rPr>
          <w:rFonts w:cs="Times New Roman"/>
          <w:color w:val="auto"/>
          <w:highlight w:val="none"/>
        </w:rPr>
      </w:pPr>
      <w:r>
        <w:rPr>
          <w:rFonts w:cs="Times New Roman"/>
          <w:color w:val="auto"/>
          <w:highlight w:val="none"/>
        </w:rPr>
        <w:t>Q——起尘量，kg/吨·年；</w:t>
      </w:r>
    </w:p>
    <w:p w14:paraId="7C378BA6">
      <w:pPr>
        <w:adjustRightInd w:val="0"/>
        <w:ind w:firstLine="480"/>
        <w:rPr>
          <w:rFonts w:cs="Times New Roman"/>
          <w:color w:val="auto"/>
          <w:highlight w:val="none"/>
        </w:rPr>
      </w:pPr>
      <w:r>
        <w:rPr>
          <w:rFonts w:cs="Times New Roman"/>
          <w:color w:val="auto"/>
          <w:highlight w:val="none"/>
        </w:rPr>
        <w:t>V</w:t>
      </w:r>
      <w:r>
        <w:rPr>
          <w:rFonts w:cs="Times New Roman"/>
          <w:color w:val="auto"/>
          <w:highlight w:val="none"/>
          <w:vertAlign w:val="subscript"/>
        </w:rPr>
        <w:t>50</w:t>
      </w:r>
      <w:r>
        <w:rPr>
          <w:rFonts w:cs="Times New Roman"/>
          <w:color w:val="auto"/>
          <w:highlight w:val="none"/>
        </w:rPr>
        <w:t>——距地面50m处风速，m/s；</w:t>
      </w:r>
    </w:p>
    <w:p w14:paraId="79F564E6">
      <w:pPr>
        <w:adjustRightInd w:val="0"/>
        <w:ind w:firstLine="480"/>
        <w:rPr>
          <w:rFonts w:cs="Times New Roman"/>
          <w:color w:val="auto"/>
          <w:highlight w:val="none"/>
        </w:rPr>
      </w:pPr>
      <w:r>
        <w:rPr>
          <w:rFonts w:cs="Times New Roman"/>
          <w:color w:val="auto"/>
          <w:highlight w:val="none"/>
        </w:rPr>
        <w:t>V</w:t>
      </w:r>
      <w:r>
        <w:rPr>
          <w:rFonts w:cs="Times New Roman"/>
          <w:color w:val="auto"/>
          <w:highlight w:val="none"/>
          <w:vertAlign w:val="subscript"/>
        </w:rPr>
        <w:t>0</w:t>
      </w:r>
      <w:r>
        <w:rPr>
          <w:rFonts w:cs="Times New Roman"/>
          <w:color w:val="auto"/>
          <w:highlight w:val="none"/>
        </w:rPr>
        <w:t>——起尘风速，m/s；</w:t>
      </w:r>
    </w:p>
    <w:p w14:paraId="562CC6A9">
      <w:pPr>
        <w:adjustRightInd w:val="0"/>
        <w:ind w:firstLine="480"/>
        <w:rPr>
          <w:rFonts w:cs="Times New Roman"/>
          <w:color w:val="auto"/>
          <w:highlight w:val="none"/>
        </w:rPr>
      </w:pPr>
      <w:r>
        <w:rPr>
          <w:rFonts w:cs="Times New Roman"/>
          <w:color w:val="auto"/>
          <w:highlight w:val="none"/>
        </w:rPr>
        <w:t>W——尘粒的含水率，%。</w:t>
      </w:r>
    </w:p>
    <w:p w14:paraId="0ECE2C05">
      <w:pPr>
        <w:adjustRightInd w:val="0"/>
        <w:ind w:firstLine="480"/>
        <w:rPr>
          <w:rFonts w:cs="Times New Roman"/>
          <w:color w:val="auto"/>
          <w:highlight w:val="none"/>
        </w:rPr>
      </w:pPr>
      <w:r>
        <w:rPr>
          <w:rFonts w:cs="Times New Roman"/>
          <w:color w:val="auto"/>
          <w:highlight w:val="none"/>
        </w:rPr>
        <w:t>V</w:t>
      </w:r>
      <w:r>
        <w:rPr>
          <w:rFonts w:cs="Times New Roman"/>
          <w:color w:val="auto"/>
          <w:highlight w:val="none"/>
          <w:vertAlign w:val="subscript"/>
        </w:rPr>
        <w:t>0</w:t>
      </w:r>
      <w:r>
        <w:rPr>
          <w:rFonts w:cs="Times New Roman"/>
          <w:color w:val="auto"/>
          <w:highlight w:val="none"/>
        </w:rPr>
        <w:t>与粒径和含水率有关，因此，减少露天堆放和保证一定的含水率及减少裸露地面是减少风力起尘的有效手段。</w:t>
      </w:r>
    </w:p>
    <w:p w14:paraId="167B8181">
      <w:pPr>
        <w:adjustRightInd w:val="0"/>
        <w:ind w:firstLine="480"/>
        <w:rPr>
          <w:rFonts w:cs="Times New Roman"/>
          <w:color w:val="auto"/>
          <w:szCs w:val="22"/>
          <w:highlight w:val="none"/>
        </w:rPr>
      </w:pPr>
      <w:r>
        <w:rPr>
          <w:rFonts w:cs="Times New Roman"/>
          <w:color w:val="auto"/>
          <w:szCs w:val="22"/>
          <w:highlight w:val="none"/>
        </w:rPr>
        <w:t>尘粒在空气中的传播扩散情况与风速等气象条件有关，也与尘粒本身的沉降速度有关。以沙尘为例，不同粒径的尘粒的沉降速度见下表。</w:t>
      </w:r>
    </w:p>
    <w:p w14:paraId="1B23E27F">
      <w:pPr>
        <w:pStyle w:val="12"/>
        <w:adjustRightInd w:val="0"/>
        <w:ind w:left="630" w:firstLine="422"/>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不同粒径尘粒的沉降速度</w:t>
      </w:r>
    </w:p>
    <w:tbl>
      <w:tblPr>
        <w:tblStyle w:val="8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923"/>
        <w:gridCol w:w="1055"/>
        <w:gridCol w:w="1055"/>
        <w:gridCol w:w="1055"/>
        <w:gridCol w:w="1055"/>
        <w:gridCol w:w="1055"/>
        <w:gridCol w:w="902"/>
        <w:gridCol w:w="960"/>
      </w:tblGrid>
      <w:tr w14:paraId="272D9E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1062"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4AB4D131">
            <w:pPr>
              <w:pStyle w:val="37"/>
              <w:adjustRightInd w:val="0"/>
              <w:rPr>
                <w:b/>
                <w:bCs/>
                <w:color w:val="auto"/>
                <w:highlight w:val="none"/>
              </w:rPr>
            </w:pPr>
            <w:r>
              <w:rPr>
                <w:b/>
                <w:bCs/>
                <w:color w:val="auto"/>
                <w:highlight w:val="none"/>
              </w:rPr>
              <w:t>粒径</w:t>
            </w:r>
            <w:r>
              <w:rPr>
                <w:rFonts w:hint="eastAsia"/>
                <w:b/>
                <w:bCs/>
                <w:color w:val="auto"/>
                <w:highlight w:val="none"/>
              </w:rPr>
              <w:t>，</w:t>
            </w:r>
            <w:r>
              <w:rPr>
                <w:b/>
                <w:bCs/>
                <w:color w:val="auto"/>
                <w:highlight w:val="none"/>
              </w:rPr>
              <w:t>μm</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CA2157">
            <w:pPr>
              <w:pStyle w:val="37"/>
              <w:adjustRightInd w:val="0"/>
              <w:rPr>
                <w:b/>
                <w:bCs/>
                <w:color w:val="auto"/>
                <w:highlight w:val="none"/>
              </w:rPr>
            </w:pPr>
            <w:r>
              <w:rPr>
                <w:b/>
                <w:bCs/>
                <w:color w:val="auto"/>
                <w:highlight w:val="none"/>
              </w:rPr>
              <w:t>10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6DC699">
            <w:pPr>
              <w:pStyle w:val="37"/>
              <w:adjustRightInd w:val="0"/>
              <w:rPr>
                <w:b/>
                <w:bCs/>
                <w:color w:val="auto"/>
                <w:highlight w:val="none"/>
              </w:rPr>
            </w:pPr>
            <w:r>
              <w:rPr>
                <w:b/>
                <w:bCs/>
                <w:color w:val="auto"/>
                <w:highlight w:val="none"/>
              </w:rPr>
              <w:t>20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6893B4">
            <w:pPr>
              <w:pStyle w:val="37"/>
              <w:adjustRightInd w:val="0"/>
              <w:rPr>
                <w:b/>
                <w:bCs/>
                <w:color w:val="auto"/>
                <w:highlight w:val="none"/>
              </w:rPr>
            </w:pPr>
            <w:r>
              <w:rPr>
                <w:b/>
                <w:bCs/>
                <w:color w:val="auto"/>
                <w:highlight w:val="none"/>
              </w:rPr>
              <w:t>30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F73C1B">
            <w:pPr>
              <w:pStyle w:val="37"/>
              <w:adjustRightInd w:val="0"/>
              <w:rPr>
                <w:b/>
                <w:bCs/>
                <w:color w:val="auto"/>
                <w:highlight w:val="none"/>
              </w:rPr>
            </w:pPr>
            <w:r>
              <w:rPr>
                <w:b/>
                <w:bCs/>
                <w:color w:val="auto"/>
                <w:highlight w:val="none"/>
              </w:rPr>
              <w:t>40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997E0">
            <w:pPr>
              <w:pStyle w:val="37"/>
              <w:adjustRightInd w:val="0"/>
              <w:rPr>
                <w:b/>
                <w:bCs/>
                <w:color w:val="auto"/>
                <w:highlight w:val="none"/>
              </w:rPr>
            </w:pPr>
            <w:r>
              <w:rPr>
                <w:b/>
                <w:bCs/>
                <w:color w:val="auto"/>
                <w:highlight w:val="none"/>
              </w:rPr>
              <w:t>50</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42B78">
            <w:pPr>
              <w:pStyle w:val="37"/>
              <w:adjustRightInd w:val="0"/>
              <w:rPr>
                <w:b/>
                <w:bCs/>
                <w:color w:val="auto"/>
                <w:highlight w:val="none"/>
              </w:rPr>
            </w:pPr>
            <w:r>
              <w:rPr>
                <w:b/>
                <w:bCs/>
                <w:color w:val="auto"/>
                <w:highlight w:val="none"/>
              </w:rPr>
              <w:t>60</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44BD2">
            <w:pPr>
              <w:pStyle w:val="37"/>
              <w:adjustRightInd w:val="0"/>
              <w:rPr>
                <w:b/>
                <w:bCs/>
                <w:color w:val="auto"/>
                <w:highlight w:val="none"/>
              </w:rPr>
            </w:pPr>
            <w:r>
              <w:rPr>
                <w:b/>
                <w:bCs/>
                <w:color w:val="auto"/>
                <w:highlight w:val="none"/>
              </w:rPr>
              <w:t>70</w:t>
            </w:r>
          </w:p>
        </w:tc>
      </w:tr>
      <w:tr w14:paraId="073DF8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6BA4A">
            <w:pPr>
              <w:pStyle w:val="37"/>
              <w:adjustRightInd w:val="0"/>
              <w:rPr>
                <w:color w:val="auto"/>
                <w:highlight w:val="none"/>
              </w:rPr>
            </w:pPr>
            <w:r>
              <w:rPr>
                <w:color w:val="auto"/>
                <w:highlight w:val="none"/>
              </w:rPr>
              <w:t>沉降速度</w:t>
            </w:r>
            <w:r>
              <w:rPr>
                <w:rFonts w:hint="eastAsia"/>
                <w:color w:val="auto"/>
                <w:highlight w:val="none"/>
              </w:rPr>
              <w:t>，</w:t>
            </w:r>
            <w:r>
              <w:rPr>
                <w:color w:val="auto"/>
                <w:highlight w:val="none"/>
              </w:rPr>
              <w:t>m/s</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F56BDF">
            <w:pPr>
              <w:pStyle w:val="37"/>
              <w:adjustRightInd w:val="0"/>
              <w:rPr>
                <w:color w:val="auto"/>
                <w:highlight w:val="none"/>
              </w:rPr>
            </w:pPr>
            <w:r>
              <w:rPr>
                <w:color w:val="auto"/>
                <w:highlight w:val="none"/>
              </w:rPr>
              <w:t>0.003</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80C53">
            <w:pPr>
              <w:pStyle w:val="37"/>
              <w:adjustRightInd w:val="0"/>
              <w:rPr>
                <w:color w:val="auto"/>
                <w:highlight w:val="none"/>
              </w:rPr>
            </w:pPr>
            <w:r>
              <w:rPr>
                <w:color w:val="auto"/>
                <w:highlight w:val="none"/>
              </w:rPr>
              <w:t>0.012</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3D9C7A">
            <w:pPr>
              <w:pStyle w:val="37"/>
              <w:adjustRightInd w:val="0"/>
              <w:rPr>
                <w:color w:val="auto"/>
                <w:highlight w:val="none"/>
              </w:rPr>
            </w:pPr>
            <w:r>
              <w:rPr>
                <w:color w:val="auto"/>
                <w:highlight w:val="none"/>
              </w:rPr>
              <w:t>0.027</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A8C360">
            <w:pPr>
              <w:pStyle w:val="37"/>
              <w:adjustRightInd w:val="0"/>
              <w:rPr>
                <w:color w:val="auto"/>
                <w:highlight w:val="none"/>
              </w:rPr>
            </w:pPr>
            <w:r>
              <w:rPr>
                <w:color w:val="auto"/>
                <w:highlight w:val="none"/>
              </w:rPr>
              <w:t>0.048</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BDF30">
            <w:pPr>
              <w:pStyle w:val="37"/>
              <w:adjustRightInd w:val="0"/>
              <w:rPr>
                <w:color w:val="auto"/>
                <w:highlight w:val="none"/>
              </w:rPr>
            </w:pPr>
            <w:r>
              <w:rPr>
                <w:color w:val="auto"/>
                <w:highlight w:val="none"/>
              </w:rPr>
              <w:t>0.075</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8E1FD0">
            <w:pPr>
              <w:pStyle w:val="37"/>
              <w:adjustRightInd w:val="0"/>
              <w:rPr>
                <w:color w:val="auto"/>
                <w:highlight w:val="none"/>
              </w:rPr>
            </w:pPr>
            <w:r>
              <w:rPr>
                <w:color w:val="auto"/>
                <w:highlight w:val="none"/>
              </w:rPr>
              <w:t>0.108</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72D33">
            <w:pPr>
              <w:pStyle w:val="37"/>
              <w:adjustRightInd w:val="0"/>
              <w:rPr>
                <w:color w:val="auto"/>
                <w:highlight w:val="none"/>
              </w:rPr>
            </w:pPr>
            <w:r>
              <w:rPr>
                <w:color w:val="auto"/>
                <w:highlight w:val="none"/>
              </w:rPr>
              <w:t>0.147</w:t>
            </w:r>
          </w:p>
        </w:tc>
      </w:tr>
      <w:tr w14:paraId="26C1A3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614A82">
            <w:pPr>
              <w:pStyle w:val="37"/>
              <w:adjustRightInd w:val="0"/>
              <w:rPr>
                <w:color w:val="auto"/>
                <w:highlight w:val="none"/>
              </w:rPr>
            </w:pPr>
            <w:r>
              <w:rPr>
                <w:color w:val="auto"/>
                <w:highlight w:val="none"/>
              </w:rPr>
              <w:t>粒径</w:t>
            </w:r>
            <w:r>
              <w:rPr>
                <w:rFonts w:hint="eastAsia"/>
                <w:color w:val="auto"/>
                <w:highlight w:val="none"/>
              </w:rPr>
              <w:t>，</w:t>
            </w:r>
            <w:r>
              <w:rPr>
                <w:color w:val="auto"/>
                <w:highlight w:val="none"/>
              </w:rPr>
              <w:t>μm</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443E2">
            <w:pPr>
              <w:pStyle w:val="37"/>
              <w:adjustRightInd w:val="0"/>
              <w:rPr>
                <w:color w:val="auto"/>
                <w:highlight w:val="none"/>
              </w:rPr>
            </w:pPr>
            <w:r>
              <w:rPr>
                <w:color w:val="auto"/>
                <w:highlight w:val="none"/>
              </w:rPr>
              <w:t>80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5CE2E2">
            <w:pPr>
              <w:pStyle w:val="37"/>
              <w:adjustRightInd w:val="0"/>
              <w:rPr>
                <w:color w:val="auto"/>
                <w:highlight w:val="none"/>
              </w:rPr>
            </w:pPr>
            <w:r>
              <w:rPr>
                <w:color w:val="auto"/>
                <w:highlight w:val="none"/>
              </w:rPr>
              <w:t>90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8D145">
            <w:pPr>
              <w:pStyle w:val="37"/>
              <w:adjustRightInd w:val="0"/>
              <w:rPr>
                <w:color w:val="auto"/>
                <w:highlight w:val="none"/>
              </w:rPr>
            </w:pPr>
            <w:r>
              <w:rPr>
                <w:color w:val="auto"/>
                <w:highlight w:val="none"/>
              </w:rPr>
              <w:t>100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11463">
            <w:pPr>
              <w:pStyle w:val="37"/>
              <w:adjustRightInd w:val="0"/>
              <w:rPr>
                <w:color w:val="auto"/>
                <w:highlight w:val="none"/>
              </w:rPr>
            </w:pPr>
            <w:r>
              <w:rPr>
                <w:color w:val="auto"/>
                <w:highlight w:val="none"/>
              </w:rPr>
              <w:t>150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780F60">
            <w:pPr>
              <w:pStyle w:val="37"/>
              <w:adjustRightInd w:val="0"/>
              <w:rPr>
                <w:color w:val="auto"/>
                <w:highlight w:val="none"/>
              </w:rPr>
            </w:pPr>
            <w:r>
              <w:rPr>
                <w:color w:val="auto"/>
                <w:highlight w:val="none"/>
              </w:rPr>
              <w:t>200</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F2C7FD">
            <w:pPr>
              <w:pStyle w:val="37"/>
              <w:adjustRightInd w:val="0"/>
              <w:rPr>
                <w:color w:val="auto"/>
                <w:highlight w:val="none"/>
              </w:rPr>
            </w:pPr>
            <w:r>
              <w:rPr>
                <w:color w:val="auto"/>
                <w:highlight w:val="none"/>
              </w:rPr>
              <w:t>250</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EF2740">
            <w:pPr>
              <w:pStyle w:val="37"/>
              <w:adjustRightInd w:val="0"/>
              <w:rPr>
                <w:color w:val="auto"/>
                <w:highlight w:val="none"/>
              </w:rPr>
            </w:pPr>
            <w:r>
              <w:rPr>
                <w:color w:val="auto"/>
                <w:highlight w:val="none"/>
              </w:rPr>
              <w:t>350</w:t>
            </w:r>
          </w:p>
        </w:tc>
      </w:tr>
      <w:tr w14:paraId="1A5C08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9C23DE">
            <w:pPr>
              <w:pStyle w:val="37"/>
              <w:adjustRightInd w:val="0"/>
              <w:rPr>
                <w:color w:val="auto"/>
                <w:highlight w:val="none"/>
              </w:rPr>
            </w:pPr>
            <w:r>
              <w:rPr>
                <w:color w:val="auto"/>
                <w:highlight w:val="none"/>
              </w:rPr>
              <w:t>沉降速度</w:t>
            </w:r>
            <w:r>
              <w:rPr>
                <w:rFonts w:hint="eastAsia"/>
                <w:color w:val="auto"/>
                <w:highlight w:val="none"/>
              </w:rPr>
              <w:t>，</w:t>
            </w:r>
            <w:r>
              <w:rPr>
                <w:color w:val="auto"/>
                <w:highlight w:val="none"/>
              </w:rPr>
              <w:t>m/s</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8F7A8">
            <w:pPr>
              <w:pStyle w:val="37"/>
              <w:adjustRightInd w:val="0"/>
              <w:rPr>
                <w:color w:val="auto"/>
                <w:highlight w:val="none"/>
              </w:rPr>
            </w:pPr>
            <w:r>
              <w:rPr>
                <w:color w:val="auto"/>
                <w:highlight w:val="none"/>
              </w:rPr>
              <w:t>0.158</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1B32F">
            <w:pPr>
              <w:pStyle w:val="37"/>
              <w:adjustRightInd w:val="0"/>
              <w:rPr>
                <w:color w:val="auto"/>
                <w:highlight w:val="none"/>
              </w:rPr>
            </w:pPr>
            <w:r>
              <w:rPr>
                <w:color w:val="auto"/>
                <w:highlight w:val="none"/>
              </w:rPr>
              <w:t>0.170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3F308">
            <w:pPr>
              <w:pStyle w:val="37"/>
              <w:adjustRightInd w:val="0"/>
              <w:rPr>
                <w:color w:val="auto"/>
                <w:highlight w:val="none"/>
              </w:rPr>
            </w:pPr>
            <w:r>
              <w:rPr>
                <w:color w:val="auto"/>
                <w:highlight w:val="none"/>
              </w:rPr>
              <w:t>0.182</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F5564">
            <w:pPr>
              <w:pStyle w:val="37"/>
              <w:adjustRightInd w:val="0"/>
              <w:rPr>
                <w:color w:val="auto"/>
                <w:highlight w:val="none"/>
              </w:rPr>
            </w:pPr>
            <w:r>
              <w:rPr>
                <w:color w:val="auto"/>
                <w:highlight w:val="none"/>
              </w:rPr>
              <w:t>0.239</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6BD536">
            <w:pPr>
              <w:pStyle w:val="37"/>
              <w:adjustRightInd w:val="0"/>
              <w:rPr>
                <w:color w:val="auto"/>
                <w:highlight w:val="none"/>
              </w:rPr>
            </w:pPr>
            <w:r>
              <w:rPr>
                <w:color w:val="auto"/>
                <w:highlight w:val="none"/>
              </w:rPr>
              <w:t>0.804</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F6A70">
            <w:pPr>
              <w:pStyle w:val="37"/>
              <w:adjustRightInd w:val="0"/>
              <w:rPr>
                <w:color w:val="auto"/>
                <w:highlight w:val="none"/>
              </w:rPr>
            </w:pPr>
            <w:r>
              <w:rPr>
                <w:color w:val="auto"/>
                <w:highlight w:val="none"/>
              </w:rPr>
              <w:t>1.005</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02FACA">
            <w:pPr>
              <w:pStyle w:val="37"/>
              <w:adjustRightInd w:val="0"/>
              <w:rPr>
                <w:color w:val="auto"/>
                <w:highlight w:val="none"/>
              </w:rPr>
            </w:pPr>
            <w:r>
              <w:rPr>
                <w:color w:val="auto"/>
                <w:highlight w:val="none"/>
              </w:rPr>
              <w:t>1.829</w:t>
            </w:r>
          </w:p>
        </w:tc>
      </w:tr>
      <w:tr w14:paraId="31688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880D8">
            <w:pPr>
              <w:pStyle w:val="37"/>
              <w:adjustRightInd w:val="0"/>
              <w:rPr>
                <w:color w:val="auto"/>
                <w:highlight w:val="none"/>
              </w:rPr>
            </w:pPr>
            <w:r>
              <w:rPr>
                <w:color w:val="auto"/>
                <w:highlight w:val="none"/>
              </w:rPr>
              <w:t>粒径</w:t>
            </w:r>
            <w:r>
              <w:rPr>
                <w:rFonts w:hint="eastAsia"/>
                <w:color w:val="auto"/>
                <w:highlight w:val="none"/>
              </w:rPr>
              <w:t>，</w:t>
            </w:r>
            <w:r>
              <w:rPr>
                <w:color w:val="auto"/>
                <w:highlight w:val="none"/>
              </w:rPr>
              <w:t>μm</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03C92B">
            <w:pPr>
              <w:pStyle w:val="37"/>
              <w:adjustRightInd w:val="0"/>
              <w:rPr>
                <w:color w:val="auto"/>
                <w:highlight w:val="none"/>
              </w:rPr>
            </w:pPr>
            <w:r>
              <w:rPr>
                <w:color w:val="auto"/>
                <w:highlight w:val="none"/>
              </w:rPr>
              <w:t>450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494346">
            <w:pPr>
              <w:pStyle w:val="37"/>
              <w:adjustRightInd w:val="0"/>
              <w:rPr>
                <w:color w:val="auto"/>
                <w:highlight w:val="none"/>
              </w:rPr>
            </w:pPr>
            <w:r>
              <w:rPr>
                <w:color w:val="auto"/>
                <w:highlight w:val="none"/>
              </w:rPr>
              <w:t>550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A6A74C">
            <w:pPr>
              <w:pStyle w:val="37"/>
              <w:adjustRightInd w:val="0"/>
              <w:rPr>
                <w:color w:val="auto"/>
                <w:highlight w:val="none"/>
              </w:rPr>
            </w:pPr>
            <w:r>
              <w:rPr>
                <w:color w:val="auto"/>
                <w:highlight w:val="none"/>
              </w:rPr>
              <w:t>650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6D0AC5">
            <w:pPr>
              <w:pStyle w:val="37"/>
              <w:adjustRightInd w:val="0"/>
              <w:rPr>
                <w:color w:val="auto"/>
                <w:highlight w:val="none"/>
              </w:rPr>
            </w:pPr>
            <w:r>
              <w:rPr>
                <w:color w:val="auto"/>
                <w:highlight w:val="none"/>
              </w:rPr>
              <w:t>750</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42DA37">
            <w:pPr>
              <w:pStyle w:val="37"/>
              <w:adjustRightInd w:val="0"/>
              <w:rPr>
                <w:color w:val="auto"/>
                <w:highlight w:val="none"/>
              </w:rPr>
            </w:pPr>
            <w:r>
              <w:rPr>
                <w:color w:val="auto"/>
                <w:highlight w:val="none"/>
              </w:rPr>
              <w:t>850</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A6818">
            <w:pPr>
              <w:pStyle w:val="37"/>
              <w:adjustRightInd w:val="0"/>
              <w:rPr>
                <w:color w:val="auto"/>
                <w:highlight w:val="none"/>
              </w:rPr>
            </w:pPr>
            <w:r>
              <w:rPr>
                <w:color w:val="auto"/>
                <w:highlight w:val="none"/>
              </w:rPr>
              <w:t>950</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81ACB">
            <w:pPr>
              <w:pStyle w:val="37"/>
              <w:adjustRightInd w:val="0"/>
              <w:rPr>
                <w:color w:val="auto"/>
                <w:highlight w:val="none"/>
              </w:rPr>
            </w:pPr>
            <w:r>
              <w:rPr>
                <w:color w:val="auto"/>
                <w:highlight w:val="none"/>
              </w:rPr>
              <w:t>1050</w:t>
            </w:r>
          </w:p>
        </w:tc>
      </w:tr>
      <w:tr w14:paraId="5A25A1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10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47B883">
            <w:pPr>
              <w:pStyle w:val="37"/>
              <w:adjustRightInd w:val="0"/>
              <w:rPr>
                <w:color w:val="auto"/>
                <w:highlight w:val="none"/>
              </w:rPr>
            </w:pPr>
            <w:r>
              <w:rPr>
                <w:color w:val="auto"/>
                <w:highlight w:val="none"/>
              </w:rPr>
              <w:t>沉降速度</w:t>
            </w:r>
            <w:r>
              <w:rPr>
                <w:rFonts w:hint="eastAsia"/>
                <w:color w:val="auto"/>
                <w:highlight w:val="none"/>
              </w:rPr>
              <w:t>，</w:t>
            </w:r>
            <w:r>
              <w:rPr>
                <w:color w:val="auto"/>
                <w:highlight w:val="none"/>
              </w:rPr>
              <w:t>m/s</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7E426B">
            <w:pPr>
              <w:pStyle w:val="37"/>
              <w:adjustRightInd w:val="0"/>
              <w:rPr>
                <w:color w:val="auto"/>
                <w:highlight w:val="none"/>
              </w:rPr>
            </w:pPr>
            <w:r>
              <w:rPr>
                <w:color w:val="auto"/>
                <w:highlight w:val="none"/>
              </w:rPr>
              <w:t>2.211</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6F1FD">
            <w:pPr>
              <w:pStyle w:val="37"/>
              <w:adjustRightInd w:val="0"/>
              <w:rPr>
                <w:color w:val="auto"/>
                <w:highlight w:val="none"/>
              </w:rPr>
            </w:pPr>
            <w:r>
              <w:rPr>
                <w:color w:val="auto"/>
                <w:highlight w:val="none"/>
              </w:rPr>
              <w:t>2.614</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3E5F10">
            <w:pPr>
              <w:pStyle w:val="37"/>
              <w:adjustRightInd w:val="0"/>
              <w:rPr>
                <w:color w:val="auto"/>
                <w:highlight w:val="none"/>
              </w:rPr>
            </w:pPr>
            <w:r>
              <w:rPr>
                <w:color w:val="auto"/>
                <w:highlight w:val="none"/>
              </w:rPr>
              <w:t>3.016</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D1AEB8">
            <w:pPr>
              <w:pStyle w:val="37"/>
              <w:adjustRightInd w:val="0"/>
              <w:rPr>
                <w:color w:val="auto"/>
                <w:highlight w:val="none"/>
              </w:rPr>
            </w:pPr>
            <w:r>
              <w:rPr>
                <w:color w:val="auto"/>
                <w:highlight w:val="none"/>
              </w:rPr>
              <w:t>3.418</w:t>
            </w:r>
          </w:p>
        </w:tc>
        <w:tc>
          <w:tcPr>
            <w:tcW w:w="58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28B4BE">
            <w:pPr>
              <w:pStyle w:val="37"/>
              <w:adjustRightInd w:val="0"/>
              <w:rPr>
                <w:color w:val="auto"/>
                <w:highlight w:val="none"/>
              </w:rPr>
            </w:pPr>
            <w:r>
              <w:rPr>
                <w:color w:val="auto"/>
                <w:highlight w:val="none"/>
              </w:rPr>
              <w:t>3.820</w:t>
            </w:r>
          </w:p>
        </w:tc>
        <w:tc>
          <w:tcPr>
            <w:tcW w:w="4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AAA615">
            <w:pPr>
              <w:pStyle w:val="37"/>
              <w:adjustRightInd w:val="0"/>
              <w:rPr>
                <w:color w:val="auto"/>
                <w:highlight w:val="none"/>
              </w:rPr>
            </w:pPr>
            <w:r>
              <w:rPr>
                <w:color w:val="auto"/>
                <w:highlight w:val="none"/>
              </w:rPr>
              <w:t>4.222</w:t>
            </w:r>
          </w:p>
        </w:tc>
        <w:tc>
          <w:tcPr>
            <w:tcW w:w="53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B22AEC">
            <w:pPr>
              <w:pStyle w:val="37"/>
              <w:adjustRightInd w:val="0"/>
              <w:rPr>
                <w:color w:val="auto"/>
                <w:highlight w:val="none"/>
              </w:rPr>
            </w:pPr>
            <w:r>
              <w:rPr>
                <w:color w:val="auto"/>
                <w:highlight w:val="none"/>
              </w:rPr>
              <w:t>4.624</w:t>
            </w:r>
          </w:p>
        </w:tc>
      </w:tr>
    </w:tbl>
    <w:p w14:paraId="70C04892">
      <w:pPr>
        <w:adjustRightInd w:val="0"/>
        <w:ind w:firstLine="480"/>
        <w:rPr>
          <w:rFonts w:cs="Times New Roman"/>
          <w:color w:val="auto"/>
          <w:highlight w:val="none"/>
        </w:rPr>
      </w:pPr>
      <w:r>
        <w:rPr>
          <w:rFonts w:cs="Times New Roman"/>
          <w:color w:val="auto"/>
          <w:highlight w:val="none"/>
        </w:rPr>
        <w:t>由表</w:t>
      </w:r>
      <w:r>
        <w:rPr>
          <w:rFonts w:hint="eastAsia" w:cs="Times New Roman"/>
          <w:color w:val="auto"/>
          <w:highlight w:val="none"/>
        </w:rPr>
        <w:t>5</w:t>
      </w:r>
      <w:r>
        <w:rPr>
          <w:rFonts w:cs="Times New Roman"/>
          <w:color w:val="auto"/>
          <w:highlight w:val="none"/>
        </w:rPr>
        <w:t>-1可知，尘粒的沉降速度随粒径的增大而迅速增大。当粒径为250μm时，沉降速度为1.005m/s，因此可以认为当尘粒大于250μm时，主要影响范围在扬尘点下风向50m范围内居民点，而真正对外环境产生影响的是一些微小尘粒。</w:t>
      </w:r>
    </w:p>
    <w:p w14:paraId="1BACF157">
      <w:pPr>
        <w:adjustRightInd w:val="0"/>
        <w:ind w:firstLine="480"/>
        <w:rPr>
          <w:rFonts w:cs="Times New Roman"/>
          <w:color w:val="auto"/>
          <w:highlight w:val="none"/>
        </w:rPr>
      </w:pPr>
      <w:r>
        <w:rPr>
          <w:rFonts w:cs="Times New Roman"/>
          <w:color w:val="auto"/>
          <w:highlight w:val="none"/>
        </w:rPr>
        <w:t>②动力扬尘</w:t>
      </w:r>
    </w:p>
    <w:p w14:paraId="54B36A73">
      <w:pPr>
        <w:adjustRightInd w:val="0"/>
        <w:ind w:firstLine="480"/>
        <w:rPr>
          <w:rFonts w:cs="Times New Roman"/>
          <w:color w:val="auto"/>
          <w:highlight w:val="none"/>
        </w:rPr>
      </w:pPr>
      <w:r>
        <w:rPr>
          <w:rFonts w:cs="Times New Roman"/>
          <w:color w:val="auto"/>
          <w:highlight w:val="none"/>
        </w:rPr>
        <w:t>动力起尘，主要是在建材的装卸、搅拌过程中，由于外力而产生的尘粒再悬浮而造成，其中施工及装卸车辆造成的扬尘最为严重。据有关文献资料介绍，车辆行驶产生的扬尘占总扬尘的60%以上。车辆行驶产生的扬尘，在完全干燥情况下，可按下列经验公式计算：</w:t>
      </w:r>
    </w:p>
    <w:p w14:paraId="0207A170">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114300" distR="114300">
            <wp:extent cx="2647315" cy="285115"/>
            <wp:effectExtent l="0" t="0" r="635"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51">
                      <a:extLst>
                        <a:ext uri="{28A0092B-C50C-407E-A947-70E740481C1C}">
                          <a14:useLocalDpi xmlns:a14="http://schemas.microsoft.com/office/drawing/2010/main" val="0"/>
                        </a:ext>
                      </a:extLst>
                    </a:blip>
                    <a:stretch>
                      <a:fillRect/>
                    </a:stretch>
                  </pic:blipFill>
                  <pic:spPr>
                    <a:xfrm>
                      <a:off x="0" y="0"/>
                      <a:ext cx="2647315" cy="285115"/>
                    </a:xfrm>
                    <a:prstGeom prst="rect">
                      <a:avLst/>
                    </a:prstGeom>
                  </pic:spPr>
                </pic:pic>
              </a:graphicData>
            </a:graphic>
          </wp:inline>
        </w:drawing>
      </w:r>
    </w:p>
    <w:p w14:paraId="79C8E920">
      <w:pPr>
        <w:adjustRightInd w:val="0"/>
        <w:ind w:firstLine="480"/>
        <w:rPr>
          <w:rFonts w:cs="Times New Roman"/>
          <w:color w:val="auto"/>
          <w:highlight w:val="none"/>
        </w:rPr>
      </w:pPr>
      <w:r>
        <w:rPr>
          <w:rFonts w:cs="Times New Roman"/>
          <w:color w:val="auto"/>
          <w:highlight w:val="none"/>
        </w:rPr>
        <w:t>式中：</w:t>
      </w:r>
    </w:p>
    <w:p w14:paraId="2BA46D9C">
      <w:pPr>
        <w:adjustRightInd w:val="0"/>
        <w:ind w:firstLine="480"/>
        <w:rPr>
          <w:rFonts w:cs="Times New Roman"/>
          <w:color w:val="auto"/>
          <w:highlight w:val="none"/>
        </w:rPr>
      </w:pPr>
      <w:r>
        <w:rPr>
          <w:rFonts w:cs="Times New Roman"/>
          <w:color w:val="auto"/>
          <w:highlight w:val="none"/>
        </w:rPr>
        <w:t>Q——汽车行驶的扬尘，kg/km·辆；</w:t>
      </w:r>
    </w:p>
    <w:p w14:paraId="5E0DC353">
      <w:pPr>
        <w:adjustRightInd w:val="0"/>
        <w:ind w:firstLine="480"/>
        <w:rPr>
          <w:rFonts w:cs="Times New Roman"/>
          <w:color w:val="auto"/>
          <w:highlight w:val="none"/>
        </w:rPr>
      </w:pPr>
      <w:r>
        <w:rPr>
          <w:rFonts w:cs="Times New Roman"/>
          <w:color w:val="auto"/>
          <w:highlight w:val="none"/>
        </w:rPr>
        <w:t>V——汽车速度，km/hr；</w:t>
      </w:r>
    </w:p>
    <w:p w14:paraId="510B3632">
      <w:pPr>
        <w:adjustRightInd w:val="0"/>
        <w:ind w:firstLine="480"/>
        <w:rPr>
          <w:rFonts w:cs="Times New Roman"/>
          <w:color w:val="auto"/>
          <w:highlight w:val="none"/>
        </w:rPr>
      </w:pPr>
      <w:r>
        <w:rPr>
          <w:rFonts w:cs="Times New Roman"/>
          <w:color w:val="auto"/>
          <w:highlight w:val="none"/>
        </w:rPr>
        <w:t>W——汽车载重量，吨；</w:t>
      </w:r>
    </w:p>
    <w:p w14:paraId="362AFD59">
      <w:pPr>
        <w:adjustRightInd w:val="0"/>
        <w:ind w:firstLine="480"/>
        <w:rPr>
          <w:rFonts w:cs="Times New Roman"/>
          <w:color w:val="auto"/>
          <w:highlight w:val="none"/>
        </w:rPr>
      </w:pPr>
      <w:r>
        <w:rPr>
          <w:rFonts w:cs="Times New Roman"/>
          <w:color w:val="auto"/>
          <w:highlight w:val="none"/>
        </w:rPr>
        <w:t>P——道路表面粉尘量，kg/m</w:t>
      </w:r>
      <w:r>
        <w:rPr>
          <w:rFonts w:cs="Times New Roman"/>
          <w:color w:val="auto"/>
          <w:highlight w:val="none"/>
          <w:vertAlign w:val="superscript"/>
        </w:rPr>
        <w:t>2</w:t>
      </w:r>
      <w:r>
        <w:rPr>
          <w:rFonts w:cs="Times New Roman"/>
          <w:color w:val="auto"/>
          <w:highlight w:val="none"/>
        </w:rPr>
        <w:t>。</w:t>
      </w:r>
    </w:p>
    <w:p w14:paraId="2A46095D">
      <w:pPr>
        <w:adjustRightInd w:val="0"/>
        <w:ind w:firstLine="480"/>
        <w:rPr>
          <w:rFonts w:cs="Times New Roman"/>
          <w:color w:val="auto"/>
          <w:highlight w:val="none"/>
        </w:rPr>
      </w:pPr>
      <w:r>
        <w:rPr>
          <w:rFonts w:cs="Times New Roman"/>
          <w:color w:val="auto"/>
          <w:highlight w:val="none"/>
        </w:rPr>
        <w:t>表</w:t>
      </w:r>
      <w:r>
        <w:rPr>
          <w:rFonts w:hint="eastAsia" w:cs="Times New Roman"/>
          <w:color w:val="auto"/>
          <w:highlight w:val="none"/>
        </w:rPr>
        <w:t>5</w:t>
      </w:r>
      <w:r>
        <w:rPr>
          <w:rFonts w:cs="Times New Roman"/>
          <w:color w:val="auto"/>
          <w:highlight w:val="none"/>
        </w:rPr>
        <w:t>-2为一辆10吨卡车，通过一段长度为1km的路面时，不同路面清洁程度，不同行驶速度情况下的扬尘量。</w:t>
      </w:r>
    </w:p>
    <w:p w14:paraId="5BE1F9F1">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在不同车速和地面清洁程度的汽车扬尘单位：kg/辆·km</w:t>
      </w:r>
    </w:p>
    <w:tbl>
      <w:tblPr>
        <w:tblStyle w:val="81"/>
        <w:tblW w:w="4998"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249"/>
        <w:gridCol w:w="1301"/>
        <w:gridCol w:w="1301"/>
        <w:gridCol w:w="1301"/>
        <w:gridCol w:w="1301"/>
        <w:gridCol w:w="1301"/>
        <w:gridCol w:w="1302"/>
      </w:tblGrid>
      <w:tr w14:paraId="66EEFD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tblHeader/>
        </w:trPr>
        <w:tc>
          <w:tcPr>
            <w:tcW w:w="689" w:type="pc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73E857F">
            <w:pPr>
              <w:pStyle w:val="37"/>
              <w:adjustRightInd w:val="0"/>
              <w:rPr>
                <w:b/>
                <w:bCs/>
                <w:color w:val="auto"/>
                <w:highlight w:val="none"/>
              </w:rPr>
            </w:pPr>
            <w:r>
              <w:rPr>
                <w:b/>
                <w:bCs/>
                <w:color w:val="auto"/>
                <w:highlight w:val="none"/>
              </w:rPr>
              <w:t>车速</w:t>
            </w:r>
          </w:p>
          <w:p w14:paraId="0493FEAE">
            <w:pPr>
              <w:pStyle w:val="37"/>
              <w:adjustRightInd w:val="0"/>
              <w:rPr>
                <w:b/>
                <w:bCs/>
                <w:color w:val="auto"/>
                <w:highlight w:val="none"/>
              </w:rPr>
            </w:pPr>
            <w:r>
              <w:rPr>
                <w:b/>
                <w:bCs/>
                <w:color w:val="auto"/>
                <w:highlight w:val="none"/>
              </w:rPr>
              <w:t>P</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9E0CC3">
            <w:pPr>
              <w:pStyle w:val="37"/>
              <w:adjustRightInd w:val="0"/>
              <w:rPr>
                <w:b/>
                <w:bCs/>
                <w:color w:val="auto"/>
                <w:highlight w:val="none"/>
              </w:rPr>
            </w:pPr>
            <w:r>
              <w:rPr>
                <w:b/>
                <w:bCs/>
                <w:color w:val="auto"/>
                <w:highlight w:val="none"/>
              </w:rPr>
              <w:t>0.1</w:t>
            </w:r>
          </w:p>
          <w:p w14:paraId="165C6D7C">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E0DCF3">
            <w:pPr>
              <w:pStyle w:val="37"/>
              <w:adjustRightInd w:val="0"/>
              <w:rPr>
                <w:b/>
                <w:bCs/>
                <w:color w:val="auto"/>
                <w:highlight w:val="none"/>
              </w:rPr>
            </w:pPr>
            <w:r>
              <w:rPr>
                <w:b/>
                <w:bCs/>
                <w:color w:val="auto"/>
                <w:highlight w:val="none"/>
              </w:rPr>
              <w:t>0.2</w:t>
            </w:r>
          </w:p>
          <w:p w14:paraId="37894B3E">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1851D5">
            <w:pPr>
              <w:pStyle w:val="37"/>
              <w:adjustRightInd w:val="0"/>
              <w:rPr>
                <w:b/>
                <w:bCs/>
                <w:color w:val="auto"/>
                <w:highlight w:val="none"/>
              </w:rPr>
            </w:pPr>
            <w:r>
              <w:rPr>
                <w:b/>
                <w:bCs/>
                <w:color w:val="auto"/>
                <w:highlight w:val="none"/>
              </w:rPr>
              <w:t>0.3</w:t>
            </w:r>
          </w:p>
          <w:p w14:paraId="250816B9">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5C6F7A">
            <w:pPr>
              <w:pStyle w:val="37"/>
              <w:adjustRightInd w:val="0"/>
              <w:rPr>
                <w:b/>
                <w:bCs/>
                <w:color w:val="auto"/>
                <w:highlight w:val="none"/>
              </w:rPr>
            </w:pPr>
            <w:r>
              <w:rPr>
                <w:b/>
                <w:bCs/>
                <w:color w:val="auto"/>
                <w:highlight w:val="none"/>
              </w:rPr>
              <w:t>0.4</w:t>
            </w:r>
          </w:p>
          <w:p w14:paraId="6F2D84F7">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52FC47">
            <w:pPr>
              <w:pStyle w:val="37"/>
              <w:adjustRightInd w:val="0"/>
              <w:rPr>
                <w:b/>
                <w:bCs/>
                <w:color w:val="auto"/>
                <w:highlight w:val="none"/>
              </w:rPr>
            </w:pPr>
            <w:r>
              <w:rPr>
                <w:b/>
                <w:bCs/>
                <w:color w:val="auto"/>
                <w:highlight w:val="none"/>
              </w:rPr>
              <w:t>0.5</w:t>
            </w:r>
          </w:p>
          <w:p w14:paraId="4AA51612">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4C880E">
            <w:pPr>
              <w:pStyle w:val="37"/>
              <w:adjustRightInd w:val="0"/>
              <w:rPr>
                <w:b/>
                <w:bCs/>
                <w:color w:val="auto"/>
                <w:highlight w:val="none"/>
              </w:rPr>
            </w:pPr>
            <w:r>
              <w:rPr>
                <w:b/>
                <w:bCs/>
                <w:color w:val="auto"/>
                <w:highlight w:val="none"/>
              </w:rPr>
              <w:t>1.0</w:t>
            </w:r>
          </w:p>
          <w:p w14:paraId="250C60EC">
            <w:pPr>
              <w:pStyle w:val="37"/>
              <w:adjustRightInd w:val="0"/>
              <w:rPr>
                <w:b/>
                <w:bCs/>
                <w:color w:val="auto"/>
                <w:highlight w:val="none"/>
              </w:rPr>
            </w:pPr>
            <w:r>
              <w:rPr>
                <w:b/>
                <w:bCs/>
                <w:color w:val="auto"/>
                <w:highlight w:val="none"/>
              </w:rPr>
              <w:t>（kg/m</w:t>
            </w:r>
            <w:r>
              <w:rPr>
                <w:b/>
                <w:bCs/>
                <w:color w:val="auto"/>
                <w:highlight w:val="none"/>
                <w:vertAlign w:val="superscript"/>
              </w:rPr>
              <w:t>2</w:t>
            </w:r>
            <w:r>
              <w:rPr>
                <w:b/>
                <w:bCs/>
                <w:color w:val="auto"/>
                <w:highlight w:val="none"/>
              </w:rPr>
              <w:t>）</w:t>
            </w:r>
          </w:p>
        </w:tc>
      </w:tr>
      <w:tr w14:paraId="355AF8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7D0135">
            <w:pPr>
              <w:pStyle w:val="37"/>
              <w:adjustRightInd w:val="0"/>
              <w:rPr>
                <w:color w:val="auto"/>
                <w:highlight w:val="none"/>
              </w:rPr>
            </w:pPr>
            <w:r>
              <w:rPr>
                <w:color w:val="auto"/>
                <w:highlight w:val="none"/>
              </w:rPr>
              <w:t>5(km/hr)</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A43A73">
            <w:pPr>
              <w:pStyle w:val="37"/>
              <w:adjustRightInd w:val="0"/>
              <w:rPr>
                <w:color w:val="auto"/>
                <w:highlight w:val="none"/>
              </w:rPr>
            </w:pPr>
            <w:r>
              <w:rPr>
                <w:color w:val="auto"/>
                <w:highlight w:val="none"/>
              </w:rPr>
              <w:t>0.051056</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332B4">
            <w:pPr>
              <w:pStyle w:val="37"/>
              <w:adjustRightInd w:val="0"/>
              <w:rPr>
                <w:color w:val="auto"/>
                <w:highlight w:val="none"/>
              </w:rPr>
            </w:pPr>
            <w:r>
              <w:rPr>
                <w:color w:val="auto"/>
                <w:highlight w:val="none"/>
              </w:rPr>
              <w:t>0.085865</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9D16EE">
            <w:pPr>
              <w:pStyle w:val="37"/>
              <w:adjustRightInd w:val="0"/>
              <w:rPr>
                <w:color w:val="auto"/>
                <w:highlight w:val="none"/>
              </w:rPr>
            </w:pPr>
            <w:r>
              <w:rPr>
                <w:color w:val="auto"/>
                <w:highlight w:val="none"/>
              </w:rPr>
              <w:t>0.116382</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585E5">
            <w:pPr>
              <w:pStyle w:val="37"/>
              <w:adjustRightInd w:val="0"/>
              <w:rPr>
                <w:color w:val="auto"/>
                <w:highlight w:val="none"/>
              </w:rPr>
            </w:pPr>
            <w:r>
              <w:rPr>
                <w:color w:val="auto"/>
                <w:highlight w:val="none"/>
              </w:rPr>
              <w:t>0.144408</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6E8F71">
            <w:pPr>
              <w:pStyle w:val="37"/>
              <w:adjustRightInd w:val="0"/>
              <w:rPr>
                <w:color w:val="auto"/>
                <w:highlight w:val="none"/>
              </w:rPr>
            </w:pPr>
            <w:r>
              <w:rPr>
                <w:color w:val="auto"/>
                <w:highlight w:val="none"/>
              </w:rPr>
              <w:t>0.170715</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818F14">
            <w:pPr>
              <w:pStyle w:val="37"/>
              <w:adjustRightInd w:val="0"/>
              <w:rPr>
                <w:color w:val="auto"/>
                <w:highlight w:val="none"/>
              </w:rPr>
            </w:pPr>
            <w:r>
              <w:rPr>
                <w:color w:val="auto"/>
                <w:highlight w:val="none"/>
              </w:rPr>
              <w:t>0.28710</w:t>
            </w:r>
          </w:p>
        </w:tc>
      </w:tr>
      <w:tr w14:paraId="3AC7F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090C45">
            <w:pPr>
              <w:pStyle w:val="37"/>
              <w:adjustRightInd w:val="0"/>
              <w:rPr>
                <w:color w:val="auto"/>
                <w:highlight w:val="none"/>
              </w:rPr>
            </w:pPr>
            <w:r>
              <w:rPr>
                <w:color w:val="auto"/>
                <w:highlight w:val="none"/>
              </w:rPr>
              <w:t>10(km/hr)</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28ADCD">
            <w:pPr>
              <w:pStyle w:val="37"/>
              <w:adjustRightInd w:val="0"/>
              <w:rPr>
                <w:color w:val="auto"/>
                <w:highlight w:val="none"/>
              </w:rPr>
            </w:pPr>
            <w:r>
              <w:rPr>
                <w:color w:val="auto"/>
                <w:highlight w:val="none"/>
              </w:rPr>
              <w:t>0.102112</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A05953">
            <w:pPr>
              <w:pStyle w:val="37"/>
              <w:adjustRightInd w:val="0"/>
              <w:rPr>
                <w:color w:val="auto"/>
                <w:highlight w:val="none"/>
              </w:rPr>
            </w:pPr>
            <w:r>
              <w:rPr>
                <w:color w:val="auto"/>
                <w:highlight w:val="none"/>
              </w:rPr>
              <w:t>0.171731</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8FCCC6">
            <w:pPr>
              <w:pStyle w:val="37"/>
              <w:adjustRightInd w:val="0"/>
              <w:rPr>
                <w:color w:val="auto"/>
                <w:highlight w:val="none"/>
              </w:rPr>
            </w:pPr>
            <w:r>
              <w:rPr>
                <w:color w:val="auto"/>
                <w:highlight w:val="none"/>
              </w:rPr>
              <w:t>0.232764</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AF9914">
            <w:pPr>
              <w:pStyle w:val="37"/>
              <w:adjustRightInd w:val="0"/>
              <w:rPr>
                <w:color w:val="auto"/>
                <w:highlight w:val="none"/>
              </w:rPr>
            </w:pPr>
            <w:r>
              <w:rPr>
                <w:color w:val="auto"/>
                <w:highlight w:val="none"/>
              </w:rPr>
              <w:t>0.288815</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90633D">
            <w:pPr>
              <w:pStyle w:val="37"/>
              <w:adjustRightInd w:val="0"/>
              <w:rPr>
                <w:color w:val="auto"/>
                <w:highlight w:val="none"/>
              </w:rPr>
            </w:pPr>
            <w:r>
              <w:rPr>
                <w:color w:val="auto"/>
                <w:highlight w:val="none"/>
              </w:rPr>
              <w:t>0.341431</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3C063C">
            <w:pPr>
              <w:pStyle w:val="37"/>
              <w:adjustRightInd w:val="0"/>
              <w:rPr>
                <w:color w:val="auto"/>
                <w:highlight w:val="none"/>
              </w:rPr>
            </w:pPr>
            <w:r>
              <w:rPr>
                <w:color w:val="auto"/>
                <w:highlight w:val="none"/>
              </w:rPr>
              <w:t>0.574216</w:t>
            </w:r>
          </w:p>
        </w:tc>
      </w:tr>
      <w:tr w14:paraId="2AF782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C0CBA">
            <w:pPr>
              <w:pStyle w:val="37"/>
              <w:adjustRightInd w:val="0"/>
              <w:rPr>
                <w:color w:val="auto"/>
                <w:highlight w:val="none"/>
              </w:rPr>
            </w:pPr>
            <w:r>
              <w:rPr>
                <w:color w:val="auto"/>
                <w:highlight w:val="none"/>
              </w:rPr>
              <w:t>15(km/hr)</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51133C">
            <w:pPr>
              <w:pStyle w:val="37"/>
              <w:adjustRightInd w:val="0"/>
              <w:rPr>
                <w:color w:val="auto"/>
                <w:highlight w:val="none"/>
              </w:rPr>
            </w:pPr>
            <w:r>
              <w:rPr>
                <w:color w:val="auto"/>
                <w:highlight w:val="none"/>
              </w:rPr>
              <w:t>0.153167</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5BD292">
            <w:pPr>
              <w:pStyle w:val="37"/>
              <w:adjustRightInd w:val="0"/>
              <w:rPr>
                <w:color w:val="auto"/>
                <w:highlight w:val="none"/>
              </w:rPr>
            </w:pPr>
            <w:r>
              <w:rPr>
                <w:color w:val="auto"/>
                <w:highlight w:val="none"/>
              </w:rPr>
              <w:t>0.257596</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A9E290">
            <w:pPr>
              <w:pStyle w:val="37"/>
              <w:adjustRightInd w:val="0"/>
              <w:rPr>
                <w:color w:val="auto"/>
                <w:highlight w:val="none"/>
              </w:rPr>
            </w:pPr>
            <w:r>
              <w:rPr>
                <w:color w:val="auto"/>
                <w:highlight w:val="none"/>
              </w:rPr>
              <w:t>0.349146</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6578A4">
            <w:pPr>
              <w:pStyle w:val="37"/>
              <w:adjustRightInd w:val="0"/>
              <w:rPr>
                <w:color w:val="auto"/>
                <w:highlight w:val="none"/>
              </w:rPr>
            </w:pPr>
            <w:r>
              <w:rPr>
                <w:color w:val="auto"/>
                <w:highlight w:val="none"/>
              </w:rPr>
              <w:t>0.433223</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D20C9B">
            <w:pPr>
              <w:pStyle w:val="37"/>
              <w:adjustRightInd w:val="0"/>
              <w:rPr>
                <w:color w:val="auto"/>
                <w:highlight w:val="none"/>
              </w:rPr>
            </w:pPr>
            <w:r>
              <w:rPr>
                <w:color w:val="auto"/>
                <w:highlight w:val="none"/>
              </w:rPr>
              <w:t>0.512146</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A9F20">
            <w:pPr>
              <w:pStyle w:val="37"/>
              <w:adjustRightInd w:val="0"/>
              <w:rPr>
                <w:color w:val="auto"/>
                <w:highlight w:val="none"/>
              </w:rPr>
            </w:pPr>
            <w:r>
              <w:rPr>
                <w:color w:val="auto"/>
                <w:highlight w:val="none"/>
              </w:rPr>
              <w:t>0.861323</w:t>
            </w:r>
          </w:p>
        </w:tc>
      </w:tr>
      <w:tr w14:paraId="684B73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68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7C1F8">
            <w:pPr>
              <w:pStyle w:val="37"/>
              <w:adjustRightInd w:val="0"/>
              <w:rPr>
                <w:color w:val="auto"/>
                <w:highlight w:val="none"/>
              </w:rPr>
            </w:pPr>
            <w:r>
              <w:rPr>
                <w:color w:val="auto"/>
                <w:highlight w:val="none"/>
              </w:rPr>
              <w:t>20(km/hr)</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B93F20">
            <w:pPr>
              <w:pStyle w:val="37"/>
              <w:adjustRightInd w:val="0"/>
              <w:rPr>
                <w:color w:val="auto"/>
                <w:highlight w:val="none"/>
              </w:rPr>
            </w:pPr>
            <w:r>
              <w:rPr>
                <w:color w:val="auto"/>
                <w:highlight w:val="none"/>
              </w:rPr>
              <w:t>0.255279</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B7AE88">
            <w:pPr>
              <w:pStyle w:val="37"/>
              <w:adjustRightInd w:val="0"/>
              <w:rPr>
                <w:color w:val="auto"/>
                <w:highlight w:val="none"/>
              </w:rPr>
            </w:pPr>
            <w:r>
              <w:rPr>
                <w:color w:val="auto"/>
                <w:highlight w:val="none"/>
              </w:rPr>
              <w:t>0.429326</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AF4D35">
            <w:pPr>
              <w:pStyle w:val="37"/>
              <w:adjustRightInd w:val="0"/>
              <w:rPr>
                <w:color w:val="auto"/>
                <w:highlight w:val="none"/>
              </w:rPr>
            </w:pPr>
            <w:r>
              <w:rPr>
                <w:color w:val="auto"/>
                <w:highlight w:val="none"/>
              </w:rPr>
              <w:t>0.58191</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31ADC3">
            <w:pPr>
              <w:pStyle w:val="37"/>
              <w:adjustRightInd w:val="0"/>
              <w:rPr>
                <w:color w:val="auto"/>
                <w:highlight w:val="none"/>
              </w:rPr>
            </w:pPr>
            <w:r>
              <w:rPr>
                <w:color w:val="auto"/>
                <w:highlight w:val="none"/>
              </w:rPr>
              <w:t>0.722038</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E404EF">
            <w:pPr>
              <w:pStyle w:val="37"/>
              <w:adjustRightInd w:val="0"/>
              <w:rPr>
                <w:color w:val="auto"/>
                <w:highlight w:val="none"/>
              </w:rPr>
            </w:pPr>
            <w:r>
              <w:rPr>
                <w:color w:val="auto"/>
                <w:highlight w:val="none"/>
              </w:rPr>
              <w:t>0.853577</w:t>
            </w:r>
          </w:p>
        </w:tc>
        <w:tc>
          <w:tcPr>
            <w:tcW w:w="7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DF84E">
            <w:pPr>
              <w:pStyle w:val="37"/>
              <w:adjustRightInd w:val="0"/>
              <w:rPr>
                <w:color w:val="auto"/>
                <w:highlight w:val="none"/>
              </w:rPr>
            </w:pPr>
            <w:r>
              <w:rPr>
                <w:color w:val="auto"/>
                <w:highlight w:val="none"/>
              </w:rPr>
              <w:t>1.435539</w:t>
            </w:r>
          </w:p>
        </w:tc>
      </w:tr>
    </w:tbl>
    <w:p w14:paraId="31A05A55">
      <w:pPr>
        <w:adjustRightInd w:val="0"/>
        <w:ind w:firstLine="480"/>
        <w:rPr>
          <w:rFonts w:cs="Times New Roman"/>
          <w:color w:val="auto"/>
          <w:highlight w:val="none"/>
        </w:rPr>
      </w:pPr>
      <w:r>
        <w:rPr>
          <w:rFonts w:cs="Times New Roman"/>
          <w:color w:val="auto"/>
          <w:highlight w:val="none"/>
        </w:rPr>
        <w:t>由此可见，在同样路面清洁程度条件下，车速越快，扬尘量越大；而在同样车速情况下，路面越脏，则扬尘量越大。</w:t>
      </w:r>
    </w:p>
    <w:p w14:paraId="6FB63D1A">
      <w:pPr>
        <w:adjustRightInd w:val="0"/>
        <w:ind w:firstLine="482"/>
        <w:rPr>
          <w:rFonts w:cs="Times New Roman"/>
          <w:b/>
          <w:bCs/>
          <w:color w:val="auto"/>
          <w:highlight w:val="none"/>
        </w:rPr>
      </w:pPr>
      <w:r>
        <w:rPr>
          <w:rFonts w:hint="eastAsia" w:cs="Times New Roman"/>
          <w:b/>
          <w:bCs/>
          <w:color w:val="auto"/>
          <w:highlight w:val="none"/>
        </w:rPr>
        <w:t>防治措施：</w:t>
      </w:r>
    </w:p>
    <w:p w14:paraId="3D530090">
      <w:pPr>
        <w:adjustRightInd w:val="0"/>
        <w:ind w:firstLine="480"/>
        <w:rPr>
          <w:rFonts w:cs="Times New Roman"/>
          <w:color w:val="auto"/>
          <w:highlight w:val="none"/>
        </w:rPr>
      </w:pPr>
      <w:r>
        <w:rPr>
          <w:rFonts w:hint="eastAsia" w:cs="Times New Roman"/>
          <w:color w:val="auto"/>
          <w:highlight w:val="none"/>
        </w:rPr>
        <w:t>本项目施工时应参照扬尘整治“六必须”（必须湿法作业、必须打围作业、必须硬化场地、必须设置冲洗设施（设备）、必须配齐保洁人员、必须清扫施工现场）与“六不准”（不准车辆带泥出门、不准运渣车辆超载、不准高空抛洒建渣、不准现场搅拌混凝土、不准场地积水、不准现场焚烧废弃物）来防治施工扬尘。针对本项目，本环评要求采取的具体防治扬尘措施如下：</w:t>
      </w:r>
    </w:p>
    <w:p w14:paraId="3449605E">
      <w:pPr>
        <w:adjustRightInd w:val="0"/>
        <w:ind w:firstLine="480"/>
        <w:rPr>
          <w:rFonts w:cs="Times New Roman"/>
          <w:color w:val="auto"/>
          <w:highlight w:val="none"/>
        </w:rPr>
      </w:pPr>
      <w:r>
        <w:rPr>
          <w:rFonts w:hint="eastAsia" w:cs="Times New Roman"/>
          <w:color w:val="auto"/>
          <w:highlight w:val="none"/>
        </w:rPr>
        <w:t>a在施工过程中，采取围挡、围护以减少扬尘扩散，围挡、围护对减少扬尘对环境的污染有明显作用，在施工现场周围，连续设置不低于1.5m高的彩钢板挡墙。</w:t>
      </w:r>
    </w:p>
    <w:p w14:paraId="7E02B7A2">
      <w:pPr>
        <w:adjustRightInd w:val="0"/>
        <w:ind w:firstLine="480"/>
        <w:rPr>
          <w:rFonts w:cs="Times New Roman"/>
          <w:color w:val="auto"/>
          <w:highlight w:val="none"/>
        </w:rPr>
      </w:pPr>
      <w:r>
        <w:rPr>
          <w:rFonts w:hint="eastAsia" w:cs="Times New Roman"/>
          <w:color w:val="auto"/>
          <w:highlight w:val="none"/>
        </w:rPr>
        <w:t>b在施工场地安排员工定期对施工场地洒水以减少扬尘量，洒水次数根据天气状况而定，一般每天洒水1~2次，若遇到大风或干燥天气可适当增加洒水次数。施工场地洒水与否对扬尘的影响较大，类比同类项目施工场地，场地洒水后，扬尘量将减低28%~75%，大大减少了其对环境的影响，测试数据见下表</w:t>
      </w:r>
      <w:r>
        <w:rPr>
          <w:rFonts w:cs="Times New Roman"/>
          <w:color w:val="auto"/>
          <w:highlight w:val="none"/>
        </w:rPr>
        <w:t>。</w:t>
      </w:r>
    </w:p>
    <w:p w14:paraId="494BB89D">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highlight w:val="none"/>
        </w:rPr>
        <w:t>洒水降尘测试效果</w:t>
      </w:r>
    </w:p>
    <w:tbl>
      <w:tblPr>
        <w:tblStyle w:val="81"/>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450"/>
        <w:gridCol w:w="1259"/>
        <w:gridCol w:w="1270"/>
        <w:gridCol w:w="1266"/>
        <w:gridCol w:w="1266"/>
        <w:gridCol w:w="1272"/>
        <w:gridCol w:w="1272"/>
      </w:tblGrid>
      <w:tr w14:paraId="0C670E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 w:hRule="atLeast"/>
          <w:tblHeader/>
        </w:trPr>
        <w:tc>
          <w:tcPr>
            <w:tcW w:w="1496" w:type="pct"/>
            <w:gridSpan w:val="2"/>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8F63520">
            <w:pPr>
              <w:pStyle w:val="37"/>
              <w:adjustRightInd w:val="0"/>
              <w:rPr>
                <w:b/>
                <w:bCs/>
                <w:color w:val="auto"/>
                <w:highlight w:val="none"/>
              </w:rPr>
            </w:pPr>
            <w:r>
              <w:rPr>
                <w:b/>
                <w:bCs/>
                <w:color w:val="auto"/>
                <w:highlight w:val="none"/>
              </w:rPr>
              <w:t>距离（m）</w:t>
            </w:r>
          </w:p>
        </w:tc>
        <w:tc>
          <w:tcPr>
            <w:tcW w:w="7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610184">
            <w:pPr>
              <w:pStyle w:val="37"/>
              <w:adjustRightInd w:val="0"/>
              <w:rPr>
                <w:b/>
                <w:bCs/>
                <w:color w:val="auto"/>
                <w:highlight w:val="none"/>
              </w:rPr>
            </w:pPr>
            <w:r>
              <w:rPr>
                <w:b/>
                <w:bCs/>
                <w:color w:val="auto"/>
                <w:highlight w:val="none"/>
              </w:rPr>
              <w:t>0</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83E637">
            <w:pPr>
              <w:pStyle w:val="37"/>
              <w:adjustRightInd w:val="0"/>
              <w:rPr>
                <w:b/>
                <w:bCs/>
                <w:color w:val="auto"/>
                <w:highlight w:val="none"/>
              </w:rPr>
            </w:pPr>
            <w:r>
              <w:rPr>
                <w:b/>
                <w:bCs/>
                <w:color w:val="auto"/>
                <w:highlight w:val="none"/>
              </w:rPr>
              <w:t>20</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3ADD6">
            <w:pPr>
              <w:pStyle w:val="37"/>
              <w:adjustRightInd w:val="0"/>
              <w:rPr>
                <w:b/>
                <w:bCs/>
                <w:color w:val="auto"/>
                <w:highlight w:val="none"/>
              </w:rPr>
            </w:pPr>
            <w:r>
              <w:rPr>
                <w:b/>
                <w:bCs/>
                <w:color w:val="auto"/>
                <w:highlight w:val="none"/>
              </w:rPr>
              <w:t>50</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D0CD20">
            <w:pPr>
              <w:pStyle w:val="37"/>
              <w:adjustRightInd w:val="0"/>
              <w:rPr>
                <w:b/>
                <w:bCs/>
                <w:color w:val="auto"/>
                <w:highlight w:val="none"/>
              </w:rPr>
            </w:pPr>
            <w:r>
              <w:rPr>
                <w:b/>
                <w:bCs/>
                <w:color w:val="auto"/>
                <w:highlight w:val="none"/>
              </w:rPr>
              <w:t>100</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A0B10">
            <w:pPr>
              <w:pStyle w:val="37"/>
              <w:adjustRightInd w:val="0"/>
              <w:rPr>
                <w:b/>
                <w:bCs/>
                <w:color w:val="auto"/>
                <w:highlight w:val="none"/>
              </w:rPr>
            </w:pPr>
            <w:r>
              <w:rPr>
                <w:b/>
                <w:bCs/>
                <w:color w:val="auto"/>
                <w:highlight w:val="none"/>
              </w:rPr>
              <w:t>200</w:t>
            </w:r>
          </w:p>
        </w:tc>
      </w:tr>
      <w:tr w14:paraId="6BBFD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8A031A0">
            <w:pPr>
              <w:pStyle w:val="37"/>
              <w:adjustRightInd w:val="0"/>
              <w:rPr>
                <w:color w:val="auto"/>
                <w:highlight w:val="none"/>
              </w:rPr>
            </w:pPr>
            <w:r>
              <w:rPr>
                <w:color w:val="auto"/>
                <w:highlight w:val="none"/>
              </w:rPr>
              <w:t>TSP（mg/m</w:t>
            </w:r>
            <w:r>
              <w:rPr>
                <w:color w:val="auto"/>
                <w:highlight w:val="none"/>
                <w:vertAlign w:val="superscript"/>
              </w:rPr>
              <w:t>3</w:t>
            </w:r>
            <w:r>
              <w:rPr>
                <w:color w:val="auto"/>
                <w:highlight w:val="none"/>
              </w:rPr>
              <w:t>）</w:t>
            </w:r>
          </w:p>
        </w:tc>
        <w:tc>
          <w:tcPr>
            <w:tcW w:w="6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9CA768">
            <w:pPr>
              <w:pStyle w:val="37"/>
              <w:adjustRightInd w:val="0"/>
              <w:rPr>
                <w:color w:val="auto"/>
                <w:highlight w:val="none"/>
              </w:rPr>
            </w:pPr>
            <w:r>
              <w:rPr>
                <w:color w:val="auto"/>
                <w:highlight w:val="none"/>
              </w:rPr>
              <w:t>不洒水</w:t>
            </w:r>
          </w:p>
        </w:tc>
        <w:tc>
          <w:tcPr>
            <w:tcW w:w="7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CF2A47">
            <w:pPr>
              <w:pStyle w:val="37"/>
              <w:adjustRightInd w:val="0"/>
              <w:rPr>
                <w:color w:val="auto"/>
                <w:highlight w:val="none"/>
              </w:rPr>
            </w:pPr>
            <w:r>
              <w:rPr>
                <w:color w:val="auto"/>
                <w:highlight w:val="none"/>
              </w:rPr>
              <w:t>11.03</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95DC67">
            <w:pPr>
              <w:pStyle w:val="37"/>
              <w:adjustRightInd w:val="0"/>
              <w:rPr>
                <w:color w:val="auto"/>
                <w:highlight w:val="none"/>
              </w:rPr>
            </w:pPr>
            <w:r>
              <w:rPr>
                <w:color w:val="auto"/>
                <w:highlight w:val="none"/>
              </w:rPr>
              <w:t>2.89</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3549DE">
            <w:pPr>
              <w:pStyle w:val="37"/>
              <w:adjustRightInd w:val="0"/>
              <w:rPr>
                <w:color w:val="auto"/>
                <w:highlight w:val="none"/>
              </w:rPr>
            </w:pPr>
            <w:r>
              <w:rPr>
                <w:color w:val="auto"/>
                <w:highlight w:val="none"/>
              </w:rPr>
              <w:t>1.15</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F733C">
            <w:pPr>
              <w:pStyle w:val="37"/>
              <w:adjustRightInd w:val="0"/>
              <w:rPr>
                <w:color w:val="auto"/>
                <w:highlight w:val="none"/>
              </w:rPr>
            </w:pPr>
            <w:r>
              <w:rPr>
                <w:color w:val="auto"/>
                <w:highlight w:val="none"/>
              </w:rPr>
              <w:t>0.86</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D4975D">
            <w:pPr>
              <w:pStyle w:val="37"/>
              <w:adjustRightInd w:val="0"/>
              <w:rPr>
                <w:color w:val="auto"/>
                <w:highlight w:val="none"/>
              </w:rPr>
            </w:pPr>
            <w:r>
              <w:rPr>
                <w:color w:val="auto"/>
                <w:highlight w:val="none"/>
              </w:rPr>
              <w:t>0.56</w:t>
            </w:r>
          </w:p>
        </w:tc>
      </w:tr>
      <w:tr w14:paraId="3289D5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0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D25289">
            <w:pPr>
              <w:pStyle w:val="37"/>
              <w:adjustRightInd w:val="0"/>
              <w:rPr>
                <w:color w:val="auto"/>
                <w:highlight w:val="none"/>
              </w:rPr>
            </w:pPr>
          </w:p>
        </w:tc>
        <w:tc>
          <w:tcPr>
            <w:tcW w:w="6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B5290F">
            <w:pPr>
              <w:pStyle w:val="37"/>
              <w:adjustRightInd w:val="0"/>
              <w:rPr>
                <w:color w:val="auto"/>
                <w:highlight w:val="none"/>
              </w:rPr>
            </w:pPr>
            <w:r>
              <w:rPr>
                <w:color w:val="auto"/>
                <w:highlight w:val="none"/>
              </w:rPr>
              <w:t>洒水</w:t>
            </w:r>
          </w:p>
        </w:tc>
        <w:tc>
          <w:tcPr>
            <w:tcW w:w="70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515BD">
            <w:pPr>
              <w:pStyle w:val="37"/>
              <w:adjustRightInd w:val="0"/>
              <w:rPr>
                <w:color w:val="auto"/>
                <w:highlight w:val="none"/>
              </w:rPr>
            </w:pPr>
            <w:r>
              <w:rPr>
                <w:color w:val="auto"/>
                <w:highlight w:val="none"/>
              </w:rPr>
              <w:t>2.11</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4FE614">
            <w:pPr>
              <w:pStyle w:val="37"/>
              <w:adjustRightInd w:val="0"/>
              <w:rPr>
                <w:color w:val="auto"/>
                <w:highlight w:val="none"/>
              </w:rPr>
            </w:pPr>
            <w:r>
              <w:rPr>
                <w:color w:val="auto"/>
                <w:highlight w:val="none"/>
              </w:rPr>
              <w:t>1.40</w:t>
            </w:r>
          </w:p>
        </w:tc>
        <w:tc>
          <w:tcPr>
            <w:tcW w:w="6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A4ED5">
            <w:pPr>
              <w:pStyle w:val="37"/>
              <w:adjustRightInd w:val="0"/>
              <w:rPr>
                <w:color w:val="auto"/>
                <w:highlight w:val="none"/>
              </w:rPr>
            </w:pPr>
            <w:r>
              <w:rPr>
                <w:color w:val="auto"/>
                <w:highlight w:val="none"/>
              </w:rPr>
              <w:t>0.68</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EEF262">
            <w:pPr>
              <w:pStyle w:val="37"/>
              <w:adjustRightInd w:val="0"/>
              <w:rPr>
                <w:color w:val="auto"/>
                <w:highlight w:val="none"/>
              </w:rPr>
            </w:pPr>
            <w:r>
              <w:rPr>
                <w:color w:val="auto"/>
                <w:highlight w:val="none"/>
              </w:rPr>
              <w:t>0.40</w:t>
            </w:r>
          </w:p>
        </w:tc>
        <w:tc>
          <w:tcPr>
            <w:tcW w:w="70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D56B7F">
            <w:pPr>
              <w:pStyle w:val="37"/>
              <w:adjustRightInd w:val="0"/>
              <w:rPr>
                <w:color w:val="auto"/>
                <w:highlight w:val="none"/>
              </w:rPr>
            </w:pPr>
            <w:r>
              <w:rPr>
                <w:color w:val="auto"/>
                <w:highlight w:val="none"/>
              </w:rPr>
              <w:t>0.29</w:t>
            </w:r>
          </w:p>
        </w:tc>
      </w:tr>
    </w:tbl>
    <w:p w14:paraId="6CCDC52F">
      <w:pPr>
        <w:adjustRightInd w:val="0"/>
        <w:ind w:firstLine="480"/>
        <w:rPr>
          <w:rFonts w:cs="Times New Roman"/>
          <w:color w:val="auto"/>
          <w:highlight w:val="none"/>
        </w:rPr>
      </w:pPr>
      <w:r>
        <w:rPr>
          <w:rFonts w:hint="eastAsia" w:cs="Times New Roman"/>
          <w:color w:val="auto"/>
          <w:highlight w:val="none"/>
        </w:rPr>
        <w:t>c针对施工任务和施工场地环境状况，制定合理的施工计划，采取集中力量逐段施工方法，缩短施工周期，减少施工现场的工作面，减轻施工扬尘对环境的影响。</w:t>
      </w:r>
    </w:p>
    <w:p w14:paraId="2D128F51">
      <w:pPr>
        <w:adjustRightInd w:val="0"/>
        <w:ind w:firstLine="480"/>
        <w:rPr>
          <w:rFonts w:cs="Times New Roman"/>
          <w:color w:val="auto"/>
          <w:highlight w:val="none"/>
        </w:rPr>
      </w:pPr>
      <w:r>
        <w:rPr>
          <w:rFonts w:hint="eastAsia" w:cs="Times New Roman"/>
          <w:color w:val="auto"/>
          <w:highlight w:val="none"/>
        </w:rPr>
        <w:t>d为了减少工程扬尘对周围环境的影响，建议施工中遇到天气起风的情况下，对弃土表面洒水，防止扬尘。</w:t>
      </w:r>
    </w:p>
    <w:p w14:paraId="3C10D7FD">
      <w:pPr>
        <w:adjustRightInd w:val="0"/>
        <w:ind w:firstLine="480"/>
        <w:rPr>
          <w:rFonts w:cs="Times New Roman"/>
          <w:color w:val="auto"/>
          <w:highlight w:val="none"/>
        </w:rPr>
      </w:pPr>
      <w:r>
        <w:rPr>
          <w:rFonts w:hint="eastAsia" w:cs="Times New Roman"/>
          <w:color w:val="auto"/>
          <w:highlight w:val="none"/>
        </w:rPr>
        <w:t>e施工车辆采取篷布加盖措施。</w:t>
      </w:r>
    </w:p>
    <w:p w14:paraId="6D3ADC46">
      <w:pPr>
        <w:adjustRightInd w:val="0"/>
        <w:ind w:firstLine="480"/>
        <w:rPr>
          <w:rFonts w:cs="Times New Roman"/>
          <w:color w:val="auto"/>
          <w:highlight w:val="none"/>
        </w:rPr>
      </w:pPr>
      <w:r>
        <w:rPr>
          <w:rFonts w:hint="eastAsia" w:cs="Times New Roman"/>
          <w:color w:val="auto"/>
          <w:highlight w:val="none"/>
        </w:rPr>
        <w:t>f施工车辆及运输车辆在驶出施工区前，轮胎需作清泥除尘处理，不得将泥土尘土带出工地。</w:t>
      </w:r>
    </w:p>
    <w:p w14:paraId="062161B2">
      <w:pPr>
        <w:adjustRightInd w:val="0"/>
        <w:ind w:firstLine="480"/>
        <w:rPr>
          <w:rFonts w:cs="Times New Roman"/>
          <w:color w:val="auto"/>
          <w:highlight w:val="none"/>
        </w:rPr>
      </w:pPr>
      <w:r>
        <w:rPr>
          <w:rFonts w:hint="eastAsia" w:cs="Times New Roman"/>
          <w:color w:val="auto"/>
          <w:highlight w:val="none"/>
        </w:rPr>
        <w:t>g在施工场地上设置专人负责弃土、建筑垃圾、建筑材料的处置、清运和堆放，堆放场地加盖篷布或洒水，防止二次扬尘。</w:t>
      </w:r>
    </w:p>
    <w:p w14:paraId="49AD8B4E">
      <w:pPr>
        <w:adjustRightInd w:val="0"/>
        <w:ind w:firstLine="480"/>
        <w:rPr>
          <w:rFonts w:cs="Times New Roman"/>
          <w:color w:val="auto"/>
          <w:highlight w:val="none"/>
        </w:rPr>
      </w:pPr>
      <w:r>
        <w:rPr>
          <w:rFonts w:hint="eastAsia" w:cs="Times New Roman"/>
          <w:color w:val="auto"/>
          <w:highlight w:val="none"/>
        </w:rPr>
        <w:t>h对建筑垃圾及弃土应及时处理、清运、以减少占地，防止扬尘污染，改善施工场地的环境</w:t>
      </w:r>
      <w:r>
        <w:rPr>
          <w:rFonts w:cs="Times New Roman"/>
          <w:color w:val="auto"/>
          <w:highlight w:val="none"/>
        </w:rPr>
        <w:t>。</w:t>
      </w:r>
    </w:p>
    <w:p w14:paraId="21C61E88">
      <w:pPr>
        <w:adjustRightInd w:val="0"/>
        <w:ind w:firstLine="482"/>
        <w:rPr>
          <w:rFonts w:cs="Times New Roman"/>
          <w:b/>
          <w:bCs/>
          <w:color w:val="auto"/>
          <w:highlight w:val="none"/>
        </w:rPr>
      </w:pPr>
      <w:r>
        <w:rPr>
          <w:rFonts w:cs="Times New Roman"/>
          <w:b/>
          <w:bCs/>
          <w:color w:val="auto"/>
          <w:highlight w:val="none"/>
        </w:rPr>
        <w:t>（2）汽车运输和施工机具尾气</w:t>
      </w:r>
    </w:p>
    <w:p w14:paraId="488E1029">
      <w:pPr>
        <w:adjustRightInd w:val="0"/>
        <w:ind w:firstLine="480"/>
        <w:rPr>
          <w:rFonts w:cs="Times New Roman"/>
          <w:color w:val="auto"/>
          <w:highlight w:val="none"/>
        </w:rPr>
      </w:pPr>
      <w:r>
        <w:rPr>
          <w:rFonts w:hint="eastAsia" w:cs="Times New Roman"/>
          <w:color w:val="auto"/>
          <w:highlight w:val="none"/>
        </w:rPr>
        <w:t>运输车辆和燃油施工机具在运输过程和施工过程中会排放一定数量的废气，污染物以NOx、CO和烃类为主。本项目汽车运输和施工机具尾气主要对作业点周围和运输路线两侧局部范围产生影响。</w:t>
      </w:r>
    </w:p>
    <w:p w14:paraId="0D0EDD0C">
      <w:pPr>
        <w:adjustRightInd w:val="0"/>
        <w:ind w:firstLine="482"/>
        <w:rPr>
          <w:rFonts w:cs="Times New Roman"/>
          <w:b/>
          <w:bCs/>
          <w:color w:val="auto"/>
          <w:highlight w:val="none"/>
        </w:rPr>
      </w:pPr>
      <w:r>
        <w:rPr>
          <w:rFonts w:hint="eastAsia" w:cs="Times New Roman"/>
          <w:b/>
          <w:bCs/>
          <w:color w:val="auto"/>
          <w:highlight w:val="none"/>
        </w:rPr>
        <w:t>防治措施：</w:t>
      </w:r>
    </w:p>
    <w:p w14:paraId="0E42DB45">
      <w:pPr>
        <w:adjustRightInd w:val="0"/>
        <w:ind w:firstLine="480"/>
        <w:rPr>
          <w:rFonts w:cs="Times New Roman"/>
          <w:color w:val="auto"/>
          <w:highlight w:val="none"/>
        </w:rPr>
      </w:pPr>
      <w:r>
        <w:rPr>
          <w:rFonts w:hint="eastAsia" w:cs="Times New Roman"/>
          <w:color w:val="auto"/>
          <w:highlight w:val="none"/>
        </w:rPr>
        <w:t>a加强施工机械的保养维护，提高机械的正常使用率。</w:t>
      </w:r>
    </w:p>
    <w:p w14:paraId="35E2AB9A">
      <w:pPr>
        <w:adjustRightInd w:val="0"/>
        <w:ind w:firstLine="480"/>
        <w:rPr>
          <w:rFonts w:cs="Times New Roman"/>
          <w:color w:val="auto"/>
          <w:highlight w:val="none"/>
        </w:rPr>
      </w:pPr>
      <w:r>
        <w:rPr>
          <w:rFonts w:hint="eastAsia" w:cs="Times New Roman"/>
          <w:color w:val="auto"/>
          <w:highlight w:val="none"/>
        </w:rPr>
        <w:t>b加强对机械、车辆的维修保养，禁止以柴油为燃料的施工机械超负荷工作，减少烟度和颗粒物排放。</w:t>
      </w:r>
    </w:p>
    <w:p w14:paraId="53DDFC00">
      <w:pPr>
        <w:adjustRightInd w:val="0"/>
        <w:ind w:firstLine="480"/>
        <w:rPr>
          <w:rFonts w:cs="Times New Roman"/>
          <w:color w:val="auto"/>
          <w:highlight w:val="none"/>
        </w:rPr>
      </w:pPr>
      <w:r>
        <w:rPr>
          <w:rFonts w:hint="eastAsia" w:cs="Times New Roman"/>
          <w:color w:val="auto"/>
          <w:highlight w:val="none"/>
        </w:rPr>
        <w:t>c动力机械多选择使用电动工具，严格控制内燃机械的使用，场内施工内燃机械(如铲车、挖掘机、发电机等)安置有效的空气滤清装置，并定期清理。</w:t>
      </w:r>
    </w:p>
    <w:p w14:paraId="061969AA">
      <w:pPr>
        <w:adjustRightInd w:val="0"/>
        <w:ind w:firstLine="480"/>
        <w:rPr>
          <w:rFonts w:cs="Times New Roman"/>
          <w:color w:val="auto"/>
          <w:highlight w:val="none"/>
        </w:rPr>
      </w:pPr>
      <w:r>
        <w:rPr>
          <w:rFonts w:hint="eastAsia" w:cs="Times New Roman"/>
          <w:color w:val="auto"/>
          <w:highlight w:val="none"/>
        </w:rPr>
        <w:t>d禁止使用废气排放超标的车辆。</w:t>
      </w:r>
    </w:p>
    <w:p w14:paraId="17F7542F">
      <w:pPr>
        <w:adjustRightInd w:val="0"/>
        <w:ind w:firstLine="480"/>
        <w:rPr>
          <w:rFonts w:cs="Times New Roman"/>
          <w:color w:val="auto"/>
          <w:highlight w:val="none"/>
        </w:rPr>
      </w:pPr>
      <w:r>
        <w:rPr>
          <w:rFonts w:hint="eastAsia" w:cs="Times New Roman"/>
          <w:color w:val="auto"/>
          <w:highlight w:val="none"/>
        </w:rPr>
        <w:t>综上所述，项目施工期将会对项目所在地以及周边的敏感点环境空气质量造成一定影响，扬尘主要影响范围在扬尘点下风向50m范围内，根据现场勘查，本项目200m范围内无居民等敏感点分布，本环评同时要求加强洒水降尘方式以减小对周边环境影响，随着施工期的结束扬尘对周边环境影响也会结束。</w:t>
      </w:r>
    </w:p>
    <w:p w14:paraId="0665561C">
      <w:pPr>
        <w:adjustRightInd w:val="0"/>
        <w:ind w:firstLine="480"/>
        <w:rPr>
          <w:rFonts w:cs="Times New Roman"/>
          <w:color w:val="auto"/>
          <w:highlight w:val="none"/>
        </w:rPr>
      </w:pPr>
      <w:r>
        <w:rPr>
          <w:rFonts w:hint="eastAsia" w:cs="Times New Roman"/>
          <w:color w:val="auto"/>
          <w:highlight w:val="none"/>
        </w:rPr>
        <w:t>因此，项目施工期不会对项目所在地环境空气质量造成明显影响</w:t>
      </w:r>
      <w:r>
        <w:rPr>
          <w:rFonts w:cs="Times New Roman"/>
          <w:color w:val="auto"/>
          <w:highlight w:val="none"/>
        </w:rPr>
        <w:t>。</w:t>
      </w:r>
    </w:p>
    <w:p w14:paraId="78A52B23">
      <w:pPr>
        <w:pStyle w:val="4"/>
        <w:adjustRightInd w:val="0"/>
        <w:rPr>
          <w:rFonts w:cs="Times New Roman"/>
          <w:color w:val="auto"/>
          <w:highlight w:val="none"/>
        </w:rPr>
      </w:pPr>
      <w:bookmarkStart w:id="178" w:name="_Toc17411"/>
      <w:r>
        <w:rPr>
          <w:rFonts w:cs="Times New Roman"/>
          <w:color w:val="auto"/>
          <w:highlight w:val="none"/>
        </w:rPr>
        <w:t>施工期地表水环境</w:t>
      </w:r>
      <w:r>
        <w:rPr>
          <w:rFonts w:hint="eastAsia" w:cs="Times New Roman"/>
          <w:color w:val="auto"/>
          <w:highlight w:val="none"/>
        </w:rPr>
        <w:t>影响分析</w:t>
      </w:r>
      <w:bookmarkEnd w:id="178"/>
    </w:p>
    <w:p w14:paraId="7374DC0B">
      <w:pPr>
        <w:adjustRightInd w:val="0"/>
        <w:ind w:firstLine="480"/>
        <w:rPr>
          <w:rFonts w:cs="Times New Roman"/>
          <w:color w:val="auto"/>
          <w:highlight w:val="none"/>
        </w:rPr>
      </w:pPr>
      <w:r>
        <w:rPr>
          <w:rFonts w:hint="eastAsia" w:cs="Times New Roman"/>
          <w:color w:val="auto"/>
          <w:highlight w:val="none"/>
        </w:rPr>
        <w:t>施工期产生的废水主要包括施工废水和施工人员的生活污水。</w:t>
      </w:r>
    </w:p>
    <w:p w14:paraId="652A756D">
      <w:pPr>
        <w:adjustRightInd w:val="0"/>
        <w:ind w:firstLine="482"/>
        <w:rPr>
          <w:rFonts w:cs="Times New Roman"/>
          <w:b/>
          <w:bCs/>
          <w:color w:val="auto"/>
          <w:highlight w:val="none"/>
        </w:rPr>
      </w:pPr>
      <w:r>
        <w:rPr>
          <w:rFonts w:hint="eastAsia" w:cs="Times New Roman"/>
          <w:b/>
          <w:bCs/>
          <w:color w:val="auto"/>
          <w:highlight w:val="none"/>
        </w:rPr>
        <w:t>（1）施工废水</w:t>
      </w:r>
    </w:p>
    <w:p w14:paraId="28E7B1F0">
      <w:pPr>
        <w:adjustRightInd w:val="0"/>
        <w:ind w:firstLine="480"/>
        <w:rPr>
          <w:rFonts w:cs="Times New Roman"/>
          <w:color w:val="auto"/>
          <w:highlight w:val="none"/>
        </w:rPr>
      </w:pPr>
      <w:r>
        <w:rPr>
          <w:rFonts w:hint="eastAsia" w:cs="Times New Roman"/>
          <w:color w:val="auto"/>
          <w:highlight w:val="none"/>
        </w:rPr>
        <w:t>施工废水主要来自车辆冲洗废水，该类废水含大量泥沙，悬浮物浓度较高；另外雨季作业场地的地面径流水含有一定的泥土和高浓度的悬浮物。针对本项目施工废水特点，环评要求施工单位在施工现场设置废水沉淀池等处理设施，废水经沉淀处理后回用，不排放。</w:t>
      </w:r>
    </w:p>
    <w:p w14:paraId="5BA207C5">
      <w:pPr>
        <w:adjustRightInd w:val="0"/>
        <w:ind w:firstLine="482"/>
        <w:rPr>
          <w:rFonts w:cs="Times New Roman"/>
          <w:b/>
          <w:bCs/>
          <w:color w:val="auto"/>
          <w:highlight w:val="none"/>
        </w:rPr>
      </w:pPr>
      <w:r>
        <w:rPr>
          <w:rFonts w:hint="eastAsia" w:cs="Times New Roman"/>
          <w:b/>
          <w:bCs/>
          <w:color w:val="auto"/>
          <w:highlight w:val="none"/>
        </w:rPr>
        <w:t>（2）生活污水</w:t>
      </w:r>
    </w:p>
    <w:p w14:paraId="72110A9F">
      <w:pPr>
        <w:adjustRightInd w:val="0"/>
        <w:ind w:firstLine="480"/>
        <w:rPr>
          <w:rFonts w:cs="Times New Roman"/>
          <w:color w:val="auto"/>
          <w:highlight w:val="none"/>
        </w:rPr>
      </w:pPr>
      <w:r>
        <w:rPr>
          <w:rFonts w:hint="eastAsia" w:cs="Times New Roman"/>
          <w:color w:val="auto"/>
          <w:highlight w:val="none"/>
        </w:rPr>
        <w:t>施工期生活污水依托项目周边企业居民房化粪池处理后排入园区污水管网，严禁随意排放，以免污染附近水体。</w:t>
      </w:r>
    </w:p>
    <w:p w14:paraId="12D171D9">
      <w:pPr>
        <w:adjustRightInd w:val="0"/>
        <w:ind w:firstLine="480"/>
        <w:rPr>
          <w:rFonts w:cs="Times New Roman"/>
          <w:color w:val="auto"/>
          <w:highlight w:val="none"/>
        </w:rPr>
      </w:pPr>
      <w:r>
        <w:rPr>
          <w:rFonts w:hint="eastAsia" w:cs="Times New Roman"/>
          <w:color w:val="auto"/>
          <w:highlight w:val="none"/>
        </w:rPr>
        <w:t>因此，施工期间加强管理，使施工废水和生活污水均得到妥善处理，废水不会对区域地表水造成环境影响</w:t>
      </w:r>
      <w:r>
        <w:rPr>
          <w:rFonts w:cs="Times New Roman"/>
          <w:color w:val="auto"/>
          <w:highlight w:val="none"/>
        </w:rPr>
        <w:t>。</w:t>
      </w:r>
    </w:p>
    <w:p w14:paraId="08093D85">
      <w:pPr>
        <w:pStyle w:val="4"/>
        <w:adjustRightInd w:val="0"/>
        <w:rPr>
          <w:rFonts w:cs="Times New Roman"/>
          <w:color w:val="auto"/>
          <w:highlight w:val="none"/>
        </w:rPr>
      </w:pPr>
      <w:bookmarkStart w:id="179" w:name="_Toc1205"/>
      <w:r>
        <w:rPr>
          <w:rFonts w:cs="Times New Roman"/>
          <w:color w:val="auto"/>
          <w:highlight w:val="none"/>
        </w:rPr>
        <w:t>施工期声环境</w:t>
      </w:r>
      <w:r>
        <w:rPr>
          <w:rFonts w:hint="eastAsia" w:cs="Times New Roman"/>
          <w:color w:val="auto"/>
          <w:highlight w:val="none"/>
        </w:rPr>
        <w:t>影响分析</w:t>
      </w:r>
      <w:bookmarkEnd w:id="179"/>
    </w:p>
    <w:p w14:paraId="6589C6D2">
      <w:pPr>
        <w:adjustRightInd w:val="0"/>
        <w:ind w:firstLine="480"/>
        <w:rPr>
          <w:rFonts w:cs="Times New Roman"/>
          <w:color w:val="auto"/>
          <w:highlight w:val="none"/>
        </w:rPr>
      </w:pPr>
      <w:r>
        <w:rPr>
          <w:rFonts w:cs="Times New Roman"/>
          <w:color w:val="auto"/>
          <w:highlight w:val="none"/>
        </w:rPr>
        <w:t>（1）主要声源</w:t>
      </w:r>
    </w:p>
    <w:p w14:paraId="719D4645">
      <w:pPr>
        <w:adjustRightInd w:val="0"/>
        <w:ind w:firstLine="480"/>
        <w:rPr>
          <w:rFonts w:cs="Times New Roman"/>
          <w:color w:val="auto"/>
          <w:highlight w:val="none"/>
        </w:rPr>
      </w:pPr>
      <w:r>
        <w:rPr>
          <w:rFonts w:cs="Times New Roman"/>
          <w:color w:val="auto"/>
          <w:highlight w:val="none"/>
        </w:rPr>
        <w:t>施工期间，施工用机械设备有：挖掘机</w:t>
      </w:r>
      <w:r>
        <w:rPr>
          <w:rFonts w:hint="eastAsia" w:cs="Times New Roman"/>
          <w:color w:val="auto"/>
          <w:highlight w:val="none"/>
        </w:rPr>
        <w:t>、</w:t>
      </w:r>
      <w:r>
        <w:rPr>
          <w:rFonts w:cs="Times New Roman"/>
          <w:color w:val="auto"/>
          <w:highlight w:val="none"/>
        </w:rPr>
        <w:t>打桩机</w:t>
      </w:r>
      <w:r>
        <w:rPr>
          <w:rFonts w:hint="eastAsia" w:cs="Times New Roman"/>
          <w:color w:val="auto"/>
          <w:highlight w:val="none"/>
        </w:rPr>
        <w:t>、</w:t>
      </w:r>
      <w:r>
        <w:rPr>
          <w:rFonts w:cs="Times New Roman"/>
          <w:color w:val="auto"/>
          <w:highlight w:val="none"/>
        </w:rPr>
        <w:t>摇臂式起重机</w:t>
      </w:r>
      <w:r>
        <w:rPr>
          <w:rFonts w:hint="eastAsia" w:cs="Times New Roman"/>
          <w:color w:val="auto"/>
          <w:highlight w:val="none"/>
        </w:rPr>
        <w:t>、</w:t>
      </w:r>
      <w:r>
        <w:rPr>
          <w:rFonts w:cs="Times New Roman"/>
          <w:color w:val="auto"/>
          <w:highlight w:val="none"/>
        </w:rPr>
        <w:t>推土机</w:t>
      </w:r>
      <w:r>
        <w:rPr>
          <w:rFonts w:hint="eastAsia" w:cs="Times New Roman"/>
          <w:color w:val="auto"/>
          <w:highlight w:val="none"/>
        </w:rPr>
        <w:t>、</w:t>
      </w:r>
      <w:r>
        <w:rPr>
          <w:rFonts w:cs="Times New Roman"/>
          <w:color w:val="auto"/>
          <w:highlight w:val="none"/>
        </w:rPr>
        <w:t>空压机</w:t>
      </w:r>
      <w:r>
        <w:rPr>
          <w:rFonts w:hint="eastAsia" w:cs="Times New Roman"/>
          <w:color w:val="auto"/>
          <w:highlight w:val="none"/>
        </w:rPr>
        <w:t>、</w:t>
      </w:r>
      <w:r>
        <w:rPr>
          <w:rFonts w:cs="Times New Roman"/>
          <w:color w:val="auto"/>
          <w:highlight w:val="none"/>
        </w:rPr>
        <w:t>电锤、电锯以及运送建材、渣土的载重汽车等，均属强噪声源，这些设备的噪声对周围环境影响较大，其中打桩机等产噪设备影响范围可达100m。另外，运输建材、渣土的重型卡车也将增大周围道路的交通噪声，这类卡车进场声级达90dB(A)以上，特别是在夜间运输时，如无严格的控制管理措施，将严重影响周围的声环境。部分施工机械噪声影响程度及范围详见下表。</w:t>
      </w:r>
    </w:p>
    <w:p w14:paraId="399DB90E">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highlight w:val="none"/>
        </w:rPr>
        <w:t>部分施工机械噪声影响程度及范围</w:t>
      </w:r>
    </w:p>
    <w:tbl>
      <w:tblPr>
        <w:tblStyle w:val="81"/>
        <w:tblW w:w="512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196"/>
        <w:gridCol w:w="1363"/>
        <w:gridCol w:w="1516"/>
        <w:gridCol w:w="1667"/>
        <w:gridCol w:w="1667"/>
        <w:gridCol w:w="1668"/>
      </w:tblGrid>
      <w:tr w14:paraId="72A7E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659"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72D12ED1">
            <w:pPr>
              <w:pStyle w:val="37"/>
              <w:adjustRightInd w:val="0"/>
              <w:rPr>
                <w:b/>
                <w:bCs/>
                <w:color w:val="auto"/>
                <w:highlight w:val="none"/>
              </w:rPr>
            </w:pPr>
            <w:r>
              <w:rPr>
                <w:b/>
                <w:bCs/>
                <w:color w:val="auto"/>
                <w:highlight w:val="none"/>
              </w:rPr>
              <w:t>设备名称</w:t>
            </w:r>
          </w:p>
        </w:tc>
        <w:tc>
          <w:tcPr>
            <w:tcW w:w="4341" w:type="pct"/>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5DFDF4DF">
            <w:pPr>
              <w:pStyle w:val="37"/>
              <w:adjustRightInd w:val="0"/>
              <w:rPr>
                <w:b/>
                <w:bCs/>
                <w:color w:val="auto"/>
                <w:highlight w:val="none"/>
              </w:rPr>
            </w:pPr>
            <w:r>
              <w:rPr>
                <w:b/>
                <w:bCs/>
                <w:color w:val="auto"/>
                <w:highlight w:val="none"/>
              </w:rPr>
              <w:t>平均A声级dB(A)</w:t>
            </w:r>
          </w:p>
        </w:tc>
      </w:tr>
      <w:tr w14:paraId="6C6487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blHeader/>
        </w:trPr>
        <w:tc>
          <w:tcPr>
            <w:tcW w:w="659"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F3DBDA0">
            <w:pPr>
              <w:pStyle w:val="37"/>
              <w:adjustRightInd w:val="0"/>
              <w:rPr>
                <w:b/>
                <w:bCs/>
                <w:color w:val="auto"/>
                <w:highlight w:val="none"/>
              </w:rPr>
            </w:pP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07C10">
            <w:pPr>
              <w:pStyle w:val="37"/>
              <w:adjustRightInd w:val="0"/>
              <w:rPr>
                <w:b/>
                <w:bCs/>
                <w:color w:val="auto"/>
                <w:highlight w:val="none"/>
              </w:rPr>
            </w:pPr>
            <w:r>
              <w:rPr>
                <w:b/>
                <w:bCs/>
                <w:color w:val="auto"/>
                <w:highlight w:val="none"/>
              </w:rPr>
              <w:t>距声源5m处</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C462F5">
            <w:pPr>
              <w:pStyle w:val="37"/>
              <w:adjustRightInd w:val="0"/>
              <w:rPr>
                <w:b/>
                <w:bCs/>
                <w:color w:val="auto"/>
                <w:highlight w:val="none"/>
              </w:rPr>
            </w:pPr>
            <w:r>
              <w:rPr>
                <w:b/>
                <w:bCs/>
                <w:color w:val="auto"/>
                <w:highlight w:val="none"/>
              </w:rPr>
              <w:t>距声源50m处</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50F46">
            <w:pPr>
              <w:pStyle w:val="37"/>
              <w:adjustRightInd w:val="0"/>
              <w:rPr>
                <w:b/>
                <w:bCs/>
                <w:color w:val="auto"/>
                <w:highlight w:val="none"/>
              </w:rPr>
            </w:pPr>
            <w:r>
              <w:rPr>
                <w:b/>
                <w:bCs/>
                <w:color w:val="auto"/>
                <w:highlight w:val="none"/>
              </w:rPr>
              <w:t>距声源100m处</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F7A1BB">
            <w:pPr>
              <w:pStyle w:val="37"/>
              <w:adjustRightInd w:val="0"/>
              <w:rPr>
                <w:b/>
                <w:bCs/>
                <w:color w:val="auto"/>
                <w:highlight w:val="none"/>
              </w:rPr>
            </w:pPr>
            <w:r>
              <w:rPr>
                <w:b/>
                <w:bCs/>
                <w:color w:val="auto"/>
                <w:highlight w:val="none"/>
              </w:rPr>
              <w:t>距声源150m处</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0470B4">
            <w:pPr>
              <w:pStyle w:val="37"/>
              <w:adjustRightInd w:val="0"/>
              <w:rPr>
                <w:b/>
                <w:bCs/>
                <w:color w:val="auto"/>
                <w:highlight w:val="none"/>
              </w:rPr>
            </w:pPr>
            <w:r>
              <w:rPr>
                <w:b/>
                <w:bCs/>
                <w:color w:val="auto"/>
                <w:highlight w:val="none"/>
              </w:rPr>
              <w:t>距声源250m处</w:t>
            </w:r>
          </w:p>
        </w:tc>
      </w:tr>
      <w:tr w14:paraId="25D33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39940">
            <w:pPr>
              <w:pStyle w:val="37"/>
              <w:adjustRightInd w:val="0"/>
              <w:rPr>
                <w:color w:val="auto"/>
                <w:highlight w:val="none"/>
              </w:rPr>
            </w:pPr>
            <w:r>
              <w:rPr>
                <w:color w:val="auto"/>
                <w:highlight w:val="none"/>
              </w:rPr>
              <w:t>挖掘机</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B117B">
            <w:pPr>
              <w:pStyle w:val="37"/>
              <w:adjustRightInd w:val="0"/>
              <w:rPr>
                <w:color w:val="auto"/>
                <w:highlight w:val="none"/>
              </w:rPr>
            </w:pPr>
            <w:r>
              <w:rPr>
                <w:color w:val="auto"/>
                <w:highlight w:val="none"/>
              </w:rPr>
              <w:t>100</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1A5E5F">
            <w:pPr>
              <w:pStyle w:val="37"/>
              <w:adjustRightInd w:val="0"/>
              <w:rPr>
                <w:color w:val="auto"/>
                <w:highlight w:val="none"/>
              </w:rPr>
            </w:pPr>
            <w:r>
              <w:rPr>
                <w:color w:val="auto"/>
                <w:highlight w:val="none"/>
              </w:rPr>
              <w:t>66</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A32F50">
            <w:pPr>
              <w:pStyle w:val="37"/>
              <w:adjustRightInd w:val="0"/>
              <w:rPr>
                <w:color w:val="auto"/>
                <w:highlight w:val="none"/>
              </w:rPr>
            </w:pPr>
            <w:r>
              <w:rPr>
                <w:color w:val="auto"/>
                <w:highlight w:val="none"/>
              </w:rPr>
              <w:t>60</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AF0DF">
            <w:pPr>
              <w:pStyle w:val="37"/>
              <w:adjustRightInd w:val="0"/>
              <w:rPr>
                <w:color w:val="auto"/>
                <w:highlight w:val="none"/>
              </w:rPr>
            </w:pPr>
            <w:r>
              <w:rPr>
                <w:color w:val="auto"/>
                <w:highlight w:val="none"/>
              </w:rPr>
              <w:t>56</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D76891">
            <w:pPr>
              <w:pStyle w:val="37"/>
              <w:adjustRightInd w:val="0"/>
              <w:rPr>
                <w:color w:val="auto"/>
                <w:highlight w:val="none"/>
              </w:rPr>
            </w:pPr>
            <w:r>
              <w:rPr>
                <w:color w:val="auto"/>
                <w:highlight w:val="none"/>
              </w:rPr>
              <w:t>52</w:t>
            </w:r>
          </w:p>
        </w:tc>
      </w:tr>
      <w:tr w14:paraId="296CDA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CE67F8">
            <w:pPr>
              <w:pStyle w:val="37"/>
              <w:adjustRightInd w:val="0"/>
              <w:rPr>
                <w:color w:val="auto"/>
                <w:highlight w:val="none"/>
              </w:rPr>
            </w:pPr>
            <w:r>
              <w:rPr>
                <w:color w:val="auto"/>
                <w:highlight w:val="none"/>
              </w:rPr>
              <w:t>打桩机</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7729B">
            <w:pPr>
              <w:pStyle w:val="37"/>
              <w:adjustRightInd w:val="0"/>
              <w:rPr>
                <w:color w:val="auto"/>
                <w:highlight w:val="none"/>
              </w:rPr>
            </w:pPr>
            <w:r>
              <w:rPr>
                <w:color w:val="auto"/>
                <w:highlight w:val="none"/>
              </w:rPr>
              <w:t>105</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4722A">
            <w:pPr>
              <w:pStyle w:val="37"/>
              <w:adjustRightInd w:val="0"/>
              <w:rPr>
                <w:color w:val="auto"/>
                <w:highlight w:val="none"/>
              </w:rPr>
            </w:pPr>
            <w:r>
              <w:rPr>
                <w:color w:val="auto"/>
                <w:highlight w:val="none"/>
              </w:rPr>
              <w:t>71</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4C5E2A">
            <w:pPr>
              <w:pStyle w:val="37"/>
              <w:adjustRightInd w:val="0"/>
              <w:rPr>
                <w:color w:val="auto"/>
                <w:highlight w:val="none"/>
              </w:rPr>
            </w:pPr>
            <w:r>
              <w:rPr>
                <w:color w:val="auto"/>
                <w:highlight w:val="none"/>
              </w:rPr>
              <w:t>65</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57834">
            <w:pPr>
              <w:pStyle w:val="37"/>
              <w:adjustRightInd w:val="0"/>
              <w:rPr>
                <w:color w:val="auto"/>
                <w:highlight w:val="none"/>
              </w:rPr>
            </w:pPr>
            <w:r>
              <w:rPr>
                <w:color w:val="auto"/>
                <w:highlight w:val="none"/>
              </w:rPr>
              <w:t>61</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A141FA">
            <w:pPr>
              <w:pStyle w:val="37"/>
              <w:adjustRightInd w:val="0"/>
              <w:rPr>
                <w:color w:val="auto"/>
                <w:highlight w:val="none"/>
              </w:rPr>
            </w:pPr>
            <w:r>
              <w:rPr>
                <w:color w:val="auto"/>
                <w:highlight w:val="none"/>
              </w:rPr>
              <w:t>57</w:t>
            </w:r>
          </w:p>
        </w:tc>
      </w:tr>
      <w:tr w14:paraId="4FC1E1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0C1EEA">
            <w:pPr>
              <w:pStyle w:val="37"/>
              <w:adjustRightInd w:val="0"/>
              <w:rPr>
                <w:color w:val="auto"/>
                <w:highlight w:val="none"/>
              </w:rPr>
            </w:pPr>
            <w:r>
              <w:rPr>
                <w:color w:val="auto"/>
                <w:highlight w:val="none"/>
              </w:rPr>
              <w:t>摇臂式起重机</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0ADB55">
            <w:pPr>
              <w:pStyle w:val="37"/>
              <w:adjustRightInd w:val="0"/>
              <w:rPr>
                <w:color w:val="auto"/>
                <w:highlight w:val="none"/>
              </w:rPr>
            </w:pPr>
            <w:r>
              <w:rPr>
                <w:color w:val="auto"/>
                <w:highlight w:val="none"/>
              </w:rPr>
              <w:t>100</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8D5466">
            <w:pPr>
              <w:pStyle w:val="37"/>
              <w:adjustRightInd w:val="0"/>
              <w:rPr>
                <w:color w:val="auto"/>
                <w:highlight w:val="none"/>
              </w:rPr>
            </w:pPr>
            <w:r>
              <w:rPr>
                <w:color w:val="auto"/>
                <w:highlight w:val="none"/>
              </w:rPr>
              <w:t>66</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EBA519">
            <w:pPr>
              <w:pStyle w:val="37"/>
              <w:adjustRightInd w:val="0"/>
              <w:rPr>
                <w:color w:val="auto"/>
                <w:highlight w:val="none"/>
              </w:rPr>
            </w:pPr>
            <w:r>
              <w:rPr>
                <w:color w:val="auto"/>
                <w:highlight w:val="none"/>
              </w:rPr>
              <w:t>60</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2973F7">
            <w:pPr>
              <w:pStyle w:val="37"/>
              <w:adjustRightInd w:val="0"/>
              <w:rPr>
                <w:color w:val="auto"/>
                <w:highlight w:val="none"/>
              </w:rPr>
            </w:pPr>
            <w:r>
              <w:rPr>
                <w:color w:val="auto"/>
                <w:highlight w:val="none"/>
              </w:rPr>
              <w:t>56</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52BA4D">
            <w:pPr>
              <w:pStyle w:val="37"/>
              <w:adjustRightInd w:val="0"/>
              <w:rPr>
                <w:color w:val="auto"/>
                <w:highlight w:val="none"/>
              </w:rPr>
            </w:pPr>
            <w:r>
              <w:rPr>
                <w:color w:val="auto"/>
                <w:highlight w:val="none"/>
              </w:rPr>
              <w:t>52</w:t>
            </w:r>
          </w:p>
        </w:tc>
      </w:tr>
      <w:tr w14:paraId="55DDC5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E981CC">
            <w:pPr>
              <w:pStyle w:val="37"/>
              <w:adjustRightInd w:val="0"/>
              <w:rPr>
                <w:color w:val="auto"/>
                <w:highlight w:val="none"/>
              </w:rPr>
            </w:pPr>
            <w:r>
              <w:rPr>
                <w:color w:val="auto"/>
                <w:highlight w:val="none"/>
              </w:rPr>
              <w:t>推土机</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255D41">
            <w:pPr>
              <w:pStyle w:val="37"/>
              <w:adjustRightInd w:val="0"/>
              <w:rPr>
                <w:color w:val="auto"/>
                <w:highlight w:val="none"/>
              </w:rPr>
            </w:pPr>
            <w:r>
              <w:rPr>
                <w:color w:val="auto"/>
                <w:highlight w:val="none"/>
              </w:rPr>
              <w:t>95</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7760E7">
            <w:pPr>
              <w:pStyle w:val="37"/>
              <w:adjustRightInd w:val="0"/>
              <w:rPr>
                <w:color w:val="auto"/>
                <w:highlight w:val="none"/>
              </w:rPr>
            </w:pPr>
            <w:r>
              <w:rPr>
                <w:color w:val="auto"/>
                <w:highlight w:val="none"/>
              </w:rPr>
              <w:t>61</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CD5309">
            <w:pPr>
              <w:pStyle w:val="37"/>
              <w:adjustRightInd w:val="0"/>
              <w:rPr>
                <w:color w:val="auto"/>
                <w:highlight w:val="none"/>
              </w:rPr>
            </w:pPr>
            <w:r>
              <w:rPr>
                <w:color w:val="auto"/>
                <w:highlight w:val="none"/>
              </w:rPr>
              <w:t>55</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F7674C">
            <w:pPr>
              <w:pStyle w:val="37"/>
              <w:adjustRightInd w:val="0"/>
              <w:rPr>
                <w:color w:val="auto"/>
                <w:highlight w:val="none"/>
              </w:rPr>
            </w:pPr>
            <w:r>
              <w:rPr>
                <w:color w:val="auto"/>
                <w:highlight w:val="none"/>
              </w:rPr>
              <w:t>51</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29F15">
            <w:pPr>
              <w:pStyle w:val="37"/>
              <w:adjustRightInd w:val="0"/>
              <w:rPr>
                <w:color w:val="auto"/>
                <w:highlight w:val="none"/>
              </w:rPr>
            </w:pPr>
            <w:r>
              <w:rPr>
                <w:color w:val="auto"/>
                <w:highlight w:val="none"/>
              </w:rPr>
              <w:t>47</w:t>
            </w:r>
          </w:p>
        </w:tc>
      </w:tr>
      <w:tr w14:paraId="00CBD1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7F301D6">
            <w:pPr>
              <w:pStyle w:val="37"/>
              <w:adjustRightInd w:val="0"/>
              <w:rPr>
                <w:color w:val="auto"/>
                <w:highlight w:val="none"/>
              </w:rPr>
            </w:pPr>
            <w:r>
              <w:rPr>
                <w:color w:val="auto"/>
                <w:highlight w:val="none"/>
              </w:rPr>
              <w:t>载重汽车</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9A3481">
            <w:pPr>
              <w:pStyle w:val="37"/>
              <w:adjustRightInd w:val="0"/>
              <w:rPr>
                <w:color w:val="auto"/>
                <w:highlight w:val="none"/>
              </w:rPr>
            </w:pPr>
            <w:r>
              <w:rPr>
                <w:color w:val="auto"/>
                <w:highlight w:val="none"/>
              </w:rPr>
              <w:t>80</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DCF076">
            <w:pPr>
              <w:pStyle w:val="37"/>
              <w:adjustRightInd w:val="0"/>
              <w:rPr>
                <w:color w:val="auto"/>
                <w:highlight w:val="none"/>
              </w:rPr>
            </w:pPr>
            <w:r>
              <w:rPr>
                <w:color w:val="auto"/>
                <w:highlight w:val="none"/>
              </w:rPr>
              <w:t>46</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1B02A">
            <w:pPr>
              <w:pStyle w:val="37"/>
              <w:adjustRightInd w:val="0"/>
              <w:rPr>
                <w:color w:val="auto"/>
                <w:highlight w:val="none"/>
              </w:rPr>
            </w:pPr>
            <w:r>
              <w:rPr>
                <w:color w:val="auto"/>
                <w:highlight w:val="none"/>
              </w:rPr>
              <w:t>40</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D023A2">
            <w:pPr>
              <w:pStyle w:val="37"/>
              <w:adjustRightInd w:val="0"/>
              <w:rPr>
                <w:color w:val="auto"/>
                <w:highlight w:val="none"/>
              </w:rPr>
            </w:pPr>
            <w:r>
              <w:rPr>
                <w:color w:val="auto"/>
                <w:highlight w:val="none"/>
              </w:rPr>
              <w:t>36.5</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F3D8AB">
            <w:pPr>
              <w:pStyle w:val="37"/>
              <w:adjustRightInd w:val="0"/>
              <w:rPr>
                <w:color w:val="auto"/>
                <w:highlight w:val="none"/>
              </w:rPr>
            </w:pPr>
            <w:r>
              <w:rPr>
                <w:color w:val="auto"/>
                <w:highlight w:val="none"/>
              </w:rPr>
              <w:t>32</w:t>
            </w:r>
          </w:p>
        </w:tc>
      </w:tr>
      <w:tr w14:paraId="5E1321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8F46D">
            <w:pPr>
              <w:pStyle w:val="37"/>
              <w:adjustRightInd w:val="0"/>
              <w:rPr>
                <w:color w:val="auto"/>
                <w:highlight w:val="none"/>
              </w:rPr>
            </w:pPr>
            <w:r>
              <w:rPr>
                <w:color w:val="auto"/>
                <w:highlight w:val="none"/>
              </w:rPr>
              <w:t>空压机</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35CCB3">
            <w:pPr>
              <w:pStyle w:val="37"/>
              <w:adjustRightInd w:val="0"/>
              <w:rPr>
                <w:color w:val="auto"/>
                <w:highlight w:val="none"/>
              </w:rPr>
            </w:pPr>
            <w:r>
              <w:rPr>
                <w:color w:val="auto"/>
                <w:highlight w:val="none"/>
              </w:rPr>
              <w:t>95</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FA9881">
            <w:pPr>
              <w:pStyle w:val="37"/>
              <w:adjustRightInd w:val="0"/>
              <w:rPr>
                <w:color w:val="auto"/>
                <w:highlight w:val="none"/>
              </w:rPr>
            </w:pPr>
            <w:r>
              <w:rPr>
                <w:color w:val="auto"/>
                <w:highlight w:val="none"/>
              </w:rPr>
              <w:t>61</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B941CD">
            <w:pPr>
              <w:pStyle w:val="37"/>
              <w:adjustRightInd w:val="0"/>
              <w:rPr>
                <w:color w:val="auto"/>
                <w:highlight w:val="none"/>
              </w:rPr>
            </w:pPr>
            <w:r>
              <w:rPr>
                <w:color w:val="auto"/>
                <w:highlight w:val="none"/>
              </w:rPr>
              <w:t>55</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1E28C2">
            <w:pPr>
              <w:pStyle w:val="37"/>
              <w:adjustRightInd w:val="0"/>
              <w:rPr>
                <w:color w:val="auto"/>
                <w:highlight w:val="none"/>
              </w:rPr>
            </w:pPr>
            <w:r>
              <w:rPr>
                <w:color w:val="auto"/>
                <w:highlight w:val="none"/>
              </w:rPr>
              <w:t>51</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0E5D03">
            <w:pPr>
              <w:pStyle w:val="37"/>
              <w:adjustRightInd w:val="0"/>
              <w:rPr>
                <w:color w:val="auto"/>
                <w:highlight w:val="none"/>
              </w:rPr>
            </w:pPr>
            <w:r>
              <w:rPr>
                <w:color w:val="auto"/>
                <w:highlight w:val="none"/>
              </w:rPr>
              <w:t>47</w:t>
            </w:r>
          </w:p>
        </w:tc>
      </w:tr>
      <w:tr w14:paraId="1B9418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c>
          <w:tcPr>
            <w:tcW w:w="65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F2097A">
            <w:pPr>
              <w:pStyle w:val="37"/>
              <w:adjustRightInd w:val="0"/>
              <w:rPr>
                <w:color w:val="auto"/>
                <w:highlight w:val="none"/>
              </w:rPr>
            </w:pPr>
            <w:r>
              <w:rPr>
                <w:color w:val="auto"/>
                <w:highlight w:val="none"/>
              </w:rPr>
              <w:t>电锤、电锯</w:t>
            </w:r>
          </w:p>
        </w:tc>
        <w:tc>
          <w:tcPr>
            <w:tcW w:w="75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25A1F">
            <w:pPr>
              <w:pStyle w:val="37"/>
              <w:adjustRightInd w:val="0"/>
              <w:rPr>
                <w:color w:val="auto"/>
                <w:highlight w:val="none"/>
              </w:rPr>
            </w:pPr>
            <w:r>
              <w:rPr>
                <w:color w:val="auto"/>
                <w:highlight w:val="none"/>
              </w:rPr>
              <w:t>61</w:t>
            </w:r>
          </w:p>
        </w:tc>
        <w:tc>
          <w:tcPr>
            <w:tcW w:w="83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283812">
            <w:pPr>
              <w:pStyle w:val="37"/>
              <w:adjustRightInd w:val="0"/>
              <w:rPr>
                <w:color w:val="auto"/>
                <w:highlight w:val="none"/>
              </w:rPr>
            </w:pPr>
            <w:r>
              <w:rPr>
                <w:color w:val="auto"/>
                <w:highlight w:val="none"/>
              </w:rPr>
              <w:t>55</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FBD818">
            <w:pPr>
              <w:pStyle w:val="37"/>
              <w:adjustRightInd w:val="0"/>
              <w:rPr>
                <w:color w:val="auto"/>
                <w:highlight w:val="none"/>
              </w:rPr>
            </w:pPr>
            <w:r>
              <w:rPr>
                <w:color w:val="auto"/>
                <w:highlight w:val="none"/>
              </w:rPr>
              <w:t>51</w:t>
            </w:r>
          </w:p>
        </w:tc>
        <w:tc>
          <w:tcPr>
            <w:tcW w:w="91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9DC41F">
            <w:pPr>
              <w:pStyle w:val="37"/>
              <w:adjustRightInd w:val="0"/>
              <w:rPr>
                <w:color w:val="auto"/>
                <w:highlight w:val="none"/>
              </w:rPr>
            </w:pPr>
            <w:r>
              <w:rPr>
                <w:color w:val="auto"/>
                <w:highlight w:val="none"/>
              </w:rPr>
              <w:t>47</w:t>
            </w:r>
          </w:p>
        </w:tc>
        <w:tc>
          <w:tcPr>
            <w:tcW w:w="91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79A3F6">
            <w:pPr>
              <w:pStyle w:val="37"/>
              <w:adjustRightInd w:val="0"/>
              <w:rPr>
                <w:color w:val="auto"/>
                <w:highlight w:val="none"/>
              </w:rPr>
            </w:pPr>
            <w:r>
              <w:rPr>
                <w:color w:val="auto"/>
                <w:highlight w:val="none"/>
              </w:rPr>
              <w:t>35</w:t>
            </w:r>
          </w:p>
        </w:tc>
      </w:tr>
    </w:tbl>
    <w:p w14:paraId="1B72D060">
      <w:pPr>
        <w:adjustRightInd w:val="0"/>
        <w:ind w:firstLine="480"/>
        <w:rPr>
          <w:rFonts w:cs="Times New Roman"/>
          <w:color w:val="auto"/>
          <w:highlight w:val="none"/>
        </w:rPr>
      </w:pPr>
      <w:r>
        <w:rPr>
          <w:rFonts w:cs="Times New Roman"/>
          <w:color w:val="auto"/>
          <w:highlight w:val="none"/>
        </w:rPr>
        <w:t>（2）噪声预测模式</w:t>
      </w:r>
    </w:p>
    <w:p w14:paraId="1EB0C227">
      <w:pPr>
        <w:adjustRightInd w:val="0"/>
        <w:ind w:firstLine="480"/>
        <w:rPr>
          <w:rFonts w:cs="Times New Roman"/>
          <w:color w:val="auto"/>
          <w:highlight w:val="none"/>
        </w:rPr>
      </w:pPr>
      <w:r>
        <w:rPr>
          <w:rFonts w:cs="Times New Roman"/>
          <w:color w:val="auto"/>
          <w:highlight w:val="none"/>
        </w:rPr>
        <w:t>噪声源声级按自由声场衰减方式传播，主要考虑距离衰减，忽略大气吸收、障碍物屏障等因素，其衰减模式为：</w:t>
      </w:r>
    </w:p>
    <w:p w14:paraId="7E150C62">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114300" distR="114300">
            <wp:extent cx="1742440" cy="466090"/>
            <wp:effectExtent l="0" t="0" r="10160" b="1016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1742440" cy="466090"/>
                    </a:xfrm>
                    <a:prstGeom prst="rect">
                      <a:avLst/>
                    </a:prstGeom>
                  </pic:spPr>
                </pic:pic>
              </a:graphicData>
            </a:graphic>
          </wp:inline>
        </w:drawing>
      </w:r>
    </w:p>
    <w:p w14:paraId="088910FA">
      <w:pPr>
        <w:adjustRightInd w:val="0"/>
        <w:ind w:firstLine="480"/>
        <w:rPr>
          <w:rFonts w:cs="Times New Roman"/>
          <w:color w:val="auto"/>
          <w:highlight w:val="none"/>
        </w:rPr>
      </w:pPr>
      <w:r>
        <w:rPr>
          <w:rFonts w:cs="Times New Roman"/>
          <w:color w:val="auto"/>
          <w:highlight w:val="none"/>
        </w:rPr>
        <w:t>式中：</w:t>
      </w:r>
    </w:p>
    <w:p w14:paraId="0D5D0696">
      <w:pPr>
        <w:adjustRightInd w:val="0"/>
        <w:ind w:firstLine="480"/>
        <w:rPr>
          <w:rFonts w:cs="Times New Roman"/>
          <w:color w:val="auto"/>
          <w:highlight w:val="none"/>
        </w:rPr>
      </w:pPr>
      <w:r>
        <w:rPr>
          <w:rFonts w:cs="Times New Roman"/>
          <w:color w:val="auto"/>
          <w:highlight w:val="none"/>
        </w:rPr>
        <w:t>LA（r）—距声源r米处的声级值，dB(A)；</w:t>
      </w:r>
    </w:p>
    <w:p w14:paraId="44D27212">
      <w:pPr>
        <w:adjustRightInd w:val="0"/>
        <w:ind w:firstLine="480"/>
        <w:rPr>
          <w:rFonts w:cs="Times New Roman"/>
          <w:color w:val="auto"/>
          <w:highlight w:val="none"/>
        </w:rPr>
      </w:pPr>
      <w:r>
        <w:rPr>
          <w:rFonts w:cs="Times New Roman"/>
          <w:color w:val="auto"/>
          <w:highlight w:val="none"/>
        </w:rPr>
        <w:t>LA（r0）—距声源r0米处的声级值，dB(A)；</w:t>
      </w:r>
    </w:p>
    <w:p w14:paraId="586F049D">
      <w:pPr>
        <w:adjustRightInd w:val="0"/>
        <w:ind w:firstLine="480"/>
        <w:rPr>
          <w:rFonts w:cs="Times New Roman"/>
          <w:color w:val="auto"/>
          <w:highlight w:val="none"/>
        </w:rPr>
      </w:pPr>
      <w:r>
        <w:rPr>
          <w:rFonts w:cs="Times New Roman"/>
          <w:color w:val="auto"/>
          <w:highlight w:val="none"/>
        </w:rPr>
        <w:t>r—距声源的距离，m。</w:t>
      </w:r>
    </w:p>
    <w:p w14:paraId="3610E057">
      <w:pPr>
        <w:adjustRightInd w:val="0"/>
        <w:ind w:firstLine="480"/>
        <w:rPr>
          <w:rFonts w:cs="Times New Roman"/>
          <w:color w:val="auto"/>
          <w:highlight w:val="none"/>
        </w:rPr>
      </w:pPr>
      <w:r>
        <w:rPr>
          <w:rFonts w:cs="Times New Roman"/>
          <w:color w:val="auto"/>
          <w:highlight w:val="none"/>
        </w:rPr>
        <w:t>施工期噪声源声级值随距离衰减预测结果见下表。</w:t>
      </w:r>
    </w:p>
    <w:p w14:paraId="407B3343">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施工期噪声影响预测结果单位：dB(A)</w:t>
      </w:r>
    </w:p>
    <w:tbl>
      <w:tblPr>
        <w:tblStyle w:val="81"/>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42"/>
        <w:gridCol w:w="745"/>
        <w:gridCol w:w="573"/>
        <w:gridCol w:w="596"/>
        <w:gridCol w:w="596"/>
        <w:gridCol w:w="596"/>
        <w:gridCol w:w="596"/>
        <w:gridCol w:w="596"/>
        <w:gridCol w:w="609"/>
        <w:gridCol w:w="640"/>
        <w:gridCol w:w="752"/>
        <w:gridCol w:w="2019"/>
      </w:tblGrid>
      <w:tr w14:paraId="4834A9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410" w:type="pct"/>
            <w:vMerge w:val="restart"/>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516A5A05">
            <w:pPr>
              <w:pStyle w:val="37"/>
              <w:adjustRightInd w:val="0"/>
              <w:rPr>
                <w:b/>
                <w:bCs/>
                <w:color w:val="auto"/>
                <w:highlight w:val="none"/>
              </w:rPr>
            </w:pPr>
            <w:r>
              <w:rPr>
                <w:b/>
                <w:bCs/>
                <w:color w:val="auto"/>
                <w:highlight w:val="none"/>
              </w:rPr>
              <w:t>噪声源</w:t>
            </w:r>
          </w:p>
        </w:tc>
        <w:tc>
          <w:tcPr>
            <w:tcW w:w="411"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80C52FF">
            <w:pPr>
              <w:pStyle w:val="37"/>
              <w:adjustRightInd w:val="0"/>
              <w:rPr>
                <w:b/>
                <w:bCs/>
                <w:color w:val="auto"/>
                <w:highlight w:val="none"/>
              </w:rPr>
            </w:pPr>
            <w:r>
              <w:rPr>
                <w:b/>
                <w:bCs/>
                <w:color w:val="auto"/>
                <w:highlight w:val="none"/>
              </w:rPr>
              <w:t>声源噪声值</w:t>
            </w:r>
          </w:p>
        </w:tc>
        <w:tc>
          <w:tcPr>
            <w:tcW w:w="3065" w:type="pct"/>
            <w:gridSpan w:val="9"/>
            <w:tcBorders>
              <w:top w:val="single" w:color="000000" w:sz="4" w:space="0"/>
              <w:left w:val="single" w:color="000000" w:sz="4" w:space="0"/>
              <w:bottom w:val="single" w:color="000000" w:sz="4" w:space="0"/>
              <w:right w:val="single" w:color="000000" w:sz="4" w:space="0"/>
            </w:tcBorders>
            <w:shd w:val="clear" w:color="auto" w:fill="FFFFFF"/>
            <w:vAlign w:val="center"/>
          </w:tcPr>
          <w:p w14:paraId="0BD8F108">
            <w:pPr>
              <w:pStyle w:val="37"/>
              <w:adjustRightInd w:val="0"/>
              <w:rPr>
                <w:b/>
                <w:bCs/>
                <w:color w:val="auto"/>
                <w:highlight w:val="none"/>
              </w:rPr>
            </w:pPr>
            <w:r>
              <w:rPr>
                <w:b/>
                <w:bCs/>
                <w:color w:val="auto"/>
                <w:highlight w:val="none"/>
              </w:rPr>
              <w:t>预测距离（m）</w:t>
            </w:r>
          </w:p>
        </w:tc>
        <w:tc>
          <w:tcPr>
            <w:tcW w:w="1113"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A38511">
            <w:pPr>
              <w:pStyle w:val="37"/>
              <w:adjustRightInd w:val="0"/>
              <w:rPr>
                <w:b/>
                <w:bCs/>
                <w:color w:val="auto"/>
                <w:highlight w:val="none"/>
              </w:rPr>
            </w:pPr>
            <w:r>
              <w:rPr>
                <w:b/>
                <w:bCs/>
                <w:color w:val="auto"/>
                <w:highlight w:val="none"/>
              </w:rPr>
              <w:t>备注</w:t>
            </w:r>
          </w:p>
        </w:tc>
      </w:tr>
      <w:tr w14:paraId="635AB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41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611D04">
            <w:pPr>
              <w:pStyle w:val="37"/>
              <w:adjustRightInd w:val="0"/>
              <w:rPr>
                <w:color w:val="auto"/>
                <w:highlight w:val="none"/>
              </w:rPr>
            </w:pPr>
          </w:p>
        </w:tc>
        <w:tc>
          <w:tcPr>
            <w:tcW w:w="411"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3A2FC5E">
            <w:pPr>
              <w:pStyle w:val="37"/>
              <w:adjustRightInd w:val="0"/>
              <w:rPr>
                <w:color w:val="auto"/>
                <w:highlight w:val="none"/>
              </w:rPr>
            </w:pPr>
          </w:p>
        </w:tc>
        <w:tc>
          <w:tcPr>
            <w:tcW w:w="3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B87ACA">
            <w:pPr>
              <w:pStyle w:val="37"/>
              <w:adjustRightInd w:val="0"/>
              <w:rPr>
                <w:b/>
                <w:bCs/>
                <w:color w:val="auto"/>
                <w:highlight w:val="none"/>
              </w:rPr>
            </w:pPr>
            <w:r>
              <w:rPr>
                <w:b/>
                <w:bCs/>
                <w:color w:val="auto"/>
                <w:highlight w:val="none"/>
              </w:rPr>
              <w:t>5</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4B6CA6">
            <w:pPr>
              <w:pStyle w:val="37"/>
              <w:adjustRightInd w:val="0"/>
              <w:rPr>
                <w:b/>
                <w:bCs/>
                <w:color w:val="auto"/>
                <w:highlight w:val="none"/>
              </w:rPr>
            </w:pPr>
            <w:r>
              <w:rPr>
                <w:b/>
                <w:bCs/>
                <w:color w:val="auto"/>
                <w:highlight w:val="none"/>
              </w:rPr>
              <w:t>10</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41145">
            <w:pPr>
              <w:pStyle w:val="37"/>
              <w:adjustRightInd w:val="0"/>
              <w:rPr>
                <w:b/>
                <w:bCs/>
                <w:color w:val="auto"/>
                <w:highlight w:val="none"/>
              </w:rPr>
            </w:pPr>
            <w:r>
              <w:rPr>
                <w:b/>
                <w:bCs/>
                <w:color w:val="auto"/>
                <w:highlight w:val="none"/>
              </w:rPr>
              <w:t>15</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74C5F">
            <w:pPr>
              <w:pStyle w:val="37"/>
              <w:adjustRightInd w:val="0"/>
              <w:rPr>
                <w:b/>
                <w:bCs/>
                <w:color w:val="auto"/>
                <w:highlight w:val="none"/>
              </w:rPr>
            </w:pPr>
            <w:r>
              <w:rPr>
                <w:b/>
                <w:bCs/>
                <w:color w:val="auto"/>
                <w:highlight w:val="none"/>
              </w:rPr>
              <w:t>20</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9BD37">
            <w:pPr>
              <w:pStyle w:val="37"/>
              <w:adjustRightInd w:val="0"/>
              <w:rPr>
                <w:b/>
                <w:bCs/>
                <w:color w:val="auto"/>
                <w:highlight w:val="none"/>
              </w:rPr>
            </w:pPr>
            <w:r>
              <w:rPr>
                <w:b/>
                <w:bCs/>
                <w:color w:val="auto"/>
                <w:highlight w:val="none"/>
              </w:rPr>
              <w:t>25</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0CC59E">
            <w:pPr>
              <w:pStyle w:val="37"/>
              <w:adjustRightInd w:val="0"/>
              <w:rPr>
                <w:b/>
                <w:bCs/>
                <w:color w:val="auto"/>
                <w:highlight w:val="none"/>
              </w:rPr>
            </w:pPr>
            <w:r>
              <w:rPr>
                <w:b/>
                <w:bCs/>
                <w:color w:val="auto"/>
                <w:highlight w:val="none"/>
              </w:rPr>
              <w:t>50</w:t>
            </w:r>
          </w:p>
        </w:tc>
        <w:tc>
          <w:tcPr>
            <w:tcW w:w="3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0601AE">
            <w:pPr>
              <w:pStyle w:val="37"/>
              <w:adjustRightInd w:val="0"/>
              <w:rPr>
                <w:b/>
                <w:bCs/>
                <w:color w:val="auto"/>
                <w:highlight w:val="none"/>
              </w:rPr>
            </w:pPr>
            <w:r>
              <w:rPr>
                <w:b/>
                <w:bCs/>
                <w:color w:val="auto"/>
                <w:highlight w:val="none"/>
              </w:rPr>
              <w:t>100</w:t>
            </w:r>
          </w:p>
        </w:tc>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7B74C2">
            <w:pPr>
              <w:pStyle w:val="37"/>
              <w:adjustRightInd w:val="0"/>
              <w:rPr>
                <w:b/>
                <w:bCs/>
                <w:color w:val="auto"/>
                <w:highlight w:val="none"/>
              </w:rPr>
            </w:pPr>
            <w:r>
              <w:rPr>
                <w:b/>
                <w:bCs/>
                <w:color w:val="auto"/>
                <w:highlight w:val="none"/>
              </w:rPr>
              <w:t>150</w:t>
            </w:r>
          </w:p>
        </w:tc>
        <w:tc>
          <w:tcPr>
            <w:tcW w:w="4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3B1CC0">
            <w:pPr>
              <w:pStyle w:val="37"/>
              <w:adjustRightInd w:val="0"/>
              <w:rPr>
                <w:b/>
                <w:bCs/>
                <w:color w:val="auto"/>
                <w:highlight w:val="none"/>
              </w:rPr>
            </w:pPr>
            <w:r>
              <w:rPr>
                <w:b/>
                <w:bCs/>
                <w:color w:val="auto"/>
                <w:highlight w:val="none"/>
              </w:rPr>
              <w:t>200</w:t>
            </w:r>
          </w:p>
        </w:tc>
        <w:tc>
          <w:tcPr>
            <w:tcW w:w="1113"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BCAEFB4">
            <w:pPr>
              <w:pStyle w:val="37"/>
              <w:adjustRightInd w:val="0"/>
              <w:rPr>
                <w:color w:val="auto"/>
                <w:highlight w:val="none"/>
              </w:rPr>
            </w:pPr>
          </w:p>
        </w:tc>
      </w:tr>
      <w:tr w14:paraId="70FFCD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1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9C20AE">
            <w:pPr>
              <w:pStyle w:val="37"/>
              <w:adjustRightInd w:val="0"/>
              <w:rPr>
                <w:color w:val="auto"/>
                <w:highlight w:val="none"/>
              </w:rPr>
            </w:pPr>
            <w:r>
              <w:rPr>
                <w:color w:val="auto"/>
                <w:highlight w:val="none"/>
              </w:rPr>
              <w:t>工程建设</w:t>
            </w:r>
          </w:p>
        </w:tc>
        <w:tc>
          <w:tcPr>
            <w:tcW w:w="4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E790B">
            <w:pPr>
              <w:pStyle w:val="37"/>
              <w:adjustRightInd w:val="0"/>
              <w:rPr>
                <w:color w:val="auto"/>
                <w:highlight w:val="none"/>
              </w:rPr>
            </w:pPr>
            <w:r>
              <w:rPr>
                <w:color w:val="auto"/>
                <w:highlight w:val="none"/>
              </w:rPr>
              <w:t>95</w:t>
            </w:r>
          </w:p>
        </w:tc>
        <w:tc>
          <w:tcPr>
            <w:tcW w:w="3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967FEE">
            <w:pPr>
              <w:pStyle w:val="37"/>
              <w:adjustRightInd w:val="0"/>
              <w:rPr>
                <w:color w:val="auto"/>
                <w:highlight w:val="none"/>
              </w:rPr>
            </w:pPr>
            <w:r>
              <w:rPr>
                <w:color w:val="auto"/>
                <w:highlight w:val="none"/>
              </w:rPr>
              <w:t>81</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B67447">
            <w:pPr>
              <w:pStyle w:val="37"/>
              <w:adjustRightInd w:val="0"/>
              <w:rPr>
                <w:color w:val="auto"/>
                <w:highlight w:val="none"/>
              </w:rPr>
            </w:pPr>
            <w:r>
              <w:rPr>
                <w:color w:val="auto"/>
                <w:highlight w:val="none"/>
              </w:rPr>
              <w:t>75</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977EB8">
            <w:pPr>
              <w:pStyle w:val="37"/>
              <w:adjustRightInd w:val="0"/>
              <w:rPr>
                <w:color w:val="auto"/>
                <w:highlight w:val="none"/>
              </w:rPr>
            </w:pPr>
            <w:r>
              <w:rPr>
                <w:color w:val="auto"/>
                <w:highlight w:val="none"/>
              </w:rPr>
              <w:t>73</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E511CA">
            <w:pPr>
              <w:pStyle w:val="37"/>
              <w:adjustRightInd w:val="0"/>
              <w:rPr>
                <w:color w:val="auto"/>
                <w:highlight w:val="none"/>
              </w:rPr>
            </w:pPr>
            <w:r>
              <w:rPr>
                <w:color w:val="auto"/>
                <w:highlight w:val="none"/>
              </w:rPr>
              <w:t>69</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84E06">
            <w:pPr>
              <w:pStyle w:val="37"/>
              <w:adjustRightInd w:val="0"/>
              <w:rPr>
                <w:color w:val="auto"/>
                <w:highlight w:val="none"/>
              </w:rPr>
            </w:pPr>
            <w:r>
              <w:rPr>
                <w:color w:val="auto"/>
                <w:highlight w:val="none"/>
              </w:rPr>
              <w:t>67</w:t>
            </w:r>
          </w:p>
        </w:tc>
        <w:tc>
          <w:tcPr>
            <w:tcW w:w="32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5F547">
            <w:pPr>
              <w:pStyle w:val="37"/>
              <w:adjustRightInd w:val="0"/>
              <w:rPr>
                <w:color w:val="auto"/>
                <w:highlight w:val="none"/>
              </w:rPr>
            </w:pPr>
            <w:r>
              <w:rPr>
                <w:color w:val="auto"/>
                <w:highlight w:val="none"/>
              </w:rPr>
              <w:t>61</w:t>
            </w:r>
          </w:p>
        </w:tc>
        <w:tc>
          <w:tcPr>
            <w:tcW w:w="33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F6800">
            <w:pPr>
              <w:pStyle w:val="37"/>
              <w:adjustRightInd w:val="0"/>
              <w:rPr>
                <w:color w:val="auto"/>
                <w:highlight w:val="none"/>
              </w:rPr>
            </w:pPr>
            <w:r>
              <w:rPr>
                <w:color w:val="auto"/>
                <w:highlight w:val="none"/>
              </w:rPr>
              <w:t>55</w:t>
            </w:r>
          </w:p>
        </w:tc>
        <w:tc>
          <w:tcPr>
            <w:tcW w:w="35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65C594">
            <w:pPr>
              <w:pStyle w:val="37"/>
              <w:adjustRightInd w:val="0"/>
              <w:rPr>
                <w:color w:val="auto"/>
                <w:highlight w:val="none"/>
              </w:rPr>
            </w:pPr>
            <w:r>
              <w:rPr>
                <w:color w:val="auto"/>
                <w:highlight w:val="none"/>
              </w:rPr>
              <w:t>51.5</w:t>
            </w:r>
          </w:p>
        </w:tc>
        <w:tc>
          <w:tcPr>
            <w:tcW w:w="41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59A917">
            <w:pPr>
              <w:pStyle w:val="37"/>
              <w:adjustRightInd w:val="0"/>
              <w:rPr>
                <w:color w:val="auto"/>
                <w:highlight w:val="none"/>
              </w:rPr>
            </w:pPr>
            <w:r>
              <w:rPr>
                <w:color w:val="auto"/>
                <w:highlight w:val="none"/>
              </w:rPr>
              <w:t>49</w:t>
            </w:r>
          </w:p>
        </w:tc>
        <w:tc>
          <w:tcPr>
            <w:tcW w:w="111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8A788">
            <w:pPr>
              <w:pStyle w:val="37"/>
              <w:adjustRightInd w:val="0"/>
              <w:rPr>
                <w:color w:val="auto"/>
                <w:highlight w:val="none"/>
              </w:rPr>
            </w:pPr>
            <w:r>
              <w:rPr>
                <w:color w:val="auto"/>
                <w:highlight w:val="none"/>
              </w:rPr>
              <w:t>以施工期最强声级来预测</w:t>
            </w:r>
          </w:p>
        </w:tc>
      </w:tr>
      <w:tr w14:paraId="58F95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12"/>
            <w:tcBorders>
              <w:top w:val="single" w:color="000000" w:sz="4" w:space="0"/>
              <w:left w:val="single" w:color="000000" w:sz="4" w:space="0"/>
              <w:bottom w:val="single" w:color="000000" w:sz="4" w:space="0"/>
              <w:right w:val="single" w:color="000000" w:sz="4" w:space="0"/>
            </w:tcBorders>
            <w:shd w:val="clear" w:color="auto" w:fill="FFFFFF"/>
            <w:vAlign w:val="center"/>
          </w:tcPr>
          <w:p w14:paraId="207C3B3D">
            <w:pPr>
              <w:pStyle w:val="37"/>
              <w:adjustRightInd w:val="0"/>
              <w:rPr>
                <w:color w:val="auto"/>
                <w:highlight w:val="none"/>
              </w:rPr>
            </w:pPr>
            <w:r>
              <w:rPr>
                <w:color w:val="auto"/>
                <w:highlight w:val="none"/>
              </w:rPr>
              <w:t>《建筑施工场界环境噪声排放标准》（GB12523-20</w:t>
            </w:r>
            <w:r>
              <w:rPr>
                <w:rFonts w:hint="eastAsia"/>
                <w:color w:val="auto"/>
                <w:highlight w:val="none"/>
              </w:rPr>
              <w:t>25</w:t>
            </w:r>
            <w:r>
              <w:rPr>
                <w:color w:val="auto"/>
                <w:highlight w:val="none"/>
              </w:rPr>
              <w:t>）：昼间70夜间55</w:t>
            </w:r>
          </w:p>
        </w:tc>
      </w:tr>
    </w:tbl>
    <w:p w14:paraId="709B8FEA">
      <w:pPr>
        <w:adjustRightInd w:val="0"/>
        <w:ind w:firstLine="482"/>
        <w:rPr>
          <w:rFonts w:cs="Times New Roman"/>
          <w:b/>
          <w:bCs/>
          <w:color w:val="auto"/>
          <w:highlight w:val="none"/>
        </w:rPr>
      </w:pPr>
      <w:r>
        <w:rPr>
          <w:rFonts w:cs="Times New Roman"/>
          <w:b/>
          <w:bCs/>
          <w:color w:val="auto"/>
          <w:highlight w:val="none"/>
        </w:rPr>
        <w:t>（3）施工期声影响分析</w:t>
      </w:r>
    </w:p>
    <w:p w14:paraId="1AED015E">
      <w:pPr>
        <w:adjustRightInd w:val="0"/>
        <w:ind w:firstLine="480"/>
        <w:rPr>
          <w:rFonts w:cs="Times New Roman"/>
          <w:color w:val="auto"/>
          <w:highlight w:val="none"/>
        </w:rPr>
      </w:pPr>
      <w:r>
        <w:rPr>
          <w:rFonts w:cs="Times New Roman"/>
          <w:color w:val="auto"/>
          <w:highlight w:val="none"/>
        </w:rPr>
        <w:t>由上表施工期噪声影响预测结果</w:t>
      </w:r>
      <w:r>
        <w:rPr>
          <w:rFonts w:hint="eastAsia" w:cs="Times New Roman"/>
          <w:color w:val="auto"/>
          <w:highlight w:val="none"/>
        </w:rPr>
        <w:t>可以</w:t>
      </w:r>
      <w:r>
        <w:rPr>
          <w:rFonts w:cs="Times New Roman"/>
          <w:color w:val="auto"/>
          <w:highlight w:val="none"/>
        </w:rPr>
        <w:t>看出：由于施工使用了推土机、振捣棒等强噪声源设备，对照环境噪声执行《建筑施工场界环境噪声排放标准》(GB12523-20</w:t>
      </w:r>
      <w:r>
        <w:rPr>
          <w:rFonts w:hint="eastAsia" w:cs="Times New Roman"/>
          <w:color w:val="auto"/>
          <w:highlight w:val="none"/>
        </w:rPr>
        <w:t>25</w:t>
      </w:r>
      <w:r>
        <w:rPr>
          <w:rFonts w:cs="Times New Roman"/>
          <w:color w:val="auto"/>
          <w:highlight w:val="none"/>
        </w:rPr>
        <w:t>)标准，施工期昼间噪声将对本项目100m范围以内造成一定的影响。</w:t>
      </w:r>
    </w:p>
    <w:p w14:paraId="115A2248">
      <w:pPr>
        <w:adjustRightInd w:val="0"/>
        <w:ind w:firstLine="482"/>
        <w:rPr>
          <w:rFonts w:cs="Times New Roman"/>
          <w:b/>
          <w:bCs/>
          <w:color w:val="auto"/>
          <w:highlight w:val="none"/>
        </w:rPr>
      </w:pPr>
      <w:r>
        <w:rPr>
          <w:rFonts w:cs="Times New Roman"/>
          <w:b/>
          <w:bCs/>
          <w:color w:val="auto"/>
          <w:highlight w:val="none"/>
        </w:rPr>
        <w:t>（4）施工期噪声保护措施</w:t>
      </w:r>
    </w:p>
    <w:p w14:paraId="49E1E14C">
      <w:pPr>
        <w:adjustRightInd w:val="0"/>
        <w:ind w:firstLine="480"/>
        <w:rPr>
          <w:rFonts w:cs="Times New Roman"/>
          <w:color w:val="auto"/>
          <w:highlight w:val="none"/>
        </w:rPr>
      </w:pPr>
      <w:r>
        <w:rPr>
          <w:rFonts w:hint="eastAsia" w:cs="Times New Roman"/>
          <w:color w:val="auto"/>
          <w:highlight w:val="none"/>
        </w:rPr>
        <w:t>施工期的噪声影响是短期的，项目建成后，施工期噪声的影响也就此结束。但是由于施工机械均为强噪声源，施工期间噪声影响范围较大，因此必须采取以下措施，严格管理：</w:t>
      </w:r>
    </w:p>
    <w:p w14:paraId="798D02D6">
      <w:pPr>
        <w:adjustRightInd w:val="0"/>
        <w:ind w:firstLine="480"/>
        <w:rPr>
          <w:rFonts w:cs="Times New Roman"/>
          <w:color w:val="auto"/>
          <w:highlight w:val="none"/>
        </w:rPr>
      </w:pPr>
      <w:r>
        <w:rPr>
          <w:rFonts w:hint="eastAsia" w:cs="Times New Roman"/>
          <w:color w:val="auto"/>
          <w:highlight w:val="none"/>
        </w:rPr>
        <w:t>①根据《中华人民共和国噪声污染防治法》第二十九条规定：施工单位必须在工程开工15日以前向工程所在地县级以上地方人民政府环境保护行政主管部门申报工程项目名称、施工场所和期限、建筑施工机械可能产生的环境噪声值以及所采取的环境噪声污染防治措施情况。提前向项目区周边居民说明项目概况及施工期可能带来的影响，取得周围居民的谅解。</w:t>
      </w:r>
    </w:p>
    <w:p w14:paraId="31B2D0F7">
      <w:pPr>
        <w:adjustRightInd w:val="0"/>
        <w:ind w:firstLine="480"/>
        <w:rPr>
          <w:rFonts w:cs="Times New Roman"/>
          <w:color w:val="auto"/>
          <w:highlight w:val="none"/>
        </w:rPr>
      </w:pPr>
      <w:r>
        <w:rPr>
          <w:rFonts w:hint="eastAsia" w:cs="Times New Roman"/>
          <w:color w:val="auto"/>
          <w:highlight w:val="none"/>
        </w:rPr>
        <w:t>②严格执行《建筑施工场界环境噪声排放标准》（GB12523-20</w:t>
      </w:r>
      <w:r>
        <w:rPr>
          <w:rFonts w:hint="eastAsia" w:cs="Times New Roman"/>
          <w:color w:val="auto"/>
          <w:highlight w:val="none"/>
          <w:lang w:val="en-US" w:eastAsia="zh-CN"/>
        </w:rPr>
        <w:t>25</w:t>
      </w:r>
      <w:r>
        <w:rPr>
          <w:rFonts w:hint="eastAsia" w:cs="Times New Roman"/>
          <w:color w:val="auto"/>
          <w:highlight w:val="none"/>
        </w:rPr>
        <w:t>）对施工阶段的场界限值的规定。</w:t>
      </w:r>
    </w:p>
    <w:p w14:paraId="34076C12">
      <w:pPr>
        <w:adjustRightInd w:val="0"/>
        <w:ind w:firstLine="480"/>
        <w:rPr>
          <w:rFonts w:cs="Times New Roman"/>
          <w:color w:val="auto"/>
          <w:highlight w:val="none"/>
        </w:rPr>
      </w:pPr>
      <w:r>
        <w:rPr>
          <w:rFonts w:hint="eastAsia" w:cs="Times New Roman"/>
          <w:color w:val="auto"/>
          <w:highlight w:val="none"/>
        </w:rPr>
        <w:t>③施工单位应对施工总平面进行合理布局，将高噪声设备尽可能布置于远离居民区。</w:t>
      </w:r>
    </w:p>
    <w:p w14:paraId="1BC9CE4D">
      <w:pPr>
        <w:adjustRightInd w:val="0"/>
        <w:ind w:firstLine="480"/>
        <w:rPr>
          <w:rFonts w:cs="Times New Roman"/>
          <w:color w:val="auto"/>
          <w:highlight w:val="none"/>
        </w:rPr>
      </w:pPr>
      <w:r>
        <w:rPr>
          <w:rFonts w:hint="eastAsia" w:cs="Times New Roman"/>
          <w:color w:val="auto"/>
          <w:highlight w:val="none"/>
        </w:rPr>
        <w:t>④施工车辆特别是重型运载车辆的运行线路和时间，应尽量避开噪声敏感区域和噪声敏感时段。进出车辆要合理调度，明确线路，使行驶道路保持平坦，减弱车辆的颠簸噪声和产生振动。加强施工区域交通管理，避免因交通堵塞增加车辆鸣号。</w:t>
      </w:r>
    </w:p>
    <w:p w14:paraId="27FC18B2">
      <w:pPr>
        <w:adjustRightInd w:val="0"/>
        <w:ind w:firstLine="480"/>
        <w:rPr>
          <w:rFonts w:cs="Times New Roman"/>
          <w:color w:val="auto"/>
          <w:highlight w:val="none"/>
        </w:rPr>
      </w:pPr>
      <w:r>
        <w:rPr>
          <w:rFonts w:hint="eastAsia" w:cs="Times New Roman"/>
          <w:color w:val="auto"/>
          <w:highlight w:val="none"/>
        </w:rPr>
        <w:t>⑤在高噪声设备附近，加设可移动的简易隔声屏。</w:t>
      </w:r>
    </w:p>
    <w:p w14:paraId="0D4C2B66">
      <w:pPr>
        <w:adjustRightInd w:val="0"/>
        <w:ind w:firstLine="480"/>
        <w:rPr>
          <w:rFonts w:cs="Times New Roman"/>
          <w:color w:val="auto"/>
          <w:highlight w:val="none"/>
        </w:rPr>
      </w:pPr>
      <w:r>
        <w:rPr>
          <w:rFonts w:hint="eastAsia" w:cs="Times New Roman"/>
          <w:color w:val="auto"/>
          <w:highlight w:val="none"/>
        </w:rPr>
        <w:t>⑥夜间禁止施工。</w:t>
      </w:r>
    </w:p>
    <w:p w14:paraId="3E29AD83">
      <w:pPr>
        <w:adjustRightInd w:val="0"/>
        <w:ind w:firstLine="480"/>
        <w:rPr>
          <w:rFonts w:cs="Times New Roman"/>
          <w:color w:val="auto"/>
          <w:highlight w:val="none"/>
        </w:rPr>
      </w:pPr>
      <w:r>
        <w:rPr>
          <w:rFonts w:hint="eastAsia" w:cs="Times New Roman"/>
          <w:color w:val="auto"/>
          <w:highlight w:val="none"/>
        </w:rPr>
        <w:t>⑦按照《关于严格限制夜间施工作业防治环境污染的通告》实施施工操作，杜绝野蛮装卸和车辆鸣号。</w:t>
      </w:r>
    </w:p>
    <w:p w14:paraId="5FF2630A">
      <w:pPr>
        <w:adjustRightInd w:val="0"/>
        <w:ind w:firstLine="480"/>
        <w:rPr>
          <w:rFonts w:cs="Times New Roman"/>
          <w:color w:val="auto"/>
          <w:highlight w:val="none"/>
        </w:rPr>
      </w:pPr>
      <w:r>
        <w:rPr>
          <w:rFonts w:hint="eastAsia" w:cs="Times New Roman"/>
          <w:color w:val="auto"/>
          <w:highlight w:val="none"/>
        </w:rPr>
        <w:t>评价认为施工期噪声会对区域声环境造成一定的影响，噪声属非残留污染，随工程结束而消失，采取有效措施对施工噪声进行控制后，会将本项目施工噪声对周围敏感点影响控制在最低水平，项目施工不会对评价范围内声环境产生较大的不利影响</w:t>
      </w:r>
      <w:r>
        <w:rPr>
          <w:rFonts w:cs="Times New Roman"/>
          <w:color w:val="auto"/>
          <w:highlight w:val="none"/>
        </w:rPr>
        <w:t>。</w:t>
      </w:r>
    </w:p>
    <w:p w14:paraId="70CE5869">
      <w:pPr>
        <w:pStyle w:val="4"/>
        <w:adjustRightInd w:val="0"/>
        <w:rPr>
          <w:rFonts w:cs="Times New Roman"/>
          <w:color w:val="auto"/>
          <w:highlight w:val="none"/>
        </w:rPr>
      </w:pPr>
      <w:bookmarkStart w:id="180" w:name="_Toc23786"/>
      <w:r>
        <w:rPr>
          <w:rFonts w:cs="Times New Roman"/>
          <w:color w:val="auto"/>
          <w:highlight w:val="none"/>
        </w:rPr>
        <w:t>施工期固体废物</w:t>
      </w:r>
      <w:r>
        <w:rPr>
          <w:rFonts w:hint="eastAsia" w:cs="Times New Roman"/>
          <w:color w:val="auto"/>
          <w:highlight w:val="none"/>
        </w:rPr>
        <w:t>环境影响分析</w:t>
      </w:r>
      <w:bookmarkEnd w:id="180"/>
    </w:p>
    <w:p w14:paraId="3722B5EC">
      <w:pPr>
        <w:adjustRightInd w:val="0"/>
        <w:ind w:firstLine="480"/>
        <w:rPr>
          <w:rFonts w:cs="Times New Roman"/>
          <w:color w:val="auto"/>
          <w:highlight w:val="none"/>
        </w:rPr>
      </w:pPr>
      <w:r>
        <w:rPr>
          <w:rFonts w:hint="eastAsia" w:cs="Times New Roman"/>
          <w:color w:val="auto"/>
          <w:highlight w:val="none"/>
        </w:rPr>
        <w:t>根据工程分析，该项目施工期间固体废弃物主要为表土、开挖弃方、土建施工产生的建筑垃圾、施工人员的生活垃圾等。</w:t>
      </w:r>
    </w:p>
    <w:p w14:paraId="49A9E94A">
      <w:pPr>
        <w:adjustRightInd w:val="0"/>
        <w:ind w:firstLine="482"/>
        <w:rPr>
          <w:rFonts w:cs="Times New Roman"/>
          <w:b/>
          <w:bCs/>
          <w:color w:val="auto"/>
          <w:highlight w:val="none"/>
        </w:rPr>
      </w:pPr>
      <w:r>
        <w:rPr>
          <w:rFonts w:hint="eastAsia" w:cs="Times New Roman"/>
          <w:b/>
          <w:bCs/>
          <w:color w:val="auto"/>
          <w:highlight w:val="none"/>
        </w:rPr>
        <w:t>（1）表土</w:t>
      </w:r>
    </w:p>
    <w:p w14:paraId="16678B76">
      <w:pPr>
        <w:adjustRightInd w:val="0"/>
        <w:ind w:firstLine="480"/>
        <w:rPr>
          <w:rFonts w:cs="Times New Roman"/>
          <w:color w:val="auto"/>
          <w:highlight w:val="none"/>
        </w:rPr>
      </w:pPr>
      <w:r>
        <w:rPr>
          <w:rFonts w:hint="eastAsia" w:cs="Times New Roman"/>
          <w:color w:val="auto"/>
          <w:highlight w:val="none"/>
        </w:rPr>
        <w:t>本项目表土用于园区绿化。</w:t>
      </w:r>
    </w:p>
    <w:p w14:paraId="1D5DDD99">
      <w:pPr>
        <w:adjustRightInd w:val="0"/>
        <w:ind w:firstLine="482"/>
        <w:rPr>
          <w:rFonts w:cs="Times New Roman"/>
          <w:b/>
          <w:bCs/>
          <w:color w:val="auto"/>
          <w:highlight w:val="none"/>
        </w:rPr>
      </w:pPr>
      <w:r>
        <w:rPr>
          <w:rFonts w:hint="eastAsia" w:cs="Times New Roman"/>
          <w:b/>
          <w:bCs/>
          <w:color w:val="auto"/>
          <w:highlight w:val="none"/>
        </w:rPr>
        <w:t>（2）开挖弃方</w:t>
      </w:r>
    </w:p>
    <w:p w14:paraId="350B051C">
      <w:pPr>
        <w:adjustRightInd w:val="0"/>
        <w:ind w:firstLine="480"/>
        <w:rPr>
          <w:rFonts w:cs="Times New Roman"/>
          <w:color w:val="auto"/>
          <w:highlight w:val="none"/>
        </w:rPr>
      </w:pPr>
      <w:r>
        <w:rPr>
          <w:rFonts w:hint="eastAsia" w:cs="Times New Roman"/>
          <w:color w:val="auto"/>
          <w:highlight w:val="none"/>
        </w:rPr>
        <w:t>本项目无地下室，本项目场平、道路工程及基础工程涉及土石方开挖，少量回填，大部分外运至当地政府指定的弃土场，施工期设置土石方临时堆场，并对堆场表面采取覆盖措施，减少起尘量。及时进行土方回填，对裸露土地进行表面植被培养，种植植物进行绿化，防范水土流失</w:t>
      </w:r>
      <w:r>
        <w:rPr>
          <w:rFonts w:cs="Times New Roman"/>
          <w:color w:val="auto"/>
          <w:highlight w:val="none"/>
        </w:rPr>
        <w:t>。本项目施工期间开挖方量约</w:t>
      </w:r>
      <w:r>
        <w:rPr>
          <w:rFonts w:hint="eastAsia" w:cs="Times New Roman"/>
          <w:color w:val="auto"/>
          <w:highlight w:val="none"/>
        </w:rPr>
        <w:t>536.2</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，回填方</w:t>
      </w:r>
      <w:r>
        <w:rPr>
          <w:rFonts w:hint="eastAsia" w:cs="Times New Roman"/>
          <w:color w:val="auto"/>
          <w:highlight w:val="none"/>
        </w:rPr>
        <w:t>146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，弃方</w:t>
      </w:r>
      <w:r>
        <w:rPr>
          <w:rFonts w:hint="eastAsia" w:cs="Times New Roman"/>
          <w:color w:val="auto"/>
          <w:highlight w:val="none"/>
        </w:rPr>
        <w:t>390.2</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。弃方外运至当地政府指定的弃土场。</w:t>
      </w:r>
    </w:p>
    <w:p w14:paraId="02CFC470">
      <w:pPr>
        <w:adjustRightInd w:val="0"/>
        <w:ind w:firstLine="482"/>
        <w:rPr>
          <w:rFonts w:cs="Times New Roman"/>
          <w:b/>
          <w:bCs/>
          <w:color w:val="auto"/>
          <w:highlight w:val="none"/>
        </w:rPr>
      </w:pPr>
      <w:r>
        <w:rPr>
          <w:rFonts w:cs="Times New Roman"/>
          <w:b/>
          <w:bCs/>
          <w:color w:val="auto"/>
          <w:highlight w:val="none"/>
        </w:rPr>
        <w:t>（3）建筑垃圾</w:t>
      </w:r>
    </w:p>
    <w:p w14:paraId="77AFB82D">
      <w:pPr>
        <w:adjustRightInd w:val="0"/>
        <w:ind w:firstLine="480"/>
        <w:rPr>
          <w:rFonts w:cs="Times New Roman"/>
          <w:color w:val="auto"/>
          <w:highlight w:val="none"/>
        </w:rPr>
      </w:pPr>
      <w:r>
        <w:rPr>
          <w:rFonts w:hint="eastAsia" w:cs="Times New Roman"/>
          <w:color w:val="auto"/>
          <w:highlight w:val="none"/>
        </w:rPr>
        <w:t>建筑垃圾主要包括砂石、石块、碎砖瓦、废木料、废金属、废钢筋等杂物，施工期将产生建筑垃圾约100m</w:t>
      </w:r>
      <w:r>
        <w:rPr>
          <w:rFonts w:hint="eastAsia" w:cs="Times New Roman"/>
          <w:color w:val="auto"/>
          <w:highlight w:val="none"/>
          <w:vertAlign w:val="superscript"/>
        </w:rPr>
        <w:t>3</w:t>
      </w:r>
      <w:r>
        <w:rPr>
          <w:rFonts w:hint="eastAsia" w:cs="Times New Roman"/>
          <w:color w:val="auto"/>
          <w:highlight w:val="none"/>
        </w:rPr>
        <w:t>，针对建筑垃圾措施：</w:t>
      </w:r>
    </w:p>
    <w:p w14:paraId="2B399F19">
      <w:pPr>
        <w:adjustRightInd w:val="0"/>
        <w:ind w:firstLine="480"/>
        <w:rPr>
          <w:rFonts w:cs="Times New Roman"/>
          <w:color w:val="auto"/>
          <w:highlight w:val="none"/>
        </w:rPr>
      </w:pPr>
      <w:r>
        <w:rPr>
          <w:rFonts w:hint="eastAsia" w:cs="Times New Roman"/>
          <w:color w:val="auto"/>
          <w:highlight w:val="none"/>
        </w:rPr>
        <w:t>A.根据《中华人民共和国固体废物污染环境防治法》相关规定，充分合理利用固体废弃物。建筑垃圾中的废钢筋、废金属、废木料等可以再次利用的固体废弃物进行分类收集，分类存放，分类回收并及时出售给废品回收公司处理。建筑垃圾中不能回收部分及时清运到指定的建筑垃圾场处理。</w:t>
      </w:r>
    </w:p>
    <w:p w14:paraId="5C993927">
      <w:pPr>
        <w:adjustRightInd w:val="0"/>
        <w:ind w:firstLine="480"/>
        <w:rPr>
          <w:rFonts w:cs="Times New Roman"/>
          <w:color w:val="auto"/>
          <w:highlight w:val="none"/>
        </w:rPr>
      </w:pPr>
      <w:r>
        <w:rPr>
          <w:rFonts w:hint="eastAsia" w:cs="Times New Roman"/>
          <w:color w:val="auto"/>
          <w:highlight w:val="none"/>
        </w:rPr>
        <w:t>B.在施工现场应设置临时建筑废物堆放场并进行遮盖处理，做好地面的防渗漏处理。</w:t>
      </w:r>
    </w:p>
    <w:p w14:paraId="7D327A69">
      <w:pPr>
        <w:adjustRightInd w:val="0"/>
        <w:ind w:firstLine="482"/>
        <w:rPr>
          <w:rFonts w:cs="Times New Roman"/>
          <w:b/>
          <w:bCs/>
          <w:color w:val="auto"/>
          <w:highlight w:val="none"/>
        </w:rPr>
      </w:pPr>
      <w:r>
        <w:rPr>
          <w:rFonts w:hint="eastAsia" w:cs="Times New Roman"/>
          <w:b/>
          <w:bCs/>
          <w:color w:val="auto"/>
          <w:highlight w:val="none"/>
        </w:rPr>
        <w:t>（4）生活垃圾</w:t>
      </w:r>
    </w:p>
    <w:p w14:paraId="148F07E8">
      <w:pPr>
        <w:adjustRightInd w:val="0"/>
        <w:ind w:firstLine="480"/>
        <w:rPr>
          <w:rFonts w:cs="Times New Roman"/>
          <w:color w:val="auto"/>
          <w:highlight w:val="none"/>
        </w:rPr>
      </w:pPr>
      <w:r>
        <w:rPr>
          <w:rFonts w:hint="eastAsia" w:cs="Times New Roman"/>
          <w:color w:val="auto"/>
          <w:highlight w:val="none"/>
        </w:rPr>
        <w:t>本项目施工期劳动定员50人，施工期120天。参照《第一次全国污染源普查城镇生活源产排污系数手册》，乐山市沙湾区属于4区3类，生活垃圾量0.48kg/人·d计算，生活垃圾产生量2.88t。生活垃圾经过袋装收集后，运往生活垃圾填埋场，严禁就地填埋。</w:t>
      </w:r>
      <w:r>
        <w:rPr>
          <w:rFonts w:cs="Times New Roman"/>
          <w:color w:val="auto"/>
          <w:highlight w:val="none"/>
        </w:rPr>
        <w:t>。</w:t>
      </w:r>
    </w:p>
    <w:p w14:paraId="4E2F0933">
      <w:pPr>
        <w:pStyle w:val="4"/>
        <w:adjustRightInd w:val="0"/>
        <w:rPr>
          <w:rFonts w:cs="Times New Roman"/>
          <w:color w:val="auto"/>
          <w:highlight w:val="none"/>
        </w:rPr>
      </w:pPr>
      <w:bookmarkStart w:id="181" w:name="_Toc30365"/>
      <w:r>
        <w:rPr>
          <w:rFonts w:cs="Times New Roman"/>
          <w:color w:val="auto"/>
          <w:highlight w:val="none"/>
        </w:rPr>
        <w:t>施工期生态环境</w:t>
      </w:r>
      <w:r>
        <w:rPr>
          <w:rFonts w:hint="eastAsia" w:cs="Times New Roman"/>
          <w:color w:val="auto"/>
          <w:highlight w:val="none"/>
        </w:rPr>
        <w:t>影响分析</w:t>
      </w:r>
      <w:bookmarkEnd w:id="181"/>
    </w:p>
    <w:p w14:paraId="7D80D306">
      <w:pPr>
        <w:adjustRightInd w:val="0"/>
        <w:ind w:firstLine="480"/>
        <w:rPr>
          <w:rFonts w:cs="Times New Roman"/>
          <w:color w:val="auto"/>
          <w:highlight w:val="none"/>
        </w:rPr>
      </w:pPr>
      <w:r>
        <w:rPr>
          <w:rFonts w:cs="Times New Roman"/>
          <w:color w:val="auto"/>
          <w:highlight w:val="none"/>
        </w:rPr>
        <w:t>本项目利用四川乐山沙湾经济开发区工业用地</w:t>
      </w:r>
      <w:r>
        <w:rPr>
          <w:rFonts w:hint="eastAsia" w:cs="Times New Roman"/>
          <w:color w:val="auto"/>
          <w:highlight w:val="none"/>
        </w:rPr>
        <w:t>31.8</w:t>
      </w:r>
      <w:r>
        <w:rPr>
          <w:rFonts w:cs="Times New Roman"/>
          <w:color w:val="auto"/>
          <w:highlight w:val="none"/>
        </w:rPr>
        <w:t>亩进行建设，只要施工完成后及时采取相应的生态保护和恢复措施，强化施工期的生态保护，则本项目的建设对生态影响较小。</w:t>
      </w:r>
    </w:p>
    <w:p w14:paraId="522C83CA">
      <w:pPr>
        <w:adjustRightInd w:val="0"/>
        <w:ind w:firstLine="480"/>
        <w:rPr>
          <w:rFonts w:cs="Times New Roman"/>
          <w:color w:val="auto"/>
          <w:highlight w:val="none"/>
        </w:rPr>
      </w:pPr>
      <w:r>
        <w:rPr>
          <w:rFonts w:hint="eastAsia" w:cs="Times New Roman"/>
          <w:color w:val="auto"/>
          <w:highlight w:val="none"/>
        </w:rPr>
        <w:t>工程施工期对生态环境的影响主要是由于施工清除现场、土石方开挖、填筑、机械碾压等施工活动破坏了工程区域原有地貌，扰动了表土结构，导致土壤抗蚀能力降低，损坏了原有的水土保持设施，导致地表裸露，在地表径流作用下，造成水土流失，加大水土流失量。通过采取动土前在项目周边建设临时导洪沟、挡土墙、及时夯实回填。施工道路采用硬化路面，在施工场地建排水沟，防止雨水冲刷场地，并在排水沟出口设沉淀池，使雨水经沉砂池沉淀后用场地洒水降尘使用。</w:t>
      </w:r>
    </w:p>
    <w:p w14:paraId="10C8CAE8">
      <w:pPr>
        <w:adjustRightInd w:val="0"/>
        <w:ind w:firstLine="480"/>
        <w:rPr>
          <w:rFonts w:cs="Times New Roman"/>
          <w:color w:val="auto"/>
          <w:highlight w:val="none"/>
        </w:rPr>
      </w:pPr>
      <w:r>
        <w:rPr>
          <w:rFonts w:hint="eastAsia" w:cs="Times New Roman"/>
          <w:color w:val="auto"/>
          <w:highlight w:val="none"/>
        </w:rPr>
        <w:t>水土保持及生态保护措施：</w:t>
      </w:r>
    </w:p>
    <w:p w14:paraId="021CD6B0">
      <w:pPr>
        <w:adjustRightInd w:val="0"/>
        <w:ind w:firstLine="480"/>
        <w:rPr>
          <w:rFonts w:cs="Times New Roman"/>
          <w:color w:val="auto"/>
          <w:highlight w:val="none"/>
        </w:rPr>
      </w:pPr>
      <w:r>
        <w:rPr>
          <w:rFonts w:hint="eastAsia" w:cs="Times New Roman"/>
          <w:color w:val="auto"/>
          <w:highlight w:val="none"/>
        </w:rPr>
        <w:t>①科学规划，合理安排。挖填方配套作业，要求分区分片开挖和填压，及时运输弃土方、及时压实填方，防止暴雨径流对开挖面积填方区的冲刷，从根本上减少水土流失量。</w:t>
      </w:r>
    </w:p>
    <w:p w14:paraId="2764DE74">
      <w:pPr>
        <w:adjustRightInd w:val="0"/>
        <w:ind w:firstLine="480"/>
        <w:rPr>
          <w:rFonts w:cs="Times New Roman"/>
          <w:color w:val="auto"/>
          <w:highlight w:val="none"/>
        </w:rPr>
      </w:pPr>
      <w:r>
        <w:rPr>
          <w:rFonts w:hint="eastAsia" w:cs="Times New Roman"/>
          <w:color w:val="auto"/>
          <w:highlight w:val="none"/>
        </w:rPr>
        <w:t>②施工中采取临时防护措施，如在场地基坑周围设临时排水沟，并用草席、沙袋等对坡面进行护理，确保下雨时不出现大量水土流失。</w:t>
      </w:r>
    </w:p>
    <w:p w14:paraId="63B6CAAD">
      <w:pPr>
        <w:adjustRightInd w:val="0"/>
        <w:ind w:firstLine="480"/>
        <w:rPr>
          <w:rFonts w:cs="Times New Roman"/>
          <w:color w:val="auto"/>
          <w:highlight w:val="none"/>
        </w:rPr>
      </w:pPr>
      <w:r>
        <w:rPr>
          <w:rFonts w:hint="eastAsia" w:cs="Times New Roman"/>
          <w:color w:val="auto"/>
          <w:highlight w:val="none"/>
        </w:rPr>
        <w:t>③施工时必须同时建设基坑护墙等辅助工程以稳定边坡，防止坡面崩塌。</w:t>
      </w:r>
    </w:p>
    <w:p w14:paraId="768A4B13">
      <w:pPr>
        <w:adjustRightInd w:val="0"/>
        <w:ind w:firstLine="480"/>
        <w:rPr>
          <w:rFonts w:cs="Times New Roman"/>
          <w:color w:val="auto"/>
          <w:highlight w:val="none"/>
        </w:rPr>
      </w:pPr>
      <w:r>
        <w:rPr>
          <w:rFonts w:hint="eastAsia" w:cs="Times New Roman"/>
          <w:color w:val="auto"/>
          <w:highlight w:val="none"/>
        </w:rPr>
        <w:t>④应在施工期间，搞好项目的生态保护和建设，缩短施工工期。在项目建设的同时应及时搞好厂区的植树、绿化及地面硬化，工程建成后，场地内应无裸露地面，使区域水土保持功能得到加强。建筑渣土在施工场地内设置的堆放场，应当及时采取绿化覆盖等措施</w:t>
      </w:r>
      <w:r>
        <w:rPr>
          <w:rFonts w:cs="Times New Roman"/>
          <w:color w:val="auto"/>
          <w:highlight w:val="none"/>
        </w:rPr>
        <w:t>。</w:t>
      </w:r>
    </w:p>
    <w:p w14:paraId="326F1E40">
      <w:pPr>
        <w:pStyle w:val="3"/>
        <w:adjustRightInd w:val="0"/>
        <w:rPr>
          <w:rFonts w:cs="Times New Roman"/>
          <w:color w:val="auto"/>
          <w:highlight w:val="none"/>
        </w:rPr>
      </w:pPr>
      <w:bookmarkStart w:id="182" w:name="_Toc127483575"/>
      <w:bookmarkStart w:id="183" w:name="_Toc12033"/>
      <w:r>
        <w:rPr>
          <w:rFonts w:cs="Times New Roman"/>
          <w:color w:val="auto"/>
          <w:highlight w:val="none"/>
        </w:rPr>
        <w:t>营运期环境影响分析</w:t>
      </w:r>
      <w:bookmarkEnd w:id="182"/>
      <w:bookmarkEnd w:id="183"/>
    </w:p>
    <w:p w14:paraId="60B4E472">
      <w:pPr>
        <w:rPr>
          <w:rFonts w:hint="eastAsia" w:cs="Times New Roman"/>
          <w:color w:val="auto"/>
          <w:highlight w:val="none"/>
          <w:lang w:val="en-US" w:eastAsia="zh-CN"/>
        </w:rPr>
        <w:sectPr>
          <w:pgSz w:w="11906" w:h="16838"/>
          <w:pgMar w:top="1134" w:right="1531" w:bottom="1134" w:left="1531" w:header="851" w:footer="907" w:gutter="0"/>
          <w:cols w:space="425" w:num="1"/>
          <w:docGrid w:type="lines" w:linePitch="312" w:charSpace="0"/>
        </w:sectPr>
      </w:pPr>
      <w:r>
        <w:rPr>
          <w:rFonts w:hint="eastAsia" w:cs="Times New Roman"/>
          <w:color w:val="auto"/>
          <w:highlight w:val="none"/>
          <w:lang w:val="en-US" w:eastAsia="zh-CN"/>
        </w:rPr>
        <w:t>略。</w:t>
      </w:r>
    </w:p>
    <w:p w14:paraId="3C0E9E86">
      <w:pPr>
        <w:pStyle w:val="2"/>
        <w:adjustRightInd w:val="0"/>
        <w:rPr>
          <w:rFonts w:cs="Times New Roman"/>
          <w:color w:val="auto"/>
          <w:highlight w:val="none"/>
        </w:rPr>
      </w:pPr>
      <w:bookmarkStart w:id="184" w:name="_Toc28680"/>
      <w:bookmarkStart w:id="185" w:name="_Toc27453"/>
      <w:bookmarkStart w:id="186" w:name="_Toc7582"/>
      <w:r>
        <w:rPr>
          <w:rFonts w:cs="Times New Roman"/>
          <w:color w:val="auto"/>
          <w:highlight w:val="none"/>
        </w:rPr>
        <w:t>环境风险分析</w:t>
      </w:r>
      <w:bookmarkEnd w:id="184"/>
      <w:bookmarkEnd w:id="185"/>
      <w:bookmarkEnd w:id="186"/>
    </w:p>
    <w:p w14:paraId="17E458CB">
      <w:pPr>
        <w:pStyle w:val="3"/>
        <w:adjustRightInd w:val="0"/>
        <w:rPr>
          <w:rFonts w:cs="Times New Roman"/>
          <w:color w:val="auto"/>
          <w:highlight w:val="none"/>
        </w:rPr>
      </w:pPr>
      <w:bookmarkStart w:id="187" w:name="_Toc16190092"/>
      <w:bookmarkStart w:id="188" w:name="_Toc17737"/>
      <w:bookmarkStart w:id="189" w:name="_Toc22982"/>
      <w:bookmarkStart w:id="190" w:name="_Toc15946"/>
      <w:r>
        <w:rPr>
          <w:rFonts w:cs="Times New Roman"/>
          <w:color w:val="auto"/>
          <w:highlight w:val="none"/>
        </w:rPr>
        <w:t>环境风险评价目</w:t>
      </w:r>
      <w:bookmarkEnd w:id="187"/>
      <w:r>
        <w:rPr>
          <w:rFonts w:cs="Times New Roman"/>
          <w:color w:val="auto"/>
          <w:highlight w:val="none"/>
        </w:rPr>
        <w:t>的</w:t>
      </w:r>
      <w:bookmarkEnd w:id="188"/>
      <w:bookmarkEnd w:id="189"/>
      <w:bookmarkEnd w:id="190"/>
    </w:p>
    <w:p w14:paraId="2E2F1C9E">
      <w:pPr>
        <w:adjustRightInd w:val="0"/>
        <w:ind w:firstLine="480"/>
        <w:rPr>
          <w:rFonts w:cs="Times New Roman"/>
          <w:color w:val="auto"/>
          <w:highlight w:val="none"/>
        </w:rPr>
      </w:pPr>
      <w:r>
        <w:rPr>
          <w:rFonts w:cs="Times New Roman"/>
          <w:color w:val="auto"/>
          <w:highlight w:val="none"/>
        </w:rPr>
        <w:t>在项目的建设和实施过程中，由于人为原因或者自然因素引起有毒、易燃易爆的物质发生泄漏、火灾、爆炸等突发性事故，造成生命财产的伤害和损失被称为环境风险事故。</w:t>
      </w:r>
    </w:p>
    <w:p w14:paraId="6069AE11">
      <w:pPr>
        <w:adjustRightInd w:val="0"/>
        <w:ind w:firstLine="480"/>
        <w:rPr>
          <w:rFonts w:cs="Times New Roman"/>
          <w:color w:val="auto"/>
          <w:highlight w:val="none"/>
        </w:rPr>
      </w:pPr>
      <w:r>
        <w:rPr>
          <w:rFonts w:cs="Times New Roman"/>
          <w:color w:val="auto"/>
          <w:highlight w:val="none"/>
        </w:rPr>
        <w:t>环境风险评价的目的是分析和预测建设项目存在的潜在危险、有害因素，建设项目建设和运营期间可能发生的突发性事故，引起有毒有害、易燃易爆等物质泄漏、爆炸和火灾等，所造成的人身安全和环境影响损害程度，提出合理可行的防范、应急与减缓措施，以使建设项目事故频率、损失和环境影响达到可以接受水平。</w:t>
      </w:r>
    </w:p>
    <w:p w14:paraId="5147A5C1">
      <w:pPr>
        <w:adjustRightInd w:val="0"/>
        <w:ind w:firstLine="480"/>
        <w:rPr>
          <w:rFonts w:cs="Times New Roman"/>
          <w:color w:val="auto"/>
          <w:highlight w:val="none"/>
        </w:rPr>
      </w:pPr>
      <w:r>
        <w:rPr>
          <w:rFonts w:cs="Times New Roman"/>
          <w:color w:val="auto"/>
          <w:highlight w:val="none"/>
        </w:rPr>
        <w:t>按照《建设项目环境风险评价技术导则》（HJ169-2018）的要求，采用对项目风险调查、风险识别、环境风险分析等进行环境风险评价，了解其环境风险的可接受程度，提出减少风险的事故应急措施及应急预案，为企业运行和环境风险管理提供资料和依据，以期达到防止环境风险发生的可能性及其危害的目的。</w:t>
      </w:r>
    </w:p>
    <w:p w14:paraId="44AEC650">
      <w:pPr>
        <w:pStyle w:val="3"/>
        <w:adjustRightInd w:val="0"/>
        <w:rPr>
          <w:rFonts w:cs="Times New Roman"/>
          <w:color w:val="auto"/>
          <w:highlight w:val="none"/>
        </w:rPr>
      </w:pPr>
      <w:bookmarkStart w:id="191" w:name="_Toc25173"/>
      <w:bookmarkStart w:id="192" w:name="_Toc29911"/>
      <w:bookmarkStart w:id="193" w:name="_Toc25417"/>
      <w:bookmarkStart w:id="194" w:name="_Toc28594"/>
      <w:r>
        <w:rPr>
          <w:rFonts w:cs="Times New Roman"/>
          <w:color w:val="auto"/>
          <w:highlight w:val="none"/>
        </w:rPr>
        <w:t>环境风险评价依据</w:t>
      </w:r>
      <w:bookmarkEnd w:id="191"/>
      <w:bookmarkEnd w:id="192"/>
      <w:bookmarkEnd w:id="193"/>
      <w:bookmarkEnd w:id="194"/>
    </w:p>
    <w:p w14:paraId="7FFAC5CC">
      <w:pPr>
        <w:pStyle w:val="4"/>
        <w:adjustRightInd w:val="0"/>
        <w:rPr>
          <w:rFonts w:cs="Times New Roman"/>
          <w:color w:val="auto"/>
          <w:highlight w:val="none"/>
        </w:rPr>
      </w:pPr>
      <w:bookmarkStart w:id="195" w:name="_Toc24020"/>
      <w:bookmarkStart w:id="196" w:name="_Toc16421"/>
      <w:bookmarkStart w:id="197" w:name="_Toc493"/>
      <w:bookmarkStart w:id="198" w:name="_Toc24919"/>
      <w:bookmarkStart w:id="199" w:name="_Toc24875"/>
      <w:bookmarkStart w:id="200" w:name="_Toc22114"/>
      <w:r>
        <w:rPr>
          <w:rFonts w:cs="Times New Roman"/>
          <w:color w:val="auto"/>
          <w:highlight w:val="none"/>
        </w:rPr>
        <w:t>风险物质识别</w:t>
      </w:r>
      <w:bookmarkEnd w:id="195"/>
      <w:bookmarkEnd w:id="196"/>
      <w:bookmarkEnd w:id="197"/>
      <w:bookmarkEnd w:id="198"/>
      <w:bookmarkEnd w:id="199"/>
      <w:bookmarkEnd w:id="200"/>
    </w:p>
    <w:p w14:paraId="52832209">
      <w:pPr>
        <w:adjustRightInd w:val="0"/>
        <w:ind w:firstLine="480"/>
        <w:rPr>
          <w:rFonts w:cs="Times New Roman"/>
          <w:color w:val="auto"/>
          <w:highlight w:val="none"/>
        </w:rPr>
      </w:pPr>
      <w:r>
        <w:rPr>
          <w:rFonts w:cs="Times New Roman"/>
          <w:color w:val="auto"/>
          <w:highlight w:val="none"/>
        </w:rPr>
        <w:t>根据项目的特点，本项目所涉及的风险物质主要为机油</w:t>
      </w:r>
      <w:r>
        <w:rPr>
          <w:rFonts w:hint="eastAsia" w:cs="Times New Roman"/>
          <w:color w:val="auto"/>
          <w:highlight w:val="none"/>
        </w:rPr>
        <w:t>、汽油</w:t>
      </w:r>
      <w:r>
        <w:rPr>
          <w:rFonts w:cs="Times New Roman"/>
          <w:color w:val="auto"/>
          <w:highlight w:val="none"/>
        </w:rPr>
        <w:t>、废机油。</w:t>
      </w:r>
    </w:p>
    <w:p w14:paraId="0BBDA816">
      <w:pPr>
        <w:pStyle w:val="4"/>
        <w:adjustRightInd w:val="0"/>
        <w:rPr>
          <w:rFonts w:cs="Times New Roman"/>
          <w:color w:val="auto"/>
          <w:highlight w:val="none"/>
        </w:rPr>
      </w:pPr>
      <w:bookmarkStart w:id="201" w:name="_Toc17148"/>
      <w:bookmarkStart w:id="202" w:name="_Toc18939"/>
      <w:bookmarkStart w:id="203" w:name="_Toc11174"/>
      <w:bookmarkStart w:id="204" w:name="_Toc2459"/>
      <w:bookmarkStart w:id="205" w:name="_Toc841"/>
      <w:r>
        <w:rPr>
          <w:rFonts w:cs="Times New Roman"/>
          <w:color w:val="auto"/>
          <w:highlight w:val="none"/>
        </w:rPr>
        <w:t>风险潜势初判</w:t>
      </w:r>
      <w:bookmarkEnd w:id="201"/>
      <w:bookmarkEnd w:id="202"/>
      <w:bookmarkEnd w:id="203"/>
      <w:bookmarkEnd w:id="204"/>
      <w:bookmarkEnd w:id="205"/>
    </w:p>
    <w:p w14:paraId="05E60E4A">
      <w:pPr>
        <w:adjustRightInd w:val="0"/>
        <w:ind w:firstLine="480"/>
        <w:rPr>
          <w:rFonts w:cs="Times New Roman"/>
          <w:color w:val="auto"/>
          <w:highlight w:val="none"/>
        </w:rPr>
      </w:pPr>
      <w:r>
        <w:rPr>
          <w:rFonts w:cs="Times New Roman"/>
          <w:color w:val="auto"/>
          <w:highlight w:val="none"/>
        </w:rPr>
        <w:t>根据《建设项目环境风险评价技术导则》（HJ169-2018），根据建设项目涉及的物质及工艺系统危险性和所在地的环境敏感性确定环境风险潜势。</w:t>
      </w:r>
    </w:p>
    <w:p w14:paraId="65BEEC7F">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评价工作等级划分</w:t>
      </w:r>
    </w:p>
    <w:tbl>
      <w:tblPr>
        <w:tblStyle w:val="31"/>
        <w:tblW w:w="4998"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108" w:type="dxa"/>
          <w:bottom w:w="0" w:type="dxa"/>
          <w:right w:w="108" w:type="dxa"/>
        </w:tblCellMar>
      </w:tblPr>
      <w:tblGrid>
        <w:gridCol w:w="1695"/>
        <w:gridCol w:w="1597"/>
        <w:gridCol w:w="1840"/>
        <w:gridCol w:w="1840"/>
        <w:gridCol w:w="2084"/>
      </w:tblGrid>
      <w:tr w14:paraId="74AF4A4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936" w:type="pct"/>
            <w:vAlign w:val="center"/>
          </w:tcPr>
          <w:p w14:paraId="6883A624">
            <w:pPr>
              <w:pStyle w:val="69"/>
              <w:spacing w:before="62" w:after="62"/>
              <w:rPr>
                <w:rFonts w:cs="Times New Roman"/>
                <w:b/>
                <w:bCs w:val="0"/>
                <w:color w:val="auto"/>
                <w:highlight w:val="none"/>
              </w:rPr>
            </w:pPr>
            <w:r>
              <w:rPr>
                <w:rFonts w:cs="Times New Roman"/>
                <w:b/>
                <w:bCs w:val="0"/>
                <w:color w:val="auto"/>
                <w:highlight w:val="none"/>
              </w:rPr>
              <w:t>环境风险潜势</w:t>
            </w:r>
          </w:p>
        </w:tc>
        <w:tc>
          <w:tcPr>
            <w:tcW w:w="882" w:type="pct"/>
            <w:vAlign w:val="center"/>
          </w:tcPr>
          <w:p w14:paraId="1D89A366">
            <w:pPr>
              <w:pStyle w:val="69"/>
              <w:spacing w:before="62" w:after="62"/>
              <w:rPr>
                <w:rFonts w:cs="Times New Roman"/>
                <w:b/>
                <w:bCs w:val="0"/>
                <w:color w:val="auto"/>
                <w:highlight w:val="none"/>
              </w:rPr>
            </w:pPr>
            <w:r>
              <w:rPr>
                <w:rFonts w:cs="Times New Roman"/>
                <w:b/>
                <w:bCs w:val="0"/>
                <w:color w:val="auto"/>
                <w:highlight w:val="none"/>
              </w:rPr>
              <w:t>Ⅳ、Ⅳ+</w:t>
            </w:r>
          </w:p>
        </w:tc>
        <w:tc>
          <w:tcPr>
            <w:tcW w:w="1016" w:type="pct"/>
            <w:vAlign w:val="center"/>
          </w:tcPr>
          <w:p w14:paraId="444E3E3F">
            <w:pPr>
              <w:pStyle w:val="69"/>
              <w:spacing w:before="62" w:after="62"/>
              <w:rPr>
                <w:rFonts w:cs="Times New Roman"/>
                <w:b/>
                <w:bCs w:val="0"/>
                <w:color w:val="auto"/>
                <w:highlight w:val="none"/>
              </w:rPr>
            </w:pPr>
            <w:r>
              <w:rPr>
                <w:rFonts w:cs="Times New Roman"/>
                <w:b/>
                <w:bCs w:val="0"/>
                <w:color w:val="auto"/>
                <w:highlight w:val="none"/>
              </w:rPr>
              <w:t>Ⅲ</w:t>
            </w:r>
          </w:p>
        </w:tc>
        <w:tc>
          <w:tcPr>
            <w:tcW w:w="1016" w:type="pct"/>
            <w:vAlign w:val="center"/>
          </w:tcPr>
          <w:p w14:paraId="08B6C797">
            <w:pPr>
              <w:pStyle w:val="69"/>
              <w:spacing w:before="62" w:after="62"/>
              <w:rPr>
                <w:rFonts w:cs="Times New Roman"/>
                <w:b/>
                <w:bCs w:val="0"/>
                <w:color w:val="auto"/>
                <w:highlight w:val="none"/>
              </w:rPr>
            </w:pPr>
            <w:r>
              <w:rPr>
                <w:rFonts w:cs="Times New Roman"/>
                <w:b/>
                <w:bCs w:val="0"/>
                <w:color w:val="auto"/>
                <w:highlight w:val="none"/>
              </w:rPr>
              <w:t>Ⅱ</w:t>
            </w:r>
          </w:p>
        </w:tc>
        <w:tc>
          <w:tcPr>
            <w:tcW w:w="1148" w:type="pct"/>
            <w:vAlign w:val="center"/>
          </w:tcPr>
          <w:p w14:paraId="67139105">
            <w:pPr>
              <w:pStyle w:val="69"/>
              <w:spacing w:before="62" w:after="62"/>
              <w:rPr>
                <w:rFonts w:cs="Times New Roman"/>
                <w:b/>
                <w:bCs w:val="0"/>
                <w:color w:val="auto"/>
                <w:highlight w:val="none"/>
              </w:rPr>
            </w:pPr>
            <w:r>
              <w:rPr>
                <w:rFonts w:cs="Times New Roman"/>
                <w:b/>
                <w:bCs w:val="0"/>
                <w:color w:val="auto"/>
                <w:highlight w:val="none"/>
              </w:rPr>
              <w:t>Ⅰ</w:t>
            </w:r>
          </w:p>
        </w:tc>
      </w:tr>
      <w:tr w14:paraId="30C724C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936" w:type="pct"/>
            <w:vAlign w:val="center"/>
          </w:tcPr>
          <w:p w14:paraId="03C06680">
            <w:pPr>
              <w:pStyle w:val="69"/>
              <w:spacing w:before="62" w:after="62"/>
              <w:rPr>
                <w:rFonts w:cs="Times New Roman"/>
                <w:color w:val="auto"/>
                <w:highlight w:val="none"/>
              </w:rPr>
            </w:pPr>
            <w:r>
              <w:rPr>
                <w:rFonts w:cs="Times New Roman"/>
                <w:color w:val="auto"/>
                <w:highlight w:val="none"/>
              </w:rPr>
              <w:t>评价工作等级</w:t>
            </w:r>
          </w:p>
        </w:tc>
        <w:tc>
          <w:tcPr>
            <w:tcW w:w="882" w:type="pct"/>
            <w:vAlign w:val="center"/>
          </w:tcPr>
          <w:p w14:paraId="0728E9B0">
            <w:pPr>
              <w:pStyle w:val="69"/>
              <w:spacing w:before="62" w:after="62"/>
              <w:rPr>
                <w:rFonts w:cs="Times New Roman"/>
                <w:color w:val="auto"/>
                <w:highlight w:val="none"/>
              </w:rPr>
            </w:pPr>
            <w:r>
              <w:rPr>
                <w:rFonts w:cs="Times New Roman"/>
                <w:color w:val="auto"/>
                <w:highlight w:val="none"/>
              </w:rPr>
              <w:t>一</w:t>
            </w:r>
          </w:p>
        </w:tc>
        <w:tc>
          <w:tcPr>
            <w:tcW w:w="1016" w:type="pct"/>
            <w:vAlign w:val="center"/>
          </w:tcPr>
          <w:p w14:paraId="4799A65B">
            <w:pPr>
              <w:pStyle w:val="69"/>
              <w:spacing w:before="62" w:after="62"/>
              <w:rPr>
                <w:rFonts w:cs="Times New Roman"/>
                <w:color w:val="auto"/>
                <w:highlight w:val="none"/>
              </w:rPr>
            </w:pPr>
            <w:r>
              <w:rPr>
                <w:rFonts w:cs="Times New Roman"/>
                <w:color w:val="auto"/>
                <w:highlight w:val="none"/>
              </w:rPr>
              <w:t>二</w:t>
            </w:r>
          </w:p>
        </w:tc>
        <w:tc>
          <w:tcPr>
            <w:tcW w:w="1016" w:type="pct"/>
            <w:vAlign w:val="center"/>
          </w:tcPr>
          <w:p w14:paraId="6C8FCB58">
            <w:pPr>
              <w:pStyle w:val="69"/>
              <w:spacing w:before="62" w:after="62"/>
              <w:rPr>
                <w:rFonts w:cs="Times New Roman"/>
                <w:color w:val="auto"/>
                <w:highlight w:val="none"/>
              </w:rPr>
            </w:pPr>
            <w:r>
              <w:rPr>
                <w:rFonts w:cs="Times New Roman"/>
                <w:color w:val="auto"/>
                <w:highlight w:val="none"/>
              </w:rPr>
              <w:t>三</w:t>
            </w:r>
          </w:p>
        </w:tc>
        <w:tc>
          <w:tcPr>
            <w:tcW w:w="1148" w:type="pct"/>
            <w:vAlign w:val="center"/>
          </w:tcPr>
          <w:p w14:paraId="6378EA73">
            <w:pPr>
              <w:pStyle w:val="69"/>
              <w:spacing w:before="62" w:after="62"/>
              <w:rPr>
                <w:rFonts w:cs="Times New Roman"/>
                <w:color w:val="auto"/>
                <w:highlight w:val="none"/>
              </w:rPr>
            </w:pPr>
            <w:r>
              <w:rPr>
                <w:rFonts w:cs="Times New Roman"/>
                <w:color w:val="auto"/>
                <w:highlight w:val="none"/>
              </w:rPr>
              <w:t>简单分析a</w:t>
            </w:r>
          </w:p>
        </w:tc>
      </w:tr>
      <w:tr w14:paraId="23E08AB0">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5000" w:type="pct"/>
            <w:gridSpan w:val="5"/>
            <w:vAlign w:val="center"/>
          </w:tcPr>
          <w:p w14:paraId="62DBC34F">
            <w:pPr>
              <w:pStyle w:val="69"/>
              <w:spacing w:before="62" w:after="62"/>
              <w:rPr>
                <w:rFonts w:cs="Times New Roman"/>
                <w:color w:val="auto"/>
                <w:highlight w:val="none"/>
              </w:rPr>
            </w:pPr>
            <w:r>
              <w:rPr>
                <w:rFonts w:cs="Times New Roman"/>
                <w:color w:val="auto"/>
                <w:highlight w:val="none"/>
              </w:rPr>
              <w:t>a是相对于详细评价工作内容而言，在描述危险物质、环境影响途径、环境危害后果、风险防范措施等方面给出定性的说明。见附录A。</w:t>
            </w:r>
          </w:p>
        </w:tc>
      </w:tr>
    </w:tbl>
    <w:p w14:paraId="7835455F">
      <w:pPr>
        <w:adjustRightInd w:val="0"/>
        <w:ind w:firstLine="480"/>
        <w:rPr>
          <w:rFonts w:cs="Times New Roman"/>
          <w:color w:val="auto"/>
          <w:highlight w:val="none"/>
        </w:rPr>
      </w:pPr>
      <w:r>
        <w:rPr>
          <w:rFonts w:cs="Times New Roman"/>
          <w:color w:val="auto"/>
          <w:highlight w:val="none"/>
        </w:rPr>
        <w:t>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14:paraId="2EB339A2">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kern w:val="21"/>
          <w:szCs w:val="21"/>
          <w:highlight w:val="none"/>
        </w:rPr>
        <w:t>建设项目环境风险潜势划分</w:t>
      </w:r>
    </w:p>
    <w:tbl>
      <w:tblPr>
        <w:tblStyle w:val="31"/>
        <w:tblW w:w="4999"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108" w:type="dxa"/>
          <w:bottom w:w="0" w:type="dxa"/>
          <w:right w:w="108" w:type="dxa"/>
        </w:tblCellMar>
      </w:tblPr>
      <w:tblGrid>
        <w:gridCol w:w="2065"/>
        <w:gridCol w:w="1746"/>
        <w:gridCol w:w="1746"/>
        <w:gridCol w:w="1746"/>
        <w:gridCol w:w="1755"/>
      </w:tblGrid>
      <w:tr w14:paraId="709C2BB9">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140" w:type="pct"/>
            <w:vMerge w:val="restart"/>
            <w:vAlign w:val="center"/>
          </w:tcPr>
          <w:p w14:paraId="2CB6D9E3">
            <w:pPr>
              <w:pStyle w:val="69"/>
              <w:spacing w:before="62" w:after="62"/>
              <w:rPr>
                <w:rFonts w:cs="Times New Roman"/>
                <w:b/>
                <w:bCs w:val="0"/>
                <w:color w:val="auto"/>
                <w:highlight w:val="none"/>
              </w:rPr>
            </w:pPr>
            <w:r>
              <w:rPr>
                <w:rFonts w:cs="Times New Roman"/>
                <w:b/>
                <w:bCs w:val="0"/>
                <w:color w:val="auto"/>
                <w:highlight w:val="none"/>
              </w:rPr>
              <w:t>环境敏感程度（E）</w:t>
            </w:r>
          </w:p>
        </w:tc>
        <w:tc>
          <w:tcPr>
            <w:tcW w:w="3859" w:type="pct"/>
            <w:gridSpan w:val="4"/>
            <w:vAlign w:val="center"/>
          </w:tcPr>
          <w:p w14:paraId="7DD1B1BA">
            <w:pPr>
              <w:pStyle w:val="69"/>
              <w:spacing w:before="62" w:after="62"/>
              <w:rPr>
                <w:rFonts w:cs="Times New Roman"/>
                <w:b/>
                <w:bCs w:val="0"/>
                <w:color w:val="auto"/>
                <w:highlight w:val="none"/>
              </w:rPr>
            </w:pPr>
            <w:r>
              <w:rPr>
                <w:rFonts w:cs="Times New Roman"/>
                <w:b/>
                <w:bCs w:val="0"/>
                <w:color w:val="auto"/>
                <w:highlight w:val="none"/>
              </w:rPr>
              <w:t>危险物质及工艺系统危险性（P）</w:t>
            </w:r>
          </w:p>
        </w:tc>
      </w:tr>
      <w:tr w14:paraId="2E39BF91">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140" w:type="pct"/>
            <w:vMerge w:val="continue"/>
            <w:vAlign w:val="center"/>
          </w:tcPr>
          <w:p w14:paraId="32463B7D">
            <w:pPr>
              <w:pStyle w:val="69"/>
              <w:spacing w:before="62" w:after="62"/>
              <w:rPr>
                <w:rFonts w:cs="Times New Roman"/>
                <w:b/>
                <w:bCs w:val="0"/>
                <w:color w:val="auto"/>
                <w:highlight w:val="none"/>
              </w:rPr>
            </w:pPr>
          </w:p>
        </w:tc>
        <w:tc>
          <w:tcPr>
            <w:tcW w:w="964" w:type="pct"/>
            <w:vAlign w:val="center"/>
          </w:tcPr>
          <w:p w14:paraId="4B64F7D0">
            <w:pPr>
              <w:pStyle w:val="69"/>
              <w:spacing w:before="62" w:after="62"/>
              <w:rPr>
                <w:rFonts w:cs="Times New Roman"/>
                <w:b/>
                <w:bCs w:val="0"/>
                <w:color w:val="auto"/>
                <w:highlight w:val="none"/>
              </w:rPr>
            </w:pPr>
            <w:r>
              <w:rPr>
                <w:rFonts w:cs="Times New Roman"/>
                <w:b/>
                <w:bCs w:val="0"/>
                <w:color w:val="auto"/>
                <w:highlight w:val="none"/>
              </w:rPr>
              <w:t>极高危害（P1）</w:t>
            </w:r>
          </w:p>
        </w:tc>
        <w:tc>
          <w:tcPr>
            <w:tcW w:w="964" w:type="pct"/>
            <w:vAlign w:val="center"/>
          </w:tcPr>
          <w:p w14:paraId="7B83B263">
            <w:pPr>
              <w:pStyle w:val="69"/>
              <w:spacing w:before="62" w:after="62"/>
              <w:rPr>
                <w:rFonts w:cs="Times New Roman"/>
                <w:b/>
                <w:bCs w:val="0"/>
                <w:color w:val="auto"/>
                <w:highlight w:val="none"/>
              </w:rPr>
            </w:pPr>
            <w:r>
              <w:rPr>
                <w:rFonts w:cs="Times New Roman"/>
                <w:b/>
                <w:bCs w:val="0"/>
                <w:color w:val="auto"/>
                <w:highlight w:val="none"/>
              </w:rPr>
              <w:t>高度危害（P2）</w:t>
            </w:r>
          </w:p>
        </w:tc>
        <w:tc>
          <w:tcPr>
            <w:tcW w:w="964" w:type="pct"/>
            <w:vAlign w:val="center"/>
          </w:tcPr>
          <w:p w14:paraId="065F7947">
            <w:pPr>
              <w:pStyle w:val="69"/>
              <w:spacing w:before="62" w:after="62"/>
              <w:rPr>
                <w:rFonts w:cs="Times New Roman"/>
                <w:b/>
                <w:bCs w:val="0"/>
                <w:color w:val="auto"/>
                <w:highlight w:val="none"/>
              </w:rPr>
            </w:pPr>
            <w:r>
              <w:rPr>
                <w:rFonts w:cs="Times New Roman"/>
                <w:b/>
                <w:bCs w:val="0"/>
                <w:color w:val="auto"/>
                <w:highlight w:val="none"/>
              </w:rPr>
              <w:t>中度危害（P3）</w:t>
            </w:r>
          </w:p>
        </w:tc>
        <w:tc>
          <w:tcPr>
            <w:tcW w:w="966" w:type="pct"/>
            <w:vAlign w:val="center"/>
          </w:tcPr>
          <w:p w14:paraId="17BC4F45">
            <w:pPr>
              <w:pStyle w:val="69"/>
              <w:spacing w:before="62" w:after="62"/>
              <w:rPr>
                <w:rFonts w:cs="Times New Roman"/>
                <w:b/>
                <w:bCs w:val="0"/>
                <w:color w:val="auto"/>
                <w:highlight w:val="none"/>
              </w:rPr>
            </w:pPr>
            <w:r>
              <w:rPr>
                <w:rFonts w:cs="Times New Roman"/>
                <w:b/>
                <w:bCs w:val="0"/>
                <w:color w:val="auto"/>
                <w:highlight w:val="none"/>
              </w:rPr>
              <w:t>轻度危害（P4）</w:t>
            </w:r>
          </w:p>
        </w:tc>
      </w:tr>
      <w:tr w14:paraId="51E47EB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140" w:type="pct"/>
            <w:vAlign w:val="center"/>
          </w:tcPr>
          <w:p w14:paraId="7876EBAC">
            <w:pPr>
              <w:pStyle w:val="69"/>
              <w:spacing w:before="62" w:after="62"/>
              <w:rPr>
                <w:rFonts w:cs="Times New Roman"/>
                <w:color w:val="auto"/>
                <w:highlight w:val="none"/>
              </w:rPr>
            </w:pPr>
            <w:r>
              <w:rPr>
                <w:rFonts w:cs="Times New Roman"/>
                <w:color w:val="auto"/>
                <w:highlight w:val="none"/>
              </w:rPr>
              <w:t>环境高度敏感（E1）</w:t>
            </w:r>
          </w:p>
        </w:tc>
        <w:tc>
          <w:tcPr>
            <w:tcW w:w="964" w:type="pct"/>
            <w:vAlign w:val="center"/>
          </w:tcPr>
          <w:p w14:paraId="053C2910">
            <w:pPr>
              <w:pStyle w:val="69"/>
              <w:spacing w:before="62" w:after="62"/>
              <w:rPr>
                <w:rFonts w:cs="Times New Roman"/>
                <w:color w:val="auto"/>
                <w:highlight w:val="none"/>
              </w:rPr>
            </w:pPr>
            <w:r>
              <w:rPr>
                <w:rFonts w:cs="Times New Roman"/>
                <w:color w:val="auto"/>
                <w:highlight w:val="none"/>
              </w:rPr>
              <w:t>Ⅳ+</w:t>
            </w:r>
          </w:p>
        </w:tc>
        <w:tc>
          <w:tcPr>
            <w:tcW w:w="964" w:type="pct"/>
            <w:vAlign w:val="center"/>
          </w:tcPr>
          <w:p w14:paraId="6FFFFCC9">
            <w:pPr>
              <w:pStyle w:val="69"/>
              <w:spacing w:before="62" w:after="62"/>
              <w:rPr>
                <w:rFonts w:cs="Times New Roman"/>
                <w:color w:val="auto"/>
                <w:highlight w:val="none"/>
              </w:rPr>
            </w:pPr>
            <w:r>
              <w:rPr>
                <w:rFonts w:cs="Times New Roman"/>
                <w:color w:val="auto"/>
                <w:highlight w:val="none"/>
              </w:rPr>
              <w:t>Ⅳ</w:t>
            </w:r>
          </w:p>
        </w:tc>
        <w:tc>
          <w:tcPr>
            <w:tcW w:w="964" w:type="pct"/>
            <w:vAlign w:val="center"/>
          </w:tcPr>
          <w:p w14:paraId="4A91B124">
            <w:pPr>
              <w:pStyle w:val="69"/>
              <w:spacing w:before="62" w:after="62"/>
              <w:rPr>
                <w:rFonts w:cs="Times New Roman"/>
                <w:color w:val="auto"/>
                <w:highlight w:val="none"/>
              </w:rPr>
            </w:pPr>
            <w:r>
              <w:rPr>
                <w:rFonts w:cs="Times New Roman"/>
                <w:color w:val="auto"/>
                <w:highlight w:val="none"/>
              </w:rPr>
              <w:t>Ⅲ</w:t>
            </w:r>
          </w:p>
        </w:tc>
        <w:tc>
          <w:tcPr>
            <w:tcW w:w="966" w:type="pct"/>
            <w:vAlign w:val="center"/>
          </w:tcPr>
          <w:p w14:paraId="52459150">
            <w:pPr>
              <w:pStyle w:val="69"/>
              <w:spacing w:before="62" w:after="62"/>
              <w:rPr>
                <w:rFonts w:cs="Times New Roman"/>
                <w:color w:val="auto"/>
                <w:highlight w:val="none"/>
              </w:rPr>
            </w:pPr>
            <w:r>
              <w:rPr>
                <w:rFonts w:cs="Times New Roman"/>
                <w:color w:val="auto"/>
                <w:highlight w:val="none"/>
              </w:rPr>
              <w:t>Ⅲ</w:t>
            </w:r>
          </w:p>
        </w:tc>
      </w:tr>
      <w:tr w14:paraId="44BACF2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140" w:type="pct"/>
            <w:vAlign w:val="center"/>
          </w:tcPr>
          <w:p w14:paraId="45DEAF83">
            <w:pPr>
              <w:pStyle w:val="69"/>
              <w:spacing w:before="62" w:after="62"/>
              <w:rPr>
                <w:rFonts w:cs="Times New Roman"/>
                <w:color w:val="auto"/>
                <w:highlight w:val="none"/>
              </w:rPr>
            </w:pPr>
            <w:r>
              <w:rPr>
                <w:rFonts w:cs="Times New Roman"/>
                <w:color w:val="auto"/>
                <w:highlight w:val="none"/>
              </w:rPr>
              <w:t>环境中度敏感（E2）</w:t>
            </w:r>
          </w:p>
        </w:tc>
        <w:tc>
          <w:tcPr>
            <w:tcW w:w="964" w:type="pct"/>
            <w:vAlign w:val="center"/>
          </w:tcPr>
          <w:p w14:paraId="0B001DCB">
            <w:pPr>
              <w:pStyle w:val="69"/>
              <w:spacing w:before="62" w:after="62"/>
              <w:rPr>
                <w:rFonts w:cs="Times New Roman"/>
                <w:color w:val="auto"/>
                <w:highlight w:val="none"/>
              </w:rPr>
            </w:pPr>
            <w:r>
              <w:rPr>
                <w:rFonts w:cs="Times New Roman"/>
                <w:color w:val="auto"/>
                <w:highlight w:val="none"/>
              </w:rPr>
              <w:t>Ⅳ</w:t>
            </w:r>
          </w:p>
        </w:tc>
        <w:tc>
          <w:tcPr>
            <w:tcW w:w="964" w:type="pct"/>
            <w:vAlign w:val="center"/>
          </w:tcPr>
          <w:p w14:paraId="1E83A920">
            <w:pPr>
              <w:pStyle w:val="69"/>
              <w:spacing w:before="62" w:after="62"/>
              <w:rPr>
                <w:rFonts w:cs="Times New Roman"/>
                <w:color w:val="auto"/>
                <w:highlight w:val="none"/>
              </w:rPr>
            </w:pPr>
            <w:r>
              <w:rPr>
                <w:rFonts w:cs="Times New Roman"/>
                <w:color w:val="auto"/>
                <w:highlight w:val="none"/>
              </w:rPr>
              <w:t>Ⅲ</w:t>
            </w:r>
          </w:p>
        </w:tc>
        <w:tc>
          <w:tcPr>
            <w:tcW w:w="964" w:type="pct"/>
            <w:vAlign w:val="center"/>
          </w:tcPr>
          <w:p w14:paraId="3BFBE2D4">
            <w:pPr>
              <w:pStyle w:val="69"/>
              <w:spacing w:before="62" w:after="62"/>
              <w:rPr>
                <w:rFonts w:cs="Times New Roman"/>
                <w:color w:val="auto"/>
                <w:highlight w:val="none"/>
              </w:rPr>
            </w:pPr>
            <w:r>
              <w:rPr>
                <w:rFonts w:cs="Times New Roman"/>
                <w:color w:val="auto"/>
                <w:highlight w:val="none"/>
              </w:rPr>
              <w:t>Ⅲ</w:t>
            </w:r>
          </w:p>
        </w:tc>
        <w:tc>
          <w:tcPr>
            <w:tcW w:w="966" w:type="pct"/>
            <w:vAlign w:val="center"/>
          </w:tcPr>
          <w:p w14:paraId="4939AD51">
            <w:pPr>
              <w:pStyle w:val="69"/>
              <w:spacing w:before="62" w:after="62"/>
              <w:rPr>
                <w:rFonts w:cs="Times New Roman"/>
                <w:color w:val="auto"/>
                <w:highlight w:val="none"/>
              </w:rPr>
            </w:pPr>
            <w:r>
              <w:rPr>
                <w:rFonts w:cs="Times New Roman"/>
                <w:color w:val="auto"/>
                <w:highlight w:val="none"/>
              </w:rPr>
              <w:t>Ⅱ</w:t>
            </w:r>
          </w:p>
        </w:tc>
      </w:tr>
      <w:tr w14:paraId="0681B26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1140" w:type="pct"/>
            <w:vAlign w:val="center"/>
          </w:tcPr>
          <w:p w14:paraId="4DA9ACA9">
            <w:pPr>
              <w:pStyle w:val="69"/>
              <w:spacing w:before="62" w:after="62"/>
              <w:rPr>
                <w:rFonts w:cs="Times New Roman"/>
                <w:color w:val="auto"/>
                <w:highlight w:val="none"/>
              </w:rPr>
            </w:pPr>
            <w:r>
              <w:rPr>
                <w:rFonts w:cs="Times New Roman"/>
                <w:color w:val="auto"/>
                <w:highlight w:val="none"/>
              </w:rPr>
              <w:t>环境低度敏感（E3）</w:t>
            </w:r>
          </w:p>
        </w:tc>
        <w:tc>
          <w:tcPr>
            <w:tcW w:w="964" w:type="pct"/>
            <w:vAlign w:val="center"/>
          </w:tcPr>
          <w:p w14:paraId="0151B0A8">
            <w:pPr>
              <w:pStyle w:val="69"/>
              <w:spacing w:before="62" w:after="62"/>
              <w:rPr>
                <w:rFonts w:cs="Times New Roman"/>
                <w:color w:val="auto"/>
                <w:highlight w:val="none"/>
              </w:rPr>
            </w:pPr>
            <w:r>
              <w:rPr>
                <w:rFonts w:cs="Times New Roman"/>
                <w:color w:val="auto"/>
                <w:highlight w:val="none"/>
              </w:rPr>
              <w:t>Ⅲ</w:t>
            </w:r>
          </w:p>
        </w:tc>
        <w:tc>
          <w:tcPr>
            <w:tcW w:w="964" w:type="pct"/>
            <w:vAlign w:val="center"/>
          </w:tcPr>
          <w:p w14:paraId="35F2C7AB">
            <w:pPr>
              <w:pStyle w:val="69"/>
              <w:spacing w:before="62" w:after="62"/>
              <w:rPr>
                <w:rFonts w:cs="Times New Roman"/>
                <w:color w:val="auto"/>
                <w:highlight w:val="none"/>
              </w:rPr>
            </w:pPr>
            <w:r>
              <w:rPr>
                <w:rFonts w:cs="Times New Roman"/>
                <w:color w:val="auto"/>
                <w:highlight w:val="none"/>
              </w:rPr>
              <w:t>Ⅲ</w:t>
            </w:r>
          </w:p>
        </w:tc>
        <w:tc>
          <w:tcPr>
            <w:tcW w:w="964" w:type="pct"/>
            <w:vAlign w:val="center"/>
          </w:tcPr>
          <w:p w14:paraId="3DE2AC29">
            <w:pPr>
              <w:pStyle w:val="69"/>
              <w:spacing w:before="62" w:after="62"/>
              <w:rPr>
                <w:rFonts w:cs="Times New Roman"/>
                <w:color w:val="auto"/>
                <w:highlight w:val="none"/>
              </w:rPr>
            </w:pPr>
            <w:r>
              <w:rPr>
                <w:rFonts w:cs="Times New Roman"/>
                <w:color w:val="auto"/>
                <w:highlight w:val="none"/>
              </w:rPr>
              <w:t>Ⅱ</w:t>
            </w:r>
          </w:p>
        </w:tc>
        <w:tc>
          <w:tcPr>
            <w:tcW w:w="966" w:type="pct"/>
            <w:vAlign w:val="center"/>
          </w:tcPr>
          <w:p w14:paraId="3BF3794F">
            <w:pPr>
              <w:pStyle w:val="69"/>
              <w:spacing w:before="62" w:after="62"/>
              <w:rPr>
                <w:rFonts w:cs="Times New Roman"/>
                <w:color w:val="auto"/>
                <w:highlight w:val="none"/>
              </w:rPr>
            </w:pPr>
            <w:r>
              <w:rPr>
                <w:rFonts w:cs="Times New Roman"/>
                <w:color w:val="auto"/>
                <w:highlight w:val="none"/>
              </w:rPr>
              <w:t>Ⅰ</w:t>
            </w:r>
          </w:p>
        </w:tc>
      </w:tr>
      <w:tr w14:paraId="741B8D6B">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5000" w:type="pct"/>
            <w:gridSpan w:val="5"/>
            <w:vAlign w:val="center"/>
          </w:tcPr>
          <w:p w14:paraId="38A6DA90">
            <w:pPr>
              <w:pStyle w:val="69"/>
              <w:spacing w:before="62" w:after="62"/>
              <w:rPr>
                <w:rFonts w:cs="Times New Roman"/>
                <w:color w:val="auto"/>
                <w:highlight w:val="none"/>
              </w:rPr>
            </w:pPr>
            <w:r>
              <w:rPr>
                <w:rFonts w:cs="Times New Roman"/>
                <w:color w:val="auto"/>
                <w:highlight w:val="none"/>
              </w:rPr>
              <w:t>注：Ⅳ+为极高环境风险。</w:t>
            </w:r>
          </w:p>
        </w:tc>
      </w:tr>
    </w:tbl>
    <w:p w14:paraId="600D2A2B">
      <w:pPr>
        <w:adjustRightInd w:val="0"/>
        <w:ind w:firstLine="480"/>
        <w:rPr>
          <w:rFonts w:cs="Times New Roman"/>
          <w:color w:val="auto"/>
          <w:kern w:val="21"/>
          <w:szCs w:val="24"/>
          <w:highlight w:val="none"/>
        </w:rPr>
      </w:pPr>
      <w:r>
        <w:rPr>
          <w:rFonts w:cs="Times New Roman"/>
          <w:color w:val="auto"/>
          <w:highlight w:val="none"/>
        </w:rPr>
        <w:t>分析建设项目生产、使用、储存过程中涉及的有毒有害、易燃易爆物质，参见《建设项目环境风险评价技术导则》（HJ/T169-2018）附录B确定危险物质的临界量。定量分析危险物质数量与临界量的比值（Q）和所属行业及生产工艺特点（M），对危险物质及工艺系统危险性（P）等级进行判断。</w:t>
      </w:r>
    </w:p>
    <w:p w14:paraId="7417ADD4">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color w:val="auto"/>
          <w:kern w:val="21"/>
          <w:szCs w:val="21"/>
          <w:highlight w:val="none"/>
        </w:rPr>
        <w:t>建设项目环境风险潜势划分</w:t>
      </w:r>
    </w:p>
    <w:tbl>
      <w:tblPr>
        <w:tblStyle w:val="31"/>
        <w:tblW w:w="4999" w:type="pct"/>
        <w:jc w:val="center"/>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autofit"/>
        <w:tblCellMar>
          <w:top w:w="0" w:type="dxa"/>
          <w:left w:w="108" w:type="dxa"/>
          <w:bottom w:w="0" w:type="dxa"/>
          <w:right w:w="108" w:type="dxa"/>
        </w:tblCellMar>
      </w:tblPr>
      <w:tblGrid>
        <w:gridCol w:w="2207"/>
        <w:gridCol w:w="1712"/>
        <w:gridCol w:w="1712"/>
        <w:gridCol w:w="1714"/>
        <w:gridCol w:w="1713"/>
      </w:tblGrid>
      <w:tr w14:paraId="3236463E">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218" w:type="pct"/>
            <w:vMerge w:val="restart"/>
            <w:vAlign w:val="center"/>
          </w:tcPr>
          <w:p w14:paraId="4B7481AB">
            <w:pPr>
              <w:pStyle w:val="69"/>
              <w:spacing w:before="62" w:after="62"/>
              <w:rPr>
                <w:rFonts w:cs="Times New Roman"/>
                <w:b/>
                <w:bCs w:val="0"/>
                <w:color w:val="auto"/>
                <w:highlight w:val="none"/>
              </w:rPr>
            </w:pPr>
            <w:r>
              <w:rPr>
                <w:rFonts w:cs="Times New Roman"/>
                <w:b/>
                <w:bCs w:val="0"/>
                <w:color w:val="auto"/>
                <w:highlight w:val="none"/>
              </w:rPr>
              <w:t>危险物质数量与临界量比值（Q）</w:t>
            </w:r>
          </w:p>
        </w:tc>
        <w:tc>
          <w:tcPr>
            <w:tcW w:w="3781" w:type="pct"/>
            <w:gridSpan w:val="4"/>
            <w:vAlign w:val="center"/>
          </w:tcPr>
          <w:p w14:paraId="4F9F6D70">
            <w:pPr>
              <w:pStyle w:val="69"/>
              <w:spacing w:before="62" w:after="62"/>
              <w:rPr>
                <w:rFonts w:cs="Times New Roman"/>
                <w:b/>
                <w:bCs w:val="0"/>
                <w:color w:val="auto"/>
                <w:highlight w:val="none"/>
              </w:rPr>
            </w:pPr>
            <w:r>
              <w:rPr>
                <w:rFonts w:cs="Times New Roman"/>
                <w:b/>
                <w:bCs w:val="0"/>
                <w:color w:val="auto"/>
                <w:highlight w:val="none"/>
              </w:rPr>
              <w:t>行业及生产工艺（M）</w:t>
            </w:r>
          </w:p>
        </w:tc>
      </w:tr>
      <w:tr w14:paraId="53802847">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90" w:hRule="atLeast"/>
          <w:tblHeader/>
          <w:jc w:val="center"/>
        </w:trPr>
        <w:tc>
          <w:tcPr>
            <w:tcW w:w="1218" w:type="pct"/>
            <w:vMerge w:val="continue"/>
            <w:vAlign w:val="center"/>
          </w:tcPr>
          <w:p w14:paraId="67318938">
            <w:pPr>
              <w:pStyle w:val="69"/>
              <w:spacing w:before="62" w:after="62"/>
              <w:rPr>
                <w:rFonts w:cs="Times New Roman"/>
                <w:b/>
                <w:bCs w:val="0"/>
                <w:color w:val="auto"/>
                <w:highlight w:val="none"/>
              </w:rPr>
            </w:pPr>
          </w:p>
        </w:tc>
        <w:tc>
          <w:tcPr>
            <w:tcW w:w="945" w:type="pct"/>
            <w:vAlign w:val="center"/>
          </w:tcPr>
          <w:p w14:paraId="726A1B3B">
            <w:pPr>
              <w:pStyle w:val="69"/>
              <w:spacing w:before="62" w:after="62"/>
              <w:rPr>
                <w:rFonts w:cs="Times New Roman"/>
                <w:b/>
                <w:bCs w:val="0"/>
                <w:color w:val="auto"/>
                <w:highlight w:val="none"/>
              </w:rPr>
            </w:pPr>
            <w:r>
              <w:rPr>
                <w:rFonts w:cs="Times New Roman"/>
                <w:b/>
                <w:bCs w:val="0"/>
                <w:color w:val="auto"/>
                <w:highlight w:val="none"/>
              </w:rPr>
              <w:t>M1</w:t>
            </w:r>
          </w:p>
        </w:tc>
        <w:tc>
          <w:tcPr>
            <w:tcW w:w="945" w:type="pct"/>
            <w:vAlign w:val="center"/>
          </w:tcPr>
          <w:p w14:paraId="6BA3AA3B">
            <w:pPr>
              <w:pStyle w:val="69"/>
              <w:spacing w:before="62" w:after="62"/>
              <w:rPr>
                <w:rFonts w:cs="Times New Roman"/>
                <w:b/>
                <w:bCs w:val="0"/>
                <w:color w:val="auto"/>
                <w:highlight w:val="none"/>
              </w:rPr>
            </w:pPr>
            <w:r>
              <w:rPr>
                <w:rFonts w:cs="Times New Roman"/>
                <w:b/>
                <w:bCs w:val="0"/>
                <w:color w:val="auto"/>
                <w:highlight w:val="none"/>
              </w:rPr>
              <w:t>M2</w:t>
            </w:r>
          </w:p>
        </w:tc>
        <w:tc>
          <w:tcPr>
            <w:tcW w:w="946" w:type="pct"/>
            <w:vAlign w:val="center"/>
          </w:tcPr>
          <w:p w14:paraId="00C686C2">
            <w:pPr>
              <w:pStyle w:val="69"/>
              <w:spacing w:before="62" w:after="62"/>
              <w:rPr>
                <w:rFonts w:cs="Times New Roman"/>
                <w:b/>
                <w:bCs w:val="0"/>
                <w:color w:val="auto"/>
                <w:highlight w:val="none"/>
              </w:rPr>
            </w:pPr>
            <w:r>
              <w:rPr>
                <w:rFonts w:cs="Times New Roman"/>
                <w:b/>
                <w:bCs w:val="0"/>
                <w:color w:val="auto"/>
                <w:highlight w:val="none"/>
              </w:rPr>
              <w:t>M3</w:t>
            </w:r>
          </w:p>
        </w:tc>
        <w:tc>
          <w:tcPr>
            <w:tcW w:w="944" w:type="pct"/>
            <w:vAlign w:val="center"/>
          </w:tcPr>
          <w:p w14:paraId="5B2C748D">
            <w:pPr>
              <w:pStyle w:val="69"/>
              <w:spacing w:before="62" w:after="62"/>
              <w:rPr>
                <w:rFonts w:cs="Times New Roman"/>
                <w:b/>
                <w:bCs w:val="0"/>
                <w:color w:val="auto"/>
                <w:highlight w:val="none"/>
              </w:rPr>
            </w:pPr>
            <w:r>
              <w:rPr>
                <w:rFonts w:cs="Times New Roman"/>
                <w:b/>
                <w:bCs w:val="0"/>
                <w:color w:val="auto"/>
                <w:highlight w:val="none"/>
              </w:rPr>
              <w:t>M4</w:t>
            </w:r>
          </w:p>
        </w:tc>
      </w:tr>
      <w:tr w14:paraId="298C1A96">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1218" w:type="pct"/>
            <w:vAlign w:val="center"/>
          </w:tcPr>
          <w:p w14:paraId="7696160A">
            <w:pPr>
              <w:pStyle w:val="69"/>
              <w:spacing w:before="62" w:after="62"/>
              <w:rPr>
                <w:rFonts w:cs="Times New Roman"/>
                <w:color w:val="auto"/>
                <w:highlight w:val="none"/>
              </w:rPr>
            </w:pPr>
            <w:r>
              <w:rPr>
                <w:rFonts w:cs="Times New Roman"/>
                <w:color w:val="auto"/>
                <w:highlight w:val="none"/>
              </w:rPr>
              <w:t>Q≥100</w:t>
            </w:r>
          </w:p>
        </w:tc>
        <w:tc>
          <w:tcPr>
            <w:tcW w:w="945" w:type="pct"/>
            <w:vAlign w:val="center"/>
          </w:tcPr>
          <w:p w14:paraId="76D86D33">
            <w:pPr>
              <w:pStyle w:val="69"/>
              <w:spacing w:before="62" w:after="62"/>
              <w:rPr>
                <w:rFonts w:cs="Times New Roman"/>
                <w:color w:val="auto"/>
                <w:highlight w:val="none"/>
              </w:rPr>
            </w:pPr>
            <w:r>
              <w:rPr>
                <w:rFonts w:cs="Times New Roman"/>
                <w:color w:val="auto"/>
                <w:highlight w:val="none"/>
              </w:rPr>
              <w:t>P1</w:t>
            </w:r>
          </w:p>
        </w:tc>
        <w:tc>
          <w:tcPr>
            <w:tcW w:w="945" w:type="pct"/>
            <w:vAlign w:val="center"/>
          </w:tcPr>
          <w:p w14:paraId="67E22932">
            <w:pPr>
              <w:pStyle w:val="69"/>
              <w:spacing w:before="62" w:after="62"/>
              <w:rPr>
                <w:rFonts w:cs="Times New Roman"/>
                <w:color w:val="auto"/>
                <w:highlight w:val="none"/>
              </w:rPr>
            </w:pPr>
            <w:r>
              <w:rPr>
                <w:rFonts w:cs="Times New Roman"/>
                <w:color w:val="auto"/>
                <w:highlight w:val="none"/>
              </w:rPr>
              <w:t>P1</w:t>
            </w:r>
          </w:p>
        </w:tc>
        <w:tc>
          <w:tcPr>
            <w:tcW w:w="946" w:type="pct"/>
            <w:vAlign w:val="center"/>
          </w:tcPr>
          <w:p w14:paraId="6A53641D">
            <w:pPr>
              <w:pStyle w:val="69"/>
              <w:spacing w:before="62" w:after="62"/>
              <w:rPr>
                <w:rFonts w:cs="Times New Roman"/>
                <w:color w:val="auto"/>
                <w:highlight w:val="none"/>
              </w:rPr>
            </w:pPr>
            <w:r>
              <w:rPr>
                <w:rFonts w:cs="Times New Roman"/>
                <w:color w:val="auto"/>
                <w:highlight w:val="none"/>
              </w:rPr>
              <w:t>P2</w:t>
            </w:r>
          </w:p>
        </w:tc>
        <w:tc>
          <w:tcPr>
            <w:tcW w:w="944" w:type="pct"/>
            <w:vAlign w:val="center"/>
          </w:tcPr>
          <w:p w14:paraId="1C349D88">
            <w:pPr>
              <w:pStyle w:val="69"/>
              <w:spacing w:before="62" w:after="62"/>
              <w:rPr>
                <w:rFonts w:cs="Times New Roman"/>
                <w:color w:val="auto"/>
                <w:highlight w:val="none"/>
              </w:rPr>
            </w:pPr>
            <w:r>
              <w:rPr>
                <w:rFonts w:cs="Times New Roman"/>
                <w:color w:val="auto"/>
                <w:highlight w:val="none"/>
              </w:rPr>
              <w:t>P3</w:t>
            </w:r>
          </w:p>
        </w:tc>
      </w:tr>
      <w:tr w14:paraId="0CEEDCB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1218" w:type="pct"/>
            <w:vAlign w:val="center"/>
          </w:tcPr>
          <w:p w14:paraId="7EE4BE76">
            <w:pPr>
              <w:pStyle w:val="69"/>
              <w:spacing w:before="62" w:after="62"/>
              <w:rPr>
                <w:rFonts w:cs="Times New Roman"/>
                <w:color w:val="auto"/>
                <w:highlight w:val="none"/>
              </w:rPr>
            </w:pPr>
            <w:r>
              <w:rPr>
                <w:rFonts w:cs="Times New Roman"/>
                <w:color w:val="auto"/>
                <w:highlight w:val="none"/>
              </w:rPr>
              <w:t>10≤Q&lt;100</w:t>
            </w:r>
          </w:p>
        </w:tc>
        <w:tc>
          <w:tcPr>
            <w:tcW w:w="945" w:type="pct"/>
            <w:vAlign w:val="center"/>
          </w:tcPr>
          <w:p w14:paraId="286BAA22">
            <w:pPr>
              <w:pStyle w:val="69"/>
              <w:spacing w:before="62" w:after="62"/>
              <w:rPr>
                <w:rFonts w:cs="Times New Roman"/>
                <w:color w:val="auto"/>
                <w:highlight w:val="none"/>
              </w:rPr>
            </w:pPr>
            <w:r>
              <w:rPr>
                <w:rFonts w:cs="Times New Roman"/>
                <w:color w:val="auto"/>
                <w:highlight w:val="none"/>
              </w:rPr>
              <w:t>P1</w:t>
            </w:r>
          </w:p>
        </w:tc>
        <w:tc>
          <w:tcPr>
            <w:tcW w:w="945" w:type="pct"/>
            <w:vAlign w:val="center"/>
          </w:tcPr>
          <w:p w14:paraId="456A982B">
            <w:pPr>
              <w:pStyle w:val="69"/>
              <w:spacing w:before="62" w:after="62"/>
              <w:rPr>
                <w:rFonts w:cs="Times New Roman"/>
                <w:color w:val="auto"/>
                <w:highlight w:val="none"/>
              </w:rPr>
            </w:pPr>
            <w:r>
              <w:rPr>
                <w:rFonts w:cs="Times New Roman"/>
                <w:color w:val="auto"/>
                <w:highlight w:val="none"/>
              </w:rPr>
              <w:t>P2</w:t>
            </w:r>
          </w:p>
        </w:tc>
        <w:tc>
          <w:tcPr>
            <w:tcW w:w="946" w:type="pct"/>
            <w:vAlign w:val="center"/>
          </w:tcPr>
          <w:p w14:paraId="255C7DD8">
            <w:pPr>
              <w:pStyle w:val="69"/>
              <w:spacing w:before="62" w:after="62"/>
              <w:rPr>
                <w:rFonts w:cs="Times New Roman"/>
                <w:color w:val="auto"/>
                <w:highlight w:val="none"/>
              </w:rPr>
            </w:pPr>
            <w:r>
              <w:rPr>
                <w:rFonts w:cs="Times New Roman"/>
                <w:color w:val="auto"/>
                <w:highlight w:val="none"/>
              </w:rPr>
              <w:t>P3</w:t>
            </w:r>
          </w:p>
        </w:tc>
        <w:tc>
          <w:tcPr>
            <w:tcW w:w="944" w:type="pct"/>
            <w:vAlign w:val="center"/>
          </w:tcPr>
          <w:p w14:paraId="6854813D">
            <w:pPr>
              <w:pStyle w:val="69"/>
              <w:spacing w:before="62" w:after="62"/>
              <w:rPr>
                <w:rFonts w:cs="Times New Roman"/>
                <w:color w:val="auto"/>
                <w:highlight w:val="none"/>
              </w:rPr>
            </w:pPr>
            <w:r>
              <w:rPr>
                <w:rFonts w:cs="Times New Roman"/>
                <w:color w:val="auto"/>
                <w:highlight w:val="none"/>
              </w:rPr>
              <w:t>P4</w:t>
            </w:r>
          </w:p>
        </w:tc>
      </w:tr>
      <w:tr w14:paraId="56F96E8A">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jc w:val="center"/>
        </w:trPr>
        <w:tc>
          <w:tcPr>
            <w:tcW w:w="1218" w:type="pct"/>
            <w:vAlign w:val="center"/>
          </w:tcPr>
          <w:p w14:paraId="42967DB3">
            <w:pPr>
              <w:pStyle w:val="69"/>
              <w:spacing w:before="62" w:after="62"/>
              <w:rPr>
                <w:rFonts w:cs="Times New Roman"/>
                <w:color w:val="auto"/>
                <w:highlight w:val="none"/>
              </w:rPr>
            </w:pPr>
            <w:r>
              <w:rPr>
                <w:rFonts w:cs="Times New Roman"/>
                <w:color w:val="auto"/>
                <w:highlight w:val="none"/>
              </w:rPr>
              <w:t>1≤Q&lt;10</w:t>
            </w:r>
          </w:p>
        </w:tc>
        <w:tc>
          <w:tcPr>
            <w:tcW w:w="945" w:type="pct"/>
            <w:vAlign w:val="center"/>
          </w:tcPr>
          <w:p w14:paraId="2261035C">
            <w:pPr>
              <w:pStyle w:val="69"/>
              <w:spacing w:before="62" w:after="62"/>
              <w:rPr>
                <w:rFonts w:cs="Times New Roman"/>
                <w:color w:val="auto"/>
                <w:highlight w:val="none"/>
              </w:rPr>
            </w:pPr>
            <w:r>
              <w:rPr>
                <w:rFonts w:cs="Times New Roman"/>
                <w:color w:val="auto"/>
                <w:highlight w:val="none"/>
              </w:rPr>
              <w:t>P2</w:t>
            </w:r>
          </w:p>
        </w:tc>
        <w:tc>
          <w:tcPr>
            <w:tcW w:w="945" w:type="pct"/>
            <w:vAlign w:val="center"/>
          </w:tcPr>
          <w:p w14:paraId="7ECAB743">
            <w:pPr>
              <w:pStyle w:val="69"/>
              <w:spacing w:before="62" w:after="62"/>
              <w:rPr>
                <w:rFonts w:cs="Times New Roman"/>
                <w:color w:val="auto"/>
                <w:highlight w:val="none"/>
              </w:rPr>
            </w:pPr>
            <w:r>
              <w:rPr>
                <w:rFonts w:cs="Times New Roman"/>
                <w:color w:val="auto"/>
                <w:highlight w:val="none"/>
              </w:rPr>
              <w:t>P3</w:t>
            </w:r>
          </w:p>
        </w:tc>
        <w:tc>
          <w:tcPr>
            <w:tcW w:w="946" w:type="pct"/>
            <w:vAlign w:val="center"/>
          </w:tcPr>
          <w:p w14:paraId="41E5732F">
            <w:pPr>
              <w:pStyle w:val="69"/>
              <w:spacing w:before="62" w:after="62"/>
              <w:rPr>
                <w:rFonts w:cs="Times New Roman"/>
                <w:color w:val="auto"/>
                <w:highlight w:val="none"/>
              </w:rPr>
            </w:pPr>
            <w:r>
              <w:rPr>
                <w:rFonts w:cs="Times New Roman"/>
                <w:color w:val="auto"/>
                <w:highlight w:val="none"/>
              </w:rPr>
              <w:t>P4</w:t>
            </w:r>
          </w:p>
        </w:tc>
        <w:tc>
          <w:tcPr>
            <w:tcW w:w="944" w:type="pct"/>
            <w:vAlign w:val="center"/>
          </w:tcPr>
          <w:p w14:paraId="1A80B701">
            <w:pPr>
              <w:pStyle w:val="69"/>
              <w:spacing w:before="62" w:after="62"/>
              <w:rPr>
                <w:rFonts w:cs="Times New Roman"/>
                <w:color w:val="auto"/>
                <w:highlight w:val="none"/>
              </w:rPr>
            </w:pPr>
            <w:r>
              <w:rPr>
                <w:rFonts w:cs="Times New Roman"/>
                <w:color w:val="auto"/>
                <w:highlight w:val="none"/>
              </w:rPr>
              <w:t>P4</w:t>
            </w:r>
          </w:p>
        </w:tc>
      </w:tr>
    </w:tbl>
    <w:p w14:paraId="3A12816B">
      <w:pPr>
        <w:adjustRightInd w:val="0"/>
        <w:ind w:firstLine="482"/>
        <w:rPr>
          <w:rFonts w:cs="Times New Roman"/>
          <w:b/>
          <w:bCs/>
          <w:color w:val="auto"/>
          <w:highlight w:val="none"/>
        </w:rPr>
      </w:pPr>
      <w:r>
        <w:rPr>
          <w:rFonts w:cs="Times New Roman"/>
          <w:b/>
          <w:bCs/>
          <w:color w:val="auto"/>
          <w:highlight w:val="none"/>
        </w:rPr>
        <w:t>危险物质数量与临界量的比值（Q）：</w:t>
      </w:r>
    </w:p>
    <w:p w14:paraId="72FBC52D">
      <w:pPr>
        <w:adjustRightInd w:val="0"/>
        <w:ind w:firstLine="480"/>
        <w:rPr>
          <w:rFonts w:cs="Times New Roman"/>
          <w:color w:val="auto"/>
          <w:highlight w:val="none"/>
        </w:rPr>
      </w:pPr>
      <w:r>
        <w:rPr>
          <w:rFonts w:cs="Times New Roman"/>
          <w:color w:val="auto"/>
          <w:highlight w:val="none"/>
        </w:rPr>
        <w:t>计算所涉及的每种危险物质在厂界内的最大存在总量与其在对应《建设项目环境风险评价技术导则》（HJ/T169-2018）附录B中临界量的比值Q。在不同厂区的同一种物质，按其在厂界内的最大存在总量计算。当只涉及一种危险物质时，计算该物质的总量与其临界量比值，即为Q；当存在多种危险物质时，则按下式计算物质总量与其临界量比值（Q）：</w:t>
      </w:r>
    </w:p>
    <w:p w14:paraId="3FC85159">
      <w:pPr>
        <w:overflowPunct w:val="0"/>
        <w:adjustRightInd w:val="0"/>
        <w:spacing w:before="31" w:beforeLines="10" w:after="31" w:afterLines="10" w:line="240" w:lineRule="auto"/>
        <w:ind w:firstLine="0" w:firstLineChars="0"/>
        <w:jc w:val="center"/>
        <w:rPr>
          <w:rFonts w:cs="Times New Roman"/>
          <w:color w:val="auto"/>
          <w:kern w:val="21"/>
          <w:sz w:val="21"/>
          <w:szCs w:val="22"/>
          <w:highlight w:val="none"/>
        </w:rPr>
      </w:pPr>
      <w:r>
        <w:rPr>
          <w:rFonts w:cs="Times New Roman"/>
          <w:color w:val="auto"/>
          <w:kern w:val="21"/>
          <w:sz w:val="21"/>
          <w:szCs w:val="22"/>
          <w:highlight w:val="none"/>
        </w:rPr>
        <w:object>
          <v:shape id="_x0000_i1036" o:spt="75" type="#_x0000_t75" style="height:33.65pt;width:110.35pt;" o:ole="t" filled="f" o:preferrelative="t" stroked="f" coordsize="21600,21600">
            <v:path/>
            <v:fill on="f" focussize="0,0"/>
            <v:stroke on="f" joinstyle="miter"/>
            <v:imagedata r:id="rId54" o:title=""/>
            <o:lock v:ext="edit" aspectratio="t"/>
            <w10:wrap type="none"/>
            <w10:anchorlock/>
          </v:shape>
          <o:OLEObject Type="Embed" ProgID="Equation.3" ShapeID="_x0000_i1036" DrawAspect="Content" ObjectID="_1468075736" r:id="rId53">
            <o:LockedField>false</o:LockedField>
          </o:OLEObject>
        </w:object>
      </w:r>
    </w:p>
    <w:p w14:paraId="02E5A2DF">
      <w:pPr>
        <w:overflowPunct w:val="0"/>
        <w:adjustRightInd w:val="0"/>
        <w:ind w:firstLine="480"/>
        <w:rPr>
          <w:rFonts w:cs="Times New Roman"/>
          <w:color w:val="auto"/>
          <w:kern w:val="21"/>
          <w:szCs w:val="20"/>
          <w:highlight w:val="none"/>
        </w:rPr>
      </w:pPr>
      <w:r>
        <w:rPr>
          <w:rFonts w:cs="Times New Roman"/>
          <w:color w:val="auto"/>
          <w:kern w:val="21"/>
          <w:szCs w:val="20"/>
          <w:highlight w:val="none"/>
        </w:rPr>
        <w:t>式中：</w:t>
      </w:r>
    </w:p>
    <w:p w14:paraId="3EA5E8D4">
      <w:pPr>
        <w:overflowPunct w:val="0"/>
        <w:adjustRightInd w:val="0"/>
        <w:ind w:firstLine="480"/>
        <w:rPr>
          <w:rFonts w:cs="Times New Roman"/>
          <w:color w:val="auto"/>
          <w:kern w:val="21"/>
          <w:szCs w:val="20"/>
          <w:highlight w:val="none"/>
        </w:rPr>
      </w:pPr>
      <w:r>
        <w:rPr>
          <w:rFonts w:cs="Times New Roman"/>
          <w:color w:val="auto"/>
          <w:kern w:val="21"/>
          <w:szCs w:val="20"/>
          <w:highlight w:val="none"/>
        </w:rPr>
        <w:t>q</w:t>
      </w:r>
      <w:r>
        <w:rPr>
          <w:rFonts w:cs="Times New Roman"/>
          <w:color w:val="auto"/>
          <w:kern w:val="21"/>
          <w:szCs w:val="20"/>
          <w:highlight w:val="none"/>
          <w:vertAlign w:val="subscript"/>
        </w:rPr>
        <w:t>1</w:t>
      </w:r>
      <w:r>
        <w:rPr>
          <w:rFonts w:cs="Times New Roman"/>
          <w:color w:val="auto"/>
          <w:kern w:val="21"/>
          <w:szCs w:val="20"/>
          <w:highlight w:val="none"/>
        </w:rPr>
        <w:t>，q</w:t>
      </w:r>
      <w:r>
        <w:rPr>
          <w:rFonts w:cs="Times New Roman"/>
          <w:color w:val="auto"/>
          <w:kern w:val="21"/>
          <w:szCs w:val="20"/>
          <w:highlight w:val="none"/>
          <w:vertAlign w:val="subscript"/>
        </w:rPr>
        <w:t>2</w:t>
      </w:r>
      <w:r>
        <w:rPr>
          <w:rFonts w:cs="Times New Roman"/>
          <w:color w:val="auto"/>
          <w:kern w:val="21"/>
          <w:szCs w:val="20"/>
          <w:highlight w:val="none"/>
        </w:rPr>
        <w:t>，…q</w:t>
      </w:r>
      <w:r>
        <w:rPr>
          <w:rFonts w:cs="Times New Roman"/>
          <w:color w:val="auto"/>
          <w:kern w:val="21"/>
          <w:szCs w:val="20"/>
          <w:highlight w:val="none"/>
          <w:vertAlign w:val="subscript"/>
        </w:rPr>
        <w:t>n</w:t>
      </w:r>
      <w:r>
        <w:rPr>
          <w:rFonts w:cs="Times New Roman"/>
          <w:color w:val="auto"/>
          <w:kern w:val="21"/>
          <w:szCs w:val="20"/>
          <w:highlight w:val="none"/>
        </w:rPr>
        <w:t>——</w:t>
      </w:r>
      <w:r>
        <w:rPr>
          <w:rFonts w:cs="Times New Roman"/>
          <w:color w:val="auto"/>
          <w:kern w:val="21"/>
          <w:szCs w:val="24"/>
          <w:highlight w:val="none"/>
        </w:rPr>
        <w:t>每种</w:t>
      </w:r>
      <w:r>
        <w:rPr>
          <w:rFonts w:cs="Times New Roman"/>
          <w:color w:val="auto"/>
          <w:kern w:val="21"/>
          <w:szCs w:val="20"/>
          <w:highlight w:val="none"/>
        </w:rPr>
        <w:t>危险物质的最大存在总量，t；</w:t>
      </w:r>
    </w:p>
    <w:p w14:paraId="7DE1E01C">
      <w:pPr>
        <w:overflowPunct w:val="0"/>
        <w:adjustRightInd w:val="0"/>
        <w:ind w:firstLine="480"/>
        <w:rPr>
          <w:rFonts w:cs="Times New Roman"/>
          <w:color w:val="auto"/>
          <w:kern w:val="21"/>
          <w:szCs w:val="20"/>
          <w:highlight w:val="none"/>
        </w:rPr>
      </w:pPr>
      <w:r>
        <w:rPr>
          <w:rFonts w:cs="Times New Roman"/>
          <w:color w:val="auto"/>
          <w:kern w:val="21"/>
          <w:szCs w:val="20"/>
          <w:highlight w:val="none"/>
        </w:rPr>
        <w:t>Q</w:t>
      </w:r>
      <w:r>
        <w:rPr>
          <w:rFonts w:cs="Times New Roman"/>
          <w:color w:val="auto"/>
          <w:kern w:val="21"/>
          <w:szCs w:val="20"/>
          <w:highlight w:val="none"/>
          <w:vertAlign w:val="subscript"/>
        </w:rPr>
        <w:t>1</w:t>
      </w:r>
      <w:r>
        <w:rPr>
          <w:rFonts w:cs="Times New Roman"/>
          <w:color w:val="auto"/>
          <w:kern w:val="21"/>
          <w:szCs w:val="20"/>
          <w:highlight w:val="none"/>
        </w:rPr>
        <w:t>，Q</w:t>
      </w:r>
      <w:r>
        <w:rPr>
          <w:rFonts w:cs="Times New Roman"/>
          <w:color w:val="auto"/>
          <w:kern w:val="21"/>
          <w:szCs w:val="20"/>
          <w:highlight w:val="none"/>
          <w:vertAlign w:val="subscript"/>
        </w:rPr>
        <w:t>2</w:t>
      </w:r>
      <w:r>
        <w:rPr>
          <w:rFonts w:cs="Times New Roman"/>
          <w:color w:val="auto"/>
          <w:kern w:val="21"/>
          <w:szCs w:val="20"/>
          <w:highlight w:val="none"/>
        </w:rPr>
        <w:t>，…Q</w:t>
      </w:r>
      <w:r>
        <w:rPr>
          <w:rFonts w:cs="Times New Roman"/>
          <w:color w:val="auto"/>
          <w:kern w:val="21"/>
          <w:szCs w:val="20"/>
          <w:highlight w:val="none"/>
          <w:vertAlign w:val="subscript"/>
        </w:rPr>
        <w:t>n</w:t>
      </w:r>
      <w:r>
        <w:rPr>
          <w:rFonts w:cs="Times New Roman"/>
          <w:color w:val="auto"/>
          <w:kern w:val="21"/>
          <w:szCs w:val="20"/>
          <w:highlight w:val="none"/>
        </w:rPr>
        <w:t>——每种危险物质的临界量，t。</w:t>
      </w:r>
    </w:p>
    <w:p w14:paraId="5D5F93DF">
      <w:pPr>
        <w:overflowPunct w:val="0"/>
        <w:adjustRightInd w:val="0"/>
        <w:ind w:firstLine="480"/>
        <w:rPr>
          <w:rFonts w:cs="Times New Roman"/>
          <w:color w:val="auto"/>
          <w:kern w:val="21"/>
          <w:szCs w:val="20"/>
          <w:highlight w:val="none"/>
        </w:rPr>
      </w:pPr>
      <w:r>
        <w:rPr>
          <w:rFonts w:cs="Times New Roman"/>
          <w:color w:val="auto"/>
          <w:kern w:val="21"/>
          <w:szCs w:val="20"/>
          <w:highlight w:val="none"/>
        </w:rPr>
        <w:t>当Q＜1时，该项目环境风险潜势为Ⅰ。</w:t>
      </w:r>
    </w:p>
    <w:p w14:paraId="36B8BC09">
      <w:pPr>
        <w:overflowPunct w:val="0"/>
        <w:adjustRightInd w:val="0"/>
        <w:ind w:firstLine="480"/>
        <w:rPr>
          <w:rFonts w:cs="Times New Roman"/>
          <w:color w:val="auto"/>
          <w:kern w:val="21"/>
          <w:szCs w:val="20"/>
          <w:highlight w:val="none"/>
        </w:rPr>
      </w:pPr>
      <w:r>
        <w:rPr>
          <w:rFonts w:cs="Times New Roman"/>
          <w:color w:val="auto"/>
          <w:kern w:val="21"/>
          <w:szCs w:val="20"/>
          <w:highlight w:val="none"/>
        </w:rPr>
        <w:t>当Q≥1时，将Q值划分为：</w:t>
      </w:r>
    </w:p>
    <w:p w14:paraId="68127FEE">
      <w:pPr>
        <w:overflowPunct w:val="0"/>
        <w:adjustRightInd w:val="0"/>
        <w:ind w:firstLine="480"/>
        <w:rPr>
          <w:rFonts w:cs="Times New Roman"/>
          <w:color w:val="auto"/>
          <w:kern w:val="21"/>
          <w:szCs w:val="22"/>
          <w:highlight w:val="none"/>
        </w:rPr>
      </w:pPr>
      <w:r>
        <w:rPr>
          <w:rFonts w:cs="Times New Roman"/>
          <w:color w:val="auto"/>
          <w:kern w:val="21"/>
          <w:szCs w:val="20"/>
          <w:highlight w:val="none"/>
        </w:rPr>
        <w:t>（1）1≤Q＜10；（2）10≤Q＜100；（3）Q≥100。</w:t>
      </w:r>
    </w:p>
    <w:p w14:paraId="28C2C56C">
      <w:pPr>
        <w:adjustRightInd w:val="0"/>
        <w:ind w:firstLine="480"/>
        <w:rPr>
          <w:rFonts w:cs="Times New Roman"/>
          <w:color w:val="auto"/>
          <w:highlight w:val="none"/>
        </w:rPr>
      </w:pPr>
      <w:r>
        <w:rPr>
          <w:rFonts w:cs="Times New Roman"/>
          <w:color w:val="auto"/>
          <w:highlight w:val="none"/>
        </w:rPr>
        <w:t>本项目涉及的主要化学品为碳酸钠、氢氧化钠、捕收剂、活化剂（氯化镁），不涉及《建设项目环境风险评价技术导则》（HJ169-2018）所列风险物质。</w:t>
      </w:r>
    </w:p>
    <w:p w14:paraId="531C92A8">
      <w:pPr>
        <w:adjustRightInd w:val="0"/>
        <w:ind w:firstLine="480"/>
        <w:rPr>
          <w:rFonts w:cs="Times New Roman"/>
          <w:color w:val="auto"/>
          <w:highlight w:val="none"/>
        </w:rPr>
      </w:pPr>
      <w:r>
        <w:rPr>
          <w:rFonts w:cs="Times New Roman"/>
          <w:color w:val="auto"/>
          <w:highlight w:val="none"/>
        </w:rPr>
        <w:t>本项目所涉及风险物质其临时储存量见下表。</w:t>
      </w:r>
    </w:p>
    <w:p w14:paraId="0A330962">
      <w:pPr>
        <w:pStyle w:val="12"/>
        <w:overflowPunct w:val="0"/>
        <w:adjustRightInd w:val="0"/>
        <w:spacing w:before="62" w:beforeLines="20" w:after="62" w:afterLines="20"/>
        <w:ind w:left="425"/>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kern w:val="21"/>
          <w:szCs w:val="21"/>
          <w:highlight w:val="none"/>
        </w:rPr>
        <w:t>建设项目Q值确定表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
        <w:gridCol w:w="1720"/>
        <w:gridCol w:w="1247"/>
        <w:gridCol w:w="1649"/>
        <w:gridCol w:w="1113"/>
        <w:gridCol w:w="1270"/>
        <w:gridCol w:w="1064"/>
      </w:tblGrid>
      <w:tr w14:paraId="7D71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550" w:type="pct"/>
            <w:vAlign w:val="center"/>
          </w:tcPr>
          <w:p w14:paraId="62FB999D">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序号</w:t>
            </w:r>
          </w:p>
        </w:tc>
        <w:tc>
          <w:tcPr>
            <w:tcW w:w="949" w:type="pct"/>
            <w:vAlign w:val="center"/>
          </w:tcPr>
          <w:p w14:paraId="694111E5">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危化品名称</w:t>
            </w:r>
          </w:p>
        </w:tc>
        <w:tc>
          <w:tcPr>
            <w:tcW w:w="688" w:type="pct"/>
            <w:vAlign w:val="center"/>
          </w:tcPr>
          <w:p w14:paraId="005873AF">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临界量（t）</w:t>
            </w:r>
          </w:p>
        </w:tc>
        <w:tc>
          <w:tcPr>
            <w:tcW w:w="910" w:type="pct"/>
            <w:vAlign w:val="center"/>
          </w:tcPr>
          <w:p w14:paraId="5C5AACDB">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最大存储量（t）</w:t>
            </w:r>
          </w:p>
        </w:tc>
        <w:tc>
          <w:tcPr>
            <w:tcW w:w="614" w:type="pct"/>
            <w:vAlign w:val="center"/>
          </w:tcPr>
          <w:p w14:paraId="1DA634D0">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qi/Qi</w:t>
            </w:r>
          </w:p>
        </w:tc>
        <w:tc>
          <w:tcPr>
            <w:tcW w:w="700" w:type="pct"/>
            <w:vAlign w:val="center"/>
          </w:tcPr>
          <w:p w14:paraId="0C44DCF8">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∑qi/Qi</w:t>
            </w:r>
          </w:p>
        </w:tc>
        <w:tc>
          <w:tcPr>
            <w:tcW w:w="587" w:type="pct"/>
            <w:vAlign w:val="center"/>
          </w:tcPr>
          <w:p w14:paraId="48DDBB8F">
            <w:pPr>
              <w:widowControl/>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Q值</w:t>
            </w:r>
          </w:p>
        </w:tc>
      </w:tr>
      <w:tr w14:paraId="57DF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50" w:type="pct"/>
            <w:vAlign w:val="center"/>
          </w:tcPr>
          <w:p w14:paraId="7A4740F3">
            <w:pPr>
              <w:widowControl/>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1</w:t>
            </w:r>
          </w:p>
        </w:tc>
        <w:tc>
          <w:tcPr>
            <w:tcW w:w="949" w:type="pct"/>
            <w:vAlign w:val="center"/>
          </w:tcPr>
          <w:p w14:paraId="1A93A5B0">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机油</w:t>
            </w:r>
          </w:p>
        </w:tc>
        <w:tc>
          <w:tcPr>
            <w:tcW w:w="688" w:type="pct"/>
            <w:vAlign w:val="center"/>
          </w:tcPr>
          <w:p w14:paraId="2D480AB5">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2500</w:t>
            </w:r>
          </w:p>
        </w:tc>
        <w:tc>
          <w:tcPr>
            <w:tcW w:w="910" w:type="pct"/>
            <w:vAlign w:val="center"/>
          </w:tcPr>
          <w:p w14:paraId="3FCF9D51">
            <w:pPr>
              <w:widowControl/>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0.1</w:t>
            </w:r>
          </w:p>
        </w:tc>
        <w:tc>
          <w:tcPr>
            <w:tcW w:w="614" w:type="pct"/>
            <w:vAlign w:val="center"/>
          </w:tcPr>
          <w:p w14:paraId="1AD304EB">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0.00004</w:t>
            </w:r>
          </w:p>
        </w:tc>
        <w:tc>
          <w:tcPr>
            <w:tcW w:w="700" w:type="pct"/>
            <w:vAlign w:val="center"/>
          </w:tcPr>
          <w:p w14:paraId="2C7072B4">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0.00004</w:t>
            </w:r>
          </w:p>
        </w:tc>
        <w:tc>
          <w:tcPr>
            <w:tcW w:w="587" w:type="pct"/>
            <w:vAlign w:val="center"/>
          </w:tcPr>
          <w:p w14:paraId="70ED3A3B">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0.00004</w:t>
            </w:r>
          </w:p>
        </w:tc>
      </w:tr>
      <w:tr w14:paraId="49271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jc w:val="center"/>
        </w:trPr>
        <w:tc>
          <w:tcPr>
            <w:tcW w:w="550" w:type="pct"/>
            <w:vAlign w:val="center"/>
          </w:tcPr>
          <w:p w14:paraId="4152A3B9">
            <w:pPr>
              <w:widowControl/>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hint="eastAsia" w:cs="Times New Roman"/>
                <w:bCs/>
                <w:color w:val="auto"/>
                <w:kern w:val="21"/>
                <w:sz w:val="21"/>
                <w:highlight w:val="none"/>
              </w:rPr>
              <w:t>2</w:t>
            </w:r>
          </w:p>
        </w:tc>
        <w:tc>
          <w:tcPr>
            <w:tcW w:w="949" w:type="pct"/>
            <w:vAlign w:val="center"/>
          </w:tcPr>
          <w:p w14:paraId="1A5FBD63">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汽油</w:t>
            </w:r>
          </w:p>
        </w:tc>
        <w:tc>
          <w:tcPr>
            <w:tcW w:w="688" w:type="pct"/>
            <w:vAlign w:val="center"/>
          </w:tcPr>
          <w:p w14:paraId="65F135E3">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2500</w:t>
            </w:r>
          </w:p>
        </w:tc>
        <w:tc>
          <w:tcPr>
            <w:tcW w:w="910" w:type="pct"/>
            <w:vAlign w:val="center"/>
          </w:tcPr>
          <w:p w14:paraId="71AD24C5">
            <w:pPr>
              <w:widowControl/>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hint="eastAsia" w:cs="Times New Roman"/>
                <w:bCs/>
                <w:color w:val="auto"/>
                <w:kern w:val="21"/>
                <w:sz w:val="21"/>
                <w:highlight w:val="none"/>
              </w:rPr>
              <w:t>0.1</w:t>
            </w:r>
          </w:p>
        </w:tc>
        <w:tc>
          <w:tcPr>
            <w:tcW w:w="614" w:type="pct"/>
            <w:vAlign w:val="center"/>
          </w:tcPr>
          <w:p w14:paraId="1A689B92">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c>
          <w:tcPr>
            <w:tcW w:w="700" w:type="pct"/>
            <w:vAlign w:val="center"/>
          </w:tcPr>
          <w:p w14:paraId="3A24E936">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c>
          <w:tcPr>
            <w:tcW w:w="587" w:type="pct"/>
            <w:vAlign w:val="center"/>
          </w:tcPr>
          <w:p w14:paraId="351386CC">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0.00004</w:t>
            </w:r>
          </w:p>
        </w:tc>
      </w:tr>
      <w:tr w14:paraId="21AC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50" w:type="pct"/>
            <w:vAlign w:val="center"/>
          </w:tcPr>
          <w:p w14:paraId="7B189C96">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3</w:t>
            </w:r>
          </w:p>
        </w:tc>
        <w:tc>
          <w:tcPr>
            <w:tcW w:w="949" w:type="pct"/>
            <w:vAlign w:val="center"/>
          </w:tcPr>
          <w:p w14:paraId="7A3C1981">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废机油</w:t>
            </w:r>
          </w:p>
        </w:tc>
        <w:tc>
          <w:tcPr>
            <w:tcW w:w="688" w:type="pct"/>
            <w:vAlign w:val="center"/>
          </w:tcPr>
          <w:p w14:paraId="6EAB632B">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2500</w:t>
            </w:r>
          </w:p>
        </w:tc>
        <w:tc>
          <w:tcPr>
            <w:tcW w:w="910" w:type="pct"/>
            <w:vAlign w:val="center"/>
          </w:tcPr>
          <w:p w14:paraId="40086BD2">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0.1</w:t>
            </w:r>
          </w:p>
        </w:tc>
        <w:tc>
          <w:tcPr>
            <w:tcW w:w="614" w:type="pct"/>
            <w:vAlign w:val="center"/>
          </w:tcPr>
          <w:p w14:paraId="1E1D333A">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c>
          <w:tcPr>
            <w:tcW w:w="700" w:type="pct"/>
            <w:vAlign w:val="center"/>
          </w:tcPr>
          <w:p w14:paraId="61430D0A">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c>
          <w:tcPr>
            <w:tcW w:w="587" w:type="pct"/>
            <w:vAlign w:val="center"/>
          </w:tcPr>
          <w:p w14:paraId="645811B8">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0.0000</w:t>
            </w:r>
            <w:r>
              <w:rPr>
                <w:rFonts w:hint="eastAsia" w:cs="Times New Roman"/>
                <w:color w:val="auto"/>
                <w:kern w:val="21"/>
                <w:sz w:val="21"/>
                <w:highlight w:val="none"/>
              </w:rPr>
              <w:t>4</w:t>
            </w:r>
          </w:p>
        </w:tc>
      </w:tr>
      <w:tr w14:paraId="1D01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12" w:type="pct"/>
            <w:gridSpan w:val="6"/>
            <w:vAlign w:val="center"/>
          </w:tcPr>
          <w:p w14:paraId="7B253FF8">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合计</w:t>
            </w:r>
          </w:p>
        </w:tc>
        <w:tc>
          <w:tcPr>
            <w:tcW w:w="587" w:type="pct"/>
            <w:vAlign w:val="center"/>
          </w:tcPr>
          <w:p w14:paraId="5F13FDEF">
            <w:pPr>
              <w:widowControl/>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0.000</w:t>
            </w:r>
            <w:r>
              <w:rPr>
                <w:rFonts w:hint="eastAsia" w:cs="Times New Roman"/>
                <w:color w:val="auto"/>
                <w:kern w:val="21"/>
                <w:sz w:val="21"/>
                <w:highlight w:val="none"/>
              </w:rPr>
              <w:t>12</w:t>
            </w:r>
          </w:p>
        </w:tc>
      </w:tr>
    </w:tbl>
    <w:p w14:paraId="63BB0DB3">
      <w:pPr>
        <w:adjustRightInd w:val="0"/>
        <w:ind w:firstLine="480"/>
        <w:rPr>
          <w:rFonts w:cs="Times New Roman"/>
          <w:color w:val="auto"/>
          <w:highlight w:val="none"/>
        </w:rPr>
      </w:pPr>
      <w:r>
        <w:rPr>
          <w:rFonts w:cs="Times New Roman"/>
          <w:color w:val="auto"/>
          <w:highlight w:val="none"/>
        </w:rPr>
        <w:t>本项目危险物质临界量Q值为0.000</w:t>
      </w:r>
      <w:r>
        <w:rPr>
          <w:rFonts w:hint="eastAsia" w:cs="Times New Roman"/>
          <w:color w:val="auto"/>
          <w:highlight w:val="none"/>
        </w:rPr>
        <w:t>12</w:t>
      </w:r>
      <w:r>
        <w:rPr>
          <w:rFonts w:cs="Times New Roman"/>
          <w:color w:val="auto"/>
          <w:highlight w:val="none"/>
        </w:rPr>
        <w:t>＜1，因此本项目全厂环境风险潜势为I。《建设项目环境风险评价技术导则》（HJ169-2018）中</w:t>
      </w:r>
      <w:r>
        <w:rPr>
          <w:rFonts w:hint="eastAsia" w:cs="Times New Roman"/>
          <w:color w:val="auto"/>
          <w:highlight w:val="none"/>
        </w:rPr>
        <w:t>“</w:t>
      </w:r>
      <w:r>
        <w:rPr>
          <w:rFonts w:cs="Times New Roman"/>
          <w:color w:val="auto"/>
          <w:highlight w:val="none"/>
        </w:rPr>
        <w:t>4.3评价工作等级划分中明确：风险潜势为I，可开展简单分析。</w:t>
      </w:r>
      <w:r>
        <w:rPr>
          <w:rFonts w:hint="eastAsia" w:cs="Times New Roman"/>
          <w:color w:val="auto"/>
          <w:highlight w:val="none"/>
        </w:rPr>
        <w:t>”</w:t>
      </w:r>
      <w:r>
        <w:rPr>
          <w:rFonts w:cs="Times New Roman"/>
          <w:color w:val="auto"/>
          <w:highlight w:val="none"/>
        </w:rPr>
        <w:t>。</w:t>
      </w:r>
    </w:p>
    <w:p w14:paraId="1A09784D">
      <w:pPr>
        <w:pStyle w:val="3"/>
        <w:adjustRightInd w:val="0"/>
        <w:rPr>
          <w:rFonts w:cs="Times New Roman"/>
          <w:color w:val="auto"/>
          <w:highlight w:val="none"/>
        </w:rPr>
      </w:pPr>
      <w:bookmarkStart w:id="206" w:name="_Toc4859"/>
      <w:bookmarkStart w:id="207" w:name="_Toc27217"/>
      <w:bookmarkStart w:id="208" w:name="_Toc9376"/>
      <w:r>
        <w:rPr>
          <w:rFonts w:cs="Times New Roman"/>
          <w:color w:val="auto"/>
          <w:highlight w:val="none"/>
        </w:rPr>
        <w:t>环境风险识别</w:t>
      </w:r>
      <w:bookmarkEnd w:id="206"/>
      <w:bookmarkEnd w:id="207"/>
      <w:bookmarkEnd w:id="208"/>
    </w:p>
    <w:p w14:paraId="7858E781">
      <w:pPr>
        <w:pStyle w:val="4"/>
        <w:adjustRightInd w:val="0"/>
        <w:rPr>
          <w:rFonts w:cs="Times New Roman"/>
          <w:color w:val="auto"/>
          <w:highlight w:val="none"/>
        </w:rPr>
      </w:pPr>
      <w:bookmarkStart w:id="209" w:name="_Toc29700"/>
      <w:bookmarkStart w:id="210" w:name="_Toc1883"/>
      <w:bookmarkStart w:id="211" w:name="_Toc10145"/>
      <w:r>
        <w:rPr>
          <w:rFonts w:cs="Times New Roman"/>
          <w:color w:val="auto"/>
          <w:highlight w:val="none"/>
        </w:rPr>
        <w:t>物质风险性识别</w:t>
      </w:r>
      <w:bookmarkEnd w:id="209"/>
      <w:bookmarkEnd w:id="210"/>
      <w:bookmarkEnd w:id="211"/>
    </w:p>
    <w:p w14:paraId="05B62F49">
      <w:pPr>
        <w:adjustRightInd w:val="0"/>
        <w:ind w:firstLine="480"/>
        <w:rPr>
          <w:rFonts w:cs="Times New Roman"/>
          <w:color w:val="auto"/>
          <w:highlight w:val="none"/>
        </w:rPr>
      </w:pPr>
      <w:r>
        <w:rPr>
          <w:rFonts w:cs="Times New Roman"/>
          <w:color w:val="auto"/>
          <w:highlight w:val="none"/>
        </w:rPr>
        <w:t>根据《建设项目环境风险评价技术导则》（HJ/T169-2018）附录B.1、附录B.2和《化学品分类和标签规范》（GB30000.28-2013），本项目运行过程中涉及的风险物质为机油，其理化性质和危险特性如下。</w:t>
      </w:r>
    </w:p>
    <w:p w14:paraId="3940BAE4">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color w:val="auto"/>
          <w:highlight w:val="none"/>
        </w:rPr>
        <w:t>机油理化性质表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4"/>
        <w:gridCol w:w="3119"/>
        <w:gridCol w:w="2588"/>
        <w:gridCol w:w="2269"/>
      </w:tblGrid>
      <w:tr w14:paraId="3D359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Merge w:val="restart"/>
            <w:vAlign w:val="center"/>
          </w:tcPr>
          <w:p w14:paraId="034E9F9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理化性质</w:t>
            </w:r>
          </w:p>
        </w:tc>
        <w:tc>
          <w:tcPr>
            <w:tcW w:w="1721" w:type="pct"/>
            <w:vAlign w:val="center"/>
          </w:tcPr>
          <w:p w14:paraId="7A4D006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淡黄色</w:t>
            </w:r>
            <w:r>
              <w:rPr>
                <w:rFonts w:hint="eastAsia" w:cs="Times New Roman"/>
                <w:color w:val="auto"/>
                <w:kern w:val="21"/>
                <w:sz w:val="21"/>
                <w:highlight w:val="none"/>
              </w:rPr>
              <w:t>黏稠</w:t>
            </w:r>
            <w:r>
              <w:rPr>
                <w:rFonts w:cs="Times New Roman"/>
                <w:color w:val="auto"/>
                <w:kern w:val="21"/>
                <w:sz w:val="21"/>
                <w:highlight w:val="none"/>
              </w:rPr>
              <w:t>液体</w:t>
            </w:r>
          </w:p>
        </w:tc>
        <w:tc>
          <w:tcPr>
            <w:tcW w:w="1428" w:type="pct"/>
            <w:vAlign w:val="center"/>
          </w:tcPr>
          <w:p w14:paraId="77155120">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闪点：120~340℃</w:t>
            </w:r>
          </w:p>
        </w:tc>
        <w:tc>
          <w:tcPr>
            <w:tcW w:w="1250" w:type="pct"/>
            <w:vAlign w:val="center"/>
          </w:tcPr>
          <w:p w14:paraId="07D62427">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沸点：-252.8℃</w:t>
            </w:r>
          </w:p>
        </w:tc>
      </w:tr>
      <w:tr w14:paraId="0A15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8" w:type="pct"/>
            <w:vMerge w:val="continue"/>
            <w:vAlign w:val="center"/>
          </w:tcPr>
          <w:p w14:paraId="4B40656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1721" w:type="pct"/>
            <w:vAlign w:val="center"/>
          </w:tcPr>
          <w:p w14:paraId="007DE9AC">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相对密度（水=1）：934.8</w:t>
            </w:r>
          </w:p>
        </w:tc>
        <w:tc>
          <w:tcPr>
            <w:tcW w:w="1428" w:type="pct"/>
            <w:vAlign w:val="center"/>
          </w:tcPr>
          <w:p w14:paraId="797A1E22">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相对密度（空气=1）：0.85</w:t>
            </w:r>
          </w:p>
        </w:tc>
        <w:tc>
          <w:tcPr>
            <w:tcW w:w="1250" w:type="pct"/>
            <w:vAlign w:val="center"/>
          </w:tcPr>
          <w:p w14:paraId="5CE2F67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自燃点：300~350℃</w:t>
            </w:r>
          </w:p>
        </w:tc>
      </w:tr>
      <w:tr w14:paraId="662A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Merge w:val="continue"/>
            <w:vAlign w:val="center"/>
          </w:tcPr>
          <w:p w14:paraId="07F8202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4401" w:type="pct"/>
            <w:gridSpan w:val="3"/>
            <w:vAlign w:val="center"/>
          </w:tcPr>
          <w:p w14:paraId="54F56B87">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溶解性：溶于苯、乙醇、乙醚、氯仿、丙酮等多数有机溶剂。</w:t>
            </w:r>
          </w:p>
        </w:tc>
      </w:tr>
      <w:tr w14:paraId="0E478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193412C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燃烧爆炸危险</w:t>
            </w:r>
          </w:p>
        </w:tc>
        <w:tc>
          <w:tcPr>
            <w:tcW w:w="4401" w:type="pct"/>
            <w:gridSpan w:val="3"/>
            <w:vAlign w:val="center"/>
          </w:tcPr>
          <w:p w14:paraId="7DC0B5ED">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危险特性：可燃液体，火灾危险性为丙B类；遇明火、高热可燃燃烧</w:t>
            </w:r>
          </w:p>
          <w:p w14:paraId="6510454C">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分解产物：CO、CO</w:t>
            </w:r>
            <w:r>
              <w:rPr>
                <w:rFonts w:cs="Times New Roman"/>
                <w:color w:val="auto"/>
                <w:kern w:val="21"/>
                <w:sz w:val="21"/>
                <w:highlight w:val="none"/>
                <w:vertAlign w:val="subscript"/>
              </w:rPr>
              <w:t>2</w:t>
            </w:r>
            <w:r>
              <w:rPr>
                <w:rFonts w:cs="Times New Roman"/>
                <w:color w:val="auto"/>
                <w:kern w:val="21"/>
                <w:sz w:val="21"/>
                <w:highlight w:val="none"/>
              </w:rPr>
              <w:t>等有毒有害气体</w:t>
            </w:r>
          </w:p>
          <w:p w14:paraId="3C3F6CB8">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稳定性：稳定</w:t>
            </w:r>
          </w:p>
          <w:p w14:paraId="683AAF3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禁忌物：硝酸等强氧化剂</w:t>
            </w:r>
          </w:p>
          <w:p w14:paraId="2E6027FF">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灭火方法：消防人员需佩戴防毒面具、穿全身消防服，在上风向灭火。尽可能将容器从火场移至空旷处。喷水保持火场容器冷却，直至灭火结束。处在火场中的容器若已变色或从安全泄压装置中产生声音，必须立即撤离。</w:t>
            </w:r>
          </w:p>
          <w:p w14:paraId="39EB2DC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灭火剂：雾状水、泡沫、干粉、二氧化碳、砂土。</w:t>
            </w:r>
          </w:p>
        </w:tc>
      </w:tr>
      <w:tr w14:paraId="6D93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681F9FA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健康危害</w:t>
            </w:r>
          </w:p>
        </w:tc>
        <w:tc>
          <w:tcPr>
            <w:tcW w:w="4401" w:type="pct"/>
            <w:gridSpan w:val="3"/>
            <w:vAlign w:val="center"/>
          </w:tcPr>
          <w:p w14:paraId="203D5FE1">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急性吸入，可出现乏力、头晕、头痛、恶心，严重者可引起油脂性肺炎。慢接触者，暴露部位可发生油性痤疮和接触性皮炎。可引发神经衰弱</w:t>
            </w:r>
            <w:r>
              <w:rPr>
                <w:rFonts w:hint="eastAsia" w:cs="Times New Roman"/>
                <w:color w:val="auto"/>
                <w:kern w:val="21"/>
                <w:sz w:val="21"/>
                <w:highlight w:val="none"/>
              </w:rPr>
              <w:t>综合征</w:t>
            </w:r>
            <w:r>
              <w:rPr>
                <w:rFonts w:cs="Times New Roman"/>
                <w:color w:val="auto"/>
                <w:kern w:val="21"/>
                <w:sz w:val="21"/>
                <w:highlight w:val="none"/>
              </w:rPr>
              <w:t>，呼吸道和眼</w:t>
            </w:r>
            <w:r>
              <w:rPr>
                <w:rFonts w:hint="eastAsia" w:cs="Times New Roman"/>
                <w:color w:val="auto"/>
                <w:kern w:val="21"/>
                <w:sz w:val="21"/>
                <w:highlight w:val="none"/>
              </w:rPr>
              <w:t>刺激征</w:t>
            </w:r>
            <w:r>
              <w:rPr>
                <w:rFonts w:cs="Times New Roman"/>
                <w:color w:val="auto"/>
                <w:kern w:val="21"/>
                <w:sz w:val="21"/>
                <w:highlight w:val="none"/>
              </w:rPr>
              <w:t>状及慢性油脂性肺炎。</w:t>
            </w:r>
          </w:p>
        </w:tc>
      </w:tr>
      <w:tr w14:paraId="6EEF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61A1C91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急救措施</w:t>
            </w:r>
          </w:p>
        </w:tc>
        <w:tc>
          <w:tcPr>
            <w:tcW w:w="4401" w:type="pct"/>
            <w:gridSpan w:val="3"/>
            <w:vAlign w:val="center"/>
          </w:tcPr>
          <w:p w14:paraId="16AB9AF9">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皮肤接触：脱去污染的衣着，用大量流动清水清洗。就医。</w:t>
            </w:r>
          </w:p>
          <w:p w14:paraId="5064F75B">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眼接触：提起眼睑，用流动清水或生理盐水冲洗。就医。</w:t>
            </w:r>
          </w:p>
          <w:p w14:paraId="4C72410A">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吸入：迅速脱离现场至空气新鲜处，保持呼吸畅通。如呼吸困难，给输氧。如呼吸停止，立即进行人工呼吸。就医。</w:t>
            </w:r>
          </w:p>
          <w:p w14:paraId="5635F47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食用：饮适量温水，催吐。就医。</w:t>
            </w:r>
          </w:p>
        </w:tc>
      </w:tr>
      <w:tr w14:paraId="61E6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7D043BD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泄漏处理</w:t>
            </w:r>
          </w:p>
        </w:tc>
        <w:tc>
          <w:tcPr>
            <w:tcW w:w="4401" w:type="pct"/>
            <w:gridSpan w:val="3"/>
            <w:vAlign w:val="center"/>
          </w:tcPr>
          <w:p w14:paraId="26781EA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迅速撤离污染区人员至安全区，并进行隔离，严格限制出入。切断火源。建议应急处理人员戴自给正压式呼吸器，穿防毒服，不要直接接触泄漏物。尽可能切断泄漏源，防止进入下水道、排洪沟等限制性空间。</w:t>
            </w:r>
          </w:p>
          <w:p w14:paraId="693C3F5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小量泄漏：用砂土或其它不燃材料吸附或吸收。</w:t>
            </w:r>
          </w:p>
          <w:p w14:paraId="4756A43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大量泄漏：构筑围堤或挖坑收容；用泵转移至槽车或专用收集器内，回收或运至废物处理场所处置。</w:t>
            </w:r>
          </w:p>
        </w:tc>
      </w:tr>
      <w:tr w14:paraId="2A23B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8" w:type="pct"/>
            <w:vAlign w:val="center"/>
          </w:tcPr>
          <w:p w14:paraId="56D37E5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储存要求</w:t>
            </w:r>
          </w:p>
        </w:tc>
        <w:tc>
          <w:tcPr>
            <w:tcW w:w="4401" w:type="pct"/>
            <w:gridSpan w:val="3"/>
            <w:vAlign w:val="center"/>
          </w:tcPr>
          <w:p w14:paraId="0AA2FF2B">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储存于阴凉、通风的库房。远离火种、热源。应与氧化剂分开存放，切忌混储。配备相应品种和数量的消防器材。储存区应备有泄漏应急处理设备和合适的收容材料</w:t>
            </w:r>
          </w:p>
        </w:tc>
      </w:tr>
    </w:tbl>
    <w:p w14:paraId="375BF44D">
      <w:pPr>
        <w:pStyle w:val="4"/>
        <w:adjustRightInd w:val="0"/>
        <w:rPr>
          <w:rFonts w:cs="Times New Roman"/>
          <w:color w:val="auto"/>
          <w:highlight w:val="none"/>
        </w:rPr>
      </w:pPr>
      <w:bookmarkStart w:id="212" w:name="_Toc3679"/>
      <w:bookmarkStart w:id="213" w:name="_Toc3069"/>
      <w:r>
        <w:rPr>
          <w:rFonts w:cs="Times New Roman"/>
          <w:color w:val="auto"/>
          <w:highlight w:val="none"/>
        </w:rPr>
        <w:t>生产系统风险性识别</w:t>
      </w:r>
      <w:bookmarkEnd w:id="212"/>
      <w:bookmarkEnd w:id="213"/>
    </w:p>
    <w:p w14:paraId="5DB802CA">
      <w:pPr>
        <w:adjustRightInd w:val="0"/>
        <w:ind w:firstLine="480"/>
        <w:rPr>
          <w:rFonts w:cs="Times New Roman"/>
          <w:color w:val="auto"/>
          <w:highlight w:val="none"/>
        </w:rPr>
      </w:pPr>
      <w:r>
        <w:rPr>
          <w:rFonts w:cs="Times New Roman"/>
          <w:color w:val="auto"/>
          <w:highlight w:val="none"/>
        </w:rPr>
        <w:t>项目工程在生产和贮存过程中存在的主要环境风险为事故排放、生产废水泄漏等。生产过程中因人为因素可能发生的风险事故见下表。</w:t>
      </w:r>
    </w:p>
    <w:p w14:paraId="774FF0E5">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建设项目环境风险识别表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57"/>
        <w:gridCol w:w="1586"/>
        <w:gridCol w:w="1717"/>
        <w:gridCol w:w="1235"/>
        <w:gridCol w:w="1071"/>
        <w:gridCol w:w="1512"/>
        <w:gridCol w:w="1482"/>
      </w:tblGrid>
      <w:tr w14:paraId="4B3381A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blHeader/>
          <w:jc w:val="center"/>
        </w:trPr>
        <w:tc>
          <w:tcPr>
            <w:tcW w:w="252" w:type="pct"/>
            <w:vAlign w:val="center"/>
          </w:tcPr>
          <w:p w14:paraId="50D98883">
            <w:pPr>
              <w:pStyle w:val="69"/>
              <w:spacing w:before="62" w:after="62"/>
              <w:rPr>
                <w:rFonts w:cs="Times New Roman"/>
                <w:b/>
                <w:bCs w:val="0"/>
                <w:color w:val="auto"/>
                <w:highlight w:val="none"/>
              </w:rPr>
            </w:pPr>
            <w:r>
              <w:rPr>
                <w:rFonts w:cs="Times New Roman"/>
                <w:b/>
                <w:bCs w:val="0"/>
                <w:color w:val="auto"/>
                <w:highlight w:val="none"/>
              </w:rPr>
              <w:t>序号</w:t>
            </w:r>
          </w:p>
        </w:tc>
        <w:tc>
          <w:tcPr>
            <w:tcW w:w="875" w:type="pct"/>
            <w:vAlign w:val="center"/>
          </w:tcPr>
          <w:p w14:paraId="4456E53A">
            <w:pPr>
              <w:pStyle w:val="69"/>
              <w:spacing w:before="62" w:after="62"/>
              <w:rPr>
                <w:rFonts w:cs="Times New Roman"/>
                <w:b/>
                <w:bCs w:val="0"/>
                <w:color w:val="auto"/>
                <w:highlight w:val="none"/>
              </w:rPr>
            </w:pPr>
            <w:r>
              <w:rPr>
                <w:rFonts w:cs="Times New Roman"/>
                <w:b/>
                <w:bCs w:val="0"/>
                <w:color w:val="auto"/>
                <w:highlight w:val="none"/>
              </w:rPr>
              <w:t>危险单元</w:t>
            </w:r>
          </w:p>
        </w:tc>
        <w:tc>
          <w:tcPr>
            <w:tcW w:w="947" w:type="pct"/>
            <w:vAlign w:val="center"/>
          </w:tcPr>
          <w:p w14:paraId="54A4C187">
            <w:pPr>
              <w:pStyle w:val="69"/>
              <w:spacing w:before="62" w:after="62"/>
              <w:rPr>
                <w:rFonts w:cs="Times New Roman"/>
                <w:b/>
                <w:bCs w:val="0"/>
                <w:color w:val="auto"/>
                <w:highlight w:val="none"/>
              </w:rPr>
            </w:pPr>
            <w:r>
              <w:rPr>
                <w:rFonts w:cs="Times New Roman"/>
                <w:b/>
                <w:bCs w:val="0"/>
                <w:color w:val="auto"/>
                <w:highlight w:val="none"/>
              </w:rPr>
              <w:t>风险源</w:t>
            </w:r>
          </w:p>
        </w:tc>
        <w:tc>
          <w:tcPr>
            <w:tcW w:w="681" w:type="pct"/>
            <w:vAlign w:val="center"/>
          </w:tcPr>
          <w:p w14:paraId="4FA1419E">
            <w:pPr>
              <w:pStyle w:val="69"/>
              <w:spacing w:before="62" w:after="62"/>
              <w:rPr>
                <w:rFonts w:cs="Times New Roman"/>
                <w:b/>
                <w:bCs w:val="0"/>
                <w:color w:val="auto"/>
                <w:highlight w:val="none"/>
              </w:rPr>
            </w:pPr>
            <w:r>
              <w:rPr>
                <w:rFonts w:cs="Times New Roman"/>
                <w:b/>
                <w:bCs w:val="0"/>
                <w:color w:val="auto"/>
                <w:highlight w:val="none"/>
              </w:rPr>
              <w:t>主要危险物质</w:t>
            </w:r>
          </w:p>
        </w:tc>
        <w:tc>
          <w:tcPr>
            <w:tcW w:w="591" w:type="pct"/>
            <w:vAlign w:val="center"/>
          </w:tcPr>
          <w:p w14:paraId="785F219D">
            <w:pPr>
              <w:pStyle w:val="69"/>
              <w:spacing w:before="62" w:after="62"/>
              <w:rPr>
                <w:rFonts w:cs="Times New Roman"/>
                <w:b/>
                <w:bCs w:val="0"/>
                <w:color w:val="auto"/>
                <w:highlight w:val="none"/>
              </w:rPr>
            </w:pPr>
            <w:r>
              <w:rPr>
                <w:rFonts w:cs="Times New Roman"/>
                <w:b/>
                <w:bCs w:val="0"/>
                <w:color w:val="auto"/>
                <w:highlight w:val="none"/>
              </w:rPr>
              <w:t>环境风险类别</w:t>
            </w:r>
          </w:p>
        </w:tc>
        <w:tc>
          <w:tcPr>
            <w:tcW w:w="834" w:type="pct"/>
            <w:vAlign w:val="center"/>
          </w:tcPr>
          <w:p w14:paraId="74996E5B">
            <w:pPr>
              <w:pStyle w:val="69"/>
              <w:spacing w:before="62" w:after="62"/>
              <w:rPr>
                <w:rFonts w:cs="Times New Roman"/>
                <w:b/>
                <w:bCs w:val="0"/>
                <w:color w:val="auto"/>
                <w:highlight w:val="none"/>
              </w:rPr>
            </w:pPr>
            <w:r>
              <w:rPr>
                <w:rFonts w:cs="Times New Roman"/>
                <w:b/>
                <w:bCs w:val="0"/>
                <w:color w:val="auto"/>
                <w:highlight w:val="none"/>
              </w:rPr>
              <w:t>环境影响途径</w:t>
            </w:r>
          </w:p>
        </w:tc>
        <w:tc>
          <w:tcPr>
            <w:tcW w:w="817" w:type="pct"/>
            <w:vAlign w:val="center"/>
          </w:tcPr>
          <w:p w14:paraId="3D2B8FAC">
            <w:pPr>
              <w:pStyle w:val="69"/>
              <w:spacing w:before="62" w:after="62"/>
              <w:rPr>
                <w:rFonts w:cs="Times New Roman"/>
                <w:b/>
                <w:bCs w:val="0"/>
                <w:color w:val="auto"/>
                <w:highlight w:val="none"/>
              </w:rPr>
            </w:pPr>
            <w:r>
              <w:rPr>
                <w:rFonts w:cs="Times New Roman"/>
                <w:b/>
                <w:bCs w:val="0"/>
                <w:color w:val="auto"/>
                <w:highlight w:val="none"/>
              </w:rPr>
              <w:t>可能受影响的环境敏感目标</w:t>
            </w:r>
          </w:p>
        </w:tc>
      </w:tr>
      <w:tr w14:paraId="0CFF9B5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03" w:hRule="atLeast"/>
          <w:jc w:val="center"/>
        </w:trPr>
        <w:tc>
          <w:tcPr>
            <w:tcW w:w="252" w:type="pct"/>
            <w:vAlign w:val="center"/>
          </w:tcPr>
          <w:p w14:paraId="12014759">
            <w:pPr>
              <w:pStyle w:val="69"/>
              <w:spacing w:before="62" w:after="62"/>
              <w:rPr>
                <w:rFonts w:cs="Times New Roman"/>
                <w:color w:val="auto"/>
                <w:highlight w:val="none"/>
              </w:rPr>
            </w:pPr>
            <w:r>
              <w:rPr>
                <w:rFonts w:cs="Times New Roman"/>
                <w:color w:val="auto"/>
                <w:highlight w:val="none"/>
              </w:rPr>
              <w:t>1</w:t>
            </w:r>
          </w:p>
        </w:tc>
        <w:tc>
          <w:tcPr>
            <w:tcW w:w="875" w:type="pct"/>
            <w:vAlign w:val="center"/>
          </w:tcPr>
          <w:p w14:paraId="561AE1D8">
            <w:pPr>
              <w:pStyle w:val="69"/>
              <w:spacing w:before="62" w:after="62"/>
              <w:rPr>
                <w:rFonts w:cs="Times New Roman"/>
                <w:color w:val="auto"/>
                <w:highlight w:val="none"/>
              </w:rPr>
            </w:pPr>
            <w:r>
              <w:rPr>
                <w:rFonts w:cs="Times New Roman"/>
                <w:color w:val="auto"/>
                <w:highlight w:val="none"/>
              </w:rPr>
              <w:t>压滤车间</w:t>
            </w:r>
          </w:p>
        </w:tc>
        <w:tc>
          <w:tcPr>
            <w:tcW w:w="947" w:type="pct"/>
            <w:vAlign w:val="center"/>
          </w:tcPr>
          <w:p w14:paraId="6057045E">
            <w:pPr>
              <w:pStyle w:val="69"/>
              <w:spacing w:before="62" w:after="62"/>
              <w:rPr>
                <w:rFonts w:cs="Times New Roman"/>
                <w:color w:val="auto"/>
                <w:highlight w:val="none"/>
              </w:rPr>
            </w:pPr>
            <w:r>
              <w:rPr>
                <w:rFonts w:cs="Times New Roman"/>
                <w:color w:val="auto"/>
                <w:highlight w:val="none"/>
              </w:rPr>
              <w:t>废水泄漏</w:t>
            </w:r>
          </w:p>
        </w:tc>
        <w:tc>
          <w:tcPr>
            <w:tcW w:w="681" w:type="pct"/>
            <w:vAlign w:val="center"/>
          </w:tcPr>
          <w:p w14:paraId="054F6F61">
            <w:pPr>
              <w:pStyle w:val="69"/>
              <w:spacing w:before="62" w:after="62"/>
              <w:rPr>
                <w:rFonts w:cs="Times New Roman"/>
                <w:color w:val="auto"/>
                <w:highlight w:val="none"/>
              </w:rPr>
            </w:pPr>
            <w:r>
              <w:rPr>
                <w:rFonts w:cs="Times New Roman"/>
                <w:color w:val="auto"/>
                <w:highlight w:val="none"/>
              </w:rPr>
              <w:t>COD、氨氮</w:t>
            </w:r>
            <w:r>
              <w:rPr>
                <w:rFonts w:hint="eastAsia" w:cs="Times New Roman"/>
                <w:color w:val="auto"/>
                <w:highlight w:val="none"/>
              </w:rPr>
              <w:t>、锂</w:t>
            </w:r>
          </w:p>
        </w:tc>
        <w:tc>
          <w:tcPr>
            <w:tcW w:w="591" w:type="pct"/>
            <w:vAlign w:val="center"/>
          </w:tcPr>
          <w:p w14:paraId="53709EEC">
            <w:pPr>
              <w:pStyle w:val="69"/>
              <w:spacing w:before="62" w:after="62"/>
              <w:rPr>
                <w:rFonts w:cs="Times New Roman"/>
                <w:color w:val="auto"/>
                <w:highlight w:val="none"/>
              </w:rPr>
            </w:pPr>
            <w:r>
              <w:rPr>
                <w:rFonts w:cs="Times New Roman"/>
                <w:color w:val="auto"/>
                <w:highlight w:val="none"/>
              </w:rPr>
              <w:t>泄漏</w:t>
            </w:r>
          </w:p>
        </w:tc>
        <w:tc>
          <w:tcPr>
            <w:tcW w:w="834" w:type="pct"/>
            <w:vAlign w:val="center"/>
          </w:tcPr>
          <w:p w14:paraId="228DB6E7">
            <w:pPr>
              <w:pStyle w:val="69"/>
              <w:spacing w:before="62" w:after="62"/>
              <w:rPr>
                <w:rFonts w:cs="Times New Roman"/>
                <w:color w:val="auto"/>
                <w:highlight w:val="none"/>
              </w:rPr>
            </w:pPr>
            <w:r>
              <w:rPr>
                <w:rFonts w:cs="Times New Roman"/>
                <w:color w:val="auto"/>
                <w:highlight w:val="none"/>
              </w:rPr>
              <w:t>扩散、漫流、渗透、吸收</w:t>
            </w:r>
          </w:p>
        </w:tc>
        <w:tc>
          <w:tcPr>
            <w:tcW w:w="817" w:type="pct"/>
            <w:vAlign w:val="center"/>
          </w:tcPr>
          <w:p w14:paraId="31AE765D">
            <w:pPr>
              <w:pStyle w:val="69"/>
              <w:spacing w:before="62" w:after="62"/>
              <w:rPr>
                <w:rFonts w:cs="Times New Roman"/>
                <w:color w:val="auto"/>
                <w:highlight w:val="none"/>
              </w:rPr>
            </w:pPr>
            <w:r>
              <w:rPr>
                <w:rFonts w:cs="Times New Roman"/>
                <w:color w:val="auto"/>
                <w:highlight w:val="none"/>
              </w:rPr>
              <w:t>地表水、土壤、地下水</w:t>
            </w:r>
          </w:p>
        </w:tc>
      </w:tr>
      <w:tr w14:paraId="5B5EF93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2" w:type="pct"/>
            <w:vAlign w:val="center"/>
          </w:tcPr>
          <w:p w14:paraId="44F70C02">
            <w:pPr>
              <w:pStyle w:val="69"/>
              <w:spacing w:before="62" w:after="62"/>
              <w:rPr>
                <w:rFonts w:cs="Times New Roman"/>
                <w:color w:val="auto"/>
                <w:highlight w:val="none"/>
              </w:rPr>
            </w:pPr>
            <w:r>
              <w:rPr>
                <w:rFonts w:cs="Times New Roman"/>
                <w:color w:val="auto"/>
                <w:highlight w:val="none"/>
              </w:rPr>
              <w:t>2</w:t>
            </w:r>
          </w:p>
        </w:tc>
        <w:tc>
          <w:tcPr>
            <w:tcW w:w="875" w:type="pct"/>
            <w:vAlign w:val="center"/>
          </w:tcPr>
          <w:p w14:paraId="5494736E">
            <w:pPr>
              <w:pStyle w:val="69"/>
              <w:spacing w:before="62" w:after="62"/>
              <w:rPr>
                <w:rFonts w:cs="Times New Roman"/>
                <w:color w:val="auto"/>
                <w:highlight w:val="none"/>
              </w:rPr>
            </w:pPr>
            <w:r>
              <w:rPr>
                <w:rFonts w:cs="Times New Roman"/>
                <w:color w:val="auto"/>
                <w:highlight w:val="none"/>
              </w:rPr>
              <w:t>污水处理设施</w:t>
            </w:r>
          </w:p>
        </w:tc>
        <w:tc>
          <w:tcPr>
            <w:tcW w:w="947" w:type="pct"/>
            <w:vAlign w:val="center"/>
          </w:tcPr>
          <w:p w14:paraId="5E1D2078">
            <w:pPr>
              <w:pStyle w:val="69"/>
              <w:spacing w:before="62" w:after="62"/>
              <w:rPr>
                <w:rFonts w:cs="Times New Roman"/>
                <w:color w:val="auto"/>
                <w:highlight w:val="none"/>
              </w:rPr>
            </w:pPr>
            <w:r>
              <w:rPr>
                <w:rFonts w:cs="Times New Roman"/>
                <w:color w:val="auto"/>
                <w:highlight w:val="none"/>
              </w:rPr>
              <w:t>污水处理构筑物</w:t>
            </w:r>
          </w:p>
        </w:tc>
        <w:tc>
          <w:tcPr>
            <w:tcW w:w="681" w:type="pct"/>
            <w:vAlign w:val="center"/>
          </w:tcPr>
          <w:p w14:paraId="1E738FCF">
            <w:pPr>
              <w:pStyle w:val="69"/>
              <w:spacing w:before="62" w:after="62"/>
              <w:rPr>
                <w:rFonts w:cs="Times New Roman"/>
                <w:color w:val="auto"/>
                <w:highlight w:val="none"/>
              </w:rPr>
            </w:pPr>
            <w:r>
              <w:rPr>
                <w:rFonts w:cs="Times New Roman"/>
                <w:color w:val="auto"/>
                <w:highlight w:val="none"/>
              </w:rPr>
              <w:t>COD、氨氮、锂</w:t>
            </w:r>
          </w:p>
        </w:tc>
        <w:tc>
          <w:tcPr>
            <w:tcW w:w="591" w:type="pct"/>
            <w:vAlign w:val="center"/>
          </w:tcPr>
          <w:p w14:paraId="5260C779">
            <w:pPr>
              <w:pStyle w:val="69"/>
              <w:spacing w:before="62" w:after="62"/>
              <w:rPr>
                <w:rFonts w:cs="Times New Roman"/>
                <w:color w:val="auto"/>
                <w:highlight w:val="none"/>
              </w:rPr>
            </w:pPr>
            <w:r>
              <w:rPr>
                <w:rFonts w:cs="Times New Roman"/>
                <w:color w:val="auto"/>
                <w:highlight w:val="none"/>
              </w:rPr>
              <w:t>废水事故排放</w:t>
            </w:r>
          </w:p>
        </w:tc>
        <w:tc>
          <w:tcPr>
            <w:tcW w:w="834" w:type="pct"/>
            <w:vAlign w:val="center"/>
          </w:tcPr>
          <w:p w14:paraId="65D14D8A">
            <w:pPr>
              <w:pStyle w:val="69"/>
              <w:spacing w:before="62" w:after="62"/>
              <w:rPr>
                <w:rFonts w:cs="Times New Roman"/>
                <w:color w:val="auto"/>
                <w:highlight w:val="none"/>
              </w:rPr>
            </w:pPr>
            <w:r>
              <w:rPr>
                <w:rFonts w:cs="Times New Roman"/>
                <w:color w:val="auto"/>
                <w:highlight w:val="none"/>
              </w:rPr>
              <w:t>扩散、漫流、渗透、吸收</w:t>
            </w:r>
          </w:p>
        </w:tc>
        <w:tc>
          <w:tcPr>
            <w:tcW w:w="817" w:type="pct"/>
            <w:vAlign w:val="center"/>
          </w:tcPr>
          <w:p w14:paraId="29988625">
            <w:pPr>
              <w:pStyle w:val="69"/>
              <w:spacing w:before="62" w:after="62"/>
              <w:rPr>
                <w:rFonts w:cs="Times New Roman"/>
                <w:color w:val="auto"/>
                <w:highlight w:val="none"/>
              </w:rPr>
            </w:pPr>
            <w:r>
              <w:rPr>
                <w:rFonts w:cs="Times New Roman"/>
                <w:color w:val="auto"/>
                <w:highlight w:val="none"/>
              </w:rPr>
              <w:t>地表水、土壤、地下水</w:t>
            </w:r>
          </w:p>
        </w:tc>
      </w:tr>
      <w:tr w14:paraId="6ADA43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2" w:type="pct"/>
            <w:vAlign w:val="center"/>
          </w:tcPr>
          <w:p w14:paraId="658B2FD5">
            <w:pPr>
              <w:pStyle w:val="69"/>
              <w:spacing w:before="62" w:after="62"/>
              <w:rPr>
                <w:rFonts w:cs="Times New Roman"/>
                <w:color w:val="auto"/>
                <w:highlight w:val="none"/>
              </w:rPr>
            </w:pPr>
            <w:r>
              <w:rPr>
                <w:rFonts w:cs="Times New Roman"/>
                <w:color w:val="auto"/>
                <w:highlight w:val="none"/>
              </w:rPr>
              <w:t>3</w:t>
            </w:r>
          </w:p>
        </w:tc>
        <w:tc>
          <w:tcPr>
            <w:tcW w:w="875" w:type="pct"/>
            <w:vAlign w:val="center"/>
          </w:tcPr>
          <w:p w14:paraId="27B6E675">
            <w:pPr>
              <w:pStyle w:val="69"/>
              <w:spacing w:before="62" w:after="62"/>
              <w:rPr>
                <w:rFonts w:cs="Times New Roman"/>
                <w:color w:val="auto"/>
                <w:highlight w:val="none"/>
              </w:rPr>
            </w:pPr>
            <w:r>
              <w:rPr>
                <w:rFonts w:cs="Times New Roman"/>
                <w:color w:val="auto"/>
                <w:highlight w:val="none"/>
              </w:rPr>
              <w:t>废气处理设施</w:t>
            </w:r>
          </w:p>
        </w:tc>
        <w:tc>
          <w:tcPr>
            <w:tcW w:w="947" w:type="pct"/>
            <w:vAlign w:val="center"/>
          </w:tcPr>
          <w:p w14:paraId="2EB3D572">
            <w:pPr>
              <w:pStyle w:val="69"/>
              <w:spacing w:before="62" w:after="62"/>
              <w:rPr>
                <w:rFonts w:cs="Times New Roman"/>
                <w:color w:val="auto"/>
                <w:highlight w:val="none"/>
              </w:rPr>
            </w:pPr>
            <w:r>
              <w:rPr>
                <w:rFonts w:cs="Times New Roman"/>
                <w:color w:val="auto"/>
                <w:highlight w:val="none"/>
              </w:rPr>
              <w:t>布袋除尘器</w:t>
            </w:r>
          </w:p>
        </w:tc>
        <w:tc>
          <w:tcPr>
            <w:tcW w:w="681" w:type="pct"/>
            <w:vAlign w:val="center"/>
          </w:tcPr>
          <w:p w14:paraId="44104012">
            <w:pPr>
              <w:pStyle w:val="69"/>
              <w:spacing w:before="62" w:after="62"/>
              <w:rPr>
                <w:rFonts w:cs="Times New Roman"/>
                <w:color w:val="auto"/>
                <w:highlight w:val="none"/>
              </w:rPr>
            </w:pPr>
            <w:r>
              <w:rPr>
                <w:rFonts w:cs="Times New Roman"/>
                <w:color w:val="auto"/>
                <w:highlight w:val="none"/>
              </w:rPr>
              <w:t>颗粒物</w:t>
            </w:r>
          </w:p>
        </w:tc>
        <w:tc>
          <w:tcPr>
            <w:tcW w:w="591" w:type="pct"/>
            <w:vAlign w:val="center"/>
          </w:tcPr>
          <w:p w14:paraId="3E76BB38">
            <w:pPr>
              <w:pStyle w:val="69"/>
              <w:spacing w:before="62" w:after="62"/>
              <w:rPr>
                <w:rFonts w:cs="Times New Roman"/>
                <w:color w:val="auto"/>
                <w:highlight w:val="none"/>
              </w:rPr>
            </w:pPr>
            <w:r>
              <w:rPr>
                <w:rFonts w:cs="Times New Roman"/>
                <w:color w:val="auto"/>
                <w:highlight w:val="none"/>
              </w:rPr>
              <w:t>废气事故排放</w:t>
            </w:r>
          </w:p>
        </w:tc>
        <w:tc>
          <w:tcPr>
            <w:tcW w:w="834" w:type="pct"/>
            <w:vAlign w:val="center"/>
          </w:tcPr>
          <w:p w14:paraId="6BF93486">
            <w:pPr>
              <w:pStyle w:val="69"/>
              <w:spacing w:before="62" w:after="62"/>
              <w:rPr>
                <w:rFonts w:cs="Times New Roman"/>
                <w:color w:val="auto"/>
                <w:highlight w:val="none"/>
              </w:rPr>
            </w:pPr>
            <w:r>
              <w:rPr>
                <w:rFonts w:cs="Times New Roman"/>
                <w:color w:val="auto"/>
                <w:highlight w:val="none"/>
              </w:rPr>
              <w:t>扩散</w:t>
            </w:r>
          </w:p>
        </w:tc>
        <w:tc>
          <w:tcPr>
            <w:tcW w:w="817" w:type="pct"/>
            <w:vAlign w:val="center"/>
          </w:tcPr>
          <w:p w14:paraId="5260E912">
            <w:pPr>
              <w:pStyle w:val="69"/>
              <w:spacing w:before="62" w:after="62"/>
              <w:rPr>
                <w:rFonts w:cs="Times New Roman"/>
                <w:color w:val="auto"/>
                <w:highlight w:val="none"/>
              </w:rPr>
            </w:pPr>
            <w:r>
              <w:rPr>
                <w:rFonts w:cs="Times New Roman"/>
                <w:color w:val="auto"/>
                <w:highlight w:val="none"/>
              </w:rPr>
              <w:t>大气</w:t>
            </w:r>
          </w:p>
        </w:tc>
      </w:tr>
      <w:tr w14:paraId="1076E2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52" w:type="pct"/>
            <w:vAlign w:val="center"/>
          </w:tcPr>
          <w:p w14:paraId="524B8963">
            <w:pPr>
              <w:pStyle w:val="69"/>
              <w:spacing w:before="62" w:after="62"/>
              <w:rPr>
                <w:rFonts w:cs="Times New Roman"/>
                <w:color w:val="auto"/>
                <w:highlight w:val="none"/>
              </w:rPr>
            </w:pPr>
            <w:r>
              <w:rPr>
                <w:rFonts w:cs="Times New Roman"/>
                <w:color w:val="auto"/>
                <w:highlight w:val="none"/>
              </w:rPr>
              <w:t>4</w:t>
            </w:r>
          </w:p>
        </w:tc>
        <w:tc>
          <w:tcPr>
            <w:tcW w:w="875" w:type="pct"/>
            <w:vAlign w:val="center"/>
          </w:tcPr>
          <w:p w14:paraId="36E28D62">
            <w:pPr>
              <w:pStyle w:val="69"/>
              <w:spacing w:before="62" w:after="62"/>
              <w:rPr>
                <w:rFonts w:cs="Times New Roman"/>
                <w:color w:val="auto"/>
                <w:highlight w:val="none"/>
              </w:rPr>
            </w:pPr>
            <w:r>
              <w:rPr>
                <w:rFonts w:hint="eastAsia" w:cs="Times New Roman"/>
                <w:color w:val="auto"/>
                <w:highlight w:val="none"/>
              </w:rPr>
              <w:t>危废暂存间</w:t>
            </w:r>
          </w:p>
        </w:tc>
        <w:tc>
          <w:tcPr>
            <w:tcW w:w="947" w:type="pct"/>
            <w:vAlign w:val="center"/>
          </w:tcPr>
          <w:p w14:paraId="2C56AA17">
            <w:pPr>
              <w:pStyle w:val="69"/>
              <w:spacing w:before="62" w:after="62"/>
              <w:rPr>
                <w:rFonts w:cs="Times New Roman"/>
                <w:color w:val="auto"/>
                <w:highlight w:val="none"/>
              </w:rPr>
            </w:pPr>
            <w:r>
              <w:rPr>
                <w:rFonts w:hint="eastAsia" w:cs="Times New Roman"/>
                <w:color w:val="auto"/>
                <w:highlight w:val="none"/>
              </w:rPr>
              <w:t>危废暂存间</w:t>
            </w:r>
          </w:p>
        </w:tc>
        <w:tc>
          <w:tcPr>
            <w:tcW w:w="681" w:type="pct"/>
            <w:vAlign w:val="center"/>
          </w:tcPr>
          <w:p w14:paraId="13C804C2">
            <w:pPr>
              <w:pStyle w:val="69"/>
              <w:spacing w:before="62" w:after="62"/>
              <w:rPr>
                <w:rFonts w:cs="Times New Roman"/>
                <w:color w:val="auto"/>
                <w:highlight w:val="none"/>
              </w:rPr>
            </w:pPr>
            <w:r>
              <w:rPr>
                <w:rFonts w:cs="Times New Roman"/>
                <w:color w:val="auto"/>
                <w:highlight w:val="none"/>
              </w:rPr>
              <w:t>废机油</w:t>
            </w:r>
          </w:p>
        </w:tc>
        <w:tc>
          <w:tcPr>
            <w:tcW w:w="591" w:type="pct"/>
            <w:vAlign w:val="center"/>
          </w:tcPr>
          <w:p w14:paraId="7B6B3621">
            <w:pPr>
              <w:pStyle w:val="69"/>
              <w:spacing w:before="62" w:after="62"/>
              <w:rPr>
                <w:rFonts w:cs="Times New Roman"/>
                <w:color w:val="auto"/>
                <w:highlight w:val="none"/>
              </w:rPr>
            </w:pPr>
            <w:r>
              <w:rPr>
                <w:rFonts w:cs="Times New Roman"/>
                <w:color w:val="auto"/>
                <w:highlight w:val="none"/>
              </w:rPr>
              <w:t>泄漏</w:t>
            </w:r>
          </w:p>
        </w:tc>
        <w:tc>
          <w:tcPr>
            <w:tcW w:w="834" w:type="pct"/>
            <w:vAlign w:val="center"/>
          </w:tcPr>
          <w:p w14:paraId="5B087DE8">
            <w:pPr>
              <w:pStyle w:val="69"/>
              <w:spacing w:before="62" w:after="62"/>
              <w:rPr>
                <w:rFonts w:cs="Times New Roman"/>
                <w:color w:val="auto"/>
                <w:highlight w:val="none"/>
              </w:rPr>
            </w:pPr>
            <w:r>
              <w:rPr>
                <w:rFonts w:cs="Times New Roman"/>
                <w:color w:val="auto"/>
                <w:highlight w:val="none"/>
              </w:rPr>
              <w:t>渗透、吸收</w:t>
            </w:r>
          </w:p>
        </w:tc>
        <w:tc>
          <w:tcPr>
            <w:tcW w:w="817" w:type="pct"/>
            <w:vAlign w:val="center"/>
          </w:tcPr>
          <w:p w14:paraId="6FD3191A">
            <w:pPr>
              <w:pStyle w:val="69"/>
              <w:spacing w:before="62" w:after="62"/>
              <w:rPr>
                <w:rFonts w:cs="Times New Roman"/>
                <w:color w:val="auto"/>
                <w:highlight w:val="none"/>
              </w:rPr>
            </w:pPr>
            <w:r>
              <w:rPr>
                <w:rFonts w:cs="Times New Roman"/>
                <w:color w:val="auto"/>
                <w:highlight w:val="none"/>
              </w:rPr>
              <w:t>土壤、地下水</w:t>
            </w:r>
          </w:p>
        </w:tc>
      </w:tr>
    </w:tbl>
    <w:p w14:paraId="3BEB4D20">
      <w:pPr>
        <w:pStyle w:val="4"/>
        <w:adjustRightInd w:val="0"/>
        <w:rPr>
          <w:rFonts w:cs="Times New Roman"/>
          <w:color w:val="auto"/>
          <w:highlight w:val="none"/>
        </w:rPr>
      </w:pPr>
      <w:bookmarkStart w:id="214" w:name="_Toc10265"/>
      <w:bookmarkStart w:id="215" w:name="_Toc2703"/>
      <w:bookmarkStart w:id="216" w:name="_Toc28544"/>
      <w:r>
        <w:rPr>
          <w:rFonts w:cs="Times New Roman"/>
          <w:color w:val="auto"/>
          <w:highlight w:val="none"/>
        </w:rPr>
        <w:t>环境风险事故类型</w:t>
      </w:r>
      <w:bookmarkEnd w:id="214"/>
      <w:bookmarkEnd w:id="215"/>
      <w:bookmarkEnd w:id="216"/>
    </w:p>
    <w:p w14:paraId="4CFA879C">
      <w:pPr>
        <w:adjustRightInd w:val="0"/>
        <w:ind w:firstLine="482"/>
        <w:rPr>
          <w:rFonts w:cs="Times New Roman"/>
          <w:b/>
          <w:bCs/>
          <w:color w:val="auto"/>
          <w:highlight w:val="none"/>
        </w:rPr>
      </w:pPr>
      <w:r>
        <w:rPr>
          <w:rFonts w:cs="Times New Roman"/>
          <w:b/>
          <w:bCs/>
          <w:color w:val="auto"/>
          <w:highlight w:val="none"/>
        </w:rPr>
        <w:t>一、机油、废机油泄漏风险分析</w:t>
      </w:r>
    </w:p>
    <w:p w14:paraId="42315459">
      <w:pPr>
        <w:adjustRightInd w:val="0"/>
        <w:ind w:firstLine="480"/>
        <w:rPr>
          <w:rFonts w:cs="Times New Roman"/>
          <w:color w:val="auto"/>
          <w:highlight w:val="none"/>
        </w:rPr>
      </w:pPr>
      <w:r>
        <w:rPr>
          <w:rFonts w:cs="Times New Roman"/>
          <w:color w:val="auto"/>
          <w:highlight w:val="none"/>
        </w:rPr>
        <w:t>本项目涉及机油的使用以及废机油的储存，在机油、废机油的贮存、使用、输送过程中，主要存在的风险类型为油类物质泄漏以及火灾、爆炸引发的伴生/次生污染物排放，通过采取加强管理，仓库进行重点防渗等措施后，泄漏环境风险可控。</w:t>
      </w:r>
    </w:p>
    <w:p w14:paraId="797DAAA7">
      <w:pPr>
        <w:adjustRightInd w:val="0"/>
        <w:ind w:firstLine="482"/>
        <w:rPr>
          <w:rFonts w:cs="Times New Roman"/>
          <w:b/>
          <w:bCs/>
          <w:color w:val="auto"/>
          <w:highlight w:val="none"/>
        </w:rPr>
      </w:pPr>
      <w:r>
        <w:rPr>
          <w:rFonts w:cs="Times New Roman"/>
          <w:b/>
          <w:bCs/>
          <w:color w:val="auto"/>
          <w:highlight w:val="none"/>
        </w:rPr>
        <w:t>二、废水事故排放风险分析</w:t>
      </w:r>
    </w:p>
    <w:p w14:paraId="6508BE14">
      <w:pPr>
        <w:adjustRightInd w:val="0"/>
        <w:ind w:firstLine="480"/>
        <w:rPr>
          <w:rFonts w:cs="Times New Roman"/>
          <w:color w:val="auto"/>
          <w:highlight w:val="none"/>
        </w:rPr>
      </w:pPr>
      <w:r>
        <w:rPr>
          <w:rFonts w:cs="Times New Roman"/>
          <w:color w:val="auto"/>
          <w:highlight w:val="none"/>
        </w:rPr>
        <w:t>本项目废水主要包括生活污水</w:t>
      </w:r>
      <w:r>
        <w:rPr>
          <w:rFonts w:hint="eastAsia" w:cs="Times New Roman"/>
          <w:color w:val="auto"/>
          <w:highlight w:val="none"/>
        </w:rPr>
        <w:t>（含食堂废水）</w:t>
      </w:r>
      <w:r>
        <w:rPr>
          <w:rFonts w:cs="Times New Roman"/>
          <w:color w:val="auto"/>
          <w:highlight w:val="none"/>
        </w:rPr>
        <w:t>和选矿废水。生活污水</w:t>
      </w:r>
      <w:r>
        <w:rPr>
          <w:rFonts w:hint="eastAsia" w:cs="Times New Roman"/>
          <w:color w:val="auto"/>
          <w:highlight w:val="none"/>
        </w:rPr>
        <w:t>（含食堂废水）</w:t>
      </w:r>
      <w:r>
        <w:rPr>
          <w:rFonts w:cs="Times New Roman"/>
          <w:color w:val="auto"/>
          <w:highlight w:val="none"/>
        </w:rPr>
        <w:t>经预处理池处理装置处理后排入园区污水管网。当污水处理设施故障、停电等情况时可能造成生活污水事故排放。选矿废水经处理后回用，选矿废水处理系统主要设备为：三级絮凝沉淀池、脱水过滤机、压滤机系统，当以上设备发生故障，可能造成项目选矿废水事故排放。</w:t>
      </w:r>
    </w:p>
    <w:p w14:paraId="1B70F762">
      <w:pPr>
        <w:adjustRightInd w:val="0"/>
        <w:ind w:firstLine="482"/>
        <w:rPr>
          <w:rFonts w:cs="Times New Roman"/>
          <w:b/>
          <w:bCs/>
          <w:color w:val="auto"/>
          <w:highlight w:val="none"/>
        </w:rPr>
      </w:pPr>
      <w:r>
        <w:rPr>
          <w:rFonts w:cs="Times New Roman"/>
          <w:b/>
          <w:bCs/>
          <w:color w:val="auto"/>
          <w:highlight w:val="none"/>
        </w:rPr>
        <w:t>三、管道输送过程风险分析</w:t>
      </w:r>
    </w:p>
    <w:p w14:paraId="57CF3694">
      <w:pPr>
        <w:adjustRightInd w:val="0"/>
        <w:ind w:firstLine="480"/>
        <w:rPr>
          <w:rFonts w:cs="Times New Roman"/>
          <w:color w:val="auto"/>
          <w:highlight w:val="none"/>
        </w:rPr>
      </w:pPr>
      <w:r>
        <w:rPr>
          <w:rFonts w:cs="Times New Roman"/>
          <w:color w:val="auto"/>
          <w:highlight w:val="none"/>
        </w:rPr>
        <w:t>本工程矿浆输送采用管道输送，主要存在的风险类型为矿浆泄漏，一旦管道堵塞或破裂，将会对管道沿线环境造成污染影响，通过定期维护、加强管理、设置备用管道等措施，管道输送过程中风险可控。</w:t>
      </w:r>
    </w:p>
    <w:p w14:paraId="436DACA6">
      <w:pPr>
        <w:adjustRightInd w:val="0"/>
        <w:ind w:firstLine="482"/>
        <w:rPr>
          <w:rFonts w:cs="Times New Roman"/>
          <w:b/>
          <w:bCs/>
          <w:color w:val="auto"/>
          <w:highlight w:val="none"/>
        </w:rPr>
      </w:pPr>
      <w:r>
        <w:rPr>
          <w:rFonts w:cs="Times New Roman"/>
          <w:b/>
          <w:bCs/>
          <w:color w:val="auto"/>
          <w:highlight w:val="none"/>
        </w:rPr>
        <w:t>四、废气事故排放风险分析</w:t>
      </w:r>
    </w:p>
    <w:p w14:paraId="618530D2">
      <w:pPr>
        <w:adjustRightInd w:val="0"/>
        <w:ind w:firstLine="480"/>
        <w:rPr>
          <w:rFonts w:cs="Times New Roman"/>
          <w:color w:val="auto"/>
          <w:highlight w:val="none"/>
        </w:rPr>
      </w:pPr>
      <w:r>
        <w:rPr>
          <w:rFonts w:cs="Times New Roman"/>
          <w:color w:val="auto"/>
          <w:highlight w:val="none"/>
        </w:rPr>
        <w:t>本项目破碎筛分废气经布袋除尘器处理后达标排放，主要存在的风险类型为布袋除尘器发生糊袋等现象时，造成布袋除尘器除尘效率下降，未经处理的废气直接排入大气环境中。</w:t>
      </w:r>
    </w:p>
    <w:p w14:paraId="4DAEE44B">
      <w:pPr>
        <w:pStyle w:val="3"/>
        <w:adjustRightInd w:val="0"/>
        <w:rPr>
          <w:rFonts w:cs="Times New Roman"/>
          <w:color w:val="auto"/>
          <w:highlight w:val="none"/>
        </w:rPr>
      </w:pPr>
      <w:bookmarkStart w:id="217" w:name="_Toc13178"/>
      <w:bookmarkStart w:id="218" w:name="_Toc31992"/>
      <w:bookmarkStart w:id="219" w:name="_Toc18729"/>
      <w:r>
        <w:rPr>
          <w:rFonts w:cs="Times New Roman"/>
          <w:color w:val="auto"/>
          <w:highlight w:val="none"/>
        </w:rPr>
        <w:t>环境风险敏感目标</w:t>
      </w:r>
      <w:bookmarkEnd w:id="217"/>
      <w:bookmarkEnd w:id="218"/>
      <w:bookmarkEnd w:id="219"/>
    </w:p>
    <w:p w14:paraId="497902B0">
      <w:pPr>
        <w:adjustRightInd w:val="0"/>
        <w:ind w:firstLine="480"/>
        <w:rPr>
          <w:rFonts w:cs="Times New Roman"/>
          <w:color w:val="auto"/>
          <w:highlight w:val="none"/>
        </w:rPr>
      </w:pPr>
      <w:r>
        <w:rPr>
          <w:rFonts w:cs="Times New Roman"/>
          <w:color w:val="auto"/>
          <w:highlight w:val="none"/>
        </w:rPr>
        <w:t>见1.9.2主要保护目标章节。</w:t>
      </w:r>
    </w:p>
    <w:p w14:paraId="4268F3ED">
      <w:pPr>
        <w:pStyle w:val="3"/>
        <w:adjustRightInd w:val="0"/>
        <w:rPr>
          <w:rFonts w:cs="Times New Roman"/>
          <w:color w:val="auto"/>
          <w:highlight w:val="none"/>
        </w:rPr>
      </w:pPr>
      <w:bookmarkStart w:id="220" w:name="_Toc17130"/>
      <w:bookmarkStart w:id="221" w:name="_Toc15123"/>
      <w:bookmarkStart w:id="222" w:name="_Toc19912"/>
      <w:r>
        <w:rPr>
          <w:rFonts w:cs="Times New Roman"/>
          <w:color w:val="auto"/>
          <w:highlight w:val="none"/>
        </w:rPr>
        <w:t>环境影响途径</w:t>
      </w:r>
      <w:bookmarkEnd w:id="220"/>
      <w:bookmarkEnd w:id="221"/>
      <w:bookmarkEnd w:id="222"/>
    </w:p>
    <w:p w14:paraId="4F62AAB5">
      <w:pPr>
        <w:adjustRightInd w:val="0"/>
        <w:ind w:firstLine="480"/>
        <w:rPr>
          <w:rFonts w:cs="Times New Roman"/>
          <w:color w:val="auto"/>
          <w:highlight w:val="none"/>
        </w:rPr>
      </w:pPr>
      <w:r>
        <w:rPr>
          <w:rFonts w:cs="Times New Roman"/>
          <w:color w:val="auto"/>
          <w:highlight w:val="none"/>
        </w:rPr>
        <w:t>根据项目可能存在的风险类型分析可知项目向环境转移的可能途径具体情况如下：</w:t>
      </w:r>
    </w:p>
    <w:p w14:paraId="173BB2E7">
      <w:pPr>
        <w:adjustRightInd w:val="0"/>
        <w:ind w:firstLine="480"/>
        <w:rPr>
          <w:rFonts w:cs="Times New Roman"/>
          <w:color w:val="auto"/>
          <w:highlight w:val="none"/>
        </w:rPr>
      </w:pPr>
      <w:r>
        <w:rPr>
          <w:rFonts w:cs="Times New Roman"/>
          <w:color w:val="auto"/>
          <w:highlight w:val="none"/>
        </w:rPr>
        <w:t>（1）</w:t>
      </w:r>
      <w:r>
        <w:rPr>
          <w:rFonts w:cs="Times New Roman"/>
          <w:b/>
          <w:bCs/>
          <w:color w:val="auto"/>
          <w:highlight w:val="none"/>
        </w:rPr>
        <w:t>大气转移途径</w:t>
      </w:r>
      <w:r>
        <w:rPr>
          <w:rFonts w:cs="Times New Roman"/>
          <w:color w:val="auto"/>
          <w:highlight w:val="none"/>
        </w:rPr>
        <w:t>：当油类物质贮存区爆炸、燃烧事故发生后产生NO</w:t>
      </w:r>
      <w:r>
        <w:rPr>
          <w:rFonts w:cs="Times New Roman"/>
          <w:color w:val="auto"/>
          <w:highlight w:val="none"/>
          <w:vertAlign w:val="subscript"/>
        </w:rPr>
        <w:t>2</w:t>
      </w:r>
      <w:r>
        <w:rPr>
          <w:rFonts w:cs="Times New Roman"/>
          <w:color w:val="auto"/>
          <w:highlight w:val="none"/>
        </w:rPr>
        <w:t>、SO</w:t>
      </w:r>
      <w:r>
        <w:rPr>
          <w:rFonts w:cs="Times New Roman"/>
          <w:color w:val="auto"/>
          <w:highlight w:val="none"/>
          <w:vertAlign w:val="subscript"/>
        </w:rPr>
        <w:t>2</w:t>
      </w:r>
      <w:r>
        <w:rPr>
          <w:rFonts w:cs="Times New Roman"/>
          <w:color w:val="auto"/>
          <w:highlight w:val="none"/>
        </w:rPr>
        <w:t>、CO、TSP等污染物，会直接进入环境空气，影响大气环境质量；当布袋除尘器发生故障后，破碎筛分产生的颗粒物会直接进入环境空气，影响大气环境质量。</w:t>
      </w:r>
    </w:p>
    <w:p w14:paraId="684B16E4">
      <w:pPr>
        <w:adjustRightInd w:val="0"/>
        <w:ind w:firstLine="480"/>
        <w:rPr>
          <w:rFonts w:cs="Times New Roman"/>
          <w:color w:val="auto"/>
          <w:highlight w:val="none"/>
        </w:rPr>
      </w:pPr>
      <w:r>
        <w:rPr>
          <w:rFonts w:cs="Times New Roman"/>
          <w:color w:val="auto"/>
          <w:highlight w:val="none"/>
        </w:rPr>
        <w:t>（2）</w:t>
      </w:r>
      <w:r>
        <w:rPr>
          <w:rFonts w:cs="Times New Roman"/>
          <w:b/>
          <w:bCs/>
          <w:color w:val="auto"/>
          <w:highlight w:val="none"/>
        </w:rPr>
        <w:t>地表水转移途径</w:t>
      </w:r>
      <w:r>
        <w:rPr>
          <w:rFonts w:cs="Times New Roman"/>
          <w:color w:val="auto"/>
          <w:highlight w:val="none"/>
        </w:rPr>
        <w:t>：在爆炸、燃烧下产生的飞灰，经消防水直接带入水体，主要污染表现为水体SS含量增高；预处理池处理装置故障，污水事故排放至地表水体，主要污染表现为水体COD、NH</w:t>
      </w:r>
      <w:r>
        <w:rPr>
          <w:rFonts w:cs="Times New Roman"/>
          <w:color w:val="auto"/>
          <w:highlight w:val="none"/>
          <w:vertAlign w:val="subscript"/>
        </w:rPr>
        <w:t>3</w:t>
      </w:r>
      <w:r>
        <w:rPr>
          <w:rFonts w:cs="Times New Roman"/>
          <w:color w:val="auto"/>
          <w:highlight w:val="none"/>
        </w:rPr>
        <w:t>-N等污染物含量增高；矿浆、废水泄漏经雨水冲刷等直接进入周边地表水体，主要污染表现为水体SS等污染物含量增高。</w:t>
      </w:r>
    </w:p>
    <w:p w14:paraId="23BA13E7">
      <w:pPr>
        <w:adjustRightInd w:val="0"/>
        <w:ind w:firstLine="480"/>
        <w:rPr>
          <w:rFonts w:cs="Times New Roman"/>
          <w:color w:val="auto"/>
          <w:highlight w:val="none"/>
        </w:rPr>
      </w:pPr>
      <w:r>
        <w:rPr>
          <w:rFonts w:cs="Times New Roman"/>
          <w:color w:val="auto"/>
          <w:highlight w:val="none"/>
        </w:rPr>
        <w:t>（3）</w:t>
      </w:r>
      <w:r>
        <w:rPr>
          <w:rFonts w:cs="Times New Roman"/>
          <w:b/>
          <w:bCs/>
          <w:color w:val="auto"/>
          <w:highlight w:val="none"/>
        </w:rPr>
        <w:t>地下水转移途径</w:t>
      </w:r>
      <w:r>
        <w:rPr>
          <w:rFonts w:cs="Times New Roman"/>
          <w:color w:val="auto"/>
          <w:highlight w:val="none"/>
        </w:rPr>
        <w:t>：机油</w:t>
      </w:r>
      <w:r>
        <w:rPr>
          <w:rFonts w:hint="eastAsia" w:cs="Times New Roman"/>
          <w:color w:val="auto"/>
          <w:highlight w:val="none"/>
        </w:rPr>
        <w:t>、汽油</w:t>
      </w:r>
      <w:r>
        <w:rPr>
          <w:rFonts w:cs="Times New Roman"/>
          <w:color w:val="auto"/>
          <w:highlight w:val="none"/>
        </w:rPr>
        <w:t>、废机油等风险物质泄漏，下渗影响地下水水质，主要污染表现为石油类、COD含量增大，影响pH。</w:t>
      </w:r>
    </w:p>
    <w:p w14:paraId="349A4E0D">
      <w:pPr>
        <w:adjustRightInd w:val="0"/>
        <w:ind w:firstLine="480"/>
        <w:rPr>
          <w:rFonts w:cs="Times New Roman"/>
          <w:color w:val="auto"/>
          <w:highlight w:val="none"/>
        </w:rPr>
      </w:pPr>
      <w:r>
        <w:rPr>
          <w:rFonts w:cs="Times New Roman"/>
          <w:color w:val="auto"/>
          <w:highlight w:val="none"/>
        </w:rPr>
        <w:t>（4）</w:t>
      </w:r>
      <w:r>
        <w:rPr>
          <w:rFonts w:cs="Times New Roman"/>
          <w:b/>
          <w:bCs/>
          <w:color w:val="auto"/>
          <w:highlight w:val="none"/>
        </w:rPr>
        <w:t>土壤转移途径</w:t>
      </w:r>
      <w:r>
        <w:rPr>
          <w:rFonts w:cs="Times New Roman"/>
          <w:color w:val="auto"/>
          <w:highlight w:val="none"/>
        </w:rPr>
        <w:t>：机油、矿浆、废水等物质泄漏，垂直下渗影响土壤环境，生产过程中粉尘超标排放，经大气沉降影响土壤环境。</w:t>
      </w:r>
    </w:p>
    <w:p w14:paraId="1EB106FE">
      <w:pPr>
        <w:pStyle w:val="3"/>
        <w:adjustRightInd w:val="0"/>
        <w:rPr>
          <w:rFonts w:cs="Times New Roman"/>
          <w:color w:val="auto"/>
          <w:highlight w:val="none"/>
        </w:rPr>
      </w:pPr>
      <w:bookmarkStart w:id="223" w:name="_Toc25430"/>
      <w:bookmarkStart w:id="224" w:name="_Toc11839"/>
      <w:bookmarkStart w:id="225" w:name="_Toc28810"/>
      <w:r>
        <w:rPr>
          <w:rFonts w:cs="Times New Roman"/>
          <w:color w:val="auto"/>
          <w:highlight w:val="none"/>
        </w:rPr>
        <w:t>环境风险分析</w:t>
      </w:r>
      <w:bookmarkEnd w:id="223"/>
      <w:bookmarkEnd w:id="224"/>
      <w:bookmarkEnd w:id="225"/>
    </w:p>
    <w:p w14:paraId="0865EF94">
      <w:pPr>
        <w:adjustRightInd w:val="0"/>
        <w:ind w:firstLine="482"/>
        <w:rPr>
          <w:rFonts w:cs="Times New Roman"/>
          <w:b/>
          <w:bCs/>
          <w:color w:val="auto"/>
          <w:highlight w:val="none"/>
        </w:rPr>
      </w:pPr>
      <w:r>
        <w:rPr>
          <w:rFonts w:cs="Times New Roman"/>
          <w:b/>
          <w:bCs/>
          <w:color w:val="auto"/>
          <w:highlight w:val="none"/>
        </w:rPr>
        <w:t>（1）废气处理设施风险分析</w:t>
      </w:r>
    </w:p>
    <w:p w14:paraId="49A4C82C">
      <w:pPr>
        <w:adjustRightInd w:val="0"/>
        <w:ind w:firstLine="480"/>
        <w:rPr>
          <w:rFonts w:cs="Times New Roman"/>
          <w:color w:val="auto"/>
          <w:highlight w:val="none"/>
        </w:rPr>
      </w:pPr>
      <w:r>
        <w:rPr>
          <w:rFonts w:cs="Times New Roman"/>
          <w:color w:val="auto"/>
          <w:highlight w:val="none"/>
        </w:rPr>
        <w:t>本项目除尘设施停运事故排污的情况下，根据预测正常及非正常排放均不会导致区域及各关心点大气环境质量超标，不会因项目建设造成区域大气环境功能的改变。但会导致超标排放。</w:t>
      </w:r>
    </w:p>
    <w:p w14:paraId="51A01DCB">
      <w:pPr>
        <w:adjustRightInd w:val="0"/>
        <w:ind w:firstLine="480"/>
        <w:rPr>
          <w:rFonts w:cs="Times New Roman"/>
          <w:color w:val="auto"/>
          <w:highlight w:val="none"/>
        </w:rPr>
      </w:pPr>
      <w:r>
        <w:rPr>
          <w:rFonts w:cs="Times New Roman"/>
          <w:color w:val="auto"/>
          <w:highlight w:val="none"/>
        </w:rPr>
        <w:t>因此必须杜绝除尘设施故障事故排污。项目投入运行后，公司一定要加强管理，</w:t>
      </w:r>
      <w:r>
        <w:rPr>
          <w:rFonts w:hint="eastAsia" w:cs="Times New Roman"/>
          <w:color w:val="auto"/>
          <w:highlight w:val="none"/>
        </w:rPr>
        <w:t>经常</w:t>
      </w:r>
      <w:r>
        <w:rPr>
          <w:rFonts w:cs="Times New Roman"/>
          <w:color w:val="auto"/>
          <w:highlight w:val="none"/>
        </w:rPr>
        <w:t>出现故障的设备要有备用，并且要定期检修或更换设备。</w:t>
      </w:r>
    </w:p>
    <w:p w14:paraId="06A3DE79">
      <w:pPr>
        <w:adjustRightInd w:val="0"/>
        <w:ind w:firstLine="482"/>
        <w:rPr>
          <w:rFonts w:cs="Times New Roman"/>
          <w:b/>
          <w:bCs/>
          <w:color w:val="auto"/>
          <w:highlight w:val="none"/>
        </w:rPr>
      </w:pPr>
      <w:r>
        <w:rPr>
          <w:rFonts w:cs="Times New Roman"/>
          <w:b/>
          <w:bCs/>
          <w:color w:val="auto"/>
          <w:highlight w:val="none"/>
        </w:rPr>
        <w:t>（2）事故状态废水排放分析</w:t>
      </w:r>
    </w:p>
    <w:p w14:paraId="579A86BF">
      <w:pPr>
        <w:adjustRightInd w:val="0"/>
        <w:ind w:firstLine="480"/>
        <w:rPr>
          <w:rFonts w:cs="Times New Roman"/>
          <w:color w:val="auto"/>
          <w:highlight w:val="none"/>
        </w:rPr>
      </w:pPr>
      <w:r>
        <w:rPr>
          <w:rFonts w:cs="Times New Roman"/>
          <w:color w:val="auto"/>
          <w:highlight w:val="none"/>
        </w:rPr>
        <w:t>本项目事故状态废水排放分析主要是废水处理设施发生故障时出现的不正常排放。当选厂设备异常时，选矿废水可能排入地表水，项目选矿废水含有大量的SS，如果任其不经处理直接外排至地表水，不仅会严重恶化水质，导致水体中SS过多淤积水体，还可能引起附近土壤的理化性质改变，进而造成不良影响。</w:t>
      </w:r>
    </w:p>
    <w:p w14:paraId="5E302F77">
      <w:pPr>
        <w:adjustRightInd w:val="0"/>
        <w:ind w:firstLine="482"/>
        <w:rPr>
          <w:rFonts w:cs="Times New Roman"/>
          <w:b/>
          <w:bCs/>
          <w:color w:val="auto"/>
          <w:highlight w:val="none"/>
        </w:rPr>
      </w:pPr>
      <w:r>
        <w:rPr>
          <w:rFonts w:cs="Times New Roman"/>
          <w:b/>
          <w:bCs/>
          <w:color w:val="auto"/>
          <w:highlight w:val="none"/>
        </w:rPr>
        <w:t>（3）危险废物（废机油）泄漏事故排放</w:t>
      </w:r>
    </w:p>
    <w:p w14:paraId="7999DF83">
      <w:pPr>
        <w:adjustRightInd w:val="0"/>
        <w:ind w:firstLine="480"/>
        <w:rPr>
          <w:rFonts w:cs="Times New Roman"/>
          <w:color w:val="auto"/>
          <w:highlight w:val="none"/>
        </w:rPr>
      </w:pPr>
      <w:r>
        <w:rPr>
          <w:rFonts w:cs="Times New Roman"/>
          <w:color w:val="auto"/>
          <w:highlight w:val="none"/>
        </w:rPr>
        <w:t>本项目</w:t>
      </w:r>
      <w:r>
        <w:rPr>
          <w:rFonts w:hint="eastAsia" w:cs="Times New Roman"/>
          <w:color w:val="auto"/>
          <w:highlight w:val="none"/>
        </w:rPr>
        <w:t>危废暂存间</w:t>
      </w:r>
      <w:r>
        <w:rPr>
          <w:rFonts w:cs="Times New Roman"/>
          <w:color w:val="auto"/>
          <w:highlight w:val="none"/>
        </w:rPr>
        <w:t>暂存废机油，暂存过程中存在废机油泄漏事故导致下渗影响地下水、土壤环境。</w:t>
      </w:r>
    </w:p>
    <w:p w14:paraId="1F20AB63">
      <w:pPr>
        <w:pStyle w:val="3"/>
        <w:adjustRightInd w:val="0"/>
        <w:rPr>
          <w:rFonts w:cs="Times New Roman"/>
          <w:color w:val="auto"/>
          <w:highlight w:val="none"/>
        </w:rPr>
      </w:pPr>
      <w:bookmarkStart w:id="226" w:name="_Toc11132"/>
      <w:bookmarkStart w:id="227" w:name="_Toc23878"/>
      <w:bookmarkStart w:id="228" w:name="_Toc1556"/>
      <w:r>
        <w:rPr>
          <w:rFonts w:cs="Times New Roman"/>
          <w:color w:val="auto"/>
          <w:highlight w:val="none"/>
        </w:rPr>
        <w:t>环境风险防范措施及应急要求</w:t>
      </w:r>
      <w:bookmarkEnd w:id="226"/>
      <w:bookmarkEnd w:id="227"/>
      <w:bookmarkEnd w:id="228"/>
    </w:p>
    <w:p w14:paraId="435BC61D">
      <w:pPr>
        <w:pStyle w:val="4"/>
        <w:adjustRightInd w:val="0"/>
        <w:rPr>
          <w:rFonts w:cs="Times New Roman"/>
          <w:color w:val="auto"/>
          <w:highlight w:val="none"/>
        </w:rPr>
      </w:pPr>
      <w:bookmarkStart w:id="229" w:name="_Toc5694"/>
      <w:bookmarkStart w:id="230" w:name="_Toc829"/>
      <w:bookmarkStart w:id="231" w:name="_Toc32517"/>
      <w:bookmarkStart w:id="232" w:name="_Toc23799"/>
      <w:r>
        <w:rPr>
          <w:rFonts w:cs="Times New Roman"/>
          <w:color w:val="auto"/>
          <w:highlight w:val="none"/>
        </w:rPr>
        <w:t>环境风险防范措施</w:t>
      </w:r>
      <w:bookmarkEnd w:id="229"/>
      <w:bookmarkEnd w:id="230"/>
      <w:bookmarkEnd w:id="231"/>
      <w:bookmarkEnd w:id="232"/>
    </w:p>
    <w:p w14:paraId="32CC1583">
      <w:pPr>
        <w:pStyle w:val="5"/>
        <w:adjustRightInd w:val="0"/>
        <w:rPr>
          <w:rFonts w:cs="Times New Roman"/>
          <w:color w:val="auto"/>
          <w:highlight w:val="none"/>
        </w:rPr>
      </w:pPr>
      <w:r>
        <w:rPr>
          <w:rFonts w:cs="Times New Roman"/>
          <w:color w:val="auto"/>
          <w:highlight w:val="none"/>
        </w:rPr>
        <w:t>机油风险防范措施</w:t>
      </w:r>
    </w:p>
    <w:p w14:paraId="5A62074C">
      <w:pPr>
        <w:adjustRightInd w:val="0"/>
        <w:ind w:firstLine="480"/>
        <w:rPr>
          <w:rFonts w:cs="Times New Roman"/>
          <w:color w:val="auto"/>
          <w:highlight w:val="none"/>
        </w:rPr>
      </w:pPr>
      <w:r>
        <w:rPr>
          <w:rFonts w:cs="Times New Roman"/>
          <w:color w:val="auto"/>
          <w:highlight w:val="none"/>
        </w:rPr>
        <w:t>（1）设置机油暂存区，禁止随意放置油桶，机油暂存区地面采取防渗措施，机油暂存区并设置托盘，配备吸油毡等应急物资，定期检查储油桶，避免</w:t>
      </w:r>
      <w:r>
        <w:rPr>
          <w:rFonts w:hint="eastAsia" w:cs="Times New Roman"/>
          <w:color w:val="auto"/>
          <w:highlight w:val="none"/>
        </w:rPr>
        <w:t>因</w:t>
      </w:r>
      <w:r>
        <w:rPr>
          <w:rFonts w:cs="Times New Roman"/>
          <w:color w:val="auto"/>
          <w:highlight w:val="none"/>
        </w:rPr>
        <w:t>油桶老化发生泄漏。</w:t>
      </w:r>
    </w:p>
    <w:p w14:paraId="7DBEDE19">
      <w:pPr>
        <w:adjustRightInd w:val="0"/>
        <w:ind w:firstLine="480"/>
        <w:rPr>
          <w:rFonts w:cs="Times New Roman"/>
          <w:color w:val="auto"/>
          <w:highlight w:val="none"/>
        </w:rPr>
      </w:pPr>
      <w:r>
        <w:rPr>
          <w:rFonts w:cs="Times New Roman"/>
          <w:color w:val="auto"/>
          <w:highlight w:val="none"/>
        </w:rPr>
        <w:t>（2）机油在保管和使用时，应建立严格的管理和规章制度，油品装卸、使用时，全过程应有人在现场监督，一旦发生事故，立即采取防范措施。</w:t>
      </w:r>
    </w:p>
    <w:p w14:paraId="1E5B7014">
      <w:pPr>
        <w:adjustRightInd w:val="0"/>
        <w:ind w:firstLine="480"/>
        <w:rPr>
          <w:rFonts w:cs="Times New Roman"/>
          <w:color w:val="auto"/>
          <w:highlight w:val="none"/>
        </w:rPr>
      </w:pPr>
      <w:r>
        <w:rPr>
          <w:rFonts w:cs="Times New Roman"/>
          <w:color w:val="auto"/>
          <w:highlight w:val="none"/>
        </w:rPr>
        <w:t>（3）发现机油储存及运输容器、设备发生泄漏等异常情况时，岗位操作人员应及时汇报。相关负责人到场，并有当班人员或岗位主要操作人员组成临时指挥组。相关负责人到场后，组成抢险指挥组，指挥抢险救援工作，视情况需要及时向有关部门求援。</w:t>
      </w:r>
    </w:p>
    <w:p w14:paraId="34E760A5">
      <w:pPr>
        <w:adjustRightInd w:val="0"/>
        <w:ind w:firstLine="480"/>
        <w:rPr>
          <w:rFonts w:cs="Times New Roman"/>
          <w:color w:val="auto"/>
          <w:highlight w:val="none"/>
        </w:rPr>
      </w:pPr>
      <w:r>
        <w:rPr>
          <w:rFonts w:cs="Times New Roman"/>
          <w:color w:val="auto"/>
          <w:highlight w:val="none"/>
        </w:rPr>
        <w:t>（4）在装卸危险物品时，禁止吸烟、禁止明火，必须保持现场空气流通。</w:t>
      </w:r>
    </w:p>
    <w:p w14:paraId="2B736851">
      <w:pPr>
        <w:adjustRightInd w:val="0"/>
        <w:ind w:firstLine="480"/>
        <w:rPr>
          <w:rFonts w:cs="Times New Roman"/>
          <w:color w:val="auto"/>
          <w:highlight w:val="none"/>
        </w:rPr>
      </w:pPr>
      <w:r>
        <w:rPr>
          <w:rFonts w:cs="Times New Roman"/>
          <w:color w:val="auto"/>
          <w:highlight w:val="none"/>
        </w:rPr>
        <w:t>（5）晚间作业应用防爆式或封闭式的安全照明。</w:t>
      </w:r>
    </w:p>
    <w:p w14:paraId="0575C51E">
      <w:pPr>
        <w:adjustRightInd w:val="0"/>
        <w:ind w:firstLine="480"/>
        <w:rPr>
          <w:rFonts w:cs="Times New Roman"/>
          <w:color w:val="auto"/>
          <w:highlight w:val="none"/>
        </w:rPr>
      </w:pPr>
      <w:r>
        <w:rPr>
          <w:rFonts w:cs="Times New Roman"/>
          <w:color w:val="auto"/>
          <w:highlight w:val="none"/>
        </w:rPr>
        <w:t>（6）在每年的雷雨季节到来之前，对库区各处的防雷、防静电的接地装置进行检测检查，如有不合格，必须进行整改。</w:t>
      </w:r>
    </w:p>
    <w:p w14:paraId="1217D3A3">
      <w:pPr>
        <w:adjustRightInd w:val="0"/>
        <w:ind w:firstLine="480"/>
        <w:rPr>
          <w:rFonts w:cs="Times New Roman"/>
          <w:color w:val="auto"/>
          <w:highlight w:val="none"/>
        </w:rPr>
      </w:pPr>
      <w:r>
        <w:rPr>
          <w:rFonts w:cs="Times New Roman"/>
          <w:color w:val="auto"/>
          <w:highlight w:val="none"/>
        </w:rPr>
        <w:t>（7）经常检查各种装置的运行情况。对油桶作定期操作检查及时发现隐患，是预防事故发生重要措施。</w:t>
      </w:r>
    </w:p>
    <w:p w14:paraId="371ECF7C">
      <w:pPr>
        <w:adjustRightInd w:val="0"/>
        <w:ind w:firstLine="480"/>
        <w:rPr>
          <w:rFonts w:cs="Times New Roman"/>
          <w:color w:val="auto"/>
          <w:highlight w:val="none"/>
        </w:rPr>
      </w:pPr>
      <w:r>
        <w:rPr>
          <w:rFonts w:cs="Times New Roman"/>
          <w:color w:val="auto"/>
          <w:highlight w:val="none"/>
        </w:rPr>
        <w:t>（8）若发现机油泄漏，应迅速查明泄漏部位和原因，用抹布包扎漏点并采取堵漏或抢修措施；泄漏少量油时可用抹布进行吸附，泄漏量较多时采用泥沙进行吸附，并将沾有油的抹布或泥沙收集后送至合作的设备维修单位进行贮存、由其进行委托处理。</w:t>
      </w:r>
    </w:p>
    <w:p w14:paraId="340A9586">
      <w:pPr>
        <w:pStyle w:val="5"/>
        <w:adjustRightInd w:val="0"/>
        <w:rPr>
          <w:rFonts w:cs="Times New Roman"/>
          <w:color w:val="auto"/>
          <w:highlight w:val="none"/>
        </w:rPr>
      </w:pPr>
      <w:r>
        <w:rPr>
          <w:rFonts w:cs="Times New Roman"/>
          <w:color w:val="auto"/>
          <w:highlight w:val="none"/>
        </w:rPr>
        <w:t>选矿废水事故排放防范措施</w:t>
      </w:r>
    </w:p>
    <w:p w14:paraId="1517087A">
      <w:pPr>
        <w:adjustRightInd w:val="0"/>
        <w:ind w:firstLine="480"/>
        <w:rPr>
          <w:rFonts w:cs="Times New Roman"/>
          <w:color w:val="auto"/>
          <w:highlight w:val="none"/>
        </w:rPr>
      </w:pPr>
      <w:r>
        <w:rPr>
          <w:rFonts w:cs="Times New Roman"/>
          <w:color w:val="auto"/>
          <w:highlight w:val="none"/>
        </w:rPr>
        <w:t>事故废水环境风险防范应明确</w:t>
      </w:r>
      <w:r>
        <w:rPr>
          <w:rFonts w:hint="eastAsia" w:cs="Times New Roman"/>
          <w:color w:val="auto"/>
          <w:highlight w:val="none"/>
        </w:rPr>
        <w:t>“</w:t>
      </w:r>
      <w:r>
        <w:rPr>
          <w:rFonts w:cs="Times New Roman"/>
          <w:color w:val="auto"/>
          <w:highlight w:val="none"/>
        </w:rPr>
        <w:t>单元—厂区—园区/区域</w:t>
      </w:r>
      <w:r>
        <w:rPr>
          <w:rFonts w:hint="eastAsia" w:cs="Times New Roman"/>
          <w:color w:val="auto"/>
          <w:highlight w:val="none"/>
        </w:rPr>
        <w:t>”</w:t>
      </w:r>
      <w:r>
        <w:rPr>
          <w:rFonts w:cs="Times New Roman"/>
          <w:color w:val="auto"/>
          <w:highlight w:val="none"/>
        </w:rPr>
        <w:t>的环境风险防控体系要求，设置事故废水收集（尽可能以非动力自流方式）和应急储存设施，以满足事故状态下收集泄漏物料、污染消防水和污染雨水的需要，明确并图示防止事故废水进入外环境的控制、封堵系统。应急储存设施应根据发生事故的设备容量、事故时消防用水量及可能进入应急储存设施的雨水量等因素综合确定。应急储存设施内的事故废水，应及时进行有效处置，做到回用或达标排放。</w:t>
      </w:r>
    </w:p>
    <w:p w14:paraId="2FACFF25">
      <w:pPr>
        <w:adjustRightInd w:val="0"/>
        <w:ind w:firstLine="482"/>
        <w:rPr>
          <w:rFonts w:cs="Times New Roman"/>
          <w:b/>
          <w:bCs/>
          <w:color w:val="auto"/>
          <w:highlight w:val="none"/>
        </w:rPr>
      </w:pPr>
      <w:r>
        <w:rPr>
          <w:rFonts w:cs="Times New Roman"/>
          <w:b/>
          <w:bCs/>
          <w:color w:val="auto"/>
          <w:highlight w:val="none"/>
        </w:rPr>
        <w:t>（1）生产厂房</w:t>
      </w:r>
    </w:p>
    <w:p w14:paraId="1AC50B94">
      <w:pPr>
        <w:adjustRightInd w:val="0"/>
        <w:ind w:firstLine="480"/>
        <w:rPr>
          <w:rFonts w:cs="Times New Roman"/>
          <w:color w:val="auto"/>
          <w:highlight w:val="none"/>
        </w:rPr>
      </w:pPr>
      <w:r>
        <w:rPr>
          <w:rFonts w:cs="Times New Roman"/>
          <w:color w:val="auto"/>
          <w:highlight w:val="none"/>
        </w:rPr>
        <w:t>当生产过程中因为槽体破裂发生事故，导致槽液泄漏而未及时收集，则会对建设项目场地的土壤和地下水环境产生严重影响；废水输送管道破裂、断裂发生废水泄漏事故而未及时处理，则会对沿线地下水环境产生影响。因此，必须采取严格措施防止泄漏事故对周边环境造成不利影响。</w:t>
      </w:r>
    </w:p>
    <w:p w14:paraId="1459FE24">
      <w:pPr>
        <w:overflowPunct w:val="0"/>
        <w:adjustRightInd w:val="0"/>
        <w:ind w:firstLine="480"/>
        <w:rPr>
          <w:rFonts w:cs="Times New Roman"/>
          <w:color w:val="auto"/>
          <w:kern w:val="21"/>
          <w:szCs w:val="24"/>
          <w:highlight w:val="none"/>
        </w:rPr>
      </w:pPr>
      <w:r>
        <w:rPr>
          <w:rFonts w:cs="Times New Roman"/>
          <w:color w:val="auto"/>
          <w:kern w:val="21"/>
          <w:szCs w:val="24"/>
          <w:highlight w:val="none"/>
        </w:rPr>
        <w:t>①万一发生危害性事故，应立即通知有关部门，组织附近居民、工厂工人疏散、抢险和应急监测等善后处理事宜。</w:t>
      </w:r>
    </w:p>
    <w:p w14:paraId="5B776898">
      <w:pPr>
        <w:overflowPunct w:val="0"/>
        <w:adjustRightInd w:val="0"/>
        <w:ind w:firstLine="480"/>
        <w:rPr>
          <w:rFonts w:cs="Times New Roman"/>
          <w:color w:val="auto"/>
          <w:kern w:val="21"/>
          <w:szCs w:val="24"/>
          <w:highlight w:val="none"/>
        </w:rPr>
      </w:pPr>
      <w:r>
        <w:rPr>
          <w:rFonts w:cs="Times New Roman"/>
          <w:color w:val="auto"/>
          <w:kern w:val="21"/>
          <w:szCs w:val="24"/>
          <w:highlight w:val="none"/>
        </w:rPr>
        <w:t>②生产线须离地架空建设，生产线周边设置托盘或围堰（防腐、防渗处理）、收集与引流设施。既可以分类收集跑、冒、滴、漏的废水，还可以防止发生意外破裂时槽液不流失到外环境。设备用槽，出现泄漏事故，槽液泵入备用。</w:t>
      </w:r>
    </w:p>
    <w:p w14:paraId="0EF46DEE">
      <w:pPr>
        <w:overflowPunct w:val="0"/>
        <w:adjustRightInd w:val="0"/>
        <w:ind w:firstLine="480"/>
        <w:rPr>
          <w:rFonts w:cs="Times New Roman"/>
          <w:color w:val="auto"/>
          <w:kern w:val="21"/>
          <w:szCs w:val="24"/>
          <w:highlight w:val="none"/>
        </w:rPr>
      </w:pPr>
      <w:r>
        <w:rPr>
          <w:rFonts w:cs="Times New Roman"/>
          <w:color w:val="auto"/>
          <w:kern w:val="21"/>
          <w:szCs w:val="24"/>
          <w:highlight w:val="none"/>
        </w:rPr>
        <w:t>③在厂区内醒目处应设置大型风标，便于情况紧急时指示撤离方向，平时需制定抢险预案。</w:t>
      </w:r>
    </w:p>
    <w:p w14:paraId="522A0DB7">
      <w:pPr>
        <w:overflowPunct w:val="0"/>
        <w:adjustRightInd w:val="0"/>
        <w:ind w:firstLine="480"/>
        <w:rPr>
          <w:rFonts w:cs="Times New Roman"/>
          <w:color w:val="auto"/>
          <w:kern w:val="21"/>
          <w:szCs w:val="24"/>
          <w:highlight w:val="none"/>
        </w:rPr>
      </w:pPr>
      <w:r>
        <w:rPr>
          <w:rFonts w:cs="Times New Roman"/>
          <w:color w:val="auto"/>
          <w:kern w:val="21"/>
          <w:szCs w:val="24"/>
          <w:highlight w:val="none"/>
        </w:rPr>
        <w:t>④事件处理过程中产生的消防水、事故废水进入车间内的收集池；关闭污水排放口和雨水排放口阀门，防止污染物通过</w:t>
      </w:r>
      <w:r>
        <w:rPr>
          <w:rFonts w:hint="eastAsia" w:cs="Times New Roman"/>
          <w:color w:val="auto"/>
          <w:kern w:val="21"/>
          <w:szCs w:val="24"/>
          <w:highlight w:val="none"/>
        </w:rPr>
        <w:t>排放</w:t>
      </w:r>
      <w:r>
        <w:rPr>
          <w:rFonts w:cs="Times New Roman"/>
          <w:color w:val="auto"/>
          <w:kern w:val="21"/>
          <w:szCs w:val="24"/>
          <w:highlight w:val="none"/>
        </w:rPr>
        <w:t>口流入场外，造成污染，待事故现场污染物得到控制并消除已产生的污染物后方可启动正常排放口。</w:t>
      </w:r>
    </w:p>
    <w:p w14:paraId="325CFF8C">
      <w:pPr>
        <w:overflowPunct w:val="0"/>
        <w:adjustRightInd w:val="0"/>
        <w:ind w:firstLine="480"/>
        <w:rPr>
          <w:rFonts w:cs="Times New Roman"/>
          <w:color w:val="auto"/>
          <w:kern w:val="21"/>
          <w:szCs w:val="24"/>
          <w:highlight w:val="none"/>
        </w:rPr>
      </w:pPr>
      <w:r>
        <w:rPr>
          <w:rFonts w:cs="Times New Roman"/>
          <w:color w:val="auto"/>
          <w:kern w:val="21"/>
          <w:szCs w:val="24"/>
          <w:highlight w:val="none"/>
        </w:rPr>
        <w:t>⑤废水输送管道架空建设且必须满足防腐、防渗漏要求，管道连接处必须采取措施密封牢固，不能渗漏。</w:t>
      </w:r>
    </w:p>
    <w:p w14:paraId="34C45E13">
      <w:pPr>
        <w:overflowPunct w:val="0"/>
        <w:adjustRightInd w:val="0"/>
        <w:ind w:firstLine="482"/>
        <w:rPr>
          <w:rFonts w:cs="Times New Roman"/>
          <w:color w:val="auto"/>
          <w:kern w:val="21"/>
          <w:szCs w:val="24"/>
          <w:highlight w:val="none"/>
        </w:rPr>
      </w:pPr>
      <w:r>
        <w:rPr>
          <w:rFonts w:cs="Times New Roman"/>
          <w:b/>
          <w:bCs/>
          <w:color w:val="auto"/>
          <w:kern w:val="21"/>
          <w:szCs w:val="24"/>
          <w:highlight w:val="none"/>
        </w:rPr>
        <w:t>（2）全厂事故池</w:t>
      </w:r>
    </w:p>
    <w:p w14:paraId="6C59CBED">
      <w:pPr>
        <w:overflowPunct w:val="0"/>
        <w:adjustRightInd w:val="0"/>
        <w:ind w:firstLine="480"/>
        <w:rPr>
          <w:rFonts w:cs="Times New Roman"/>
          <w:color w:val="auto"/>
          <w:kern w:val="21"/>
          <w:szCs w:val="24"/>
          <w:highlight w:val="none"/>
        </w:rPr>
      </w:pPr>
      <w:r>
        <w:rPr>
          <w:rFonts w:cs="Times New Roman"/>
          <w:color w:val="auto"/>
          <w:kern w:val="21"/>
          <w:szCs w:val="24"/>
          <w:highlight w:val="none"/>
        </w:rPr>
        <w:t>项目生产过程中含易引发水体污染的物质，因此评价建议在厂内设置事故池，避免发生火灾等事故时引发水体污染。</w:t>
      </w:r>
    </w:p>
    <w:p w14:paraId="4BF138CF">
      <w:pPr>
        <w:overflowPunct w:val="0"/>
        <w:adjustRightInd w:val="0"/>
        <w:ind w:firstLine="480"/>
        <w:rPr>
          <w:rFonts w:cs="Times New Roman"/>
          <w:color w:val="auto"/>
          <w:kern w:val="21"/>
          <w:szCs w:val="22"/>
          <w:highlight w:val="none"/>
        </w:rPr>
      </w:pPr>
      <w:r>
        <w:rPr>
          <w:rFonts w:cs="Times New Roman"/>
          <w:color w:val="auto"/>
          <w:kern w:val="21"/>
          <w:szCs w:val="22"/>
          <w:highlight w:val="none"/>
        </w:rPr>
        <w:t>参考《化工建设项目环境保护设计规范》（GB50483-2009），事故储池总有效容积按下式计算：</w:t>
      </w:r>
    </w:p>
    <w:p w14:paraId="001D44D4">
      <w:pPr>
        <w:overflowPunct w:val="0"/>
        <w:adjustRightInd w:val="0"/>
        <w:ind w:firstLine="480" w:firstLineChars="0"/>
        <w:jc w:val="center"/>
        <w:rPr>
          <w:rFonts w:cs="Times New Roman"/>
          <w:color w:val="auto"/>
          <w:kern w:val="21"/>
          <w:szCs w:val="22"/>
          <w:highlight w:val="none"/>
        </w:rPr>
      </w:pPr>
      <w:r>
        <w:rPr>
          <w:rFonts w:cs="Times New Roman"/>
          <w:color w:val="auto"/>
          <w:kern w:val="21"/>
          <w:szCs w:val="22"/>
          <w:highlight w:val="none"/>
        </w:rPr>
        <w:t>V=(V</w:t>
      </w:r>
      <w:r>
        <w:rPr>
          <w:rFonts w:cs="Times New Roman"/>
          <w:color w:val="auto"/>
          <w:kern w:val="21"/>
          <w:szCs w:val="22"/>
          <w:highlight w:val="none"/>
          <w:vertAlign w:val="subscript"/>
        </w:rPr>
        <w:t>1</w:t>
      </w:r>
      <w:r>
        <w:rPr>
          <w:rFonts w:cs="Times New Roman"/>
          <w:color w:val="auto"/>
          <w:kern w:val="21"/>
          <w:szCs w:val="22"/>
          <w:highlight w:val="none"/>
        </w:rPr>
        <w:t>+V</w:t>
      </w:r>
      <w:r>
        <w:rPr>
          <w:rFonts w:cs="Times New Roman"/>
          <w:color w:val="auto"/>
          <w:kern w:val="21"/>
          <w:szCs w:val="22"/>
          <w:highlight w:val="none"/>
          <w:vertAlign w:val="subscript"/>
        </w:rPr>
        <w:t>2</w:t>
      </w:r>
      <w:r>
        <w:rPr>
          <w:rFonts w:cs="Times New Roman"/>
          <w:color w:val="auto"/>
          <w:kern w:val="21"/>
          <w:szCs w:val="22"/>
          <w:highlight w:val="none"/>
        </w:rPr>
        <w:t>+V</w:t>
      </w:r>
      <w:r>
        <w:rPr>
          <w:rFonts w:cs="Times New Roman"/>
          <w:color w:val="auto"/>
          <w:kern w:val="21"/>
          <w:szCs w:val="22"/>
          <w:highlight w:val="none"/>
          <w:vertAlign w:val="subscript"/>
        </w:rPr>
        <w:t>雨</w:t>
      </w:r>
      <w:r>
        <w:rPr>
          <w:rFonts w:cs="Times New Roman"/>
          <w:color w:val="auto"/>
          <w:kern w:val="21"/>
          <w:szCs w:val="22"/>
          <w:highlight w:val="none"/>
        </w:rPr>
        <w:t>)</w:t>
      </w:r>
      <w:r>
        <w:rPr>
          <w:rFonts w:cs="Times New Roman"/>
          <w:color w:val="auto"/>
          <w:kern w:val="21"/>
          <w:szCs w:val="22"/>
          <w:highlight w:val="none"/>
          <w:vertAlign w:val="subscript"/>
        </w:rPr>
        <w:t>max</w:t>
      </w:r>
      <w:r>
        <w:rPr>
          <w:rFonts w:cs="Times New Roman"/>
          <w:color w:val="auto"/>
          <w:kern w:val="21"/>
          <w:szCs w:val="22"/>
          <w:highlight w:val="none"/>
        </w:rPr>
        <w:t>-V</w:t>
      </w:r>
      <w:r>
        <w:rPr>
          <w:rFonts w:cs="Times New Roman"/>
          <w:color w:val="auto"/>
          <w:kern w:val="21"/>
          <w:szCs w:val="22"/>
          <w:highlight w:val="none"/>
          <w:vertAlign w:val="subscript"/>
        </w:rPr>
        <w:t>3</w:t>
      </w:r>
    </w:p>
    <w:p w14:paraId="7DE63481">
      <w:pPr>
        <w:overflowPunct w:val="0"/>
        <w:adjustRightInd w:val="0"/>
        <w:ind w:firstLine="480"/>
        <w:rPr>
          <w:rFonts w:cs="Times New Roman"/>
          <w:color w:val="auto"/>
          <w:kern w:val="21"/>
          <w:szCs w:val="22"/>
          <w:highlight w:val="none"/>
        </w:rPr>
      </w:pPr>
      <w:r>
        <w:rPr>
          <w:rFonts w:cs="Times New Roman"/>
          <w:color w:val="auto"/>
          <w:kern w:val="21"/>
          <w:szCs w:val="22"/>
          <w:highlight w:val="none"/>
        </w:rPr>
        <w:t>式中：</w:t>
      </w:r>
    </w:p>
    <w:p w14:paraId="0379419D">
      <w:pPr>
        <w:overflowPunct w:val="0"/>
        <w:adjustRightInd w:val="0"/>
        <w:ind w:firstLine="480"/>
        <w:rPr>
          <w:rFonts w:cs="Times New Roman"/>
          <w:color w:val="auto"/>
          <w:kern w:val="21"/>
          <w:szCs w:val="22"/>
          <w:highlight w:val="none"/>
        </w:rPr>
      </w:pPr>
      <w:r>
        <w:rPr>
          <w:rFonts w:cs="Times New Roman"/>
          <w:color w:val="auto"/>
          <w:kern w:val="21"/>
          <w:szCs w:val="22"/>
          <w:highlight w:val="none"/>
        </w:rPr>
        <w:t>(V</w:t>
      </w:r>
      <w:r>
        <w:rPr>
          <w:rFonts w:cs="Times New Roman"/>
          <w:color w:val="auto"/>
          <w:kern w:val="21"/>
          <w:szCs w:val="22"/>
          <w:highlight w:val="none"/>
          <w:vertAlign w:val="subscript"/>
        </w:rPr>
        <w:t>1</w:t>
      </w:r>
      <w:r>
        <w:rPr>
          <w:rFonts w:cs="Times New Roman"/>
          <w:color w:val="auto"/>
          <w:kern w:val="21"/>
          <w:szCs w:val="22"/>
          <w:highlight w:val="none"/>
        </w:rPr>
        <w:t>+V</w:t>
      </w:r>
      <w:r>
        <w:rPr>
          <w:rFonts w:cs="Times New Roman"/>
          <w:color w:val="auto"/>
          <w:kern w:val="21"/>
          <w:szCs w:val="22"/>
          <w:highlight w:val="none"/>
          <w:vertAlign w:val="subscript"/>
        </w:rPr>
        <w:t>2</w:t>
      </w:r>
      <w:r>
        <w:rPr>
          <w:rFonts w:cs="Times New Roman"/>
          <w:color w:val="auto"/>
          <w:kern w:val="21"/>
          <w:szCs w:val="22"/>
          <w:highlight w:val="none"/>
        </w:rPr>
        <w:t>+V</w:t>
      </w:r>
      <w:r>
        <w:rPr>
          <w:rFonts w:cs="Times New Roman"/>
          <w:color w:val="auto"/>
          <w:kern w:val="21"/>
          <w:szCs w:val="22"/>
          <w:highlight w:val="none"/>
          <w:vertAlign w:val="subscript"/>
        </w:rPr>
        <w:t>雨</w:t>
      </w:r>
      <w:r>
        <w:rPr>
          <w:rFonts w:cs="Times New Roman"/>
          <w:color w:val="auto"/>
          <w:kern w:val="21"/>
          <w:szCs w:val="22"/>
          <w:highlight w:val="none"/>
        </w:rPr>
        <w:t>)</w:t>
      </w:r>
      <w:r>
        <w:rPr>
          <w:rFonts w:cs="Times New Roman"/>
          <w:color w:val="auto"/>
          <w:kern w:val="21"/>
          <w:szCs w:val="22"/>
          <w:highlight w:val="none"/>
          <w:vertAlign w:val="subscript"/>
        </w:rPr>
        <w:t>max</w:t>
      </w:r>
      <w:r>
        <w:rPr>
          <w:rFonts w:cs="Times New Roman"/>
          <w:color w:val="auto"/>
          <w:kern w:val="21"/>
          <w:szCs w:val="22"/>
          <w:highlight w:val="none"/>
        </w:rPr>
        <w:t>——</w:t>
      </w:r>
      <w:r>
        <w:rPr>
          <w:rFonts w:cs="Times New Roman"/>
          <w:color w:val="auto"/>
          <w:kern w:val="21"/>
          <w:szCs w:val="24"/>
          <w:highlight w:val="none"/>
        </w:rPr>
        <w:t>应急事故废水最大计算量，</w:t>
      </w:r>
      <w:r>
        <w:rPr>
          <w:rFonts w:cs="Times New Roman"/>
          <w:color w:val="auto"/>
          <w:kern w:val="21"/>
          <w:szCs w:val="22"/>
          <w:highlight w:val="none"/>
        </w:rPr>
        <w:t>m</w:t>
      </w:r>
      <w:r>
        <w:rPr>
          <w:rFonts w:cs="Times New Roman"/>
          <w:color w:val="auto"/>
          <w:kern w:val="21"/>
          <w:szCs w:val="22"/>
          <w:highlight w:val="none"/>
          <w:vertAlign w:val="superscript"/>
        </w:rPr>
        <w:t>3</w:t>
      </w:r>
      <w:r>
        <w:rPr>
          <w:rFonts w:cs="Times New Roman"/>
          <w:color w:val="auto"/>
          <w:kern w:val="21"/>
          <w:szCs w:val="22"/>
          <w:highlight w:val="none"/>
        </w:rPr>
        <w:t>。</w:t>
      </w:r>
    </w:p>
    <w:p w14:paraId="5DD6D290">
      <w:pPr>
        <w:overflowPunct w:val="0"/>
        <w:adjustRightInd w:val="0"/>
        <w:ind w:firstLine="480"/>
        <w:rPr>
          <w:rFonts w:cs="Times New Roman"/>
          <w:color w:val="auto"/>
          <w:kern w:val="21"/>
          <w:szCs w:val="22"/>
          <w:highlight w:val="none"/>
        </w:rPr>
      </w:pPr>
      <w:r>
        <w:rPr>
          <w:rFonts w:cs="Times New Roman"/>
          <w:color w:val="auto"/>
          <w:kern w:val="21"/>
          <w:szCs w:val="22"/>
          <w:highlight w:val="none"/>
        </w:rPr>
        <w:t>V</w:t>
      </w:r>
      <w:r>
        <w:rPr>
          <w:rFonts w:cs="Times New Roman"/>
          <w:color w:val="auto"/>
          <w:kern w:val="21"/>
          <w:szCs w:val="22"/>
          <w:highlight w:val="none"/>
          <w:vertAlign w:val="subscript"/>
        </w:rPr>
        <w:t>1</w:t>
      </w:r>
      <w:r>
        <w:rPr>
          <w:rFonts w:cs="Times New Roman"/>
          <w:color w:val="auto"/>
          <w:kern w:val="21"/>
          <w:szCs w:val="22"/>
          <w:highlight w:val="none"/>
        </w:rPr>
        <w:t>——</w:t>
      </w:r>
      <w:r>
        <w:rPr>
          <w:rFonts w:cs="Times New Roman"/>
          <w:color w:val="auto"/>
          <w:kern w:val="21"/>
          <w:szCs w:val="24"/>
          <w:highlight w:val="none"/>
        </w:rPr>
        <w:t>为最大一个容器的设备（装置），选厂废水收集池均为地上式，因此选厂外排事故废水以发生事故时反应时间内产生的废水计算，为</w:t>
      </w:r>
      <w:r>
        <w:rPr>
          <w:rFonts w:hint="eastAsia" w:cs="Times New Roman"/>
          <w:color w:val="auto"/>
          <w:kern w:val="21"/>
          <w:szCs w:val="24"/>
          <w:highlight w:val="none"/>
        </w:rPr>
        <w:t>352.81</w:t>
      </w:r>
      <w:r>
        <w:rPr>
          <w:rFonts w:cs="Times New Roman"/>
          <w:color w:val="auto"/>
          <w:kern w:val="21"/>
          <w:szCs w:val="24"/>
          <w:highlight w:val="none"/>
        </w:rPr>
        <w:t>m</w:t>
      </w:r>
      <w:r>
        <w:rPr>
          <w:rFonts w:cs="Times New Roman"/>
          <w:color w:val="auto"/>
          <w:kern w:val="21"/>
          <w:szCs w:val="24"/>
          <w:highlight w:val="none"/>
          <w:vertAlign w:val="superscript"/>
        </w:rPr>
        <w:t>3</w:t>
      </w:r>
      <w:r>
        <w:rPr>
          <w:rFonts w:cs="Times New Roman"/>
          <w:color w:val="auto"/>
          <w:kern w:val="21"/>
          <w:szCs w:val="24"/>
          <w:highlight w:val="none"/>
        </w:rPr>
        <w:t>（事故废水考虑</w:t>
      </w:r>
      <w:r>
        <w:rPr>
          <w:rFonts w:hint="eastAsia" w:cs="Times New Roman"/>
          <w:color w:val="auto"/>
          <w:kern w:val="21"/>
          <w:szCs w:val="24"/>
          <w:highlight w:val="none"/>
        </w:rPr>
        <w:t>2</w:t>
      </w:r>
      <w:r>
        <w:rPr>
          <w:rFonts w:cs="Times New Roman"/>
          <w:color w:val="auto"/>
          <w:kern w:val="21"/>
          <w:szCs w:val="24"/>
          <w:highlight w:val="none"/>
        </w:rPr>
        <w:t>h相应时间的产生量），</w:t>
      </w:r>
      <w:r>
        <w:rPr>
          <w:rFonts w:cs="Times New Roman"/>
          <w:color w:val="auto"/>
          <w:kern w:val="21"/>
          <w:szCs w:val="22"/>
          <w:highlight w:val="none"/>
        </w:rPr>
        <w:t>当发生故障后，存在废水泄漏危险，按事故应急响应时间4小时计，一旦发生事故，应立即停止生产，在查明原因、实施污染防治措施后才可继续生产；</w:t>
      </w:r>
    </w:p>
    <w:p w14:paraId="1558D6CD">
      <w:pPr>
        <w:overflowPunct w:val="0"/>
        <w:adjustRightInd w:val="0"/>
        <w:ind w:firstLine="480"/>
        <w:rPr>
          <w:rFonts w:cs="Times New Roman"/>
          <w:color w:val="auto"/>
          <w:kern w:val="21"/>
          <w:szCs w:val="22"/>
          <w:highlight w:val="none"/>
        </w:rPr>
      </w:pPr>
      <w:r>
        <w:rPr>
          <w:rFonts w:cs="Times New Roman"/>
          <w:color w:val="auto"/>
          <w:kern w:val="21"/>
          <w:szCs w:val="22"/>
          <w:highlight w:val="none"/>
        </w:rPr>
        <w:t>V</w:t>
      </w:r>
      <w:r>
        <w:rPr>
          <w:rFonts w:cs="Times New Roman"/>
          <w:color w:val="auto"/>
          <w:kern w:val="21"/>
          <w:szCs w:val="22"/>
          <w:highlight w:val="none"/>
          <w:vertAlign w:val="subscript"/>
        </w:rPr>
        <w:t>2</w:t>
      </w:r>
      <w:r>
        <w:rPr>
          <w:rFonts w:cs="Times New Roman"/>
          <w:color w:val="auto"/>
          <w:kern w:val="21"/>
          <w:szCs w:val="22"/>
          <w:highlight w:val="none"/>
        </w:rPr>
        <w:t>——</w:t>
      </w:r>
      <w:r>
        <w:rPr>
          <w:rFonts w:cs="Times New Roman"/>
          <w:color w:val="auto"/>
          <w:kern w:val="21"/>
          <w:szCs w:val="24"/>
          <w:highlight w:val="none"/>
        </w:rPr>
        <w:t>发生火灾时的最大消防水水量</w:t>
      </w:r>
      <w:r>
        <w:rPr>
          <w:rFonts w:cs="Times New Roman"/>
          <w:color w:val="auto"/>
          <w:kern w:val="21"/>
          <w:szCs w:val="22"/>
          <w:highlight w:val="none"/>
        </w:rPr>
        <w:t>，m</w:t>
      </w:r>
      <w:r>
        <w:rPr>
          <w:rFonts w:cs="Times New Roman"/>
          <w:color w:val="auto"/>
          <w:kern w:val="21"/>
          <w:szCs w:val="22"/>
          <w:highlight w:val="none"/>
          <w:vertAlign w:val="superscript"/>
        </w:rPr>
        <w:t>3</w:t>
      </w:r>
      <w:r>
        <w:rPr>
          <w:rFonts w:cs="Times New Roman"/>
          <w:color w:val="auto"/>
          <w:kern w:val="21"/>
          <w:szCs w:val="22"/>
          <w:highlight w:val="none"/>
        </w:rPr>
        <w:t>，</w:t>
      </w:r>
      <w:r>
        <w:rPr>
          <w:rFonts w:cs="Times New Roman"/>
          <w:color w:val="auto"/>
          <w:kern w:val="21"/>
          <w:szCs w:val="24"/>
          <w:highlight w:val="none"/>
        </w:rPr>
        <w:t>根据《建筑设计防火规范》（GB50016-2014，2018年版）中的相关要求进行计算</w:t>
      </w:r>
      <w:r>
        <w:rPr>
          <w:rFonts w:cs="Times New Roman"/>
          <w:color w:val="auto"/>
          <w:kern w:val="21"/>
          <w:szCs w:val="22"/>
          <w:highlight w:val="none"/>
        </w:rPr>
        <w:t>室外消火栓设计流量为15L/s，火灾持续时间2小时，则消防水量为1</w:t>
      </w:r>
      <w:r>
        <w:rPr>
          <w:rFonts w:cs="Times New Roman"/>
          <w:color w:val="auto"/>
          <w:kern w:val="21"/>
          <w:szCs w:val="24"/>
          <w:highlight w:val="none"/>
        </w:rPr>
        <w:t>08m</w:t>
      </w:r>
      <w:r>
        <w:rPr>
          <w:rFonts w:cs="Times New Roman"/>
          <w:color w:val="auto"/>
          <w:kern w:val="21"/>
          <w:szCs w:val="24"/>
          <w:highlight w:val="none"/>
          <w:vertAlign w:val="superscript"/>
        </w:rPr>
        <w:t>3</w:t>
      </w:r>
      <w:r>
        <w:rPr>
          <w:rFonts w:cs="Times New Roman"/>
          <w:color w:val="auto"/>
          <w:kern w:val="21"/>
          <w:szCs w:val="22"/>
          <w:highlight w:val="none"/>
        </w:rPr>
        <w:t>；</w:t>
      </w:r>
    </w:p>
    <w:p w14:paraId="0C352CF3">
      <w:pPr>
        <w:overflowPunct w:val="0"/>
        <w:adjustRightInd w:val="0"/>
        <w:ind w:firstLine="480"/>
        <w:rPr>
          <w:rFonts w:cs="Times New Roman"/>
          <w:color w:val="auto"/>
          <w:kern w:val="21"/>
          <w:szCs w:val="22"/>
          <w:highlight w:val="none"/>
        </w:rPr>
      </w:pPr>
      <w:r>
        <w:rPr>
          <w:rFonts w:cs="Times New Roman"/>
          <w:color w:val="auto"/>
          <w:kern w:val="21"/>
          <w:szCs w:val="22"/>
          <w:highlight w:val="none"/>
        </w:rPr>
        <w:t>V</w:t>
      </w:r>
      <w:r>
        <w:rPr>
          <w:rFonts w:cs="Times New Roman"/>
          <w:color w:val="auto"/>
          <w:kern w:val="21"/>
          <w:szCs w:val="22"/>
          <w:highlight w:val="none"/>
          <w:vertAlign w:val="subscript"/>
        </w:rPr>
        <w:t>雨</w:t>
      </w:r>
      <w:r>
        <w:rPr>
          <w:rFonts w:cs="Times New Roman"/>
          <w:color w:val="auto"/>
          <w:kern w:val="21"/>
          <w:szCs w:val="22"/>
          <w:highlight w:val="none"/>
        </w:rPr>
        <w:t>——为发生事故时可能进入该废水收集系统的当地最大降雨量，m</w:t>
      </w:r>
      <w:r>
        <w:rPr>
          <w:rFonts w:cs="Times New Roman"/>
          <w:color w:val="auto"/>
          <w:kern w:val="21"/>
          <w:szCs w:val="22"/>
          <w:highlight w:val="none"/>
          <w:vertAlign w:val="superscript"/>
        </w:rPr>
        <w:t>3</w:t>
      </w:r>
      <w:r>
        <w:rPr>
          <w:rFonts w:cs="Times New Roman"/>
          <w:color w:val="auto"/>
          <w:kern w:val="21"/>
          <w:szCs w:val="22"/>
          <w:highlight w:val="none"/>
        </w:rPr>
        <w:t>，本项目已设计初期雨水池收集初期雨水，因此为0；</w:t>
      </w:r>
    </w:p>
    <w:p w14:paraId="6F0A1BC6">
      <w:pPr>
        <w:overflowPunct w:val="0"/>
        <w:adjustRightInd w:val="0"/>
        <w:ind w:firstLine="480"/>
        <w:rPr>
          <w:rFonts w:cs="Times New Roman"/>
          <w:b/>
          <w:bCs/>
          <w:color w:val="auto"/>
          <w:kern w:val="21"/>
          <w:szCs w:val="24"/>
          <w:highlight w:val="none"/>
        </w:rPr>
      </w:pPr>
      <w:r>
        <w:rPr>
          <w:rFonts w:cs="Times New Roman"/>
          <w:color w:val="auto"/>
          <w:kern w:val="21"/>
          <w:szCs w:val="22"/>
          <w:highlight w:val="none"/>
        </w:rPr>
        <w:t>V</w:t>
      </w:r>
      <w:r>
        <w:rPr>
          <w:rFonts w:cs="Times New Roman"/>
          <w:color w:val="auto"/>
          <w:kern w:val="21"/>
          <w:szCs w:val="22"/>
          <w:highlight w:val="none"/>
          <w:vertAlign w:val="subscript"/>
        </w:rPr>
        <w:t>3</w:t>
      </w:r>
      <w:r>
        <w:rPr>
          <w:rFonts w:cs="Times New Roman"/>
          <w:color w:val="auto"/>
          <w:kern w:val="21"/>
          <w:szCs w:val="22"/>
          <w:highlight w:val="none"/>
        </w:rPr>
        <w:t>——为事故废水收集系统的装置或罐区围堰、防火堤内净空容量，m</w:t>
      </w:r>
      <w:r>
        <w:rPr>
          <w:rFonts w:cs="Times New Roman"/>
          <w:color w:val="auto"/>
          <w:kern w:val="21"/>
          <w:szCs w:val="22"/>
          <w:highlight w:val="none"/>
          <w:vertAlign w:val="superscript"/>
        </w:rPr>
        <w:t>3</w:t>
      </w:r>
      <w:r>
        <w:rPr>
          <w:rFonts w:cs="Times New Roman"/>
          <w:color w:val="auto"/>
          <w:kern w:val="21"/>
          <w:szCs w:val="22"/>
          <w:highlight w:val="none"/>
        </w:rPr>
        <w:t>，本项目无罐区围堰、防火堤，因此为0。</w:t>
      </w:r>
    </w:p>
    <w:p w14:paraId="71D86F4A">
      <w:pPr>
        <w:overflowPunct w:val="0"/>
        <w:adjustRightInd w:val="0"/>
        <w:ind w:firstLine="480"/>
        <w:rPr>
          <w:rFonts w:cs="Times New Roman"/>
          <w:color w:val="auto"/>
          <w:kern w:val="21"/>
          <w:szCs w:val="24"/>
          <w:highlight w:val="none"/>
        </w:rPr>
      </w:pPr>
      <w:r>
        <w:rPr>
          <w:rFonts w:cs="Times New Roman"/>
          <w:color w:val="auto"/>
          <w:kern w:val="21"/>
          <w:szCs w:val="24"/>
          <w:highlight w:val="none"/>
        </w:rPr>
        <w:t>经计算，项目需设置108+</w:t>
      </w:r>
      <w:r>
        <w:rPr>
          <w:rFonts w:hint="eastAsia" w:cs="Times New Roman"/>
          <w:color w:val="auto"/>
          <w:kern w:val="21"/>
          <w:szCs w:val="24"/>
          <w:highlight w:val="none"/>
        </w:rPr>
        <w:t>352.81</w:t>
      </w:r>
      <w:r>
        <w:rPr>
          <w:rFonts w:cs="Times New Roman"/>
          <w:color w:val="auto"/>
          <w:kern w:val="21"/>
          <w:szCs w:val="24"/>
          <w:highlight w:val="none"/>
        </w:rPr>
        <w:t>=</w:t>
      </w:r>
      <w:r>
        <w:rPr>
          <w:rFonts w:hint="eastAsia" w:cs="Times New Roman"/>
          <w:color w:val="auto"/>
          <w:kern w:val="21"/>
          <w:szCs w:val="24"/>
          <w:highlight w:val="none"/>
        </w:rPr>
        <w:t>460.81</w:t>
      </w:r>
      <w:r>
        <w:rPr>
          <w:rFonts w:cs="Times New Roman"/>
          <w:color w:val="auto"/>
          <w:kern w:val="21"/>
          <w:szCs w:val="24"/>
          <w:highlight w:val="none"/>
        </w:rPr>
        <w:t>m</w:t>
      </w:r>
      <w:r>
        <w:rPr>
          <w:rFonts w:cs="Times New Roman"/>
          <w:color w:val="auto"/>
          <w:kern w:val="21"/>
          <w:szCs w:val="24"/>
          <w:highlight w:val="none"/>
          <w:vertAlign w:val="superscript"/>
        </w:rPr>
        <w:t>3</w:t>
      </w:r>
      <w:r>
        <w:rPr>
          <w:rFonts w:cs="Times New Roman"/>
          <w:color w:val="auto"/>
          <w:kern w:val="21"/>
          <w:szCs w:val="24"/>
          <w:highlight w:val="none"/>
        </w:rPr>
        <w:t>。本次建设</w:t>
      </w:r>
      <w:r>
        <w:rPr>
          <w:rFonts w:hint="eastAsia" w:cs="Times New Roman"/>
          <w:color w:val="auto"/>
          <w:kern w:val="21"/>
          <w:szCs w:val="24"/>
          <w:highlight w:val="none"/>
        </w:rPr>
        <w:t>1</w:t>
      </w:r>
      <w:r>
        <w:rPr>
          <w:rFonts w:cs="Times New Roman"/>
          <w:color w:val="auto"/>
          <w:kern w:val="21"/>
          <w:szCs w:val="24"/>
          <w:highlight w:val="none"/>
        </w:rPr>
        <w:t>座容积为</w:t>
      </w:r>
      <w:r>
        <w:rPr>
          <w:rFonts w:hint="eastAsia" w:cs="Times New Roman"/>
          <w:color w:val="auto"/>
          <w:kern w:val="21"/>
          <w:szCs w:val="24"/>
          <w:highlight w:val="none"/>
        </w:rPr>
        <w:t>1020</w:t>
      </w:r>
      <w:r>
        <w:rPr>
          <w:rFonts w:cs="Times New Roman"/>
          <w:color w:val="auto"/>
          <w:kern w:val="21"/>
          <w:szCs w:val="24"/>
          <w:highlight w:val="none"/>
        </w:rPr>
        <w:t>m</w:t>
      </w:r>
      <w:r>
        <w:rPr>
          <w:rFonts w:cs="Times New Roman"/>
          <w:color w:val="auto"/>
          <w:kern w:val="21"/>
          <w:szCs w:val="24"/>
          <w:highlight w:val="none"/>
          <w:vertAlign w:val="superscript"/>
        </w:rPr>
        <w:t>3</w:t>
      </w:r>
      <w:r>
        <w:rPr>
          <w:rFonts w:cs="Times New Roman"/>
          <w:color w:val="auto"/>
          <w:kern w:val="21"/>
          <w:szCs w:val="24"/>
          <w:highlight w:val="none"/>
        </w:rPr>
        <w:t>的事故池，可满足应急暂存要求。</w:t>
      </w:r>
    </w:p>
    <w:p w14:paraId="17326D89">
      <w:pPr>
        <w:overflowPunct w:val="0"/>
        <w:adjustRightInd w:val="0"/>
        <w:ind w:firstLine="480"/>
        <w:rPr>
          <w:rFonts w:cs="Times New Roman"/>
          <w:color w:val="auto"/>
          <w:kern w:val="21"/>
          <w:szCs w:val="24"/>
          <w:highlight w:val="none"/>
        </w:rPr>
      </w:pPr>
      <w:r>
        <w:rPr>
          <w:rFonts w:cs="Times New Roman"/>
          <w:color w:val="auto"/>
          <w:kern w:val="21"/>
          <w:szCs w:val="24"/>
          <w:highlight w:val="none"/>
        </w:rPr>
        <w:t>废水处理设施一旦发生故障，应将产生的废水储存于事故池中，不得外排，并及时检修，尽快使其恢复运行；若调节池蓄满水时，废水处理设施仍未修复，应立即停产检修。</w:t>
      </w:r>
    </w:p>
    <w:p w14:paraId="04A0D9CB">
      <w:pPr>
        <w:overflowPunct w:val="0"/>
        <w:adjustRightInd w:val="0"/>
        <w:ind w:firstLine="480"/>
        <w:rPr>
          <w:rFonts w:cs="Times New Roman"/>
          <w:color w:val="auto"/>
          <w:kern w:val="21"/>
          <w:szCs w:val="22"/>
          <w:highlight w:val="none"/>
        </w:rPr>
      </w:pPr>
      <w:r>
        <w:rPr>
          <w:rFonts w:cs="Times New Roman"/>
          <w:color w:val="auto"/>
          <w:kern w:val="21"/>
          <w:szCs w:val="24"/>
          <w:highlight w:val="none"/>
        </w:rPr>
        <w:t>厂区应按清污分流、雨污分流的原则建立一个完善的排水系统，确保各类废水得到有效收集、监测监督和处理。生产区、装卸区、储存区等涉及化学品和废料的场所的初期雨水均应排入污水管道，由厂内废水处理设施处理达标后方可排入污水管网。如污水处理站无处理能力的，需外运至相关有处理能力的单位代为处置</w:t>
      </w:r>
      <w:r>
        <w:rPr>
          <w:rFonts w:cs="Times New Roman"/>
          <w:color w:val="auto"/>
          <w:kern w:val="21"/>
          <w:szCs w:val="22"/>
          <w:highlight w:val="none"/>
        </w:rPr>
        <w:t>。建设单位应定期对应急水泵和事故废水管道进行巡检，保证事故发生时可以及时收集事故废水。</w:t>
      </w:r>
    </w:p>
    <w:p w14:paraId="29CFFCFD">
      <w:pPr>
        <w:overflowPunct w:val="0"/>
        <w:adjustRightInd w:val="0"/>
        <w:ind w:firstLine="480"/>
        <w:rPr>
          <w:rFonts w:cs="Times New Roman"/>
          <w:color w:val="auto"/>
          <w:kern w:val="21"/>
          <w:szCs w:val="24"/>
          <w:highlight w:val="none"/>
        </w:rPr>
      </w:pPr>
      <w:r>
        <w:rPr>
          <w:rFonts w:cs="Times New Roman"/>
          <w:color w:val="auto"/>
          <w:kern w:val="21"/>
          <w:szCs w:val="24"/>
          <w:highlight w:val="none"/>
        </w:rPr>
        <w:t>事故池内日常情况下应保持空置。应采取的措施还包括：</w:t>
      </w:r>
    </w:p>
    <w:p w14:paraId="2B295140">
      <w:pPr>
        <w:overflowPunct w:val="0"/>
        <w:adjustRightInd w:val="0"/>
        <w:ind w:firstLine="480"/>
        <w:rPr>
          <w:rFonts w:cs="Times New Roman"/>
          <w:color w:val="auto"/>
          <w:kern w:val="21"/>
          <w:szCs w:val="24"/>
          <w:highlight w:val="none"/>
        </w:rPr>
      </w:pPr>
      <w:r>
        <w:rPr>
          <w:rFonts w:cs="Times New Roman"/>
          <w:color w:val="auto"/>
          <w:kern w:val="21"/>
          <w:szCs w:val="24"/>
          <w:highlight w:val="none"/>
        </w:rPr>
        <w:t>①一旦废水污染处理设施发生故障，相应生产车间必须立即停止生产，且将废水暂时贮存于事故应急水池中，待故障排除、治理设施修复且可以正常运转后方可投入生产，且将原废水重新回到废水处理站处理，严禁废水不经处理直接排入附近水体环境中。</w:t>
      </w:r>
    </w:p>
    <w:p w14:paraId="6B1EC7D5">
      <w:pPr>
        <w:overflowPunct w:val="0"/>
        <w:adjustRightInd w:val="0"/>
        <w:ind w:firstLine="480"/>
        <w:rPr>
          <w:rFonts w:cs="Times New Roman"/>
          <w:color w:val="auto"/>
          <w:kern w:val="21"/>
          <w:szCs w:val="24"/>
          <w:highlight w:val="none"/>
        </w:rPr>
      </w:pPr>
      <w:r>
        <w:rPr>
          <w:rFonts w:cs="Times New Roman"/>
          <w:color w:val="auto"/>
          <w:kern w:val="21"/>
          <w:szCs w:val="24"/>
          <w:highlight w:val="none"/>
        </w:rPr>
        <w:t>②一旦发现跑、冒、滴、漏，应采取措施，切断进、出料阀门，防止废水外泄。并将泄漏物质收集至事故池（可用水冲洗），并泵入废水处理系统，重新进行处理。</w:t>
      </w:r>
    </w:p>
    <w:p w14:paraId="16E53071">
      <w:pPr>
        <w:overflowPunct w:val="0"/>
        <w:adjustRightInd w:val="0"/>
        <w:ind w:firstLine="480"/>
        <w:rPr>
          <w:rFonts w:cs="Times New Roman"/>
          <w:color w:val="auto"/>
          <w:kern w:val="21"/>
          <w:szCs w:val="24"/>
          <w:highlight w:val="none"/>
        </w:rPr>
      </w:pPr>
      <w:r>
        <w:rPr>
          <w:rFonts w:cs="Times New Roman"/>
          <w:color w:val="auto"/>
          <w:kern w:val="21"/>
          <w:szCs w:val="24"/>
          <w:highlight w:val="none"/>
        </w:rPr>
        <w:t>③建立处理紧急事故的组织机构，规范事故处理人员的职责、任务，组织抢险队伍，保障运输、</w:t>
      </w:r>
      <w:r>
        <w:rPr>
          <w:rFonts w:hint="eastAsia" w:cs="Times New Roman"/>
          <w:color w:val="auto"/>
          <w:kern w:val="21"/>
          <w:szCs w:val="24"/>
          <w:highlight w:val="none"/>
        </w:rPr>
        <w:t>物资</w:t>
      </w:r>
      <w:r>
        <w:rPr>
          <w:rFonts w:cs="Times New Roman"/>
          <w:color w:val="auto"/>
          <w:kern w:val="21"/>
          <w:szCs w:val="24"/>
          <w:highlight w:val="none"/>
        </w:rPr>
        <w:t>、通讯、宣传等应急措施顺利实施。</w:t>
      </w:r>
    </w:p>
    <w:p w14:paraId="71800E7A">
      <w:pPr>
        <w:overflowPunct w:val="0"/>
        <w:adjustRightInd w:val="0"/>
        <w:ind w:firstLine="480"/>
        <w:rPr>
          <w:rFonts w:cs="Times New Roman"/>
          <w:color w:val="auto"/>
          <w:kern w:val="21"/>
          <w:szCs w:val="24"/>
          <w:highlight w:val="none"/>
        </w:rPr>
      </w:pPr>
      <w:r>
        <w:rPr>
          <w:rFonts w:cs="Times New Roman"/>
          <w:color w:val="auto"/>
          <w:kern w:val="21"/>
          <w:szCs w:val="24"/>
          <w:highlight w:val="none"/>
        </w:rPr>
        <w:t>④成立应急救援小组，明确负责人及联系电话。加强平时培训，确保在事故发生时能快速作出反应。做好风险防范措施，杜绝事故性废水外排。</w:t>
      </w:r>
    </w:p>
    <w:p w14:paraId="58B85DB2">
      <w:pPr>
        <w:pStyle w:val="5"/>
        <w:adjustRightInd w:val="0"/>
        <w:rPr>
          <w:rFonts w:cs="Times New Roman"/>
          <w:color w:val="auto"/>
          <w:highlight w:val="none"/>
        </w:rPr>
      </w:pPr>
      <w:r>
        <w:rPr>
          <w:rFonts w:cs="Times New Roman"/>
          <w:color w:val="auto"/>
          <w:highlight w:val="none"/>
        </w:rPr>
        <w:t>废气粉尘事故排放防范措施</w:t>
      </w:r>
    </w:p>
    <w:p w14:paraId="33EF6DC6">
      <w:pPr>
        <w:overflowPunct w:val="0"/>
        <w:adjustRightInd w:val="0"/>
        <w:ind w:firstLine="480"/>
        <w:rPr>
          <w:rFonts w:cs="Times New Roman"/>
          <w:color w:val="auto"/>
          <w:kern w:val="21"/>
          <w:szCs w:val="24"/>
          <w:highlight w:val="none"/>
        </w:rPr>
      </w:pPr>
      <w:r>
        <w:rPr>
          <w:rFonts w:cs="Times New Roman"/>
          <w:color w:val="auto"/>
          <w:kern w:val="21"/>
          <w:szCs w:val="24"/>
          <w:highlight w:val="none"/>
        </w:rPr>
        <w:t>①在厂区原料破碎、筛分产尘点设置喷雾降尘措施，在车间发生废气事故排放时，排放的粉尘量较大，则停止生产，同时立即关闭车间窗户和大门，对厂内大量的洒水降尘，将粉尘控制在车间内，尽量不泄漏至车间外，降尘产生的含尘废水要进行收集处理。</w:t>
      </w:r>
    </w:p>
    <w:p w14:paraId="0353254B">
      <w:pPr>
        <w:overflowPunct w:val="0"/>
        <w:adjustRightInd w:val="0"/>
        <w:ind w:firstLine="480"/>
        <w:rPr>
          <w:rFonts w:cs="Times New Roman"/>
          <w:color w:val="auto"/>
          <w:kern w:val="21"/>
          <w:szCs w:val="24"/>
          <w:highlight w:val="none"/>
        </w:rPr>
      </w:pPr>
      <w:r>
        <w:rPr>
          <w:rFonts w:cs="Times New Roman"/>
          <w:color w:val="auto"/>
          <w:kern w:val="21"/>
          <w:szCs w:val="24"/>
          <w:highlight w:val="none"/>
        </w:rPr>
        <w:t>②厂区生产物料严格按要求单独堆存，一旦发生物料泄漏，及时采取应急措施，启动应急预案，将环境影响控制到最小。</w:t>
      </w:r>
    </w:p>
    <w:p w14:paraId="27CA51FD">
      <w:pPr>
        <w:overflowPunct w:val="0"/>
        <w:adjustRightInd w:val="0"/>
        <w:ind w:firstLine="480"/>
        <w:rPr>
          <w:rFonts w:cs="Times New Roman"/>
          <w:color w:val="auto"/>
          <w:kern w:val="21"/>
          <w:szCs w:val="24"/>
          <w:highlight w:val="none"/>
        </w:rPr>
      </w:pPr>
      <w:r>
        <w:rPr>
          <w:rFonts w:cs="Times New Roman"/>
          <w:color w:val="auto"/>
          <w:kern w:val="21"/>
          <w:szCs w:val="24"/>
          <w:highlight w:val="none"/>
        </w:rPr>
        <w:t>③定期开启除尘器底阀，排净灰斗内全部积尘；定期检查喷嘴、清理溢流槽内和除尘管道内污泥。</w:t>
      </w:r>
    </w:p>
    <w:p w14:paraId="17B8230B">
      <w:pPr>
        <w:overflowPunct w:val="0"/>
        <w:adjustRightInd w:val="0"/>
        <w:ind w:firstLine="480"/>
        <w:rPr>
          <w:rFonts w:cs="Times New Roman"/>
          <w:color w:val="auto"/>
          <w:kern w:val="21"/>
          <w:szCs w:val="24"/>
          <w:highlight w:val="none"/>
        </w:rPr>
      </w:pPr>
      <w:r>
        <w:rPr>
          <w:rFonts w:cs="Times New Roman"/>
          <w:color w:val="auto"/>
          <w:kern w:val="21"/>
          <w:szCs w:val="24"/>
          <w:highlight w:val="none"/>
        </w:rPr>
        <w:t>④定期委托环境监测站或第三方监测单位对废气排放口采样监测，确保各污染因子达标排放。</w:t>
      </w:r>
    </w:p>
    <w:p w14:paraId="0E251618">
      <w:pPr>
        <w:pStyle w:val="5"/>
        <w:adjustRightInd w:val="0"/>
        <w:rPr>
          <w:rFonts w:cs="Times New Roman"/>
          <w:color w:val="auto"/>
          <w:highlight w:val="none"/>
        </w:rPr>
      </w:pPr>
      <w:r>
        <w:rPr>
          <w:rFonts w:cs="Times New Roman"/>
          <w:color w:val="auto"/>
          <w:highlight w:val="none"/>
        </w:rPr>
        <w:t>管道泄漏风险防范措施</w:t>
      </w:r>
    </w:p>
    <w:p w14:paraId="3FCD59EE">
      <w:pPr>
        <w:overflowPunct w:val="0"/>
        <w:adjustRightInd w:val="0"/>
        <w:ind w:firstLine="480"/>
        <w:rPr>
          <w:rFonts w:cs="Times New Roman"/>
          <w:color w:val="auto"/>
          <w:kern w:val="21"/>
          <w:szCs w:val="24"/>
          <w:highlight w:val="none"/>
        </w:rPr>
      </w:pPr>
      <w:r>
        <w:rPr>
          <w:rFonts w:cs="Times New Roman"/>
          <w:color w:val="auto"/>
          <w:kern w:val="21"/>
          <w:szCs w:val="24"/>
          <w:highlight w:val="none"/>
        </w:rPr>
        <w:t>①矿浆输送过程中，矿浆会对管壁产生一定的磨损，若运行过程中疏于对管道的检修，可能出现管道磨穿，矿浆外泄的现象，评价要求企业日常工作中加强巡视，一旦发生爆管事故应急处理领导小组应立即派人到现场，组织指挥进行抢险工作，及时停止输送尾矿。</w:t>
      </w:r>
    </w:p>
    <w:p w14:paraId="43FFD6AD">
      <w:pPr>
        <w:overflowPunct w:val="0"/>
        <w:adjustRightInd w:val="0"/>
        <w:ind w:firstLine="480"/>
        <w:rPr>
          <w:rFonts w:cs="Times New Roman"/>
          <w:color w:val="auto"/>
          <w:kern w:val="21"/>
          <w:szCs w:val="24"/>
          <w:highlight w:val="none"/>
        </w:rPr>
      </w:pPr>
      <w:r>
        <w:rPr>
          <w:rFonts w:cs="Times New Roman"/>
          <w:color w:val="auto"/>
          <w:kern w:val="21"/>
          <w:szCs w:val="24"/>
          <w:highlight w:val="none"/>
        </w:rPr>
        <w:t>②设置有备用输送管道，发生泄漏时及时更换输送管道，输送管线沿线设置一定数量的截止阀，确保污水不外泄。</w:t>
      </w:r>
    </w:p>
    <w:p w14:paraId="48DB952C">
      <w:pPr>
        <w:overflowPunct w:val="0"/>
        <w:adjustRightInd w:val="0"/>
        <w:ind w:firstLine="480"/>
        <w:rPr>
          <w:rFonts w:cs="Times New Roman"/>
          <w:color w:val="auto"/>
          <w:kern w:val="21"/>
          <w:szCs w:val="24"/>
          <w:highlight w:val="none"/>
        </w:rPr>
      </w:pPr>
      <w:r>
        <w:rPr>
          <w:rFonts w:cs="Times New Roman"/>
          <w:color w:val="auto"/>
          <w:kern w:val="21"/>
          <w:szCs w:val="24"/>
          <w:highlight w:val="none"/>
        </w:rPr>
        <w:t>③项目采取的</w:t>
      </w:r>
      <w:r>
        <w:rPr>
          <w:rFonts w:hint="eastAsia" w:cs="Times New Roman"/>
          <w:color w:val="auto"/>
          <w:kern w:val="21"/>
          <w:szCs w:val="24"/>
          <w:highlight w:val="none"/>
        </w:rPr>
        <w:t>防范措施以工程措施为主</w:t>
      </w:r>
      <w:r>
        <w:rPr>
          <w:rFonts w:cs="Times New Roman"/>
          <w:color w:val="auto"/>
          <w:kern w:val="21"/>
          <w:szCs w:val="24"/>
          <w:highlight w:val="none"/>
        </w:rPr>
        <w:t>，采用管道支架，材料采用地埋式钢橡复合管。</w:t>
      </w:r>
    </w:p>
    <w:p w14:paraId="2AF68929">
      <w:pPr>
        <w:overflowPunct w:val="0"/>
        <w:adjustRightInd w:val="0"/>
        <w:ind w:firstLine="480"/>
        <w:rPr>
          <w:rFonts w:cs="Times New Roman"/>
          <w:color w:val="auto"/>
          <w:kern w:val="21"/>
          <w:szCs w:val="24"/>
          <w:highlight w:val="none"/>
        </w:rPr>
      </w:pPr>
      <w:r>
        <w:rPr>
          <w:rFonts w:cs="Times New Roman"/>
          <w:color w:val="auto"/>
          <w:kern w:val="21"/>
          <w:szCs w:val="24"/>
          <w:highlight w:val="none"/>
        </w:rPr>
        <w:t>④各类输送管线应设标识牌明确，划定沿线警示区。</w:t>
      </w:r>
    </w:p>
    <w:p w14:paraId="4EF8AB02">
      <w:pPr>
        <w:overflowPunct w:val="0"/>
        <w:adjustRightInd w:val="0"/>
        <w:ind w:firstLine="480"/>
        <w:rPr>
          <w:rFonts w:cs="Times New Roman"/>
          <w:color w:val="auto"/>
          <w:kern w:val="21"/>
          <w:szCs w:val="24"/>
          <w:highlight w:val="none"/>
        </w:rPr>
      </w:pPr>
      <w:r>
        <w:rPr>
          <w:rFonts w:cs="Times New Roman"/>
          <w:color w:val="auto"/>
          <w:kern w:val="21"/>
          <w:szCs w:val="24"/>
          <w:highlight w:val="none"/>
        </w:rPr>
        <w:t>⑤在矿浆出口处设置流量计监测，发现流量异常，马上采取停泵措施。</w:t>
      </w:r>
    </w:p>
    <w:p w14:paraId="34C53FA6">
      <w:pPr>
        <w:pStyle w:val="5"/>
        <w:adjustRightInd w:val="0"/>
        <w:rPr>
          <w:rFonts w:cs="Times New Roman"/>
          <w:color w:val="auto"/>
          <w:highlight w:val="none"/>
        </w:rPr>
      </w:pPr>
      <w:r>
        <w:rPr>
          <w:rFonts w:cs="Times New Roman"/>
          <w:color w:val="auto"/>
          <w:highlight w:val="none"/>
        </w:rPr>
        <w:t>物料影响分析及防范措施</w:t>
      </w:r>
    </w:p>
    <w:p w14:paraId="0E278791">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（1）原料堆存防范措施</w:t>
      </w:r>
    </w:p>
    <w:p w14:paraId="1D888B5D">
      <w:pPr>
        <w:overflowPunct w:val="0"/>
        <w:adjustRightInd w:val="0"/>
        <w:ind w:firstLine="480"/>
        <w:rPr>
          <w:rFonts w:cs="Times New Roman"/>
          <w:color w:val="auto"/>
          <w:kern w:val="21"/>
          <w:szCs w:val="24"/>
          <w:highlight w:val="none"/>
        </w:rPr>
      </w:pPr>
      <w:r>
        <w:rPr>
          <w:rFonts w:cs="Times New Roman"/>
          <w:color w:val="auto"/>
          <w:kern w:val="21"/>
          <w:szCs w:val="24"/>
          <w:highlight w:val="none"/>
        </w:rPr>
        <w:t>原料矿应在专门的建筑设施内存放。贮存设施应避免建在易遭受严重自然灾害如洪水、滑坡、泥石流等影响的地区，应远离易燃、易爆等危险品仓库。原料矿存放的设施应该具有防风、防雨、防晒的措施。</w:t>
      </w:r>
    </w:p>
    <w:p w14:paraId="1A571F6B">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（2）原料、产品、浮选剂贮运防范措施</w:t>
      </w:r>
    </w:p>
    <w:p w14:paraId="1B5CFAEE">
      <w:pPr>
        <w:overflowPunct w:val="0"/>
        <w:adjustRightInd w:val="0"/>
        <w:ind w:firstLine="480"/>
        <w:rPr>
          <w:rFonts w:cs="Times New Roman"/>
          <w:color w:val="auto"/>
          <w:kern w:val="21"/>
          <w:szCs w:val="24"/>
          <w:highlight w:val="none"/>
        </w:rPr>
      </w:pPr>
      <w:r>
        <w:rPr>
          <w:rFonts w:cs="Times New Roman"/>
          <w:color w:val="auto"/>
          <w:kern w:val="21"/>
          <w:szCs w:val="24"/>
          <w:highlight w:val="none"/>
        </w:rPr>
        <w:t>原料、产品、浮选药剂在装运过程中，要确保运输设备的安全。与此同时，在原料的收集、运送过</w:t>
      </w:r>
      <w:r>
        <w:rPr>
          <w:rFonts w:hint="eastAsia" w:cs="Times New Roman"/>
          <w:color w:val="auto"/>
          <w:kern w:val="21"/>
          <w:szCs w:val="24"/>
          <w:highlight w:val="none"/>
        </w:rPr>
        <w:t>程中</w:t>
      </w:r>
      <w:r>
        <w:rPr>
          <w:rFonts w:cs="Times New Roman"/>
          <w:color w:val="auto"/>
          <w:kern w:val="21"/>
          <w:szCs w:val="24"/>
          <w:highlight w:val="none"/>
        </w:rPr>
        <w:t>应采取必要的措施，防止原料、产品、浮选药剂外泄。为减小贮运风险，选厂应制定原料贮存、运输过程中的安全管理制度。</w:t>
      </w:r>
    </w:p>
    <w:p w14:paraId="591332A2">
      <w:pPr>
        <w:overflowPunct w:val="0"/>
        <w:adjustRightInd w:val="0"/>
        <w:ind w:firstLine="480"/>
        <w:rPr>
          <w:rFonts w:cs="Times New Roman"/>
          <w:color w:val="auto"/>
          <w:kern w:val="21"/>
          <w:szCs w:val="24"/>
          <w:highlight w:val="none"/>
        </w:rPr>
      </w:pPr>
      <w:r>
        <w:rPr>
          <w:rFonts w:cs="Times New Roman"/>
          <w:color w:val="auto"/>
          <w:kern w:val="21"/>
          <w:szCs w:val="24"/>
          <w:highlight w:val="none"/>
        </w:rPr>
        <w:t>所有车辆均应按车辆允许载重量装车，严禁超载运输。保持车辆完好状况，不驾故障车。保持厂区内道路顺畅，禁止在道路上装卸货物，不准乱停乱放，堵塞厂内交通。</w:t>
      </w:r>
    </w:p>
    <w:p w14:paraId="508A5734">
      <w:pPr>
        <w:overflowPunct w:val="0"/>
        <w:adjustRightInd w:val="0"/>
        <w:ind w:firstLine="480"/>
        <w:rPr>
          <w:rFonts w:cs="Times New Roman"/>
          <w:color w:val="auto"/>
          <w:kern w:val="21"/>
          <w:szCs w:val="24"/>
          <w:highlight w:val="none"/>
        </w:rPr>
      </w:pPr>
      <w:r>
        <w:rPr>
          <w:rFonts w:cs="Times New Roman"/>
          <w:color w:val="auto"/>
          <w:kern w:val="21"/>
          <w:szCs w:val="24"/>
          <w:highlight w:val="none"/>
        </w:rPr>
        <w:t>合理地规划运输路线及时间，危险品的运输单位，事先</w:t>
      </w:r>
      <w:r>
        <w:rPr>
          <w:rFonts w:hint="eastAsia" w:cs="Times New Roman"/>
          <w:color w:val="auto"/>
          <w:kern w:val="21"/>
          <w:szCs w:val="24"/>
          <w:highlight w:val="none"/>
        </w:rPr>
        <w:t>需要</w:t>
      </w:r>
      <w:r>
        <w:rPr>
          <w:rFonts w:cs="Times New Roman"/>
          <w:color w:val="auto"/>
          <w:kern w:val="21"/>
          <w:szCs w:val="24"/>
          <w:highlight w:val="none"/>
        </w:rPr>
        <w:t>做出周密的运输计划和行驶线路，尽可能穿越人口密集区，并制定危险品泄漏的应急措施。被装运的危险物品必须在其外包装的明显部位按规定粘贴《危险货物包装标志》规定的危险物品标志，包装标志的粘贴要正确、牢固。</w:t>
      </w:r>
    </w:p>
    <w:p w14:paraId="66404460">
      <w:pPr>
        <w:pStyle w:val="5"/>
        <w:adjustRightInd w:val="0"/>
        <w:rPr>
          <w:rFonts w:cs="Times New Roman"/>
          <w:color w:val="auto"/>
          <w:highlight w:val="none"/>
        </w:rPr>
      </w:pPr>
      <w:r>
        <w:rPr>
          <w:rFonts w:cs="Times New Roman"/>
          <w:color w:val="auto"/>
          <w:highlight w:val="none"/>
        </w:rPr>
        <w:t>处理设施风险防范措施</w:t>
      </w:r>
    </w:p>
    <w:p w14:paraId="4A8BF296">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（1）提高事故缓冲能力</w:t>
      </w:r>
    </w:p>
    <w:p w14:paraId="75E64AEB">
      <w:pPr>
        <w:overflowPunct w:val="0"/>
        <w:adjustRightInd w:val="0"/>
        <w:ind w:firstLine="480"/>
        <w:rPr>
          <w:rFonts w:cs="Times New Roman"/>
          <w:color w:val="auto"/>
          <w:kern w:val="21"/>
          <w:szCs w:val="24"/>
          <w:highlight w:val="none"/>
        </w:rPr>
      </w:pPr>
      <w:r>
        <w:rPr>
          <w:rFonts w:cs="Times New Roman"/>
          <w:color w:val="auto"/>
          <w:kern w:val="21"/>
          <w:szCs w:val="24"/>
          <w:highlight w:val="none"/>
        </w:rPr>
        <w:t>为了保证事故状态下迅速恢复处理工程的正常运行，主要水工构筑物必须留有足够的缓冲余地，并配备相应的处理设备（如回流泵、回流管道、仪表及阀门等）。考虑污水处理装置发生故障，设置事故收集池，用来暂存事故废水，待故障消除后，再经处理达标后排放。</w:t>
      </w:r>
    </w:p>
    <w:p w14:paraId="1ED4FED4">
      <w:pPr>
        <w:overflowPunct w:val="0"/>
        <w:adjustRightInd w:val="0"/>
        <w:ind w:firstLine="482"/>
        <w:rPr>
          <w:rFonts w:cs="Times New Roman"/>
          <w:color w:val="auto"/>
          <w:kern w:val="21"/>
          <w:szCs w:val="24"/>
          <w:highlight w:val="none"/>
        </w:rPr>
      </w:pPr>
      <w:r>
        <w:rPr>
          <w:rFonts w:cs="Times New Roman"/>
          <w:b/>
          <w:bCs/>
          <w:color w:val="auto"/>
          <w:kern w:val="21"/>
          <w:szCs w:val="24"/>
          <w:highlight w:val="none"/>
        </w:rPr>
        <w:t>（2）配备流量、水质自动分析监测仪器</w:t>
      </w:r>
    </w:p>
    <w:p w14:paraId="6C40BC64">
      <w:pPr>
        <w:overflowPunct w:val="0"/>
        <w:adjustRightInd w:val="0"/>
        <w:ind w:firstLine="480"/>
        <w:rPr>
          <w:rFonts w:cs="Times New Roman"/>
          <w:color w:val="auto"/>
          <w:kern w:val="21"/>
          <w:szCs w:val="24"/>
          <w:highlight w:val="none"/>
        </w:rPr>
      </w:pPr>
      <w:r>
        <w:rPr>
          <w:rFonts w:cs="Times New Roman"/>
          <w:color w:val="auto"/>
          <w:kern w:val="21"/>
          <w:szCs w:val="24"/>
          <w:highlight w:val="none"/>
        </w:rPr>
        <w:t>操作人员及时调整运行参数，使设备处于最佳工况，确保处理效果最佳。</w:t>
      </w:r>
    </w:p>
    <w:p w14:paraId="0A883D12">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（3）选用优质设备</w:t>
      </w:r>
    </w:p>
    <w:p w14:paraId="279B8F04">
      <w:pPr>
        <w:overflowPunct w:val="0"/>
        <w:adjustRightInd w:val="0"/>
        <w:ind w:firstLine="480"/>
        <w:rPr>
          <w:rFonts w:cs="Times New Roman"/>
          <w:color w:val="auto"/>
          <w:kern w:val="21"/>
          <w:szCs w:val="24"/>
          <w:highlight w:val="none"/>
        </w:rPr>
      </w:pPr>
      <w:r>
        <w:rPr>
          <w:rFonts w:cs="Times New Roman"/>
          <w:color w:val="auto"/>
          <w:kern w:val="21"/>
          <w:szCs w:val="24"/>
          <w:highlight w:val="none"/>
        </w:rPr>
        <w:t>污水处理工程各种机械电器、仪表，必须选择质量优良、故障率低、便于维修的产品。关键设备一备一用，易损配件应有备用，保证在出现故障时尽快更换。</w:t>
      </w:r>
    </w:p>
    <w:p w14:paraId="15CA5E21">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（4）加强事故苗头监控</w:t>
      </w:r>
    </w:p>
    <w:p w14:paraId="0F89CB05">
      <w:pPr>
        <w:overflowPunct w:val="0"/>
        <w:adjustRightInd w:val="0"/>
        <w:ind w:firstLine="480"/>
        <w:rPr>
          <w:rFonts w:cs="Times New Roman"/>
          <w:color w:val="auto"/>
          <w:kern w:val="21"/>
          <w:szCs w:val="24"/>
          <w:highlight w:val="none"/>
        </w:rPr>
      </w:pPr>
      <w:r>
        <w:rPr>
          <w:rFonts w:cs="Times New Roman"/>
          <w:color w:val="auto"/>
          <w:kern w:val="21"/>
          <w:szCs w:val="24"/>
          <w:highlight w:val="none"/>
        </w:rPr>
        <w:t>主要操作人员上岗前严格进行理论和实际操作培训，定期巡查、调节、保养、维修，</w:t>
      </w:r>
      <w:r>
        <w:rPr>
          <w:rFonts w:hint="eastAsia" w:cs="Times New Roman"/>
          <w:color w:val="auto"/>
          <w:kern w:val="21"/>
          <w:szCs w:val="24"/>
          <w:highlight w:val="none"/>
        </w:rPr>
        <w:t>及时发现</w:t>
      </w:r>
      <w:r>
        <w:rPr>
          <w:rFonts w:cs="Times New Roman"/>
          <w:color w:val="auto"/>
          <w:kern w:val="21"/>
          <w:szCs w:val="24"/>
          <w:highlight w:val="none"/>
        </w:rPr>
        <w:t>可能引起的事故异常运行苗头。</w:t>
      </w:r>
    </w:p>
    <w:p w14:paraId="343E26AE">
      <w:pPr>
        <w:pStyle w:val="5"/>
        <w:adjustRightInd w:val="0"/>
        <w:rPr>
          <w:rFonts w:cs="Times New Roman"/>
          <w:color w:val="auto"/>
          <w:highlight w:val="none"/>
        </w:rPr>
      </w:pPr>
      <w:r>
        <w:rPr>
          <w:rFonts w:cs="Times New Roman"/>
          <w:color w:val="auto"/>
          <w:highlight w:val="none"/>
        </w:rPr>
        <w:t>物料运输过程中风险防范措施</w:t>
      </w:r>
    </w:p>
    <w:p w14:paraId="4F5EACF6">
      <w:pPr>
        <w:adjustRightInd w:val="0"/>
        <w:ind w:firstLine="480"/>
        <w:rPr>
          <w:rFonts w:cs="Times New Roman"/>
          <w:color w:val="auto"/>
          <w:highlight w:val="none"/>
        </w:rPr>
      </w:pPr>
      <w:r>
        <w:rPr>
          <w:rFonts w:cs="Times New Roman"/>
          <w:color w:val="auto"/>
          <w:highlight w:val="none"/>
        </w:rPr>
        <w:t>本项目外部运输主要包括原矿运输、精矿运输、尾矿运输，其中原矿运输、精矿运输由四川德鑫矿业资源有限公司负责，尾矿运输由购买单位负责。</w:t>
      </w:r>
    </w:p>
    <w:p w14:paraId="7E1E4BB4">
      <w:pPr>
        <w:adjustRightInd w:val="0"/>
        <w:ind w:firstLine="480"/>
        <w:rPr>
          <w:rFonts w:cs="Times New Roman"/>
          <w:color w:val="auto"/>
          <w:highlight w:val="none"/>
        </w:rPr>
      </w:pPr>
      <w:r>
        <w:rPr>
          <w:rFonts w:cs="Times New Roman"/>
          <w:color w:val="auto"/>
          <w:highlight w:val="none"/>
        </w:rPr>
        <w:t>本项目精矿运输、尾矿运输、采用载重卡车，运输过程中主要环境风险为精矿、尾矿的遗失掉落及雨水淋溶污染，评价针对提出以下风险防范措施：</w:t>
      </w:r>
    </w:p>
    <w:p w14:paraId="6B4B3FA2">
      <w:pPr>
        <w:adjustRightInd w:val="0"/>
        <w:ind w:firstLine="480"/>
        <w:rPr>
          <w:rFonts w:cs="Times New Roman"/>
          <w:color w:val="auto"/>
          <w:highlight w:val="none"/>
        </w:rPr>
      </w:pPr>
      <w:r>
        <w:rPr>
          <w:rFonts w:cs="Times New Roman"/>
          <w:color w:val="auto"/>
          <w:highlight w:val="none"/>
        </w:rPr>
        <w:t>（1）运输车辆需设置遮雨篷布，防止雨水淋溶及精矿等物料掉落。</w:t>
      </w:r>
    </w:p>
    <w:p w14:paraId="40D524CF">
      <w:pPr>
        <w:adjustRightInd w:val="0"/>
        <w:ind w:firstLine="480"/>
        <w:rPr>
          <w:rFonts w:cs="Times New Roman"/>
          <w:color w:val="auto"/>
          <w:highlight w:val="none"/>
        </w:rPr>
      </w:pPr>
      <w:r>
        <w:rPr>
          <w:rFonts w:cs="Times New Roman"/>
          <w:color w:val="auto"/>
          <w:highlight w:val="none"/>
        </w:rPr>
        <w:t>（2）发货方及收货方需完善运输精矿、尾矿台账，出发前及收货后需称重核对运输精矿重量是否一致。</w:t>
      </w:r>
    </w:p>
    <w:p w14:paraId="4BF1F5E3">
      <w:pPr>
        <w:adjustRightInd w:val="0"/>
        <w:ind w:firstLine="480"/>
        <w:rPr>
          <w:rFonts w:cs="Times New Roman"/>
          <w:color w:val="auto"/>
          <w:highlight w:val="none"/>
        </w:rPr>
      </w:pPr>
      <w:r>
        <w:rPr>
          <w:rFonts w:cs="Times New Roman"/>
          <w:color w:val="auto"/>
          <w:highlight w:val="none"/>
        </w:rPr>
        <w:t>（3）严禁运输货车超速、超载等行为。</w:t>
      </w:r>
    </w:p>
    <w:p w14:paraId="1C72D365">
      <w:pPr>
        <w:adjustRightInd w:val="0"/>
        <w:ind w:firstLine="480"/>
        <w:rPr>
          <w:rFonts w:cs="Times New Roman"/>
          <w:color w:val="auto"/>
          <w:highlight w:val="none"/>
        </w:rPr>
      </w:pPr>
      <w:r>
        <w:rPr>
          <w:rFonts w:cs="Times New Roman"/>
          <w:color w:val="auto"/>
          <w:highlight w:val="none"/>
        </w:rPr>
        <w:t>（4）发现精矿、尾矿遗失后需向当地有关部门汇报，并委派车辆原路返回寻找。</w:t>
      </w:r>
    </w:p>
    <w:p w14:paraId="7C247991">
      <w:pPr>
        <w:adjustRightInd w:val="0"/>
        <w:ind w:firstLine="480"/>
        <w:rPr>
          <w:rFonts w:cs="Times New Roman"/>
          <w:color w:val="auto"/>
          <w:highlight w:val="none"/>
        </w:rPr>
      </w:pPr>
      <w:r>
        <w:rPr>
          <w:rFonts w:cs="Times New Roman"/>
          <w:color w:val="auto"/>
          <w:highlight w:val="none"/>
        </w:rPr>
        <w:t>（5）运输车辆在途经河流、湖库时，应谨慎慢速行驶，运输车辆合理安排运输时间，避免夜间（22:00~6:00）运输，运输车辆加强保养，禁止超载，路经敏感路段时，应降低车速、严禁超车、超速，保持安全运输距离。</w:t>
      </w:r>
    </w:p>
    <w:p w14:paraId="1E58B281">
      <w:pPr>
        <w:pStyle w:val="5"/>
        <w:adjustRightInd w:val="0"/>
        <w:rPr>
          <w:rFonts w:cs="Times New Roman"/>
          <w:color w:val="auto"/>
          <w:highlight w:val="none"/>
        </w:rPr>
      </w:pPr>
      <w:r>
        <w:rPr>
          <w:rFonts w:cs="Times New Roman"/>
          <w:color w:val="auto"/>
          <w:highlight w:val="none"/>
        </w:rPr>
        <w:t>尾矿无法消纳的风险防范措施</w:t>
      </w:r>
    </w:p>
    <w:p w14:paraId="4BC4B808">
      <w:pPr>
        <w:adjustRightInd w:val="0"/>
        <w:ind w:firstLine="480"/>
        <w:rPr>
          <w:rFonts w:cs="Times New Roman"/>
          <w:color w:val="auto"/>
          <w:highlight w:val="none"/>
        </w:rPr>
      </w:pPr>
      <w:r>
        <w:rPr>
          <w:rFonts w:cs="Times New Roman"/>
          <w:color w:val="auto"/>
          <w:highlight w:val="none"/>
        </w:rPr>
        <w:t>本项目尾矿拟外售瓷砖厂作为原料，尾矿产生后暂存于选厂内尾矿</w:t>
      </w:r>
      <w:r>
        <w:rPr>
          <w:rFonts w:hint="eastAsia" w:cs="Times New Roman"/>
          <w:color w:val="auto"/>
          <w:highlight w:val="none"/>
        </w:rPr>
        <w:t>仓库</w:t>
      </w:r>
      <w:r>
        <w:rPr>
          <w:rFonts w:cs="Times New Roman"/>
          <w:color w:val="auto"/>
          <w:highlight w:val="none"/>
        </w:rPr>
        <w:t>，运输至</w:t>
      </w:r>
      <w:r>
        <w:rPr>
          <w:rFonts w:hint="eastAsia" w:cs="Times New Roman"/>
          <w:color w:val="auto"/>
          <w:highlight w:val="none"/>
        </w:rPr>
        <w:t>四川省米兰诺陶瓷有限公司、四川香莱尔陶瓷有限公司</w:t>
      </w:r>
      <w:r>
        <w:rPr>
          <w:rFonts w:cs="Times New Roman"/>
          <w:color w:val="auto"/>
          <w:highlight w:val="none"/>
        </w:rPr>
        <w:t>等公司。</w:t>
      </w:r>
    </w:p>
    <w:p w14:paraId="54D4FB73">
      <w:pPr>
        <w:adjustRightInd w:val="0"/>
        <w:ind w:firstLine="480"/>
        <w:rPr>
          <w:rFonts w:cs="Times New Roman"/>
          <w:color w:val="auto"/>
          <w:highlight w:val="none"/>
        </w:rPr>
      </w:pPr>
      <w:r>
        <w:rPr>
          <w:rFonts w:cs="Times New Roman"/>
          <w:color w:val="auto"/>
          <w:highlight w:val="none"/>
        </w:rPr>
        <w:t>评价针对提出以下风险防范措施：</w:t>
      </w:r>
    </w:p>
    <w:p w14:paraId="09BF3DE0">
      <w:pPr>
        <w:adjustRightInd w:val="0"/>
        <w:ind w:firstLine="480"/>
        <w:rPr>
          <w:rFonts w:cs="Times New Roman"/>
          <w:color w:val="auto"/>
          <w:highlight w:val="none"/>
        </w:rPr>
      </w:pPr>
      <w:r>
        <w:rPr>
          <w:rFonts w:cs="Times New Roman"/>
          <w:color w:val="auto"/>
          <w:highlight w:val="none"/>
        </w:rPr>
        <w:t>（1）选厂尾矿应定期联系</w:t>
      </w:r>
      <w:r>
        <w:rPr>
          <w:rFonts w:hint="eastAsia" w:cs="Times New Roman"/>
          <w:color w:val="auto"/>
          <w:highlight w:val="none"/>
        </w:rPr>
        <w:t>四川省米兰诺陶瓷有限公司、四川香莱尔陶瓷有限公司</w:t>
      </w:r>
      <w:r>
        <w:rPr>
          <w:rFonts w:cs="Times New Roman"/>
          <w:color w:val="auto"/>
          <w:highlight w:val="none"/>
        </w:rPr>
        <w:t>等单位进行物料的转运，防止尾矿长时间存储在厂区内，最长暂存时间为</w:t>
      </w:r>
      <w:r>
        <w:rPr>
          <w:rFonts w:hint="eastAsia" w:cs="Times New Roman"/>
          <w:color w:val="auto"/>
          <w:highlight w:val="none"/>
        </w:rPr>
        <w:t>15</w:t>
      </w:r>
      <w:r>
        <w:rPr>
          <w:rFonts w:cs="Times New Roman"/>
          <w:color w:val="auto"/>
          <w:highlight w:val="none"/>
        </w:rPr>
        <w:t>天。</w:t>
      </w:r>
    </w:p>
    <w:p w14:paraId="08B57EB7">
      <w:pPr>
        <w:adjustRightInd w:val="0"/>
        <w:ind w:firstLine="480"/>
        <w:rPr>
          <w:rFonts w:cs="Times New Roman"/>
          <w:color w:val="auto"/>
          <w:highlight w:val="none"/>
        </w:rPr>
      </w:pPr>
      <w:r>
        <w:rPr>
          <w:rFonts w:cs="Times New Roman"/>
          <w:color w:val="auto"/>
          <w:highlight w:val="none"/>
        </w:rPr>
        <w:t>（2）若遇</w:t>
      </w:r>
      <w:r>
        <w:rPr>
          <w:rFonts w:hint="eastAsia" w:cs="Times New Roman"/>
          <w:color w:val="auto"/>
          <w:highlight w:val="none"/>
        </w:rPr>
        <w:t>四川省米兰诺陶瓷有限公司、四川香莱尔陶瓷有限公司综合利用受阻，无法消纳</w:t>
      </w:r>
      <w:r>
        <w:rPr>
          <w:rFonts w:cs="Times New Roman"/>
          <w:color w:val="auto"/>
          <w:highlight w:val="none"/>
        </w:rPr>
        <w:t>，企业立即将尾矿和黑砂运至</w:t>
      </w:r>
      <w:r>
        <w:rPr>
          <w:rFonts w:hint="eastAsia" w:cs="Times New Roman"/>
          <w:color w:val="auto"/>
          <w:highlight w:val="none"/>
        </w:rPr>
        <w:t>夹江县索菲亚新型建材有限公司、夹江县广乐陶瓷有限公司</w:t>
      </w:r>
      <w:r>
        <w:rPr>
          <w:rFonts w:cs="Times New Roman"/>
          <w:color w:val="auto"/>
          <w:highlight w:val="none"/>
        </w:rPr>
        <w:t>进行消纳，确保尾矿和黑砂及时处理</w:t>
      </w:r>
      <w:r>
        <w:rPr>
          <w:rFonts w:hint="eastAsia" w:cs="Times New Roman"/>
          <w:color w:val="auto"/>
          <w:highlight w:val="none"/>
        </w:rPr>
        <w:t>。</w:t>
      </w:r>
    </w:p>
    <w:p w14:paraId="35CAD8C5">
      <w:pPr>
        <w:adjustRightInd w:val="0"/>
        <w:ind w:firstLine="480"/>
        <w:rPr>
          <w:rFonts w:cs="Times New Roman"/>
          <w:color w:val="auto"/>
          <w:highlight w:val="none"/>
        </w:rPr>
      </w:pPr>
      <w:r>
        <w:rPr>
          <w:rFonts w:hint="eastAsia" w:cs="Times New Roman"/>
          <w:color w:val="auto"/>
          <w:highlight w:val="none"/>
        </w:rPr>
        <w:t>（3）若遇上述四家尾矿、黑砂消纳企业综合利用受阻，无法消纳，各消纳方将首先启用其原矿仓进行堆存。若各消纳方堆存满后，尾矿、黑砂无法及时外运，本项目尾矿仓库也无空间堆放时，本项目将立即启动停产程序，不得露天堆放尾矿、黑砂，不得乱堆乱放尾矿、黑砂，保证尾矿、黑砂规范堆放至尾矿仓库</w:t>
      </w:r>
      <w:r>
        <w:rPr>
          <w:rFonts w:cs="Times New Roman"/>
          <w:color w:val="auto"/>
          <w:highlight w:val="none"/>
        </w:rPr>
        <w:t>。</w:t>
      </w:r>
    </w:p>
    <w:p w14:paraId="41EAD070">
      <w:pPr>
        <w:pStyle w:val="5"/>
        <w:rPr>
          <w:color w:val="auto"/>
          <w:highlight w:val="none"/>
        </w:rPr>
      </w:pPr>
      <w:r>
        <w:rPr>
          <w:color w:val="auto"/>
          <w:highlight w:val="none"/>
        </w:rPr>
        <w:t>应急电源配置</w:t>
      </w:r>
    </w:p>
    <w:p w14:paraId="684B2E7A">
      <w:pPr>
        <w:ind w:firstLine="480"/>
        <w:rPr>
          <w:color w:val="auto"/>
          <w:highlight w:val="none"/>
        </w:rPr>
      </w:pPr>
      <w:r>
        <w:rPr>
          <w:rFonts w:hint="eastAsia"/>
          <w:color w:val="auto"/>
          <w:highlight w:val="none"/>
        </w:rPr>
        <w:t>本项目供电系统采用一路独立电源进行全厂配电。当该路电源发生断电故障时，厂区将整体停产。为保障断电期间突发环境事件应急处置需求，项目配套设置1台3kW汽油发电机和1台柴油发电机作为应急电源，该电源不用于生产，应急电源仅在厂区主电源断电后投入使用，汽油发电机专门用于事故废水提升泵供电，确保断电状态下仍可将事故废水有效抽送至应急事故池暂存，防范废水外溢引发环境污染风险，柴油发电机用于停电状态下启动除尘器风机，将管道内废气经布袋除尘器处理达标后排放。</w:t>
      </w:r>
    </w:p>
    <w:p w14:paraId="2742FDB3">
      <w:pPr>
        <w:ind w:firstLine="480"/>
        <w:rPr>
          <w:color w:val="auto"/>
          <w:highlight w:val="none"/>
        </w:rPr>
      </w:pPr>
      <w:r>
        <w:rPr>
          <w:color w:val="auto"/>
          <w:highlight w:val="none"/>
        </w:rPr>
        <w:t>本项目设置汽油发电机作</w:t>
      </w:r>
      <w:r>
        <w:rPr>
          <w:rFonts w:hint="eastAsia"/>
          <w:color w:val="auto"/>
          <w:highlight w:val="none"/>
        </w:rPr>
        <w:t>和柴油发电机</w:t>
      </w:r>
      <w:r>
        <w:rPr>
          <w:color w:val="auto"/>
          <w:highlight w:val="none"/>
        </w:rPr>
        <w:t>为应急备用电源，运行过程中主要产生废气、噪声、固体废物等污染物。废气主要为汽油燃烧产生的一氧化碳、氮氧化物、非甲烷总烃、颗粒物等，以无组织形式排放，其产生量与发电机功率、运行负荷、年运行时间及汽油</w:t>
      </w:r>
      <w:r>
        <w:rPr>
          <w:rFonts w:hint="eastAsia"/>
          <w:color w:val="auto"/>
          <w:highlight w:val="none"/>
        </w:rPr>
        <w:t>、柴油</w:t>
      </w:r>
      <w:r>
        <w:rPr>
          <w:color w:val="auto"/>
          <w:highlight w:val="none"/>
        </w:rPr>
        <w:t>品质密切相关；运行时产生机械噪声和排气噪声，对周边声环境造成一定影响；维修保养过程产生废机油等危险废物，属于HW08废矿物油与含矿物油废物。项目发电机仅在停电时应急使用，年运行时间较短、使用频次较低，通过选用低排放、低噪声机型、加强机房通风与隔声减振、危险废物分类收集并委托有资质单位处置等措施后，各类污染物均可实现达标排放、妥善处置，对区域环境影响较小。</w:t>
      </w:r>
    </w:p>
    <w:p w14:paraId="500B8DC6">
      <w:pPr>
        <w:pStyle w:val="4"/>
        <w:adjustRightInd w:val="0"/>
        <w:rPr>
          <w:rFonts w:cs="Times New Roman"/>
          <w:color w:val="auto"/>
          <w:highlight w:val="none"/>
        </w:rPr>
      </w:pPr>
      <w:bookmarkStart w:id="233" w:name="_Toc18598"/>
      <w:bookmarkStart w:id="234" w:name="_Toc21023"/>
      <w:bookmarkStart w:id="235" w:name="_Toc26815"/>
      <w:bookmarkStart w:id="236" w:name="_Toc643"/>
      <w:bookmarkStart w:id="237" w:name="_Toc3593"/>
      <w:bookmarkStart w:id="238" w:name="_Toc7928"/>
      <w:r>
        <w:rPr>
          <w:rFonts w:cs="Times New Roman"/>
          <w:color w:val="auto"/>
          <w:highlight w:val="none"/>
        </w:rPr>
        <w:t>风险事故应急预案</w:t>
      </w:r>
      <w:bookmarkEnd w:id="233"/>
      <w:bookmarkEnd w:id="234"/>
      <w:bookmarkEnd w:id="235"/>
      <w:bookmarkEnd w:id="236"/>
      <w:bookmarkEnd w:id="237"/>
      <w:bookmarkEnd w:id="238"/>
    </w:p>
    <w:p w14:paraId="664AC549">
      <w:pPr>
        <w:adjustRightInd w:val="0"/>
        <w:ind w:firstLine="480"/>
        <w:rPr>
          <w:rFonts w:cs="Times New Roman"/>
          <w:color w:val="auto"/>
          <w:highlight w:val="none"/>
        </w:rPr>
      </w:pPr>
      <w:r>
        <w:rPr>
          <w:rFonts w:cs="Times New Roman"/>
          <w:color w:val="auto"/>
          <w:highlight w:val="none"/>
        </w:rPr>
        <w:t>本项目建设单位应按照《四川省突发环境事件应急预案备案管理暂行办法》，组织编制环境事故应急预案，并组织人员定期进行应急预案演练，防范突发环境事故对周围环境造成不良影响。</w:t>
      </w:r>
    </w:p>
    <w:p w14:paraId="5D7F71FC">
      <w:pPr>
        <w:adjustRightInd w:val="0"/>
        <w:ind w:firstLine="480"/>
        <w:rPr>
          <w:rFonts w:cs="Times New Roman"/>
          <w:color w:val="auto"/>
          <w:highlight w:val="none"/>
        </w:rPr>
      </w:pPr>
      <w:r>
        <w:rPr>
          <w:rFonts w:cs="Times New Roman"/>
          <w:color w:val="auto"/>
          <w:highlight w:val="none"/>
        </w:rPr>
        <w:t>制定风险事故应急预案的目的是在发生风险事故时，能以最快的速度发挥最大的效能，有序地实施救援，尽快控制事态的发展，降低事故造成的危害，减少事故造成的损失。</w:t>
      </w:r>
    </w:p>
    <w:p w14:paraId="7D44C309">
      <w:pPr>
        <w:adjustRightInd w:val="0"/>
        <w:ind w:firstLine="480"/>
        <w:rPr>
          <w:rFonts w:cs="Times New Roman"/>
          <w:color w:val="auto"/>
          <w:highlight w:val="none"/>
        </w:rPr>
      </w:pPr>
      <w:r>
        <w:rPr>
          <w:rFonts w:cs="Times New Roman"/>
          <w:color w:val="auto"/>
          <w:highlight w:val="none"/>
        </w:rPr>
        <w:t>风险事故应急预案的基本要求包括：科学性、实用性和权威性。风险事故的应急预案必须进行科学分析和论证；应急预案应符合项目的客观情况，具有实用、简单、易掌握等特性，便于实施；对事故处置过程中职责、权限、任务、工作标准、奖励与处罚等做出明确规定，使之成为企业的一项制度，确保其权威性。</w:t>
      </w:r>
    </w:p>
    <w:p w14:paraId="51FB1F16">
      <w:pPr>
        <w:pStyle w:val="5"/>
        <w:adjustRightInd w:val="0"/>
        <w:rPr>
          <w:rFonts w:cs="Times New Roman"/>
          <w:color w:val="auto"/>
          <w:highlight w:val="none"/>
        </w:rPr>
      </w:pPr>
      <w:r>
        <w:rPr>
          <w:rFonts w:cs="Times New Roman"/>
          <w:color w:val="auto"/>
          <w:highlight w:val="none"/>
        </w:rPr>
        <w:t>事故应急指挥机构的组成、职责和分工</w:t>
      </w:r>
    </w:p>
    <w:p w14:paraId="29E481B6">
      <w:pPr>
        <w:adjustRightInd w:val="0"/>
        <w:ind w:firstLine="482"/>
        <w:rPr>
          <w:rFonts w:cs="Times New Roman"/>
          <w:b/>
          <w:bCs/>
          <w:color w:val="auto"/>
          <w:highlight w:val="none"/>
        </w:rPr>
      </w:pPr>
      <w:r>
        <w:rPr>
          <w:rFonts w:cs="Times New Roman"/>
          <w:b/>
          <w:bCs/>
          <w:color w:val="auto"/>
          <w:highlight w:val="none"/>
        </w:rPr>
        <w:t>（1）指挥机构的组成</w:t>
      </w:r>
    </w:p>
    <w:p w14:paraId="3E50DA1D">
      <w:pPr>
        <w:adjustRightInd w:val="0"/>
        <w:ind w:firstLine="480"/>
        <w:rPr>
          <w:rFonts w:cs="Times New Roman"/>
          <w:color w:val="auto"/>
          <w:highlight w:val="none"/>
        </w:rPr>
      </w:pPr>
      <w:r>
        <w:rPr>
          <w:rFonts w:cs="Times New Roman"/>
          <w:color w:val="auto"/>
          <w:highlight w:val="none"/>
        </w:rPr>
        <w:t>公司成立事故应急指挥领导小组，发生污染事故时，指挥小组组长任总指挥，副组长任副总指挥，负责公司应急处理污染事故的组织和指挥，指挥小组成员都是现场临时指挥部成员，组长和副组长不在时，由值班人员或组员担任临时总指挥，全权负责污染处理事故。</w:t>
      </w:r>
    </w:p>
    <w:p w14:paraId="3ECC70D0">
      <w:pPr>
        <w:adjustRightInd w:val="0"/>
        <w:ind w:firstLine="482"/>
        <w:rPr>
          <w:rFonts w:cs="Times New Roman"/>
          <w:b/>
          <w:bCs/>
          <w:color w:val="auto"/>
          <w:highlight w:val="none"/>
        </w:rPr>
      </w:pPr>
      <w:r>
        <w:rPr>
          <w:rFonts w:cs="Times New Roman"/>
          <w:b/>
          <w:bCs/>
          <w:color w:val="auto"/>
          <w:highlight w:val="none"/>
        </w:rPr>
        <w:t>（2）职责和分工</w:t>
      </w:r>
    </w:p>
    <w:p w14:paraId="4410B314">
      <w:pPr>
        <w:adjustRightInd w:val="0"/>
        <w:ind w:firstLine="480"/>
        <w:rPr>
          <w:rFonts w:cs="Times New Roman"/>
          <w:color w:val="auto"/>
          <w:highlight w:val="none"/>
        </w:rPr>
      </w:pPr>
      <w:r>
        <w:rPr>
          <w:rFonts w:cs="Times New Roman"/>
          <w:color w:val="auto"/>
          <w:highlight w:val="none"/>
        </w:rPr>
        <w:t>总指挥：组织指挥全公司的应急处理；发布和解除应急处理命令；向上级汇报事故情况。</w:t>
      </w:r>
    </w:p>
    <w:p w14:paraId="4FB2E619">
      <w:pPr>
        <w:adjustRightInd w:val="0"/>
        <w:ind w:firstLine="480"/>
        <w:rPr>
          <w:rFonts w:cs="Times New Roman"/>
          <w:color w:val="auto"/>
          <w:highlight w:val="none"/>
        </w:rPr>
      </w:pPr>
      <w:r>
        <w:rPr>
          <w:rFonts w:cs="Times New Roman"/>
          <w:color w:val="auto"/>
          <w:highlight w:val="none"/>
        </w:rPr>
        <w:t>副总指挥：协助总指挥负责应急处理的具体工作。</w:t>
      </w:r>
    </w:p>
    <w:p w14:paraId="1D323323">
      <w:pPr>
        <w:adjustRightInd w:val="0"/>
        <w:ind w:firstLine="480"/>
        <w:rPr>
          <w:rFonts w:cs="Times New Roman"/>
          <w:color w:val="auto"/>
          <w:highlight w:val="none"/>
        </w:rPr>
      </w:pPr>
      <w:r>
        <w:rPr>
          <w:rFonts w:cs="Times New Roman"/>
          <w:color w:val="auto"/>
          <w:highlight w:val="none"/>
        </w:rPr>
        <w:t>指挥部成员：负责技术分析及指导、数据分析与现场污水收集后的储存处理工作，由环保管理人员、仓库人员协助对现场污水堵截、收集工作，由辅助车间人员、行政人员协助提供现场物资和电力的供应工作。</w:t>
      </w:r>
    </w:p>
    <w:p w14:paraId="29E08854">
      <w:pPr>
        <w:adjustRightInd w:val="0"/>
        <w:ind w:firstLine="480"/>
        <w:rPr>
          <w:rFonts w:cs="Times New Roman"/>
          <w:color w:val="auto"/>
          <w:highlight w:val="none"/>
        </w:rPr>
      </w:pPr>
      <w:r>
        <w:rPr>
          <w:rFonts w:cs="Times New Roman"/>
          <w:color w:val="auto"/>
          <w:highlight w:val="none"/>
        </w:rPr>
        <w:t>环境应急指挥部根据突发性环境污染事故的情况通知有关部门及其应急机构、救援队伍和市、区两级人民政府应急救援指挥机构。各应急机构接到事故信息通报后，应立即派出有关人员和队伍赶赴事发现场，在现场救援指挥部统一指挥下，按照各自的预案和处置规程，相互协同，密切配合，共同实施环境应急和紧急处置行动，</w:t>
      </w:r>
      <w:r>
        <w:rPr>
          <w:rFonts w:hint="eastAsia" w:cs="Times New Roman"/>
          <w:color w:val="auto"/>
          <w:highlight w:val="none"/>
        </w:rPr>
        <w:t>迅速</w:t>
      </w:r>
      <w:r>
        <w:rPr>
          <w:rFonts w:cs="Times New Roman"/>
          <w:color w:val="auto"/>
          <w:highlight w:val="none"/>
        </w:rPr>
        <w:t>实施先期处置，果断控制或切断污染源，全力控制事件态势，严防二次污染和次生、衍生事件发生。</w:t>
      </w:r>
    </w:p>
    <w:p w14:paraId="25DAC45A">
      <w:pPr>
        <w:adjustRightInd w:val="0"/>
        <w:ind w:firstLine="480"/>
        <w:rPr>
          <w:rFonts w:cs="Times New Roman"/>
          <w:color w:val="auto"/>
          <w:highlight w:val="none"/>
        </w:rPr>
      </w:pPr>
      <w:r>
        <w:rPr>
          <w:rFonts w:cs="Times New Roman"/>
          <w:color w:val="auto"/>
          <w:highlight w:val="none"/>
        </w:rPr>
        <w:t>应急状态时，专家组组织有关专家迅速对事件信息进行分析、评估，提出应急处置方案和建议，供指挥部领导决策参考。根据事件进展情况和形势动态，提出相应的对策和意见；对突发性环境污染事故的危害范围、发展趋势做出科学预测，为环境应急领导机构的决策和指挥提供科学依据；参与污染程度、危害范围、事件等级的判定，对污染区域的隔离与解禁、人员撤离与返回等重大防护措施的决策提供技术依据；指导各应急分队进行应急处理与处置；指导环境应急工作的评价，进行事件的中长期环境影响评估。</w:t>
      </w:r>
    </w:p>
    <w:p w14:paraId="54AB6F42">
      <w:pPr>
        <w:adjustRightInd w:val="0"/>
        <w:ind w:firstLine="480"/>
        <w:rPr>
          <w:rFonts w:cs="Times New Roman"/>
          <w:color w:val="auto"/>
          <w:highlight w:val="none"/>
        </w:rPr>
      </w:pPr>
      <w:r>
        <w:rPr>
          <w:rFonts w:cs="Times New Roman"/>
          <w:color w:val="auto"/>
          <w:highlight w:val="none"/>
        </w:rPr>
        <w:t>发生环境事故的有关部门要及时、主动向环境应急指挥部提供应急救援有关的基础资料。</w:t>
      </w:r>
    </w:p>
    <w:p w14:paraId="4FD82A84">
      <w:pPr>
        <w:pStyle w:val="5"/>
        <w:adjustRightInd w:val="0"/>
        <w:rPr>
          <w:rFonts w:cs="Times New Roman"/>
          <w:color w:val="auto"/>
          <w:highlight w:val="none"/>
        </w:rPr>
      </w:pPr>
      <w:r>
        <w:rPr>
          <w:rFonts w:cs="Times New Roman"/>
          <w:color w:val="auto"/>
          <w:highlight w:val="none"/>
        </w:rPr>
        <w:t>应急救援</w:t>
      </w:r>
    </w:p>
    <w:p w14:paraId="32E3E73D">
      <w:pPr>
        <w:adjustRightInd w:val="0"/>
        <w:ind w:firstLine="480"/>
        <w:rPr>
          <w:rFonts w:cs="Times New Roman"/>
          <w:color w:val="auto"/>
          <w:highlight w:val="none"/>
        </w:rPr>
      </w:pPr>
      <w:r>
        <w:rPr>
          <w:rFonts w:cs="Times New Roman"/>
          <w:color w:val="auto"/>
          <w:highlight w:val="none"/>
        </w:rPr>
        <w:t>企业应依据自身条件和可能发生的突发环境污染事故的类型建立应急救援专业队伍，包括通讯联络队、抢险抢修队、侦检抢救队、医疗救护队、应急消防队、治安队、物资供应队和应急环境监测组等专业救援队伍，明确各专业救援队伍的具体职责和任务，以便在发生环境污染事故时，在指挥部的统一指挥下，快速、有序、有效地开展应急救援行动，以尽快处置事故，使事故的危害降到最低。</w:t>
      </w:r>
    </w:p>
    <w:p w14:paraId="6C2AEE77">
      <w:pPr>
        <w:pStyle w:val="5"/>
        <w:adjustRightInd w:val="0"/>
        <w:rPr>
          <w:rFonts w:cs="Times New Roman"/>
          <w:color w:val="auto"/>
          <w:highlight w:val="none"/>
        </w:rPr>
      </w:pPr>
      <w:r>
        <w:rPr>
          <w:rFonts w:cs="Times New Roman"/>
          <w:color w:val="auto"/>
          <w:highlight w:val="none"/>
        </w:rPr>
        <w:t>应急设施与物资</w:t>
      </w:r>
    </w:p>
    <w:p w14:paraId="460B4D3B">
      <w:pPr>
        <w:adjustRightInd w:val="0"/>
        <w:ind w:firstLine="480"/>
        <w:rPr>
          <w:rFonts w:cs="Times New Roman"/>
          <w:color w:val="auto"/>
          <w:highlight w:val="none"/>
        </w:rPr>
      </w:pPr>
      <w:r>
        <w:rPr>
          <w:rFonts w:cs="Times New Roman"/>
          <w:color w:val="auto"/>
          <w:highlight w:val="none"/>
        </w:rPr>
        <w:t>突发环境污染事故应急救援设施包括医疗救护仪器药品、个人防护装备器材、消防设施、堵漏器材、废水收集池、应急监测仪器设备和应急交通工具等。应建立应急物资、应急装备设施的维护和保养的台账和领用记录等相关的规章制度。</w:t>
      </w:r>
    </w:p>
    <w:p w14:paraId="3A9EAFF8">
      <w:pPr>
        <w:adjustRightInd w:val="0"/>
        <w:ind w:firstLine="480"/>
        <w:rPr>
          <w:rFonts w:cs="Times New Roman"/>
          <w:color w:val="auto"/>
          <w:highlight w:val="none"/>
        </w:rPr>
      </w:pPr>
      <w:r>
        <w:rPr>
          <w:rFonts w:cs="Times New Roman"/>
          <w:color w:val="auto"/>
          <w:highlight w:val="none"/>
        </w:rPr>
        <w:t>用于应急救援的物资，特别是处理泄漏物、消解和吸收污染物的化学品物资，如活性炭、木屑和石灰等，生产经营单位要采用就近原则，备足、备齐，定置明确，能保证现场应急处理（置）的人员在第一时间内启用。用于应急救援的物资，尤其是活性炭、木屑和石灰要明确调用单位的联系方式，且调用方便、迅速。</w:t>
      </w:r>
    </w:p>
    <w:p w14:paraId="74D18745">
      <w:pPr>
        <w:pStyle w:val="5"/>
        <w:adjustRightInd w:val="0"/>
        <w:rPr>
          <w:rFonts w:cs="Times New Roman"/>
          <w:color w:val="auto"/>
          <w:highlight w:val="none"/>
        </w:rPr>
      </w:pPr>
      <w:r>
        <w:rPr>
          <w:rFonts w:cs="Times New Roman"/>
          <w:color w:val="auto"/>
          <w:highlight w:val="none"/>
        </w:rPr>
        <w:t>应急预案内容</w:t>
      </w:r>
    </w:p>
    <w:p w14:paraId="253F5B87">
      <w:pPr>
        <w:adjustRightInd w:val="0"/>
        <w:ind w:firstLine="480"/>
        <w:rPr>
          <w:rFonts w:cs="Times New Roman"/>
          <w:color w:val="auto"/>
          <w:highlight w:val="none"/>
        </w:rPr>
      </w:pPr>
      <w:r>
        <w:rPr>
          <w:rFonts w:cs="Times New Roman"/>
          <w:color w:val="auto"/>
          <w:highlight w:val="none"/>
        </w:rPr>
        <w:t>应急预案基本内容见下表。</w:t>
      </w:r>
    </w:p>
    <w:p w14:paraId="0AA70E75">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7</w:t>
      </w:r>
      <w:r>
        <w:rPr>
          <w:rFonts w:cs="Times New Roman"/>
          <w:color w:val="auto"/>
          <w:highlight w:val="none"/>
        </w:rPr>
        <w:fldChar w:fldCharType="end"/>
      </w:r>
      <w:r>
        <w:rPr>
          <w:rFonts w:cs="Times New Roman"/>
          <w:color w:val="auto"/>
          <w:highlight w:val="none"/>
        </w:rPr>
        <w:t>应急预案基本内容</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396"/>
        <w:gridCol w:w="6911"/>
      </w:tblGrid>
      <w:tr w14:paraId="47C7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6" w:type="pct"/>
            <w:vAlign w:val="center"/>
          </w:tcPr>
          <w:p w14:paraId="45E24BC3">
            <w:pPr>
              <w:pStyle w:val="69"/>
              <w:spacing w:before="62" w:after="62"/>
              <w:rPr>
                <w:rFonts w:cs="Times New Roman"/>
                <w:b/>
                <w:bCs w:val="0"/>
                <w:color w:val="auto"/>
                <w:highlight w:val="none"/>
              </w:rPr>
            </w:pPr>
            <w:r>
              <w:rPr>
                <w:rFonts w:cs="Times New Roman"/>
                <w:b/>
                <w:bCs w:val="0"/>
                <w:color w:val="auto"/>
                <w:highlight w:val="none"/>
              </w:rPr>
              <w:t>序号</w:t>
            </w:r>
          </w:p>
        </w:tc>
        <w:tc>
          <w:tcPr>
            <w:tcW w:w="770" w:type="pct"/>
            <w:vAlign w:val="center"/>
          </w:tcPr>
          <w:p w14:paraId="15814698">
            <w:pPr>
              <w:pStyle w:val="69"/>
              <w:spacing w:before="62" w:after="62"/>
              <w:rPr>
                <w:rFonts w:cs="Times New Roman"/>
                <w:b/>
                <w:bCs w:val="0"/>
                <w:color w:val="auto"/>
                <w:highlight w:val="none"/>
              </w:rPr>
            </w:pPr>
            <w:r>
              <w:rPr>
                <w:rFonts w:cs="Times New Roman"/>
                <w:b/>
                <w:bCs w:val="0"/>
                <w:color w:val="auto"/>
                <w:highlight w:val="none"/>
              </w:rPr>
              <w:t>项目</w:t>
            </w:r>
          </w:p>
        </w:tc>
        <w:tc>
          <w:tcPr>
            <w:tcW w:w="3813" w:type="pct"/>
            <w:vAlign w:val="center"/>
          </w:tcPr>
          <w:p w14:paraId="1B7DE507">
            <w:pPr>
              <w:pStyle w:val="69"/>
              <w:spacing w:before="62" w:after="62"/>
              <w:rPr>
                <w:rFonts w:cs="Times New Roman"/>
                <w:b/>
                <w:bCs w:val="0"/>
                <w:color w:val="auto"/>
                <w:highlight w:val="none"/>
              </w:rPr>
            </w:pPr>
            <w:r>
              <w:rPr>
                <w:rFonts w:cs="Times New Roman"/>
                <w:b/>
                <w:bCs w:val="0"/>
                <w:color w:val="auto"/>
                <w:highlight w:val="none"/>
              </w:rPr>
              <w:t>内容及要求</w:t>
            </w:r>
          </w:p>
        </w:tc>
      </w:tr>
      <w:tr w14:paraId="47384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pct"/>
            <w:vAlign w:val="center"/>
          </w:tcPr>
          <w:p w14:paraId="5BCF65FD">
            <w:pPr>
              <w:pStyle w:val="69"/>
              <w:spacing w:before="62" w:after="62"/>
              <w:rPr>
                <w:rFonts w:cs="Times New Roman"/>
                <w:color w:val="auto"/>
                <w:highlight w:val="none"/>
              </w:rPr>
            </w:pPr>
            <w:r>
              <w:rPr>
                <w:rFonts w:cs="Times New Roman"/>
                <w:color w:val="auto"/>
                <w:highlight w:val="none"/>
              </w:rPr>
              <w:t>1</w:t>
            </w:r>
          </w:p>
        </w:tc>
        <w:tc>
          <w:tcPr>
            <w:tcW w:w="770" w:type="pct"/>
            <w:vAlign w:val="center"/>
          </w:tcPr>
          <w:p w14:paraId="3E887D24">
            <w:pPr>
              <w:pStyle w:val="69"/>
              <w:spacing w:before="62" w:after="62"/>
              <w:rPr>
                <w:rFonts w:cs="Times New Roman"/>
                <w:color w:val="auto"/>
                <w:highlight w:val="none"/>
              </w:rPr>
            </w:pPr>
            <w:r>
              <w:rPr>
                <w:rFonts w:cs="Times New Roman"/>
                <w:color w:val="auto"/>
                <w:highlight w:val="none"/>
              </w:rPr>
              <w:t>应急计划区</w:t>
            </w:r>
          </w:p>
        </w:tc>
        <w:tc>
          <w:tcPr>
            <w:tcW w:w="3813" w:type="pct"/>
            <w:vAlign w:val="center"/>
          </w:tcPr>
          <w:p w14:paraId="1535ACF1">
            <w:pPr>
              <w:pStyle w:val="69"/>
              <w:spacing w:before="62" w:after="62"/>
              <w:jc w:val="both"/>
              <w:rPr>
                <w:rFonts w:cs="Times New Roman"/>
                <w:color w:val="auto"/>
                <w:highlight w:val="none"/>
              </w:rPr>
            </w:pPr>
            <w:r>
              <w:rPr>
                <w:rFonts w:cs="Times New Roman"/>
                <w:color w:val="auto"/>
                <w:highlight w:val="none"/>
              </w:rPr>
              <w:t>危险目标主要包括</w:t>
            </w:r>
            <w:r>
              <w:rPr>
                <w:rFonts w:hint="eastAsia" w:cs="Times New Roman"/>
                <w:color w:val="auto"/>
                <w:highlight w:val="none"/>
              </w:rPr>
              <w:t>危废暂存间</w:t>
            </w:r>
            <w:r>
              <w:rPr>
                <w:rFonts w:cs="Times New Roman"/>
                <w:color w:val="auto"/>
                <w:highlight w:val="none"/>
              </w:rPr>
              <w:t>、废水处理设施；环境保护目标主要为厂区内的员工及厂外的办公区、附近水体。</w:t>
            </w:r>
          </w:p>
        </w:tc>
      </w:tr>
      <w:tr w14:paraId="26D6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55B09A0F">
            <w:pPr>
              <w:pStyle w:val="69"/>
              <w:spacing w:before="62" w:after="62"/>
              <w:rPr>
                <w:rFonts w:cs="Times New Roman"/>
                <w:color w:val="auto"/>
                <w:highlight w:val="none"/>
              </w:rPr>
            </w:pPr>
            <w:r>
              <w:rPr>
                <w:rFonts w:cs="Times New Roman"/>
                <w:color w:val="auto"/>
                <w:highlight w:val="none"/>
              </w:rPr>
              <w:t>2</w:t>
            </w:r>
          </w:p>
        </w:tc>
        <w:tc>
          <w:tcPr>
            <w:tcW w:w="770" w:type="pct"/>
            <w:vAlign w:val="center"/>
          </w:tcPr>
          <w:p w14:paraId="731318C6">
            <w:pPr>
              <w:pStyle w:val="69"/>
              <w:spacing w:before="62" w:after="62"/>
              <w:rPr>
                <w:rFonts w:cs="Times New Roman"/>
                <w:color w:val="auto"/>
                <w:highlight w:val="none"/>
              </w:rPr>
            </w:pPr>
            <w:r>
              <w:rPr>
                <w:rFonts w:cs="Times New Roman"/>
                <w:color w:val="auto"/>
                <w:highlight w:val="none"/>
              </w:rPr>
              <w:t>应急组织机构、人员</w:t>
            </w:r>
          </w:p>
        </w:tc>
        <w:tc>
          <w:tcPr>
            <w:tcW w:w="3813" w:type="pct"/>
            <w:vAlign w:val="center"/>
          </w:tcPr>
          <w:p w14:paraId="3EAA5047">
            <w:pPr>
              <w:pStyle w:val="69"/>
              <w:spacing w:before="62" w:after="62"/>
              <w:jc w:val="both"/>
              <w:rPr>
                <w:rFonts w:cs="Times New Roman"/>
                <w:color w:val="auto"/>
                <w:highlight w:val="none"/>
              </w:rPr>
            </w:pPr>
            <w:r>
              <w:rPr>
                <w:rFonts w:cs="Times New Roman"/>
                <w:color w:val="auto"/>
                <w:highlight w:val="none"/>
              </w:rPr>
              <w:t>项目应成立环境风险事故应急救援</w:t>
            </w:r>
            <w:r>
              <w:rPr>
                <w:rFonts w:hint="eastAsia" w:cs="Times New Roman"/>
                <w:color w:val="auto"/>
                <w:highlight w:val="none"/>
              </w:rPr>
              <w:t>“</w:t>
            </w:r>
            <w:r>
              <w:rPr>
                <w:rFonts w:cs="Times New Roman"/>
                <w:color w:val="auto"/>
                <w:highlight w:val="none"/>
              </w:rPr>
              <w:t>指挥领导小组</w:t>
            </w:r>
            <w:r>
              <w:rPr>
                <w:rFonts w:hint="eastAsia" w:cs="Times New Roman"/>
                <w:color w:val="auto"/>
                <w:highlight w:val="none"/>
              </w:rPr>
              <w:t>”</w:t>
            </w:r>
            <w:r>
              <w:rPr>
                <w:rFonts w:cs="Times New Roman"/>
                <w:color w:val="auto"/>
                <w:highlight w:val="none"/>
              </w:rPr>
              <w:t>，由总经理、副总经理及厂房工程（环保）、人力资源及行政（安全保卫）、财务、采购等部门经理组成。下设应急救援办公室，日常工作由人力资源及行政部（安全保卫）和厂房工程部（环保）共同管理。</w:t>
            </w:r>
          </w:p>
        </w:tc>
      </w:tr>
      <w:tr w14:paraId="4F260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0E0A684A">
            <w:pPr>
              <w:pStyle w:val="69"/>
              <w:spacing w:before="62" w:after="62"/>
              <w:rPr>
                <w:rFonts w:cs="Times New Roman"/>
                <w:color w:val="auto"/>
                <w:highlight w:val="none"/>
              </w:rPr>
            </w:pPr>
            <w:r>
              <w:rPr>
                <w:rFonts w:cs="Times New Roman"/>
                <w:color w:val="auto"/>
                <w:highlight w:val="none"/>
              </w:rPr>
              <w:t>3</w:t>
            </w:r>
          </w:p>
        </w:tc>
        <w:tc>
          <w:tcPr>
            <w:tcW w:w="770" w:type="pct"/>
            <w:vAlign w:val="center"/>
          </w:tcPr>
          <w:p w14:paraId="404F8E50">
            <w:pPr>
              <w:pStyle w:val="69"/>
              <w:spacing w:before="62" w:after="62"/>
              <w:rPr>
                <w:rFonts w:cs="Times New Roman"/>
                <w:color w:val="auto"/>
                <w:highlight w:val="none"/>
              </w:rPr>
            </w:pPr>
            <w:r>
              <w:rPr>
                <w:rFonts w:cs="Times New Roman"/>
                <w:color w:val="auto"/>
                <w:highlight w:val="none"/>
              </w:rPr>
              <w:t>预案分级响应条件</w:t>
            </w:r>
          </w:p>
        </w:tc>
        <w:tc>
          <w:tcPr>
            <w:tcW w:w="3813" w:type="pct"/>
            <w:vAlign w:val="center"/>
          </w:tcPr>
          <w:p w14:paraId="47136C14">
            <w:pPr>
              <w:pStyle w:val="69"/>
              <w:spacing w:before="62" w:after="62"/>
              <w:jc w:val="both"/>
              <w:rPr>
                <w:rFonts w:cs="Times New Roman"/>
                <w:color w:val="auto"/>
                <w:highlight w:val="none"/>
              </w:rPr>
            </w:pPr>
            <w:r>
              <w:rPr>
                <w:rFonts w:cs="Times New Roman"/>
                <w:color w:val="auto"/>
                <w:highlight w:val="none"/>
              </w:rPr>
              <w:t>项目应急响应分为三级响应：一级响应：项目内部响应；二级响应：与镇级共同响应；三级响应：与市级主管部门共同响应</w:t>
            </w:r>
          </w:p>
        </w:tc>
      </w:tr>
      <w:tr w14:paraId="7DEE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pct"/>
            <w:vAlign w:val="center"/>
          </w:tcPr>
          <w:p w14:paraId="01CE0C74">
            <w:pPr>
              <w:pStyle w:val="69"/>
              <w:spacing w:before="62" w:after="62"/>
              <w:rPr>
                <w:rFonts w:cs="Times New Roman"/>
                <w:color w:val="auto"/>
                <w:highlight w:val="none"/>
              </w:rPr>
            </w:pPr>
            <w:r>
              <w:rPr>
                <w:rFonts w:cs="Times New Roman"/>
                <w:color w:val="auto"/>
                <w:highlight w:val="none"/>
              </w:rPr>
              <w:t>4</w:t>
            </w:r>
          </w:p>
        </w:tc>
        <w:tc>
          <w:tcPr>
            <w:tcW w:w="770" w:type="pct"/>
            <w:vAlign w:val="center"/>
          </w:tcPr>
          <w:p w14:paraId="58C061E1">
            <w:pPr>
              <w:pStyle w:val="69"/>
              <w:spacing w:before="62" w:after="62"/>
              <w:rPr>
                <w:rFonts w:cs="Times New Roman"/>
                <w:color w:val="auto"/>
                <w:highlight w:val="none"/>
              </w:rPr>
            </w:pPr>
            <w:r>
              <w:rPr>
                <w:rFonts w:cs="Times New Roman"/>
                <w:color w:val="auto"/>
                <w:highlight w:val="none"/>
              </w:rPr>
              <w:t>应急救援保障</w:t>
            </w:r>
          </w:p>
        </w:tc>
        <w:tc>
          <w:tcPr>
            <w:tcW w:w="3813" w:type="pct"/>
            <w:vAlign w:val="center"/>
          </w:tcPr>
          <w:p w14:paraId="6777E73B">
            <w:pPr>
              <w:pStyle w:val="69"/>
              <w:spacing w:before="62" w:after="62"/>
              <w:jc w:val="both"/>
              <w:rPr>
                <w:rFonts w:cs="Times New Roman"/>
                <w:color w:val="auto"/>
                <w:highlight w:val="none"/>
              </w:rPr>
            </w:pPr>
            <w:r>
              <w:rPr>
                <w:rFonts w:cs="Times New Roman"/>
                <w:color w:val="auto"/>
                <w:highlight w:val="none"/>
              </w:rPr>
              <w:t>针对危险目标，事先将抢险抢修、个体防护、医疗救援、通讯联络等装备器材配备齐全。平时要专人维护、保管、检验，确保器材始终处于完好状态，保证能有效使用。</w:t>
            </w:r>
          </w:p>
        </w:tc>
      </w:tr>
      <w:tr w14:paraId="0C27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pct"/>
            <w:vAlign w:val="center"/>
          </w:tcPr>
          <w:p w14:paraId="46C59167">
            <w:pPr>
              <w:pStyle w:val="69"/>
              <w:spacing w:before="62" w:after="62"/>
              <w:rPr>
                <w:rFonts w:cs="Times New Roman"/>
                <w:color w:val="auto"/>
                <w:highlight w:val="none"/>
              </w:rPr>
            </w:pPr>
            <w:r>
              <w:rPr>
                <w:rFonts w:cs="Times New Roman"/>
                <w:color w:val="auto"/>
                <w:highlight w:val="none"/>
              </w:rPr>
              <w:t>5</w:t>
            </w:r>
          </w:p>
        </w:tc>
        <w:tc>
          <w:tcPr>
            <w:tcW w:w="770" w:type="pct"/>
            <w:vAlign w:val="center"/>
          </w:tcPr>
          <w:p w14:paraId="2467F3B6">
            <w:pPr>
              <w:pStyle w:val="69"/>
              <w:spacing w:before="62" w:after="62"/>
              <w:rPr>
                <w:rFonts w:cs="Times New Roman"/>
                <w:color w:val="auto"/>
                <w:highlight w:val="none"/>
              </w:rPr>
            </w:pPr>
            <w:r>
              <w:rPr>
                <w:rFonts w:cs="Times New Roman"/>
                <w:color w:val="auto"/>
                <w:highlight w:val="none"/>
              </w:rPr>
              <w:t>报警、通讯联络方式</w:t>
            </w:r>
          </w:p>
        </w:tc>
        <w:tc>
          <w:tcPr>
            <w:tcW w:w="3813" w:type="pct"/>
            <w:vAlign w:val="center"/>
          </w:tcPr>
          <w:p w14:paraId="42FD580C">
            <w:pPr>
              <w:pStyle w:val="69"/>
              <w:spacing w:before="62" w:after="62"/>
              <w:jc w:val="both"/>
              <w:rPr>
                <w:rFonts w:cs="Times New Roman"/>
                <w:color w:val="auto"/>
                <w:highlight w:val="none"/>
              </w:rPr>
            </w:pPr>
            <w:r>
              <w:rPr>
                <w:rFonts w:cs="Times New Roman"/>
                <w:color w:val="auto"/>
                <w:highlight w:val="none"/>
              </w:rPr>
              <w:t>根据公司突发环境污染事故</w:t>
            </w:r>
            <w:r>
              <w:rPr>
                <w:rFonts w:hint="eastAsia" w:cs="Times New Roman"/>
                <w:color w:val="auto"/>
                <w:highlight w:val="none"/>
              </w:rPr>
              <w:t>“</w:t>
            </w:r>
            <w:r>
              <w:rPr>
                <w:rFonts w:cs="Times New Roman"/>
                <w:color w:val="auto"/>
                <w:highlight w:val="none"/>
              </w:rPr>
              <w:t>公司应急指挥中心</w:t>
            </w:r>
            <w:r>
              <w:rPr>
                <w:rFonts w:hint="eastAsia" w:cs="Times New Roman"/>
                <w:color w:val="auto"/>
                <w:highlight w:val="none"/>
              </w:rPr>
              <w:t>”</w:t>
            </w:r>
            <w:r>
              <w:rPr>
                <w:rFonts w:cs="Times New Roman"/>
                <w:color w:val="auto"/>
                <w:highlight w:val="none"/>
              </w:rPr>
              <w:t>组成以及政府、社会各外部救援单位的主要联系电话，印发</w:t>
            </w:r>
            <w:r>
              <w:rPr>
                <w:rFonts w:hint="eastAsia" w:cs="Times New Roman"/>
                <w:color w:val="auto"/>
                <w:highlight w:val="none"/>
              </w:rPr>
              <w:t>“</w:t>
            </w:r>
            <w:r>
              <w:rPr>
                <w:rFonts w:cs="Times New Roman"/>
                <w:color w:val="auto"/>
                <w:highlight w:val="none"/>
              </w:rPr>
              <w:t>突发事故应急通讯名录</w:t>
            </w:r>
            <w:r>
              <w:rPr>
                <w:rFonts w:hint="eastAsia" w:cs="Times New Roman"/>
                <w:color w:val="auto"/>
                <w:highlight w:val="none"/>
              </w:rPr>
              <w:t>”</w:t>
            </w:r>
            <w:r>
              <w:rPr>
                <w:rFonts w:cs="Times New Roman"/>
                <w:color w:val="auto"/>
                <w:highlight w:val="none"/>
              </w:rPr>
              <w:t>并定期更新。</w:t>
            </w:r>
          </w:p>
        </w:tc>
      </w:tr>
      <w:tr w14:paraId="6198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64DBF3FE">
            <w:pPr>
              <w:pStyle w:val="69"/>
              <w:spacing w:before="62" w:after="62"/>
              <w:rPr>
                <w:rFonts w:cs="Times New Roman"/>
                <w:color w:val="auto"/>
                <w:highlight w:val="none"/>
              </w:rPr>
            </w:pPr>
            <w:r>
              <w:rPr>
                <w:rFonts w:cs="Times New Roman"/>
                <w:color w:val="auto"/>
                <w:highlight w:val="none"/>
              </w:rPr>
              <w:t>6</w:t>
            </w:r>
          </w:p>
        </w:tc>
        <w:tc>
          <w:tcPr>
            <w:tcW w:w="770" w:type="pct"/>
            <w:vAlign w:val="center"/>
          </w:tcPr>
          <w:p w14:paraId="652C4E08">
            <w:pPr>
              <w:pStyle w:val="69"/>
              <w:spacing w:before="62" w:after="62"/>
              <w:rPr>
                <w:rFonts w:cs="Times New Roman"/>
                <w:color w:val="auto"/>
                <w:highlight w:val="none"/>
              </w:rPr>
            </w:pPr>
            <w:r>
              <w:rPr>
                <w:rFonts w:cs="Times New Roman"/>
                <w:color w:val="auto"/>
                <w:highlight w:val="none"/>
              </w:rPr>
              <w:t>突发事故应急措施及应急监测</w:t>
            </w:r>
          </w:p>
        </w:tc>
        <w:tc>
          <w:tcPr>
            <w:tcW w:w="3813" w:type="pct"/>
            <w:vAlign w:val="center"/>
          </w:tcPr>
          <w:p w14:paraId="6FBA8549">
            <w:pPr>
              <w:pStyle w:val="69"/>
              <w:spacing w:before="62" w:after="62"/>
              <w:jc w:val="both"/>
              <w:rPr>
                <w:rFonts w:cs="Times New Roman"/>
                <w:color w:val="auto"/>
                <w:highlight w:val="none"/>
              </w:rPr>
            </w:pPr>
            <w:r>
              <w:rPr>
                <w:rFonts w:cs="Times New Roman"/>
                <w:color w:val="auto"/>
                <w:highlight w:val="none"/>
              </w:rPr>
              <w:t>由专业队伍负责对事故现场进行侦察监测，对事故性质、参数后果进行评估，为指挥部门提供决策依据。</w:t>
            </w:r>
          </w:p>
        </w:tc>
      </w:tr>
      <w:tr w14:paraId="7334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2660C783">
            <w:pPr>
              <w:pStyle w:val="69"/>
              <w:spacing w:before="62" w:after="62"/>
              <w:rPr>
                <w:rFonts w:cs="Times New Roman"/>
                <w:color w:val="auto"/>
                <w:highlight w:val="none"/>
              </w:rPr>
            </w:pPr>
            <w:r>
              <w:rPr>
                <w:rFonts w:cs="Times New Roman"/>
                <w:color w:val="auto"/>
                <w:highlight w:val="none"/>
              </w:rPr>
              <w:t>7</w:t>
            </w:r>
          </w:p>
        </w:tc>
        <w:tc>
          <w:tcPr>
            <w:tcW w:w="770" w:type="pct"/>
            <w:vAlign w:val="center"/>
          </w:tcPr>
          <w:p w14:paraId="69D2AEAD">
            <w:pPr>
              <w:pStyle w:val="69"/>
              <w:spacing w:before="62" w:after="62"/>
              <w:rPr>
                <w:rFonts w:cs="Times New Roman"/>
                <w:color w:val="auto"/>
                <w:highlight w:val="none"/>
              </w:rPr>
            </w:pPr>
            <w:r>
              <w:rPr>
                <w:rFonts w:cs="Times New Roman"/>
                <w:color w:val="auto"/>
                <w:highlight w:val="none"/>
              </w:rPr>
              <w:t>事故应急救援关闭程序与恢复措施</w:t>
            </w:r>
          </w:p>
        </w:tc>
        <w:tc>
          <w:tcPr>
            <w:tcW w:w="3813" w:type="pct"/>
            <w:vAlign w:val="center"/>
          </w:tcPr>
          <w:p w14:paraId="528404A1">
            <w:pPr>
              <w:pStyle w:val="69"/>
              <w:spacing w:before="62" w:after="62"/>
              <w:jc w:val="both"/>
              <w:rPr>
                <w:rFonts w:cs="Times New Roman"/>
                <w:color w:val="auto"/>
                <w:highlight w:val="none"/>
              </w:rPr>
            </w:pPr>
            <w:r>
              <w:rPr>
                <w:rFonts w:cs="Times New Roman"/>
                <w:color w:val="auto"/>
                <w:highlight w:val="none"/>
              </w:rPr>
              <w:t>应急终止的程序：</w:t>
            </w:r>
          </w:p>
          <w:p w14:paraId="2DB26FE7">
            <w:pPr>
              <w:pStyle w:val="69"/>
              <w:spacing w:before="62" w:after="62"/>
              <w:jc w:val="both"/>
              <w:rPr>
                <w:rFonts w:cs="Times New Roman"/>
                <w:color w:val="auto"/>
                <w:highlight w:val="none"/>
              </w:rPr>
            </w:pPr>
            <w:r>
              <w:rPr>
                <w:rFonts w:cs="Times New Roman"/>
                <w:color w:val="auto"/>
                <w:highlight w:val="none"/>
              </w:rPr>
              <w:t>①现场应急救援指挥中心确认终止时机。</w:t>
            </w:r>
          </w:p>
          <w:p w14:paraId="317BBB79">
            <w:pPr>
              <w:pStyle w:val="69"/>
              <w:spacing w:before="62" w:after="62"/>
              <w:jc w:val="both"/>
              <w:rPr>
                <w:rFonts w:cs="Times New Roman"/>
                <w:color w:val="auto"/>
                <w:highlight w:val="none"/>
              </w:rPr>
            </w:pPr>
            <w:r>
              <w:rPr>
                <w:rFonts w:cs="Times New Roman"/>
                <w:color w:val="auto"/>
                <w:highlight w:val="none"/>
              </w:rPr>
              <w:t>②应急救援指挥中心向应急救援队伍下达终止命令。</w:t>
            </w:r>
          </w:p>
          <w:p w14:paraId="72D3E087">
            <w:pPr>
              <w:pStyle w:val="69"/>
              <w:spacing w:before="62" w:after="62"/>
              <w:jc w:val="both"/>
              <w:rPr>
                <w:rFonts w:cs="Times New Roman"/>
                <w:color w:val="auto"/>
                <w:highlight w:val="none"/>
              </w:rPr>
            </w:pPr>
            <w:r>
              <w:rPr>
                <w:rFonts w:cs="Times New Roman"/>
                <w:color w:val="auto"/>
                <w:highlight w:val="none"/>
              </w:rPr>
              <w:t>③继续进行环境监测和评价工作，直至其他补救措施无需继续进行为止。</w:t>
            </w:r>
          </w:p>
          <w:p w14:paraId="45599780">
            <w:pPr>
              <w:pStyle w:val="69"/>
              <w:spacing w:before="62" w:after="62"/>
              <w:jc w:val="both"/>
              <w:rPr>
                <w:rFonts w:cs="Times New Roman"/>
                <w:color w:val="auto"/>
                <w:highlight w:val="none"/>
              </w:rPr>
            </w:pPr>
            <w:r>
              <w:rPr>
                <w:rFonts w:cs="Times New Roman"/>
                <w:color w:val="auto"/>
                <w:highlight w:val="none"/>
              </w:rPr>
              <w:t>恢复生产的条件：</w:t>
            </w:r>
          </w:p>
          <w:p w14:paraId="1915D81A">
            <w:pPr>
              <w:pStyle w:val="69"/>
              <w:spacing w:before="62" w:after="62"/>
              <w:jc w:val="both"/>
              <w:rPr>
                <w:rFonts w:cs="Times New Roman"/>
                <w:color w:val="auto"/>
                <w:highlight w:val="none"/>
              </w:rPr>
            </w:pPr>
            <w:r>
              <w:rPr>
                <w:rFonts w:cs="Times New Roman"/>
                <w:color w:val="auto"/>
                <w:highlight w:val="none"/>
              </w:rPr>
              <w:t>①事故现场清理、洗刷、消毒完毕，不存在危险源；</w:t>
            </w:r>
          </w:p>
          <w:p w14:paraId="761025AC">
            <w:pPr>
              <w:pStyle w:val="69"/>
              <w:spacing w:before="62" w:after="62"/>
              <w:jc w:val="both"/>
              <w:rPr>
                <w:rFonts w:cs="Times New Roman"/>
                <w:color w:val="auto"/>
                <w:highlight w:val="none"/>
              </w:rPr>
            </w:pPr>
            <w:r>
              <w:rPr>
                <w:rFonts w:cs="Times New Roman"/>
                <w:color w:val="auto"/>
                <w:highlight w:val="none"/>
              </w:rPr>
              <w:t>②防止事故再次发生的安全防范措施已落实到位，受伤人员得到治疗，情况基本稳定；</w:t>
            </w:r>
          </w:p>
          <w:p w14:paraId="64823B95">
            <w:pPr>
              <w:pStyle w:val="69"/>
              <w:spacing w:before="62" w:after="62"/>
              <w:jc w:val="both"/>
              <w:rPr>
                <w:rFonts w:cs="Times New Roman"/>
                <w:color w:val="auto"/>
                <w:highlight w:val="none"/>
              </w:rPr>
            </w:pPr>
            <w:r>
              <w:rPr>
                <w:rFonts w:cs="Times New Roman"/>
                <w:color w:val="auto"/>
                <w:highlight w:val="none"/>
              </w:rPr>
              <w:t>③设备设施检测符合运行要求，可恢复运行。</w:t>
            </w:r>
          </w:p>
        </w:tc>
      </w:tr>
      <w:tr w14:paraId="2C620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45CF983F">
            <w:pPr>
              <w:pStyle w:val="69"/>
              <w:spacing w:before="62" w:after="62"/>
              <w:rPr>
                <w:rFonts w:cs="Times New Roman"/>
                <w:color w:val="auto"/>
                <w:highlight w:val="none"/>
              </w:rPr>
            </w:pPr>
            <w:r>
              <w:rPr>
                <w:rFonts w:cs="Times New Roman"/>
                <w:color w:val="auto"/>
                <w:highlight w:val="none"/>
              </w:rPr>
              <w:t>8</w:t>
            </w:r>
          </w:p>
        </w:tc>
        <w:tc>
          <w:tcPr>
            <w:tcW w:w="770" w:type="pct"/>
            <w:vAlign w:val="center"/>
          </w:tcPr>
          <w:p w14:paraId="4810869F">
            <w:pPr>
              <w:pStyle w:val="69"/>
              <w:spacing w:before="62" w:after="62"/>
              <w:rPr>
                <w:rFonts w:cs="Times New Roman"/>
                <w:color w:val="auto"/>
                <w:highlight w:val="none"/>
              </w:rPr>
            </w:pPr>
            <w:r>
              <w:rPr>
                <w:rFonts w:cs="Times New Roman"/>
                <w:color w:val="auto"/>
                <w:highlight w:val="none"/>
              </w:rPr>
              <w:t>应急培训计划</w:t>
            </w:r>
          </w:p>
        </w:tc>
        <w:tc>
          <w:tcPr>
            <w:tcW w:w="3813" w:type="pct"/>
            <w:vAlign w:val="center"/>
          </w:tcPr>
          <w:p w14:paraId="3D096485">
            <w:pPr>
              <w:pStyle w:val="69"/>
              <w:spacing w:before="62" w:after="62"/>
              <w:jc w:val="both"/>
              <w:rPr>
                <w:rFonts w:cs="Times New Roman"/>
                <w:color w:val="auto"/>
                <w:highlight w:val="none"/>
              </w:rPr>
            </w:pPr>
            <w:r>
              <w:rPr>
                <w:rFonts w:cs="Times New Roman"/>
                <w:color w:val="auto"/>
                <w:highlight w:val="none"/>
              </w:rPr>
              <w:t>根据公司的风险防范措施及事故应急计划，制定相应的培训计划，对公司应急小组成员及一般员工进行定期培训。对于环保管理人员和有关操作人员应建立</w:t>
            </w:r>
            <w:r>
              <w:rPr>
                <w:rFonts w:hint="eastAsia" w:cs="Times New Roman"/>
                <w:color w:val="auto"/>
                <w:highlight w:val="none"/>
              </w:rPr>
              <w:t>“</w:t>
            </w:r>
            <w:r>
              <w:rPr>
                <w:rFonts w:cs="Times New Roman"/>
                <w:color w:val="auto"/>
                <w:highlight w:val="none"/>
              </w:rPr>
              <w:t>先培训、后上岗</w:t>
            </w:r>
            <w:r>
              <w:rPr>
                <w:rFonts w:hint="eastAsia" w:cs="Times New Roman"/>
                <w:color w:val="auto"/>
                <w:highlight w:val="none"/>
              </w:rPr>
              <w:t>”</w:t>
            </w:r>
            <w:r>
              <w:rPr>
                <w:rFonts w:cs="Times New Roman"/>
                <w:color w:val="auto"/>
                <w:highlight w:val="none"/>
              </w:rPr>
              <w:t>、</w:t>
            </w:r>
            <w:r>
              <w:rPr>
                <w:rFonts w:hint="eastAsia" w:cs="Times New Roman"/>
                <w:color w:val="auto"/>
                <w:highlight w:val="none"/>
              </w:rPr>
              <w:t>“</w:t>
            </w:r>
            <w:r>
              <w:rPr>
                <w:rFonts w:cs="Times New Roman"/>
                <w:color w:val="auto"/>
                <w:highlight w:val="none"/>
              </w:rPr>
              <w:t>定期培训安全和环保法规、知识以及突发性事故应急处理技术</w:t>
            </w:r>
            <w:r>
              <w:rPr>
                <w:rFonts w:hint="eastAsia" w:cs="Times New Roman"/>
                <w:color w:val="auto"/>
                <w:highlight w:val="none"/>
              </w:rPr>
              <w:t>”</w:t>
            </w:r>
            <w:r>
              <w:rPr>
                <w:rFonts w:cs="Times New Roman"/>
                <w:color w:val="auto"/>
                <w:highlight w:val="none"/>
              </w:rPr>
              <w:t>的制度。</w:t>
            </w:r>
          </w:p>
        </w:tc>
      </w:tr>
      <w:tr w14:paraId="427FF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6" w:type="pct"/>
            <w:vAlign w:val="center"/>
          </w:tcPr>
          <w:p w14:paraId="476F63C7">
            <w:pPr>
              <w:pStyle w:val="69"/>
              <w:spacing w:before="62" w:after="62"/>
              <w:rPr>
                <w:rFonts w:cs="Times New Roman"/>
                <w:color w:val="auto"/>
                <w:highlight w:val="none"/>
              </w:rPr>
            </w:pPr>
            <w:r>
              <w:rPr>
                <w:rFonts w:cs="Times New Roman"/>
                <w:color w:val="auto"/>
                <w:highlight w:val="none"/>
              </w:rPr>
              <w:t>9</w:t>
            </w:r>
          </w:p>
        </w:tc>
        <w:tc>
          <w:tcPr>
            <w:tcW w:w="770" w:type="pct"/>
            <w:vAlign w:val="center"/>
          </w:tcPr>
          <w:p w14:paraId="17539DBD">
            <w:pPr>
              <w:pStyle w:val="69"/>
              <w:spacing w:before="62" w:after="62"/>
              <w:rPr>
                <w:rFonts w:cs="Times New Roman"/>
                <w:color w:val="auto"/>
                <w:highlight w:val="none"/>
              </w:rPr>
            </w:pPr>
            <w:r>
              <w:rPr>
                <w:rFonts w:cs="Times New Roman"/>
                <w:color w:val="auto"/>
                <w:highlight w:val="none"/>
              </w:rPr>
              <w:t>公众教育和信息</w:t>
            </w:r>
          </w:p>
        </w:tc>
        <w:tc>
          <w:tcPr>
            <w:tcW w:w="3813" w:type="pct"/>
            <w:vAlign w:val="center"/>
          </w:tcPr>
          <w:p w14:paraId="7DD72A55">
            <w:pPr>
              <w:pStyle w:val="69"/>
              <w:spacing w:before="62" w:after="62"/>
              <w:jc w:val="both"/>
              <w:rPr>
                <w:rFonts w:cs="Times New Roman"/>
                <w:color w:val="auto"/>
                <w:highlight w:val="none"/>
              </w:rPr>
            </w:pPr>
            <w:r>
              <w:rPr>
                <w:rFonts w:cs="Times New Roman"/>
                <w:color w:val="auto"/>
                <w:highlight w:val="none"/>
              </w:rPr>
              <w:t>利用企业对外宣传栏、周边村委会的公众宣传栏，以墙报</w:t>
            </w:r>
            <w:r>
              <w:rPr>
                <w:rFonts w:hint="eastAsia" w:cs="Times New Roman"/>
                <w:color w:val="auto"/>
                <w:highlight w:val="none"/>
              </w:rPr>
              <w:t>、宣</w:t>
            </w:r>
            <w:r>
              <w:rPr>
                <w:rFonts w:cs="Times New Roman"/>
                <w:color w:val="auto"/>
                <w:highlight w:val="none"/>
              </w:rPr>
              <w:t>传单等形式对公司周边居民、工作人员进行危险化学品辨析、事故防范常识、应急处理措施等内容的宣传。向居民开设环境风险防范座谈会，邀请专业技术人员宣讲风险防范知识。</w:t>
            </w:r>
          </w:p>
        </w:tc>
      </w:tr>
      <w:tr w14:paraId="25A9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6" w:type="pct"/>
            <w:vAlign w:val="center"/>
          </w:tcPr>
          <w:p w14:paraId="41D16CBD">
            <w:pPr>
              <w:pStyle w:val="69"/>
              <w:spacing w:before="62" w:after="62"/>
              <w:rPr>
                <w:rFonts w:cs="Times New Roman"/>
                <w:color w:val="auto"/>
                <w:highlight w:val="none"/>
              </w:rPr>
            </w:pPr>
            <w:r>
              <w:rPr>
                <w:rFonts w:cs="Times New Roman"/>
                <w:color w:val="auto"/>
                <w:highlight w:val="none"/>
              </w:rPr>
              <w:t>10</w:t>
            </w:r>
          </w:p>
        </w:tc>
        <w:tc>
          <w:tcPr>
            <w:tcW w:w="770" w:type="pct"/>
            <w:vAlign w:val="center"/>
          </w:tcPr>
          <w:p w14:paraId="1A4578C3">
            <w:pPr>
              <w:pStyle w:val="69"/>
              <w:spacing w:before="62" w:after="62"/>
              <w:rPr>
                <w:rFonts w:cs="Times New Roman"/>
                <w:color w:val="auto"/>
                <w:highlight w:val="none"/>
              </w:rPr>
            </w:pPr>
            <w:r>
              <w:rPr>
                <w:rFonts w:cs="Times New Roman"/>
                <w:color w:val="auto"/>
                <w:highlight w:val="none"/>
              </w:rPr>
              <w:t>记录和报告</w:t>
            </w:r>
          </w:p>
        </w:tc>
        <w:tc>
          <w:tcPr>
            <w:tcW w:w="3813" w:type="pct"/>
            <w:vAlign w:val="center"/>
          </w:tcPr>
          <w:p w14:paraId="76368C1B">
            <w:pPr>
              <w:pStyle w:val="69"/>
              <w:spacing w:before="62" w:after="62"/>
              <w:jc w:val="both"/>
              <w:rPr>
                <w:rFonts w:cs="Times New Roman"/>
                <w:color w:val="auto"/>
                <w:highlight w:val="none"/>
              </w:rPr>
            </w:pPr>
            <w:r>
              <w:rPr>
                <w:rFonts w:cs="Times New Roman"/>
                <w:color w:val="auto"/>
                <w:highlight w:val="none"/>
              </w:rPr>
              <w:t>设置应急事故专门记录，建立档案和专门报告制度，</w:t>
            </w:r>
            <w:r>
              <w:rPr>
                <w:rFonts w:hint="eastAsia" w:cs="Times New Roman"/>
                <w:color w:val="auto"/>
                <w:highlight w:val="none"/>
              </w:rPr>
              <w:t>设立</w:t>
            </w:r>
            <w:r>
              <w:rPr>
                <w:rFonts w:cs="Times New Roman"/>
                <w:color w:val="auto"/>
                <w:highlight w:val="none"/>
              </w:rPr>
              <w:t>专门部门负责管理。</w:t>
            </w:r>
          </w:p>
        </w:tc>
      </w:tr>
    </w:tbl>
    <w:p w14:paraId="005C4241">
      <w:pPr>
        <w:pStyle w:val="5"/>
        <w:adjustRightInd w:val="0"/>
        <w:rPr>
          <w:rFonts w:cs="Times New Roman"/>
          <w:color w:val="auto"/>
          <w:highlight w:val="none"/>
        </w:rPr>
      </w:pPr>
      <w:r>
        <w:rPr>
          <w:rFonts w:cs="Times New Roman"/>
          <w:color w:val="auto"/>
          <w:highlight w:val="none"/>
        </w:rPr>
        <w:t>应急救援程序</w:t>
      </w:r>
    </w:p>
    <w:p w14:paraId="6E666E02">
      <w:pPr>
        <w:adjustRightInd w:val="0"/>
        <w:ind w:firstLine="480"/>
        <w:rPr>
          <w:rFonts w:cs="Times New Roman"/>
          <w:color w:val="auto"/>
          <w:highlight w:val="none"/>
        </w:rPr>
      </w:pPr>
      <w:r>
        <w:rPr>
          <w:rFonts w:cs="Times New Roman"/>
          <w:color w:val="auto"/>
          <w:highlight w:val="none"/>
        </w:rPr>
        <w:t>（1）当事故或紧急情况发生时，事故当事人或发现人立即向值班班长和应急事故处理小组报告，并采取应急措施，防止事故扩大。</w:t>
      </w:r>
    </w:p>
    <w:p w14:paraId="6A973DFC">
      <w:pPr>
        <w:adjustRightInd w:val="0"/>
        <w:ind w:firstLine="480"/>
        <w:rPr>
          <w:rFonts w:cs="Times New Roman"/>
          <w:color w:val="auto"/>
          <w:highlight w:val="none"/>
        </w:rPr>
      </w:pPr>
      <w:r>
        <w:rPr>
          <w:rFonts w:cs="Times New Roman"/>
          <w:color w:val="auto"/>
          <w:highlight w:val="none"/>
        </w:rPr>
        <w:t>（2）值班长接到报告后，应立即通知环保部门，协助环保部门赶赴事故现场处理环境事故或紧急情况。</w:t>
      </w:r>
    </w:p>
    <w:p w14:paraId="4731CD21">
      <w:pPr>
        <w:adjustRightInd w:val="0"/>
        <w:ind w:firstLine="480"/>
        <w:rPr>
          <w:rFonts w:cs="Times New Roman"/>
          <w:color w:val="auto"/>
          <w:highlight w:val="none"/>
        </w:rPr>
      </w:pPr>
      <w:r>
        <w:rPr>
          <w:rFonts w:cs="Times New Roman"/>
          <w:color w:val="auto"/>
          <w:highlight w:val="none"/>
        </w:rPr>
        <w:t>（3）污水事故排放处置。</w:t>
      </w:r>
    </w:p>
    <w:p w14:paraId="5C9749FF">
      <w:pPr>
        <w:adjustRightInd w:val="0"/>
        <w:ind w:firstLine="480"/>
        <w:rPr>
          <w:rFonts w:cs="Times New Roman"/>
          <w:color w:val="auto"/>
          <w:highlight w:val="none"/>
        </w:rPr>
      </w:pPr>
      <w:r>
        <w:rPr>
          <w:rFonts w:cs="Times New Roman"/>
          <w:color w:val="auto"/>
          <w:highlight w:val="none"/>
        </w:rPr>
        <w:t>①应立即启动应急预案。</w:t>
      </w:r>
    </w:p>
    <w:p w14:paraId="32FEA1C4">
      <w:pPr>
        <w:adjustRightInd w:val="0"/>
        <w:ind w:firstLine="480"/>
        <w:rPr>
          <w:rFonts w:cs="Times New Roman"/>
          <w:color w:val="auto"/>
          <w:highlight w:val="none"/>
        </w:rPr>
      </w:pPr>
      <w:r>
        <w:rPr>
          <w:rFonts w:cs="Times New Roman"/>
          <w:color w:val="auto"/>
          <w:highlight w:val="none"/>
        </w:rPr>
        <w:t>②收集事故废水。</w:t>
      </w:r>
    </w:p>
    <w:p w14:paraId="6D90A5C8">
      <w:pPr>
        <w:adjustRightInd w:val="0"/>
        <w:ind w:firstLine="480"/>
        <w:rPr>
          <w:rFonts w:cs="Times New Roman"/>
          <w:color w:val="auto"/>
          <w:highlight w:val="none"/>
        </w:rPr>
      </w:pPr>
      <w:r>
        <w:rPr>
          <w:rFonts w:cs="Times New Roman"/>
          <w:color w:val="auto"/>
          <w:highlight w:val="none"/>
        </w:rPr>
        <w:t>③分析事故原因，及时向上级有关部门汇报。</w:t>
      </w:r>
    </w:p>
    <w:p w14:paraId="6134D1BB">
      <w:pPr>
        <w:pStyle w:val="58"/>
        <w:adjustRightInd w:val="0"/>
        <w:rPr>
          <w:rFonts w:ascii="Times New Roman" w:hAnsi="Times New Roman"/>
          <w:color w:val="auto"/>
          <w:highlight w:val="none"/>
        </w:rPr>
      </w:pPr>
      <w:r>
        <w:rPr>
          <w:rFonts w:ascii="Times New Roman" w:hAnsi="Times New Roman"/>
          <w:color w:val="auto"/>
          <w:highlight w:val="none"/>
        </w:rPr>
        <w:drawing>
          <wp:inline distT="0" distB="0" distL="114300" distR="114300">
            <wp:extent cx="4636135" cy="3677920"/>
            <wp:effectExtent l="0" t="0" r="12065" b="17780"/>
            <wp:docPr id="1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5"/>
                    <pic:cNvPicPr>
                      <a:picLocks noChangeAspect="1"/>
                    </pic:cNvPicPr>
                  </pic:nvPicPr>
                  <pic:blipFill>
                    <a:blip r:embed="rId55"/>
                    <a:stretch>
                      <a:fillRect/>
                    </a:stretch>
                  </pic:blipFill>
                  <pic:spPr>
                    <a:xfrm>
                      <a:off x="0" y="0"/>
                      <a:ext cx="4636135" cy="3677920"/>
                    </a:xfrm>
                    <a:prstGeom prst="rect">
                      <a:avLst/>
                    </a:prstGeom>
                    <a:noFill/>
                    <a:ln>
                      <a:noFill/>
                    </a:ln>
                  </pic:spPr>
                </pic:pic>
              </a:graphicData>
            </a:graphic>
          </wp:inline>
        </w:drawing>
      </w:r>
    </w:p>
    <w:p w14:paraId="425ED850">
      <w:pPr>
        <w:pStyle w:val="12"/>
        <w:keepNext w:val="0"/>
        <w:overflowPunct w:val="0"/>
        <w:adjustRightInd w:val="0"/>
        <w:spacing w:before="62" w:beforeLines="20" w:after="62" w:afterLines="20"/>
        <w:ind w:left="425"/>
        <w:rPr>
          <w:rFonts w:cs="Times New Roman"/>
          <w:bCs/>
          <w:color w:val="auto"/>
          <w:kern w:val="21"/>
          <w:szCs w:val="21"/>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bCs/>
          <w:color w:val="auto"/>
          <w:kern w:val="21"/>
          <w:szCs w:val="21"/>
          <w:highlight w:val="none"/>
        </w:rPr>
        <w:t>应急救援程序图</w:t>
      </w:r>
    </w:p>
    <w:p w14:paraId="4B9D45AF">
      <w:pPr>
        <w:pStyle w:val="4"/>
        <w:adjustRightInd w:val="0"/>
        <w:rPr>
          <w:rFonts w:cs="Times New Roman"/>
          <w:color w:val="auto"/>
          <w:highlight w:val="none"/>
        </w:rPr>
      </w:pPr>
      <w:bookmarkStart w:id="239" w:name="_Toc21846"/>
      <w:bookmarkStart w:id="240" w:name="_Toc14691"/>
      <w:bookmarkStart w:id="241" w:name="_Toc7524"/>
      <w:r>
        <w:rPr>
          <w:rFonts w:cs="Times New Roman"/>
          <w:color w:val="auto"/>
          <w:highlight w:val="none"/>
        </w:rPr>
        <w:t>重污染天气应急预案</w:t>
      </w:r>
      <w:bookmarkEnd w:id="239"/>
      <w:bookmarkEnd w:id="240"/>
      <w:bookmarkEnd w:id="241"/>
    </w:p>
    <w:p w14:paraId="6B87357F">
      <w:pPr>
        <w:pStyle w:val="5"/>
        <w:adjustRightInd w:val="0"/>
        <w:rPr>
          <w:rFonts w:cs="Times New Roman"/>
          <w:color w:val="auto"/>
          <w:highlight w:val="none"/>
        </w:rPr>
      </w:pPr>
      <w:r>
        <w:rPr>
          <w:rFonts w:cs="Times New Roman"/>
          <w:color w:val="auto"/>
          <w:highlight w:val="none"/>
        </w:rPr>
        <w:t>绩效分级指标</w:t>
      </w:r>
    </w:p>
    <w:p w14:paraId="3D1C2AB2">
      <w:pPr>
        <w:adjustRightInd w:val="0"/>
        <w:ind w:firstLine="480"/>
        <w:rPr>
          <w:rFonts w:cs="Times New Roman"/>
          <w:color w:val="auto"/>
          <w:highlight w:val="none"/>
        </w:rPr>
      </w:pPr>
      <w:r>
        <w:rPr>
          <w:rFonts w:cs="Times New Roman"/>
          <w:color w:val="auto"/>
          <w:highlight w:val="none"/>
        </w:rPr>
        <w:t>本项目将按照四川省生态环境厅关于《四川省重污染天气金属表面处理及热处理加工等10个行业应急减排措施制定技术指南》（2024年修订版）中</w:t>
      </w:r>
      <w:r>
        <w:rPr>
          <w:rFonts w:hint="eastAsia" w:cs="Times New Roman"/>
          <w:color w:val="auto"/>
          <w:highlight w:val="none"/>
        </w:rPr>
        <w:t>“</w:t>
      </w:r>
      <w:r>
        <w:rPr>
          <w:rFonts w:cs="Times New Roman"/>
          <w:color w:val="auto"/>
          <w:highlight w:val="none"/>
        </w:rPr>
        <w:t>二、矿石采选与石材加工</w:t>
      </w:r>
      <w:r>
        <w:rPr>
          <w:rFonts w:hint="eastAsia" w:cs="Times New Roman"/>
          <w:color w:val="auto"/>
          <w:highlight w:val="none"/>
        </w:rPr>
        <w:t>”</w:t>
      </w:r>
      <w:r>
        <w:rPr>
          <w:rFonts w:cs="Times New Roman"/>
          <w:color w:val="auto"/>
          <w:highlight w:val="none"/>
        </w:rPr>
        <w:t>的B级要求</w:t>
      </w:r>
      <w:r>
        <w:rPr>
          <w:rFonts w:hint="eastAsia" w:cs="Times New Roman"/>
          <w:color w:val="auto"/>
          <w:highlight w:val="none"/>
        </w:rPr>
        <w:t>和《四川省生态环境厅办公室关于重污染天气重点行业绩效分级有关事项的通知》（川环办函〔2024〕337号）</w:t>
      </w:r>
      <w:r>
        <w:rPr>
          <w:rFonts w:cs="Times New Roman"/>
          <w:color w:val="auto"/>
          <w:highlight w:val="none"/>
        </w:rPr>
        <w:t>执行重污染天气应急减排措施。</w:t>
      </w:r>
    </w:p>
    <w:p w14:paraId="7C9EB551">
      <w:pPr>
        <w:adjustRightInd w:val="0"/>
        <w:ind w:firstLine="480"/>
        <w:rPr>
          <w:rFonts w:cs="Times New Roman"/>
          <w:color w:val="auto"/>
          <w:highlight w:val="none"/>
        </w:rPr>
      </w:pPr>
      <w:r>
        <w:rPr>
          <w:rFonts w:cs="Times New Roman"/>
          <w:color w:val="auto"/>
          <w:highlight w:val="none"/>
        </w:rPr>
        <w:t>矿石采选行业绩效分级指标如下：</w:t>
      </w:r>
    </w:p>
    <w:p w14:paraId="6F9EEFA4">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8</w:t>
      </w:r>
      <w:r>
        <w:rPr>
          <w:rFonts w:cs="Times New Roman"/>
          <w:color w:val="auto"/>
          <w:highlight w:val="none"/>
        </w:rPr>
        <w:fldChar w:fldCharType="end"/>
      </w:r>
      <w:r>
        <w:rPr>
          <w:rFonts w:cs="Times New Roman"/>
          <w:color w:val="auto"/>
          <w:highlight w:val="none"/>
        </w:rPr>
        <w:t>矿石采选行业绩效分级指标（选矿）</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2450"/>
        <w:gridCol w:w="2838"/>
        <w:gridCol w:w="2266"/>
      </w:tblGrid>
      <w:tr w14:paraId="4D10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31" w:type="pct"/>
            <w:vAlign w:val="center"/>
          </w:tcPr>
          <w:p w14:paraId="3F5C534D">
            <w:pPr>
              <w:pStyle w:val="69"/>
              <w:spacing w:before="62" w:after="62"/>
              <w:rPr>
                <w:rFonts w:cs="Times New Roman"/>
                <w:b/>
                <w:bCs w:val="0"/>
                <w:color w:val="auto"/>
                <w:highlight w:val="none"/>
              </w:rPr>
            </w:pPr>
            <w:r>
              <w:rPr>
                <w:rFonts w:cs="Times New Roman"/>
                <w:b/>
                <w:bCs w:val="0"/>
                <w:color w:val="auto"/>
                <w:highlight w:val="none"/>
              </w:rPr>
              <w:t>差异化指标</w:t>
            </w:r>
          </w:p>
        </w:tc>
        <w:tc>
          <w:tcPr>
            <w:tcW w:w="1352" w:type="pct"/>
            <w:vAlign w:val="center"/>
          </w:tcPr>
          <w:p w14:paraId="53F47A07">
            <w:pPr>
              <w:pStyle w:val="69"/>
              <w:spacing w:before="62" w:after="62"/>
              <w:rPr>
                <w:rFonts w:cs="Times New Roman"/>
                <w:b/>
                <w:bCs w:val="0"/>
                <w:color w:val="auto"/>
                <w:highlight w:val="none"/>
              </w:rPr>
            </w:pPr>
            <w:r>
              <w:rPr>
                <w:rFonts w:cs="Times New Roman"/>
                <w:b/>
                <w:bCs w:val="0"/>
                <w:color w:val="auto"/>
                <w:highlight w:val="none"/>
              </w:rPr>
              <w:t>A级企业</w:t>
            </w:r>
          </w:p>
        </w:tc>
        <w:tc>
          <w:tcPr>
            <w:tcW w:w="1566" w:type="pct"/>
            <w:vAlign w:val="center"/>
          </w:tcPr>
          <w:p w14:paraId="64FA3C34">
            <w:pPr>
              <w:pStyle w:val="69"/>
              <w:spacing w:before="62" w:after="62"/>
              <w:rPr>
                <w:rFonts w:cs="Times New Roman"/>
                <w:b/>
                <w:bCs w:val="0"/>
                <w:color w:val="auto"/>
                <w:highlight w:val="none"/>
              </w:rPr>
            </w:pPr>
            <w:r>
              <w:rPr>
                <w:rFonts w:cs="Times New Roman"/>
                <w:b/>
                <w:bCs w:val="0"/>
                <w:color w:val="auto"/>
                <w:highlight w:val="none"/>
              </w:rPr>
              <w:t>B级企业</w:t>
            </w:r>
          </w:p>
        </w:tc>
        <w:tc>
          <w:tcPr>
            <w:tcW w:w="1250" w:type="pct"/>
            <w:vAlign w:val="center"/>
          </w:tcPr>
          <w:p w14:paraId="6EE472AD">
            <w:pPr>
              <w:pStyle w:val="69"/>
              <w:spacing w:before="62" w:after="62"/>
              <w:rPr>
                <w:rFonts w:cs="Times New Roman"/>
                <w:b/>
                <w:bCs w:val="0"/>
                <w:color w:val="auto"/>
                <w:highlight w:val="none"/>
              </w:rPr>
            </w:pPr>
            <w:r>
              <w:rPr>
                <w:rFonts w:cs="Times New Roman"/>
                <w:b/>
                <w:bCs w:val="0"/>
                <w:color w:val="auto"/>
                <w:highlight w:val="none"/>
              </w:rPr>
              <w:t>C级企业</w:t>
            </w:r>
          </w:p>
        </w:tc>
      </w:tr>
      <w:tr w14:paraId="3E1E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416DFDC">
            <w:pPr>
              <w:pStyle w:val="69"/>
              <w:spacing w:before="62" w:after="62"/>
              <w:rPr>
                <w:rFonts w:cs="Times New Roman"/>
                <w:color w:val="auto"/>
                <w:highlight w:val="none"/>
              </w:rPr>
            </w:pPr>
            <w:r>
              <w:rPr>
                <w:rFonts w:cs="Times New Roman"/>
                <w:color w:val="auto"/>
                <w:highlight w:val="none"/>
              </w:rPr>
              <w:t>能源类型</w:t>
            </w:r>
          </w:p>
        </w:tc>
        <w:tc>
          <w:tcPr>
            <w:tcW w:w="2918" w:type="pct"/>
            <w:gridSpan w:val="2"/>
            <w:vAlign w:val="center"/>
          </w:tcPr>
          <w:p w14:paraId="7C96AC85">
            <w:pPr>
              <w:pStyle w:val="69"/>
              <w:spacing w:before="62" w:after="62"/>
              <w:rPr>
                <w:rFonts w:cs="Times New Roman"/>
                <w:color w:val="auto"/>
                <w:highlight w:val="none"/>
              </w:rPr>
            </w:pPr>
            <w:r>
              <w:rPr>
                <w:rFonts w:cs="Times New Roman"/>
                <w:color w:val="auto"/>
                <w:highlight w:val="none"/>
              </w:rPr>
              <w:t>采用电、天然气等能源</w:t>
            </w:r>
          </w:p>
        </w:tc>
        <w:tc>
          <w:tcPr>
            <w:tcW w:w="1250" w:type="pct"/>
            <w:vAlign w:val="center"/>
          </w:tcPr>
          <w:p w14:paraId="3B6573F6">
            <w:pPr>
              <w:pStyle w:val="69"/>
              <w:spacing w:before="62" w:after="62"/>
              <w:rPr>
                <w:rFonts w:cs="Times New Roman"/>
                <w:color w:val="auto"/>
                <w:highlight w:val="none"/>
              </w:rPr>
            </w:pPr>
            <w:r>
              <w:rPr>
                <w:rFonts w:cs="Times New Roman"/>
                <w:color w:val="auto"/>
                <w:highlight w:val="none"/>
              </w:rPr>
              <w:t>未达到A、B级要求</w:t>
            </w:r>
          </w:p>
        </w:tc>
      </w:tr>
      <w:tr w14:paraId="0EFC5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30FF5E65">
            <w:pPr>
              <w:pStyle w:val="69"/>
              <w:spacing w:before="62" w:after="62"/>
              <w:rPr>
                <w:rFonts w:cs="Times New Roman"/>
                <w:color w:val="auto"/>
                <w:highlight w:val="none"/>
              </w:rPr>
            </w:pPr>
            <w:r>
              <w:rPr>
                <w:rFonts w:cs="Times New Roman"/>
                <w:color w:val="auto"/>
                <w:highlight w:val="none"/>
              </w:rPr>
              <w:t>装备水平</w:t>
            </w:r>
          </w:p>
        </w:tc>
        <w:tc>
          <w:tcPr>
            <w:tcW w:w="1352" w:type="pct"/>
            <w:vAlign w:val="center"/>
          </w:tcPr>
          <w:p w14:paraId="4FD51BA3">
            <w:pPr>
              <w:pStyle w:val="69"/>
              <w:spacing w:before="62" w:after="62"/>
              <w:rPr>
                <w:rFonts w:cs="Times New Roman"/>
                <w:color w:val="auto"/>
                <w:highlight w:val="none"/>
              </w:rPr>
            </w:pPr>
            <w:r>
              <w:rPr>
                <w:rFonts w:cs="Times New Roman"/>
                <w:color w:val="auto"/>
                <w:highlight w:val="none"/>
              </w:rPr>
              <w:t>自动化采装及自动化封闭式输送设备。</w:t>
            </w:r>
          </w:p>
        </w:tc>
        <w:tc>
          <w:tcPr>
            <w:tcW w:w="1566" w:type="pct"/>
            <w:vAlign w:val="center"/>
          </w:tcPr>
          <w:p w14:paraId="3D9218FA">
            <w:pPr>
              <w:pStyle w:val="69"/>
              <w:spacing w:before="62" w:after="62"/>
              <w:rPr>
                <w:rFonts w:cs="Times New Roman"/>
                <w:color w:val="auto"/>
                <w:highlight w:val="none"/>
              </w:rPr>
            </w:pPr>
            <w:r>
              <w:rPr>
                <w:rFonts w:cs="Times New Roman"/>
                <w:color w:val="auto"/>
                <w:highlight w:val="none"/>
              </w:rPr>
              <w:t>采用带苫盖且封闭良好的车辆运输。</w:t>
            </w:r>
          </w:p>
        </w:tc>
        <w:tc>
          <w:tcPr>
            <w:tcW w:w="1250" w:type="pct"/>
            <w:vAlign w:val="center"/>
          </w:tcPr>
          <w:p w14:paraId="28D503B7">
            <w:pPr>
              <w:pStyle w:val="69"/>
              <w:spacing w:before="62" w:after="62"/>
              <w:rPr>
                <w:rFonts w:cs="Times New Roman"/>
                <w:color w:val="auto"/>
                <w:highlight w:val="none"/>
              </w:rPr>
            </w:pPr>
            <w:r>
              <w:rPr>
                <w:rFonts w:cs="Times New Roman"/>
                <w:color w:val="auto"/>
                <w:highlight w:val="none"/>
              </w:rPr>
              <w:t>未达到A、B级要求</w:t>
            </w:r>
          </w:p>
        </w:tc>
      </w:tr>
      <w:tr w14:paraId="31D57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16CD1C9">
            <w:pPr>
              <w:pStyle w:val="69"/>
              <w:spacing w:before="62" w:after="62"/>
              <w:rPr>
                <w:rFonts w:cs="Times New Roman"/>
                <w:color w:val="auto"/>
                <w:highlight w:val="none"/>
              </w:rPr>
            </w:pPr>
            <w:r>
              <w:rPr>
                <w:rFonts w:cs="Times New Roman"/>
                <w:color w:val="auto"/>
                <w:highlight w:val="none"/>
              </w:rPr>
              <w:t>污染治理技术</w:t>
            </w:r>
          </w:p>
        </w:tc>
        <w:tc>
          <w:tcPr>
            <w:tcW w:w="1352" w:type="pct"/>
            <w:vAlign w:val="center"/>
          </w:tcPr>
          <w:p w14:paraId="46B8C185">
            <w:pPr>
              <w:pStyle w:val="69"/>
              <w:spacing w:before="62" w:after="62"/>
              <w:rPr>
                <w:rFonts w:cs="Times New Roman"/>
                <w:color w:val="auto"/>
                <w:highlight w:val="none"/>
              </w:rPr>
            </w:pPr>
            <w:r>
              <w:rPr>
                <w:rFonts w:cs="Times New Roman"/>
                <w:color w:val="auto"/>
                <w:highlight w:val="none"/>
              </w:rPr>
              <w:t>除尘采用覆膜滤袋、滤筒、湿电等高效除尘技术。</w:t>
            </w:r>
          </w:p>
        </w:tc>
        <w:tc>
          <w:tcPr>
            <w:tcW w:w="1566" w:type="pct"/>
            <w:vAlign w:val="center"/>
          </w:tcPr>
          <w:p w14:paraId="38E4D952">
            <w:pPr>
              <w:pStyle w:val="69"/>
              <w:spacing w:before="62" w:after="62"/>
              <w:rPr>
                <w:rFonts w:cs="Times New Roman"/>
                <w:color w:val="auto"/>
                <w:highlight w:val="none"/>
              </w:rPr>
            </w:pPr>
            <w:r>
              <w:rPr>
                <w:rFonts w:cs="Times New Roman"/>
                <w:color w:val="auto"/>
                <w:highlight w:val="none"/>
              </w:rPr>
              <w:t>除尘采用袋式除尘、电袋复合除尘等技术</w:t>
            </w:r>
          </w:p>
        </w:tc>
        <w:tc>
          <w:tcPr>
            <w:tcW w:w="1250" w:type="pct"/>
            <w:vAlign w:val="center"/>
          </w:tcPr>
          <w:p w14:paraId="3E71E11A">
            <w:pPr>
              <w:pStyle w:val="69"/>
              <w:spacing w:before="62" w:after="62"/>
              <w:rPr>
                <w:rFonts w:cs="Times New Roman"/>
                <w:color w:val="auto"/>
                <w:highlight w:val="none"/>
              </w:rPr>
            </w:pPr>
            <w:r>
              <w:rPr>
                <w:rFonts w:cs="Times New Roman"/>
                <w:color w:val="auto"/>
                <w:highlight w:val="none"/>
              </w:rPr>
              <w:t>未达到B级要求</w:t>
            </w:r>
          </w:p>
        </w:tc>
      </w:tr>
      <w:tr w14:paraId="6B07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64A0BE9D">
            <w:pPr>
              <w:pStyle w:val="69"/>
              <w:spacing w:before="62" w:after="62"/>
              <w:rPr>
                <w:rFonts w:cs="Times New Roman"/>
                <w:color w:val="auto"/>
                <w:highlight w:val="none"/>
              </w:rPr>
            </w:pPr>
            <w:r>
              <w:rPr>
                <w:rFonts w:cs="Times New Roman"/>
                <w:color w:val="auto"/>
                <w:highlight w:val="none"/>
              </w:rPr>
              <w:t>无组织管控</w:t>
            </w:r>
          </w:p>
        </w:tc>
        <w:tc>
          <w:tcPr>
            <w:tcW w:w="2918" w:type="pct"/>
            <w:gridSpan w:val="2"/>
            <w:vAlign w:val="center"/>
          </w:tcPr>
          <w:p w14:paraId="05BD7F14">
            <w:pPr>
              <w:pStyle w:val="69"/>
              <w:spacing w:before="62" w:after="62"/>
              <w:jc w:val="both"/>
              <w:rPr>
                <w:rFonts w:cs="Times New Roman"/>
                <w:color w:val="auto"/>
                <w:highlight w:val="none"/>
              </w:rPr>
            </w:pPr>
            <w:r>
              <w:rPr>
                <w:rFonts w:cs="Times New Roman"/>
                <w:color w:val="auto"/>
                <w:highlight w:val="none"/>
              </w:rPr>
              <w:t>露天采矿采取自上而下水平分层开采，并配备洒水或喷雾等抑尘措施。</w:t>
            </w:r>
          </w:p>
          <w:p w14:paraId="51C0E746">
            <w:pPr>
              <w:pStyle w:val="69"/>
              <w:spacing w:before="62" w:after="62"/>
              <w:jc w:val="both"/>
              <w:rPr>
                <w:rFonts w:cs="Times New Roman"/>
                <w:color w:val="auto"/>
                <w:highlight w:val="none"/>
              </w:rPr>
            </w:pPr>
            <w:r>
              <w:rPr>
                <w:rFonts w:cs="Times New Roman"/>
                <w:color w:val="auto"/>
                <w:highlight w:val="none"/>
              </w:rPr>
              <w:t>2、矿山矿石装载配备有效抑尘措施；矿石卸载应在封闭厂房内作业，并配备有效抑尘措施；破碎、筛分等产尘工序应在封闭厂房内作业，产尘点设置集尘罩及除尘设施；生产车间无可见粉尘外逸。</w:t>
            </w:r>
          </w:p>
          <w:p w14:paraId="70754D6E">
            <w:pPr>
              <w:pStyle w:val="69"/>
              <w:spacing w:before="62" w:after="62"/>
              <w:jc w:val="both"/>
              <w:rPr>
                <w:rFonts w:cs="Times New Roman"/>
                <w:color w:val="auto"/>
                <w:highlight w:val="none"/>
              </w:rPr>
            </w:pPr>
            <w:r>
              <w:rPr>
                <w:rFonts w:cs="Times New Roman"/>
                <w:color w:val="auto"/>
                <w:highlight w:val="none"/>
              </w:rPr>
              <w:t>3、粉状物料全部采取储罐、筒仓或覆膜吨袋等密闭储存；粒状、块状物料全部封闭或密闭储存，封闭料场内配置喷雾抑尘装置，料场货物进出大门设置自动感应门，在确保安全的情况下，所有门窗保持常闭状态。</w:t>
            </w:r>
          </w:p>
          <w:p w14:paraId="5F286F78">
            <w:pPr>
              <w:pStyle w:val="69"/>
              <w:spacing w:before="62" w:after="62"/>
              <w:jc w:val="both"/>
              <w:rPr>
                <w:rFonts w:cs="Times New Roman"/>
                <w:color w:val="auto"/>
                <w:highlight w:val="none"/>
              </w:rPr>
            </w:pPr>
            <w:r>
              <w:rPr>
                <w:rFonts w:cs="Times New Roman"/>
                <w:color w:val="auto"/>
                <w:highlight w:val="none"/>
              </w:rPr>
              <w:t>4、各工序粒状、块状物料输送环节采取密封式输送机（加封闭廊道）、地下密闭廊道或其他清洁运输方式；粉状物料采取管状带式输送机、气力输送；物料装载、转移、下料口等产尘点应采取收集除尘措施，配套的除尘设施不与其他工序混用。</w:t>
            </w:r>
          </w:p>
          <w:p w14:paraId="2D4927D6">
            <w:pPr>
              <w:pStyle w:val="69"/>
              <w:spacing w:before="62" w:after="62"/>
              <w:jc w:val="both"/>
              <w:rPr>
                <w:rFonts w:cs="Times New Roman"/>
                <w:color w:val="auto"/>
                <w:highlight w:val="none"/>
              </w:rPr>
            </w:pPr>
            <w:r>
              <w:rPr>
                <w:rFonts w:cs="Times New Roman"/>
                <w:color w:val="auto"/>
                <w:highlight w:val="none"/>
              </w:rPr>
              <w:t>5、厂区出口、各料场出口处配备高压清洗装置对所有车辆车轮、底盘进行冲洗，洗车平台四周应设置洗车废水收集治理设施。</w:t>
            </w:r>
          </w:p>
          <w:p w14:paraId="6A89FD07">
            <w:pPr>
              <w:pStyle w:val="69"/>
              <w:spacing w:before="62" w:after="62"/>
              <w:jc w:val="both"/>
              <w:rPr>
                <w:rFonts w:cs="Times New Roman"/>
                <w:color w:val="auto"/>
                <w:highlight w:val="none"/>
              </w:rPr>
            </w:pPr>
            <w:r>
              <w:rPr>
                <w:rFonts w:cs="Times New Roman"/>
                <w:color w:val="auto"/>
                <w:highlight w:val="none"/>
              </w:rPr>
              <w:t>6、采矿企业尾矿库、废石场、排土场应采取防尘网等抑尘措施，矿区工业广场、废石场、矿区专用道路，路面应硬化，并采取定期清扫、洒水等抑尘措施；企业厂区内道路、堆场等路面应硬化，保持清洁，路面保持湿润且无明显可见扬尘，道路两侧区域实施绿化或覆盖。</w:t>
            </w:r>
          </w:p>
          <w:p w14:paraId="4ABCEFE7">
            <w:pPr>
              <w:pStyle w:val="69"/>
              <w:spacing w:before="62" w:after="62"/>
              <w:jc w:val="both"/>
              <w:rPr>
                <w:rFonts w:cs="Times New Roman"/>
                <w:color w:val="auto"/>
                <w:highlight w:val="none"/>
              </w:rPr>
            </w:pPr>
            <w:r>
              <w:rPr>
                <w:rFonts w:cs="Times New Roman"/>
                <w:color w:val="auto"/>
                <w:highlight w:val="none"/>
              </w:rPr>
              <w:t>7、除尘器应设置密闭灰仓，除尘灰应采用气力输送、密闭罐车、覆膜吨袋等密闭方式卸灰和运输，不得直接卸落到地面。</w:t>
            </w:r>
          </w:p>
          <w:p w14:paraId="4D4C3C25">
            <w:pPr>
              <w:pStyle w:val="69"/>
              <w:spacing w:before="62" w:after="62"/>
              <w:jc w:val="both"/>
              <w:rPr>
                <w:rFonts w:cs="Times New Roman"/>
                <w:color w:val="auto"/>
                <w:highlight w:val="none"/>
              </w:rPr>
            </w:pPr>
            <w:r>
              <w:rPr>
                <w:rFonts w:cs="Times New Roman"/>
                <w:color w:val="auto"/>
                <w:highlight w:val="none"/>
              </w:rPr>
              <w:t>8、采矿企业矿山开采面、作业平台干净整洁，无明显扬尘，开采面在停产期间需用防尘网全覆盖；选矿企业地面全部硬化或绿化，无物料散落，破碎、筛分二次封闭空间及物料运输廊道无可见粉尘外逸。</w:t>
            </w:r>
          </w:p>
        </w:tc>
        <w:tc>
          <w:tcPr>
            <w:tcW w:w="1250" w:type="pct"/>
            <w:vAlign w:val="center"/>
          </w:tcPr>
          <w:p w14:paraId="00AC3F5F">
            <w:pPr>
              <w:pStyle w:val="69"/>
              <w:spacing w:before="62" w:after="62"/>
              <w:rPr>
                <w:rFonts w:cs="Times New Roman"/>
                <w:color w:val="auto"/>
                <w:highlight w:val="none"/>
              </w:rPr>
            </w:pPr>
            <w:r>
              <w:rPr>
                <w:rFonts w:cs="Times New Roman"/>
                <w:color w:val="auto"/>
                <w:highlight w:val="none"/>
              </w:rPr>
              <w:t>未达到A、B级要求</w:t>
            </w:r>
          </w:p>
        </w:tc>
      </w:tr>
      <w:tr w14:paraId="27A1B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25D729DA">
            <w:pPr>
              <w:pStyle w:val="69"/>
              <w:spacing w:before="62" w:after="62"/>
              <w:rPr>
                <w:rFonts w:cs="Times New Roman"/>
                <w:color w:val="auto"/>
                <w:highlight w:val="none"/>
              </w:rPr>
            </w:pPr>
            <w:r>
              <w:rPr>
                <w:rFonts w:cs="Times New Roman"/>
                <w:color w:val="auto"/>
                <w:highlight w:val="none"/>
              </w:rPr>
              <w:t>排放限值</w:t>
            </w:r>
          </w:p>
        </w:tc>
        <w:tc>
          <w:tcPr>
            <w:tcW w:w="2918" w:type="pct"/>
            <w:gridSpan w:val="2"/>
            <w:vAlign w:val="center"/>
          </w:tcPr>
          <w:p w14:paraId="4A6D63BD">
            <w:pPr>
              <w:pStyle w:val="69"/>
              <w:spacing w:before="62" w:after="62"/>
              <w:jc w:val="both"/>
              <w:rPr>
                <w:rFonts w:cs="Times New Roman"/>
                <w:color w:val="auto"/>
                <w:highlight w:val="none"/>
              </w:rPr>
            </w:pPr>
            <w:r>
              <w:rPr>
                <w:rFonts w:cs="Times New Roman"/>
                <w:color w:val="auto"/>
                <w:highlight w:val="none"/>
              </w:rPr>
              <w:t>所有工序有组织PM排放浓度不超过10mg/m</w:t>
            </w:r>
            <w:r>
              <w:rPr>
                <w:rFonts w:cs="Times New Roman"/>
                <w:color w:val="auto"/>
                <w:highlight w:val="none"/>
                <w:vertAlign w:val="superscript"/>
              </w:rPr>
              <w:t>3</w:t>
            </w:r>
            <w:r>
              <w:rPr>
                <w:rFonts w:cs="Times New Roman"/>
                <w:color w:val="auto"/>
                <w:highlight w:val="none"/>
              </w:rPr>
              <w:t>，厂界无组织PM排放浓度不超过0.5mg/m</w:t>
            </w:r>
            <w:r>
              <w:rPr>
                <w:rFonts w:cs="Times New Roman"/>
                <w:color w:val="auto"/>
                <w:highlight w:val="none"/>
                <w:vertAlign w:val="superscript"/>
              </w:rPr>
              <w:t>3</w:t>
            </w:r>
            <w:r>
              <w:rPr>
                <w:rFonts w:cs="Times New Roman"/>
                <w:color w:val="auto"/>
                <w:highlight w:val="none"/>
              </w:rPr>
              <w:t>。</w:t>
            </w:r>
          </w:p>
        </w:tc>
        <w:tc>
          <w:tcPr>
            <w:tcW w:w="1250" w:type="pct"/>
            <w:vAlign w:val="center"/>
          </w:tcPr>
          <w:p w14:paraId="619837CE">
            <w:pPr>
              <w:pStyle w:val="69"/>
              <w:spacing w:before="62" w:after="62"/>
              <w:rPr>
                <w:rFonts w:cs="Times New Roman"/>
                <w:color w:val="auto"/>
                <w:highlight w:val="none"/>
              </w:rPr>
            </w:pPr>
            <w:r>
              <w:rPr>
                <w:rFonts w:cs="Times New Roman"/>
                <w:color w:val="auto"/>
                <w:highlight w:val="none"/>
              </w:rPr>
              <w:t>未达到A、B级要求</w:t>
            </w:r>
          </w:p>
        </w:tc>
      </w:tr>
      <w:tr w14:paraId="26386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018804BF">
            <w:pPr>
              <w:pStyle w:val="69"/>
              <w:spacing w:before="62" w:after="62"/>
              <w:rPr>
                <w:rFonts w:cs="Times New Roman"/>
                <w:color w:val="auto"/>
                <w:highlight w:val="none"/>
              </w:rPr>
            </w:pPr>
            <w:r>
              <w:rPr>
                <w:rFonts w:cs="Times New Roman"/>
                <w:color w:val="auto"/>
                <w:highlight w:val="none"/>
              </w:rPr>
              <w:t>监测监控水平</w:t>
            </w:r>
          </w:p>
        </w:tc>
        <w:tc>
          <w:tcPr>
            <w:tcW w:w="2918" w:type="pct"/>
            <w:gridSpan w:val="2"/>
            <w:vAlign w:val="center"/>
          </w:tcPr>
          <w:p w14:paraId="5A2AD40C">
            <w:pPr>
              <w:pStyle w:val="69"/>
              <w:spacing w:before="62" w:after="62"/>
              <w:jc w:val="both"/>
              <w:rPr>
                <w:rFonts w:cs="Times New Roman"/>
                <w:color w:val="auto"/>
                <w:highlight w:val="none"/>
              </w:rPr>
            </w:pPr>
            <w:r>
              <w:rPr>
                <w:rFonts w:cs="Times New Roman"/>
                <w:color w:val="auto"/>
                <w:highlight w:val="none"/>
              </w:rPr>
              <w:t>重点排污单位及排污许可重点管理单位主要排口应当安装污染物排放自动监测设备（CEMS），并与生态环境主管部门的监控设备联网，数据保存一年以上（投产或安装时间不满一年以上的企业，以现有数据为准）。</w:t>
            </w:r>
          </w:p>
          <w:p w14:paraId="3815C733">
            <w:pPr>
              <w:pStyle w:val="69"/>
              <w:spacing w:before="62" w:after="62"/>
              <w:jc w:val="both"/>
              <w:rPr>
                <w:rFonts w:cs="Times New Roman"/>
                <w:color w:val="auto"/>
                <w:highlight w:val="none"/>
              </w:rPr>
            </w:pPr>
            <w:r>
              <w:rPr>
                <w:rFonts w:cs="Times New Roman"/>
                <w:color w:val="auto"/>
                <w:highlight w:val="none"/>
              </w:rPr>
              <w:t>按照排污许可证、行业自行监测指南或排污单位自行监测技术指南等相关要求开展自行监测。</w:t>
            </w:r>
          </w:p>
          <w:p w14:paraId="3687B19D">
            <w:pPr>
              <w:pStyle w:val="69"/>
              <w:spacing w:before="62" w:after="62"/>
              <w:jc w:val="both"/>
              <w:rPr>
                <w:rFonts w:cs="Times New Roman"/>
                <w:color w:val="auto"/>
                <w:highlight w:val="none"/>
              </w:rPr>
            </w:pPr>
            <w:r>
              <w:rPr>
                <w:rFonts w:cs="Times New Roman"/>
                <w:color w:val="auto"/>
                <w:highlight w:val="none"/>
              </w:rPr>
              <w:t>装卸点、破碎、筛分车间主要涉气工序、生产装置及污染治理设施，按要求安装用电监管设备，用电监管数据按要求与省、市生态环境部门用电监管平台联网。</w:t>
            </w:r>
          </w:p>
          <w:p w14:paraId="0EB5B5D2">
            <w:pPr>
              <w:pStyle w:val="69"/>
              <w:spacing w:before="62" w:after="62"/>
              <w:jc w:val="both"/>
              <w:rPr>
                <w:rFonts w:cs="Times New Roman"/>
                <w:color w:val="auto"/>
                <w:highlight w:val="none"/>
              </w:rPr>
            </w:pPr>
            <w:r>
              <w:rPr>
                <w:rFonts w:cs="Times New Roman"/>
                <w:color w:val="auto"/>
                <w:highlight w:val="none"/>
              </w:rPr>
              <w:t>厂区货运进出口、无组织排放重点管控点位和在线监测站房安装高清视频监控系统，视频监控数据保存3个月以上。</w:t>
            </w:r>
          </w:p>
          <w:p w14:paraId="6C0CEE56">
            <w:pPr>
              <w:pStyle w:val="69"/>
              <w:spacing w:before="62" w:after="62"/>
              <w:jc w:val="both"/>
              <w:rPr>
                <w:rFonts w:cs="Times New Roman"/>
                <w:color w:val="auto"/>
                <w:highlight w:val="none"/>
              </w:rPr>
            </w:pPr>
            <w:r>
              <w:rPr>
                <w:rFonts w:cs="Times New Roman"/>
                <w:color w:val="auto"/>
                <w:highlight w:val="none"/>
              </w:rPr>
              <w:t>企业主要环保设施及生产设施安装分布式控制系统（DCS）或可保存和查看历史数据的可编程控制系统（PLC），记录企业环保设施运行及相关生产过程主要参数，数据保存一年以上。</w:t>
            </w:r>
          </w:p>
          <w:p w14:paraId="47204A29">
            <w:pPr>
              <w:pStyle w:val="69"/>
              <w:spacing w:before="62" w:after="62"/>
              <w:jc w:val="both"/>
              <w:rPr>
                <w:rFonts w:cs="Times New Roman"/>
                <w:color w:val="auto"/>
                <w:highlight w:val="none"/>
              </w:rPr>
            </w:pPr>
            <w:r>
              <w:rPr>
                <w:rFonts w:cs="Times New Roman"/>
                <w:color w:val="auto"/>
                <w:highlight w:val="none"/>
              </w:rPr>
              <w:t>厂界需安装颗粒物（PM2.5和PM10）无组织自动监控设施。</w:t>
            </w:r>
          </w:p>
        </w:tc>
        <w:tc>
          <w:tcPr>
            <w:tcW w:w="1250" w:type="pct"/>
            <w:vAlign w:val="center"/>
          </w:tcPr>
          <w:p w14:paraId="3CC9D68B">
            <w:pPr>
              <w:pStyle w:val="69"/>
              <w:spacing w:before="62" w:after="62"/>
              <w:rPr>
                <w:rFonts w:cs="Times New Roman"/>
                <w:color w:val="auto"/>
                <w:highlight w:val="none"/>
              </w:rPr>
            </w:pPr>
            <w:r>
              <w:rPr>
                <w:rFonts w:cs="Times New Roman"/>
                <w:color w:val="auto"/>
                <w:highlight w:val="none"/>
              </w:rPr>
              <w:t>未达到A、B级要求</w:t>
            </w:r>
          </w:p>
        </w:tc>
      </w:tr>
      <w:tr w14:paraId="0A9E0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Merge w:val="restart"/>
            <w:vAlign w:val="center"/>
          </w:tcPr>
          <w:p w14:paraId="5E1C8B5A">
            <w:pPr>
              <w:pStyle w:val="69"/>
              <w:spacing w:before="62" w:after="62"/>
              <w:rPr>
                <w:rFonts w:cs="Times New Roman"/>
                <w:color w:val="auto"/>
                <w:highlight w:val="none"/>
              </w:rPr>
            </w:pPr>
            <w:r>
              <w:rPr>
                <w:rFonts w:cs="Times New Roman"/>
                <w:color w:val="auto"/>
                <w:highlight w:val="none"/>
              </w:rPr>
              <w:t>环境管理水平</w:t>
            </w:r>
          </w:p>
        </w:tc>
        <w:tc>
          <w:tcPr>
            <w:tcW w:w="4168" w:type="pct"/>
            <w:gridSpan w:val="3"/>
            <w:vAlign w:val="center"/>
          </w:tcPr>
          <w:p w14:paraId="081AE3B3">
            <w:pPr>
              <w:pStyle w:val="69"/>
              <w:spacing w:before="62" w:after="62"/>
              <w:rPr>
                <w:rFonts w:cs="Times New Roman"/>
                <w:color w:val="auto"/>
                <w:highlight w:val="none"/>
              </w:rPr>
            </w:pPr>
            <w:r>
              <w:rPr>
                <w:rFonts w:cs="Times New Roman"/>
                <w:color w:val="auto"/>
                <w:highlight w:val="none"/>
              </w:rPr>
              <w:t>环保档案：1、环评批复文件和竣工环保验收文件或者环境现状评估备案证明；2、排污许可证或固定污染源排污登记回执；3、环境管理制度（有组织、无组织排放长效管理机制，主要包括岗位责任制度、达标公示制度和定期巡查维护制度等）；4、废气治理设施运行管理规程；5、一年内废气监测报告。</w:t>
            </w:r>
          </w:p>
        </w:tc>
      </w:tr>
      <w:tr w14:paraId="72A1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Merge w:val="continue"/>
            <w:vAlign w:val="center"/>
          </w:tcPr>
          <w:p w14:paraId="6ABF87C6">
            <w:pPr>
              <w:pStyle w:val="69"/>
              <w:spacing w:before="62" w:after="62"/>
              <w:rPr>
                <w:rFonts w:cs="Times New Roman"/>
                <w:color w:val="auto"/>
                <w:highlight w:val="none"/>
              </w:rPr>
            </w:pPr>
          </w:p>
        </w:tc>
        <w:tc>
          <w:tcPr>
            <w:tcW w:w="2918" w:type="pct"/>
            <w:gridSpan w:val="2"/>
            <w:vAlign w:val="center"/>
          </w:tcPr>
          <w:p w14:paraId="50C8A599">
            <w:pPr>
              <w:pStyle w:val="69"/>
              <w:spacing w:before="62" w:after="62"/>
              <w:rPr>
                <w:rFonts w:cs="Times New Roman"/>
                <w:color w:val="auto"/>
                <w:highlight w:val="none"/>
              </w:rPr>
            </w:pPr>
            <w:r>
              <w:rPr>
                <w:rFonts w:cs="Times New Roman"/>
                <w:color w:val="auto"/>
                <w:highlight w:val="none"/>
              </w:rPr>
              <w:t>台账记录：1、生产设施运行管理信息（生产时间、运行负荷、产品产量等）；2、废气污染治理设施运行管理信息；3、监测记录信息（主要污染排放口废气排放记录等）；4、主要原辅材料消耗记录；5、燃料消耗记录；6、固废、危废处理记录；7、运输车辆、厂内车辆、非道路移动机械电子台账（进出场时间、车辆或非道路移动机械信息、运送货物名称及运量等）。</w:t>
            </w:r>
          </w:p>
        </w:tc>
        <w:tc>
          <w:tcPr>
            <w:tcW w:w="1250" w:type="pct"/>
            <w:vAlign w:val="center"/>
          </w:tcPr>
          <w:p w14:paraId="3C85C349">
            <w:pPr>
              <w:pStyle w:val="69"/>
              <w:spacing w:before="62" w:after="62"/>
              <w:rPr>
                <w:rFonts w:cs="Times New Roman"/>
                <w:color w:val="auto"/>
                <w:highlight w:val="none"/>
              </w:rPr>
            </w:pPr>
            <w:r>
              <w:rPr>
                <w:rFonts w:cs="Times New Roman"/>
                <w:color w:val="auto"/>
                <w:highlight w:val="none"/>
              </w:rPr>
              <w:t>未达到A、B级要求</w:t>
            </w:r>
          </w:p>
        </w:tc>
      </w:tr>
      <w:tr w14:paraId="3C77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Merge w:val="continue"/>
            <w:vAlign w:val="center"/>
          </w:tcPr>
          <w:p w14:paraId="3E700FD1">
            <w:pPr>
              <w:pStyle w:val="69"/>
              <w:spacing w:before="62" w:after="62"/>
              <w:rPr>
                <w:rFonts w:cs="Times New Roman"/>
                <w:color w:val="auto"/>
                <w:highlight w:val="none"/>
              </w:rPr>
            </w:pPr>
          </w:p>
        </w:tc>
        <w:tc>
          <w:tcPr>
            <w:tcW w:w="2918" w:type="pct"/>
            <w:gridSpan w:val="2"/>
            <w:vAlign w:val="center"/>
          </w:tcPr>
          <w:p w14:paraId="6C1BA342">
            <w:pPr>
              <w:pStyle w:val="69"/>
              <w:spacing w:before="62" w:after="62"/>
              <w:rPr>
                <w:rFonts w:cs="Times New Roman"/>
                <w:color w:val="auto"/>
                <w:highlight w:val="none"/>
              </w:rPr>
            </w:pPr>
            <w:r>
              <w:rPr>
                <w:rFonts w:cs="Times New Roman"/>
                <w:color w:val="auto"/>
                <w:highlight w:val="none"/>
              </w:rPr>
              <w:t>人员配置：配备专职环保人员，并具备相应的环境管理能力（学历、培训、从业经验等）</w:t>
            </w:r>
          </w:p>
        </w:tc>
        <w:tc>
          <w:tcPr>
            <w:tcW w:w="1250" w:type="pct"/>
            <w:vAlign w:val="center"/>
          </w:tcPr>
          <w:p w14:paraId="7B530F1D">
            <w:pPr>
              <w:pStyle w:val="69"/>
              <w:spacing w:before="62" w:after="62"/>
              <w:rPr>
                <w:rFonts w:cs="Times New Roman"/>
                <w:color w:val="auto"/>
                <w:highlight w:val="none"/>
              </w:rPr>
            </w:pPr>
            <w:r>
              <w:rPr>
                <w:rFonts w:cs="Times New Roman"/>
                <w:color w:val="auto"/>
                <w:highlight w:val="none"/>
              </w:rPr>
              <w:t>未达到A、B级要求</w:t>
            </w:r>
          </w:p>
        </w:tc>
      </w:tr>
      <w:tr w14:paraId="129F9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58350169">
            <w:pPr>
              <w:pStyle w:val="69"/>
              <w:spacing w:before="62" w:after="62"/>
              <w:rPr>
                <w:rFonts w:cs="Times New Roman"/>
                <w:color w:val="auto"/>
                <w:highlight w:val="none"/>
              </w:rPr>
            </w:pPr>
            <w:r>
              <w:rPr>
                <w:rFonts w:cs="Times New Roman"/>
                <w:color w:val="auto"/>
                <w:highlight w:val="none"/>
              </w:rPr>
              <w:t>运输方式</w:t>
            </w:r>
          </w:p>
        </w:tc>
        <w:tc>
          <w:tcPr>
            <w:tcW w:w="1352" w:type="pct"/>
            <w:vAlign w:val="center"/>
          </w:tcPr>
          <w:p w14:paraId="0483F682">
            <w:pPr>
              <w:pStyle w:val="69"/>
              <w:spacing w:before="62" w:after="62"/>
              <w:rPr>
                <w:rFonts w:cs="Times New Roman"/>
                <w:color w:val="auto"/>
                <w:highlight w:val="none"/>
              </w:rPr>
            </w:pPr>
            <w:r>
              <w:rPr>
                <w:rFonts w:cs="Times New Roman"/>
                <w:color w:val="auto"/>
                <w:highlight w:val="none"/>
              </w:rPr>
              <w:t>1、矿石采选运输车辆全部采用国</w:t>
            </w:r>
            <w:r>
              <w:rPr>
                <w:rFonts w:hint="eastAsia" w:cs="Times New Roman"/>
                <w:color w:val="auto"/>
                <w:highlight w:val="none"/>
              </w:rPr>
              <w:t>六</w:t>
            </w:r>
            <w:r>
              <w:rPr>
                <w:rFonts w:cs="Times New Roman"/>
                <w:color w:val="auto"/>
                <w:highlight w:val="none"/>
              </w:rPr>
              <w:t>及以上排放标准重型载货车辆（含燃气）或新能源车辆等清洁运输方式。</w:t>
            </w:r>
          </w:p>
          <w:p w14:paraId="55949924">
            <w:pPr>
              <w:pStyle w:val="69"/>
              <w:spacing w:before="62" w:after="62"/>
              <w:rPr>
                <w:rFonts w:cs="Times New Roman"/>
                <w:color w:val="auto"/>
                <w:highlight w:val="none"/>
              </w:rPr>
            </w:pPr>
            <w:r>
              <w:rPr>
                <w:rFonts w:cs="Times New Roman"/>
                <w:color w:val="auto"/>
                <w:highlight w:val="none"/>
              </w:rPr>
              <w:t>2、厂内运输车辆全部达到国</w:t>
            </w:r>
            <w:r>
              <w:rPr>
                <w:rFonts w:hint="eastAsia" w:cs="Times New Roman"/>
                <w:color w:val="auto"/>
                <w:highlight w:val="none"/>
              </w:rPr>
              <w:t>六</w:t>
            </w:r>
            <w:r>
              <w:rPr>
                <w:rFonts w:cs="Times New Roman"/>
                <w:color w:val="auto"/>
                <w:highlight w:val="none"/>
              </w:rPr>
              <w:t>及以上排放标准（含燃气）或使用新能源车辆。</w:t>
            </w:r>
          </w:p>
          <w:p w14:paraId="40C3D198">
            <w:pPr>
              <w:pStyle w:val="69"/>
              <w:spacing w:before="62" w:after="62"/>
              <w:rPr>
                <w:rFonts w:cs="Times New Roman"/>
                <w:color w:val="auto"/>
                <w:highlight w:val="none"/>
              </w:rPr>
            </w:pPr>
            <w:r>
              <w:rPr>
                <w:rFonts w:cs="Times New Roman"/>
                <w:color w:val="auto"/>
                <w:highlight w:val="none"/>
              </w:rPr>
              <w:t>3、厂内非道路移动机械全部达到国</w:t>
            </w:r>
            <w:r>
              <w:rPr>
                <w:rFonts w:hint="eastAsia" w:cs="Times New Roman"/>
                <w:color w:val="auto"/>
                <w:highlight w:val="none"/>
              </w:rPr>
              <w:t>四</w:t>
            </w:r>
            <w:r>
              <w:rPr>
                <w:rFonts w:cs="Times New Roman"/>
                <w:color w:val="auto"/>
                <w:highlight w:val="none"/>
              </w:rPr>
              <w:t>及以上排放标准或使用新能源机械。</w:t>
            </w:r>
          </w:p>
        </w:tc>
        <w:tc>
          <w:tcPr>
            <w:tcW w:w="1566" w:type="pct"/>
            <w:vAlign w:val="center"/>
          </w:tcPr>
          <w:p w14:paraId="334C940E">
            <w:pPr>
              <w:pStyle w:val="69"/>
              <w:spacing w:before="62" w:after="62"/>
              <w:rPr>
                <w:rFonts w:cs="Times New Roman"/>
                <w:color w:val="auto"/>
                <w:highlight w:val="none"/>
              </w:rPr>
            </w:pPr>
            <w:r>
              <w:rPr>
                <w:rFonts w:cs="Times New Roman"/>
                <w:color w:val="auto"/>
                <w:highlight w:val="none"/>
              </w:rPr>
              <w:t>1、矿石采选运输车辆</w:t>
            </w:r>
            <w:r>
              <w:rPr>
                <w:rFonts w:hint="eastAsia" w:cs="Times New Roman"/>
                <w:color w:val="auto"/>
                <w:highlight w:val="none"/>
              </w:rPr>
              <w:t>使用</w:t>
            </w:r>
            <w:r>
              <w:rPr>
                <w:rFonts w:cs="Times New Roman"/>
                <w:color w:val="auto"/>
                <w:highlight w:val="none"/>
              </w:rPr>
              <w:t>国</w:t>
            </w:r>
            <w:r>
              <w:rPr>
                <w:rFonts w:hint="eastAsia" w:cs="Times New Roman"/>
                <w:color w:val="auto"/>
                <w:highlight w:val="none"/>
              </w:rPr>
              <w:t>六</w:t>
            </w:r>
            <w:r>
              <w:rPr>
                <w:rFonts w:cs="Times New Roman"/>
                <w:color w:val="auto"/>
                <w:highlight w:val="none"/>
              </w:rPr>
              <w:t>及以上排放标准重型载货车辆（含燃气）或新能源车辆等清洁运输方式的比例不低于80%。</w:t>
            </w:r>
          </w:p>
          <w:p w14:paraId="1BD89CC7">
            <w:pPr>
              <w:pStyle w:val="69"/>
              <w:spacing w:before="62" w:after="62"/>
              <w:rPr>
                <w:rFonts w:cs="Times New Roman"/>
                <w:color w:val="auto"/>
                <w:highlight w:val="none"/>
              </w:rPr>
            </w:pPr>
            <w:r>
              <w:rPr>
                <w:rFonts w:cs="Times New Roman"/>
                <w:color w:val="auto"/>
                <w:highlight w:val="none"/>
              </w:rPr>
              <w:t>2、厂内运输车辆达到国</w:t>
            </w:r>
            <w:r>
              <w:rPr>
                <w:rFonts w:hint="eastAsia" w:cs="Times New Roman"/>
                <w:color w:val="auto"/>
                <w:highlight w:val="none"/>
              </w:rPr>
              <w:t>六</w:t>
            </w:r>
            <w:r>
              <w:rPr>
                <w:rFonts w:cs="Times New Roman"/>
                <w:color w:val="auto"/>
                <w:highlight w:val="none"/>
              </w:rPr>
              <w:t>及以上排放标准（含燃气）或使用新能源车辆比例不低于80%。</w:t>
            </w:r>
          </w:p>
          <w:p w14:paraId="600340E7">
            <w:pPr>
              <w:pStyle w:val="69"/>
              <w:spacing w:before="62" w:after="62"/>
              <w:rPr>
                <w:rFonts w:cs="Times New Roman"/>
                <w:color w:val="auto"/>
                <w:highlight w:val="none"/>
              </w:rPr>
            </w:pPr>
            <w:r>
              <w:rPr>
                <w:rFonts w:cs="Times New Roman"/>
                <w:color w:val="auto"/>
                <w:highlight w:val="none"/>
              </w:rPr>
              <w:t>3、厂内非道路移动机械达到国</w:t>
            </w:r>
            <w:r>
              <w:rPr>
                <w:rFonts w:hint="eastAsia" w:cs="Times New Roman"/>
                <w:color w:val="auto"/>
                <w:highlight w:val="none"/>
              </w:rPr>
              <w:t>四</w:t>
            </w:r>
            <w:r>
              <w:rPr>
                <w:rFonts w:cs="Times New Roman"/>
                <w:color w:val="auto"/>
                <w:highlight w:val="none"/>
              </w:rPr>
              <w:t>及以上排放标准或使用新能源机械比例不低于80%。</w:t>
            </w:r>
          </w:p>
        </w:tc>
        <w:tc>
          <w:tcPr>
            <w:tcW w:w="1250" w:type="pct"/>
            <w:vAlign w:val="center"/>
          </w:tcPr>
          <w:p w14:paraId="77DDCA1D">
            <w:pPr>
              <w:pStyle w:val="69"/>
              <w:spacing w:before="62" w:after="62"/>
              <w:rPr>
                <w:rFonts w:cs="Times New Roman"/>
                <w:color w:val="auto"/>
                <w:highlight w:val="none"/>
              </w:rPr>
            </w:pPr>
            <w:r>
              <w:rPr>
                <w:rFonts w:cs="Times New Roman"/>
                <w:color w:val="auto"/>
                <w:highlight w:val="none"/>
              </w:rPr>
              <w:t>未达到B级要求</w:t>
            </w:r>
          </w:p>
        </w:tc>
      </w:tr>
      <w:tr w14:paraId="1D97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 w:type="pct"/>
            <w:vAlign w:val="center"/>
          </w:tcPr>
          <w:p w14:paraId="10B5657C">
            <w:pPr>
              <w:pStyle w:val="69"/>
              <w:spacing w:before="62" w:after="62"/>
              <w:rPr>
                <w:rFonts w:cs="Times New Roman"/>
                <w:color w:val="auto"/>
                <w:highlight w:val="none"/>
              </w:rPr>
            </w:pPr>
            <w:r>
              <w:rPr>
                <w:rFonts w:cs="Times New Roman"/>
                <w:color w:val="auto"/>
                <w:highlight w:val="none"/>
              </w:rPr>
              <w:t>运输监管</w:t>
            </w:r>
          </w:p>
        </w:tc>
        <w:tc>
          <w:tcPr>
            <w:tcW w:w="2918" w:type="pct"/>
            <w:gridSpan w:val="2"/>
            <w:vAlign w:val="center"/>
          </w:tcPr>
          <w:p w14:paraId="1A0303F1">
            <w:pPr>
              <w:pStyle w:val="69"/>
              <w:spacing w:before="62" w:after="62"/>
              <w:rPr>
                <w:rFonts w:cs="Times New Roman"/>
                <w:color w:val="auto"/>
                <w:highlight w:val="none"/>
              </w:rPr>
            </w:pPr>
            <w:r>
              <w:rPr>
                <w:rFonts w:cs="Times New Roman"/>
                <w:color w:val="auto"/>
                <w:highlight w:val="none"/>
              </w:rPr>
              <w:t>建立门禁系统和电子台账，创建要求参照《重点行业移动源监管与核查技术指南》（HJ1321）。</w:t>
            </w:r>
          </w:p>
        </w:tc>
        <w:tc>
          <w:tcPr>
            <w:tcW w:w="1250" w:type="pct"/>
            <w:vAlign w:val="center"/>
          </w:tcPr>
          <w:p w14:paraId="00BAE961">
            <w:pPr>
              <w:pStyle w:val="69"/>
              <w:spacing w:before="62" w:after="62"/>
              <w:rPr>
                <w:rFonts w:cs="Times New Roman"/>
                <w:color w:val="auto"/>
                <w:highlight w:val="none"/>
              </w:rPr>
            </w:pPr>
            <w:r>
              <w:rPr>
                <w:rFonts w:cs="Times New Roman"/>
                <w:color w:val="auto"/>
                <w:highlight w:val="none"/>
              </w:rPr>
              <w:t>未达到A、B级要求</w:t>
            </w:r>
          </w:p>
        </w:tc>
      </w:tr>
    </w:tbl>
    <w:p w14:paraId="670E5767">
      <w:pPr>
        <w:pStyle w:val="5"/>
        <w:adjustRightInd w:val="0"/>
        <w:rPr>
          <w:rFonts w:cs="Times New Roman"/>
          <w:color w:val="auto"/>
          <w:highlight w:val="none"/>
        </w:rPr>
      </w:pPr>
      <w:r>
        <w:rPr>
          <w:rFonts w:cs="Times New Roman"/>
          <w:color w:val="auto"/>
          <w:highlight w:val="none"/>
        </w:rPr>
        <w:t>减排措施</w:t>
      </w:r>
    </w:p>
    <w:p w14:paraId="2C3BEAE4">
      <w:pPr>
        <w:adjustRightInd w:val="0"/>
        <w:ind w:firstLine="482"/>
        <w:rPr>
          <w:rFonts w:cs="Times New Roman"/>
          <w:b/>
          <w:bCs/>
          <w:color w:val="auto"/>
          <w:highlight w:val="none"/>
        </w:rPr>
      </w:pPr>
      <w:r>
        <w:rPr>
          <w:rFonts w:cs="Times New Roman"/>
          <w:b/>
          <w:bCs/>
          <w:color w:val="auto"/>
          <w:highlight w:val="none"/>
        </w:rPr>
        <w:t>（1）A级企业</w:t>
      </w:r>
    </w:p>
    <w:p w14:paraId="11AEEE2B">
      <w:pPr>
        <w:adjustRightInd w:val="0"/>
        <w:ind w:firstLine="480"/>
        <w:rPr>
          <w:rFonts w:cs="Times New Roman"/>
          <w:color w:val="auto"/>
          <w:highlight w:val="none"/>
        </w:rPr>
      </w:pPr>
      <w:r>
        <w:rPr>
          <w:rFonts w:cs="Times New Roman"/>
          <w:color w:val="auto"/>
          <w:highlight w:val="none"/>
        </w:rPr>
        <w:t>鼓励结合实际，自主采取减排措施。</w:t>
      </w:r>
    </w:p>
    <w:p w14:paraId="7EF3AA14">
      <w:pPr>
        <w:adjustRightInd w:val="0"/>
        <w:ind w:firstLine="482"/>
        <w:rPr>
          <w:rFonts w:cs="Times New Roman"/>
          <w:b/>
          <w:bCs/>
          <w:color w:val="auto"/>
          <w:highlight w:val="none"/>
        </w:rPr>
      </w:pPr>
      <w:r>
        <w:rPr>
          <w:rFonts w:cs="Times New Roman"/>
          <w:b/>
          <w:bCs/>
          <w:color w:val="auto"/>
          <w:highlight w:val="none"/>
        </w:rPr>
        <w:t>（2）B级企业</w:t>
      </w:r>
    </w:p>
    <w:p w14:paraId="64D0C5E3">
      <w:pPr>
        <w:adjustRightInd w:val="0"/>
        <w:ind w:firstLine="480"/>
        <w:rPr>
          <w:rFonts w:cs="Times New Roman"/>
          <w:color w:val="auto"/>
          <w:highlight w:val="none"/>
        </w:rPr>
      </w:pPr>
      <w:r>
        <w:rPr>
          <w:rFonts w:cs="Times New Roman"/>
          <w:color w:val="auto"/>
          <w:highlight w:val="none"/>
        </w:rPr>
        <w:t>黄色预警期间：停止使用国四及以下重型载货车辆（含燃气）进行物料运输。</w:t>
      </w:r>
    </w:p>
    <w:p w14:paraId="384482C9">
      <w:pPr>
        <w:adjustRightInd w:val="0"/>
        <w:ind w:firstLine="480"/>
        <w:rPr>
          <w:rFonts w:cs="Times New Roman"/>
          <w:color w:val="auto"/>
          <w:highlight w:val="none"/>
        </w:rPr>
      </w:pPr>
      <w:r>
        <w:rPr>
          <w:rFonts w:cs="Times New Roman"/>
          <w:color w:val="auto"/>
          <w:highlight w:val="none"/>
        </w:rPr>
        <w:t>橙色预警期间：选矿行业破碎、筛分、锯解、磨抛、裁切等涉气工序限产50%，以相关工序设备计；停止使用国四及以下重型载货车辆（含燃气）进行物料运输。</w:t>
      </w:r>
    </w:p>
    <w:p w14:paraId="375A3362">
      <w:pPr>
        <w:adjustRightInd w:val="0"/>
        <w:ind w:firstLine="480"/>
        <w:rPr>
          <w:rFonts w:cs="Times New Roman"/>
          <w:color w:val="auto"/>
          <w:highlight w:val="none"/>
        </w:rPr>
      </w:pPr>
      <w:r>
        <w:rPr>
          <w:rFonts w:cs="Times New Roman"/>
          <w:color w:val="auto"/>
          <w:highlight w:val="none"/>
        </w:rPr>
        <w:t>红色预警期间：选矿行业破碎、筛分、锯解、磨抛、裁切等涉气工序停产；停止使用国四及以下重型载货车辆（含燃气）进行物料运输。</w:t>
      </w:r>
    </w:p>
    <w:p w14:paraId="1A7212B1">
      <w:pPr>
        <w:adjustRightInd w:val="0"/>
        <w:ind w:firstLine="482"/>
        <w:rPr>
          <w:rFonts w:cs="Times New Roman"/>
          <w:b/>
          <w:bCs/>
          <w:color w:val="auto"/>
          <w:highlight w:val="none"/>
        </w:rPr>
      </w:pPr>
      <w:r>
        <w:rPr>
          <w:rFonts w:cs="Times New Roman"/>
          <w:b/>
          <w:bCs/>
          <w:color w:val="auto"/>
          <w:highlight w:val="none"/>
        </w:rPr>
        <w:t>（3）C级企业</w:t>
      </w:r>
    </w:p>
    <w:p w14:paraId="2543CCD8">
      <w:pPr>
        <w:adjustRightInd w:val="0"/>
        <w:ind w:firstLine="480"/>
        <w:rPr>
          <w:rFonts w:cs="Times New Roman"/>
          <w:color w:val="auto"/>
          <w:highlight w:val="none"/>
        </w:rPr>
      </w:pPr>
      <w:r>
        <w:rPr>
          <w:rFonts w:cs="Times New Roman"/>
          <w:color w:val="auto"/>
          <w:highlight w:val="none"/>
        </w:rPr>
        <w:t>黄色及以上预警期间：选矿行业破碎、筛分、锯解、磨抛、裁切等涉气工序停产；停止使用国四及以下重型载货车辆（含燃气）进行物料运输。</w:t>
      </w:r>
    </w:p>
    <w:p w14:paraId="35164B51">
      <w:pPr>
        <w:pStyle w:val="3"/>
        <w:adjustRightInd w:val="0"/>
        <w:rPr>
          <w:rFonts w:cs="Times New Roman"/>
          <w:color w:val="auto"/>
          <w:highlight w:val="none"/>
        </w:rPr>
      </w:pPr>
      <w:bookmarkStart w:id="242" w:name="_Toc3669"/>
      <w:bookmarkStart w:id="243" w:name="_Toc19334"/>
      <w:r>
        <w:rPr>
          <w:rFonts w:cs="Times New Roman"/>
          <w:color w:val="auto"/>
          <w:highlight w:val="none"/>
        </w:rPr>
        <w:t>风险事故投资</w:t>
      </w:r>
      <w:bookmarkEnd w:id="242"/>
      <w:bookmarkEnd w:id="243"/>
    </w:p>
    <w:p w14:paraId="33543BE4">
      <w:pPr>
        <w:adjustRightInd w:val="0"/>
        <w:ind w:firstLine="480"/>
        <w:rPr>
          <w:rFonts w:cs="Times New Roman"/>
          <w:color w:val="auto"/>
          <w:highlight w:val="none"/>
        </w:rPr>
      </w:pPr>
      <w:r>
        <w:rPr>
          <w:rFonts w:cs="Times New Roman"/>
          <w:color w:val="auto"/>
          <w:highlight w:val="none"/>
        </w:rPr>
        <w:t>本项目风险防范措施及其投资情况详见下表。</w:t>
      </w:r>
    </w:p>
    <w:p w14:paraId="418A6F06">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风险防范措施投资估算一览表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5"/>
        <w:gridCol w:w="5841"/>
        <w:gridCol w:w="1066"/>
        <w:gridCol w:w="658"/>
      </w:tblGrid>
      <w:tr w14:paraId="2639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25" w:type="pct"/>
            <w:vAlign w:val="center"/>
          </w:tcPr>
          <w:p w14:paraId="76D200CF">
            <w:pPr>
              <w:pStyle w:val="69"/>
              <w:spacing w:before="62" w:after="62"/>
              <w:rPr>
                <w:rFonts w:cs="Times New Roman"/>
                <w:b/>
                <w:bCs w:val="0"/>
                <w:color w:val="auto"/>
                <w:highlight w:val="none"/>
              </w:rPr>
            </w:pPr>
            <w:r>
              <w:rPr>
                <w:rFonts w:cs="Times New Roman"/>
                <w:b/>
                <w:bCs w:val="0"/>
                <w:color w:val="auto"/>
                <w:highlight w:val="none"/>
              </w:rPr>
              <w:t>名称</w:t>
            </w:r>
          </w:p>
        </w:tc>
        <w:tc>
          <w:tcPr>
            <w:tcW w:w="3223" w:type="pct"/>
            <w:vAlign w:val="center"/>
          </w:tcPr>
          <w:p w14:paraId="7175F7E9">
            <w:pPr>
              <w:pStyle w:val="69"/>
              <w:spacing w:before="62" w:after="62"/>
              <w:rPr>
                <w:rFonts w:cs="Times New Roman"/>
                <w:b/>
                <w:bCs w:val="0"/>
                <w:color w:val="auto"/>
                <w:highlight w:val="none"/>
              </w:rPr>
            </w:pPr>
            <w:r>
              <w:rPr>
                <w:rFonts w:cs="Times New Roman"/>
                <w:b/>
                <w:bCs w:val="0"/>
                <w:color w:val="auto"/>
                <w:highlight w:val="none"/>
              </w:rPr>
              <w:t>风险防范措施</w:t>
            </w:r>
          </w:p>
        </w:tc>
        <w:tc>
          <w:tcPr>
            <w:tcW w:w="588" w:type="pct"/>
            <w:vAlign w:val="center"/>
          </w:tcPr>
          <w:p w14:paraId="55B4A971">
            <w:pPr>
              <w:pStyle w:val="69"/>
              <w:spacing w:before="62" w:after="62"/>
              <w:rPr>
                <w:rFonts w:cs="Times New Roman"/>
                <w:b/>
                <w:bCs w:val="0"/>
                <w:color w:val="auto"/>
                <w:highlight w:val="none"/>
              </w:rPr>
            </w:pPr>
            <w:r>
              <w:rPr>
                <w:rFonts w:cs="Times New Roman"/>
                <w:b/>
                <w:bCs w:val="0"/>
                <w:color w:val="auto"/>
                <w:highlight w:val="none"/>
              </w:rPr>
              <w:t>投资（万元）</w:t>
            </w:r>
          </w:p>
        </w:tc>
        <w:tc>
          <w:tcPr>
            <w:tcW w:w="363" w:type="pct"/>
            <w:vAlign w:val="center"/>
          </w:tcPr>
          <w:p w14:paraId="0ED54160">
            <w:pPr>
              <w:pStyle w:val="69"/>
              <w:spacing w:before="62" w:after="62"/>
              <w:rPr>
                <w:rFonts w:cs="Times New Roman"/>
                <w:b/>
                <w:bCs w:val="0"/>
                <w:color w:val="auto"/>
                <w:highlight w:val="none"/>
              </w:rPr>
            </w:pPr>
            <w:r>
              <w:rPr>
                <w:rFonts w:cs="Times New Roman"/>
                <w:b/>
                <w:bCs w:val="0"/>
                <w:color w:val="auto"/>
                <w:highlight w:val="none"/>
              </w:rPr>
              <w:t>备注</w:t>
            </w:r>
          </w:p>
        </w:tc>
      </w:tr>
      <w:tr w14:paraId="6F72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5" w:type="pct"/>
            <w:vAlign w:val="center"/>
          </w:tcPr>
          <w:p w14:paraId="0EB67477">
            <w:pPr>
              <w:pStyle w:val="69"/>
              <w:spacing w:before="62" w:after="62"/>
              <w:rPr>
                <w:rFonts w:cs="Times New Roman"/>
                <w:color w:val="auto"/>
                <w:highlight w:val="none"/>
              </w:rPr>
            </w:pPr>
            <w:r>
              <w:rPr>
                <w:rFonts w:cs="Times New Roman"/>
                <w:color w:val="auto"/>
                <w:highlight w:val="none"/>
              </w:rPr>
              <w:t>分区防渗措施</w:t>
            </w:r>
          </w:p>
        </w:tc>
        <w:tc>
          <w:tcPr>
            <w:tcW w:w="3223" w:type="pct"/>
            <w:vAlign w:val="center"/>
          </w:tcPr>
          <w:p w14:paraId="089EB5C7">
            <w:pPr>
              <w:pStyle w:val="69"/>
              <w:spacing w:before="62" w:after="62"/>
              <w:rPr>
                <w:rFonts w:cs="Times New Roman"/>
                <w:color w:val="auto"/>
                <w:highlight w:val="none"/>
              </w:rPr>
            </w:pPr>
            <w:r>
              <w:rPr>
                <w:rFonts w:cs="Times New Roman"/>
                <w:color w:val="auto"/>
                <w:highlight w:val="none"/>
              </w:rPr>
              <w:t>重点防渗区：</w:t>
            </w:r>
            <w:r>
              <w:rPr>
                <w:rFonts w:hint="eastAsia"/>
                <w:color w:val="auto"/>
                <w:highlight w:val="none"/>
              </w:rPr>
              <w:t>生产废水处理区、危废暂存间、事故应急池、药剂库、初期雨水池、压滤车间进行重点防渗，采用20cm厚的P8防渗混凝土层硬化，</w:t>
            </w:r>
            <w:r>
              <w:rPr>
                <w:rFonts w:cs="Times New Roman"/>
                <w:color w:val="auto"/>
                <w:highlight w:val="none"/>
              </w:rPr>
              <w:t>等效粘土防渗层Mb≥</w:t>
            </w:r>
            <w:r>
              <w:rPr>
                <w:rFonts w:hint="eastAsia" w:cs="Times New Roman"/>
                <w:color w:val="auto"/>
                <w:highlight w:val="none"/>
              </w:rPr>
              <w:t>6</w:t>
            </w:r>
            <w:r>
              <w:rPr>
                <w:rFonts w:cs="Times New Roman"/>
                <w:color w:val="auto"/>
                <w:highlight w:val="none"/>
              </w:rPr>
              <w:t>.0m，K≤1×10</w:t>
            </w:r>
            <w:r>
              <w:rPr>
                <w:rFonts w:cs="Times New Roman"/>
                <w:color w:val="auto"/>
                <w:highlight w:val="none"/>
                <w:vertAlign w:val="superscript"/>
              </w:rPr>
              <w:t>-7</w:t>
            </w:r>
            <w:r>
              <w:rPr>
                <w:rFonts w:cs="Times New Roman"/>
                <w:color w:val="auto"/>
                <w:highlight w:val="none"/>
              </w:rPr>
              <w:t>cm/s；</w:t>
            </w:r>
          </w:p>
          <w:p w14:paraId="4BB03DC7">
            <w:pPr>
              <w:pStyle w:val="69"/>
              <w:spacing w:before="62" w:after="62"/>
              <w:rPr>
                <w:rFonts w:cs="Times New Roman"/>
                <w:color w:val="auto"/>
                <w:highlight w:val="none"/>
              </w:rPr>
            </w:pPr>
            <w:r>
              <w:rPr>
                <w:rFonts w:cs="Times New Roman"/>
                <w:color w:val="auto"/>
                <w:highlight w:val="none"/>
              </w:rPr>
              <w:t>一般防渗区：碎矿车间、磨矿车间、加工车间、精矿仓库、尾矿仓库、一般固废间、预处理池、洗车区、洗车废水沉淀池、工具间采用抗渗混凝土进行</w:t>
            </w:r>
            <w:r>
              <w:rPr>
                <w:rFonts w:hint="eastAsia" w:cs="Times New Roman"/>
                <w:color w:val="auto"/>
                <w:highlight w:val="none"/>
              </w:rPr>
              <w:t>一般</w:t>
            </w:r>
            <w:r>
              <w:rPr>
                <w:rFonts w:cs="Times New Roman"/>
                <w:color w:val="auto"/>
                <w:highlight w:val="none"/>
              </w:rPr>
              <w:t>防渗</w:t>
            </w:r>
            <w:r>
              <w:rPr>
                <w:rFonts w:hint="eastAsia" w:cs="Times New Roman"/>
                <w:color w:val="auto"/>
                <w:highlight w:val="none"/>
              </w:rPr>
              <w:t>，</w:t>
            </w:r>
            <w:r>
              <w:rPr>
                <w:rFonts w:cs="Times New Roman"/>
                <w:color w:val="auto"/>
                <w:highlight w:val="none"/>
              </w:rPr>
              <w:t>采用20cm厚的P</w:t>
            </w:r>
            <w:r>
              <w:rPr>
                <w:rFonts w:hint="eastAsia" w:cs="Times New Roman"/>
                <w:color w:val="auto"/>
                <w:highlight w:val="none"/>
              </w:rPr>
              <w:t>6</w:t>
            </w:r>
            <w:r>
              <w:rPr>
                <w:rFonts w:cs="Times New Roman"/>
                <w:color w:val="auto"/>
                <w:highlight w:val="none"/>
              </w:rPr>
              <w:t>防渗混凝土层硬化，使等效黏土防渗层Mb≥1.5m，K≤1.0×10</w:t>
            </w:r>
            <w:r>
              <w:rPr>
                <w:rFonts w:cs="Times New Roman"/>
                <w:color w:val="auto"/>
                <w:highlight w:val="none"/>
                <w:vertAlign w:val="superscript"/>
              </w:rPr>
              <w:t>-7</w:t>
            </w:r>
            <w:r>
              <w:rPr>
                <w:rFonts w:cs="Times New Roman"/>
                <w:color w:val="auto"/>
                <w:highlight w:val="none"/>
              </w:rPr>
              <w:t>cm/s；或参照GB16889执行；</w:t>
            </w:r>
          </w:p>
          <w:p w14:paraId="433ED4C2">
            <w:pPr>
              <w:pStyle w:val="69"/>
              <w:spacing w:before="62" w:after="62"/>
              <w:rPr>
                <w:rFonts w:cs="Times New Roman"/>
                <w:color w:val="auto"/>
                <w:highlight w:val="none"/>
              </w:rPr>
            </w:pPr>
            <w:r>
              <w:rPr>
                <w:rFonts w:cs="Times New Roman"/>
                <w:color w:val="auto"/>
                <w:highlight w:val="none"/>
              </w:rPr>
              <w:t>简单防渗区：厂区道路、办公区等场内其他区域采用一般地面硬化。</w:t>
            </w:r>
          </w:p>
        </w:tc>
        <w:tc>
          <w:tcPr>
            <w:tcW w:w="588" w:type="pct"/>
            <w:vMerge w:val="restart"/>
            <w:vAlign w:val="center"/>
          </w:tcPr>
          <w:p w14:paraId="5C74EBAB">
            <w:pPr>
              <w:pStyle w:val="69"/>
              <w:spacing w:before="62" w:after="62"/>
              <w:rPr>
                <w:rFonts w:cs="Times New Roman"/>
                <w:color w:val="auto"/>
                <w:highlight w:val="none"/>
              </w:rPr>
            </w:pPr>
            <w:r>
              <w:rPr>
                <w:rFonts w:cs="Times New Roman"/>
                <w:color w:val="auto"/>
                <w:highlight w:val="none"/>
              </w:rPr>
              <w:t>计入工程投资</w:t>
            </w:r>
          </w:p>
        </w:tc>
        <w:tc>
          <w:tcPr>
            <w:tcW w:w="363" w:type="pct"/>
            <w:vAlign w:val="center"/>
          </w:tcPr>
          <w:p w14:paraId="0C81ED1F">
            <w:pPr>
              <w:pStyle w:val="69"/>
              <w:spacing w:before="62" w:after="62"/>
              <w:rPr>
                <w:rFonts w:cs="Times New Roman"/>
                <w:color w:val="auto"/>
                <w:highlight w:val="none"/>
              </w:rPr>
            </w:pPr>
            <w:r>
              <w:rPr>
                <w:rFonts w:cs="Times New Roman"/>
                <w:color w:val="auto"/>
                <w:highlight w:val="none"/>
              </w:rPr>
              <w:t>/</w:t>
            </w:r>
          </w:p>
        </w:tc>
      </w:tr>
      <w:tr w14:paraId="7FFDA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825" w:type="pct"/>
            <w:vAlign w:val="center"/>
          </w:tcPr>
          <w:p w14:paraId="127CC89D">
            <w:pPr>
              <w:pStyle w:val="69"/>
              <w:spacing w:before="62" w:after="62"/>
              <w:rPr>
                <w:rFonts w:cs="Times New Roman"/>
                <w:color w:val="auto"/>
                <w:highlight w:val="none"/>
              </w:rPr>
            </w:pPr>
            <w:r>
              <w:rPr>
                <w:rFonts w:cs="Times New Roman"/>
                <w:color w:val="auto"/>
                <w:highlight w:val="none"/>
              </w:rPr>
              <w:t>废水截断系统</w:t>
            </w:r>
          </w:p>
        </w:tc>
        <w:tc>
          <w:tcPr>
            <w:tcW w:w="3223" w:type="pct"/>
            <w:vAlign w:val="center"/>
          </w:tcPr>
          <w:p w14:paraId="5828EF19">
            <w:pPr>
              <w:pStyle w:val="69"/>
              <w:spacing w:before="62" w:after="62"/>
              <w:rPr>
                <w:rFonts w:cs="Times New Roman"/>
                <w:color w:val="auto"/>
                <w:highlight w:val="none"/>
              </w:rPr>
            </w:pPr>
            <w:r>
              <w:rPr>
                <w:rFonts w:cs="Times New Roman"/>
                <w:color w:val="auto"/>
                <w:highlight w:val="none"/>
              </w:rPr>
              <w:t>厂区的雨水收集系统末端设事故自动控制水阀，一旦厂区有事故废水进入雨水排放系统，应立即关闭水阀（即关闭雨水排放口），将事故废水引入应急池暂存，避免废水外排进入雨水系统，可确保事故废水截留在厂区内。</w:t>
            </w:r>
          </w:p>
        </w:tc>
        <w:tc>
          <w:tcPr>
            <w:tcW w:w="588" w:type="pct"/>
            <w:vMerge w:val="continue"/>
            <w:vAlign w:val="center"/>
          </w:tcPr>
          <w:p w14:paraId="35697789">
            <w:pPr>
              <w:pStyle w:val="69"/>
              <w:spacing w:before="62" w:after="62"/>
              <w:rPr>
                <w:rFonts w:cs="Times New Roman"/>
                <w:color w:val="auto"/>
                <w:highlight w:val="none"/>
              </w:rPr>
            </w:pPr>
          </w:p>
        </w:tc>
        <w:tc>
          <w:tcPr>
            <w:tcW w:w="363" w:type="pct"/>
            <w:vAlign w:val="center"/>
          </w:tcPr>
          <w:p w14:paraId="2A1B9A5D">
            <w:pPr>
              <w:pStyle w:val="69"/>
              <w:spacing w:before="62" w:after="62"/>
              <w:rPr>
                <w:rFonts w:cs="Times New Roman"/>
                <w:color w:val="auto"/>
                <w:highlight w:val="none"/>
              </w:rPr>
            </w:pPr>
            <w:r>
              <w:rPr>
                <w:rFonts w:cs="Times New Roman"/>
                <w:color w:val="auto"/>
                <w:highlight w:val="none"/>
              </w:rPr>
              <w:t>/</w:t>
            </w:r>
          </w:p>
        </w:tc>
      </w:tr>
      <w:tr w14:paraId="7BAD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825" w:type="pct"/>
            <w:vAlign w:val="center"/>
          </w:tcPr>
          <w:p w14:paraId="404546A3">
            <w:pPr>
              <w:pStyle w:val="69"/>
              <w:spacing w:before="62" w:after="62"/>
              <w:rPr>
                <w:rFonts w:cs="Times New Roman"/>
                <w:color w:val="auto"/>
                <w:highlight w:val="none"/>
              </w:rPr>
            </w:pPr>
            <w:r>
              <w:rPr>
                <w:rFonts w:cs="Times New Roman"/>
                <w:color w:val="auto"/>
                <w:highlight w:val="none"/>
              </w:rPr>
              <w:t>应急事故池</w:t>
            </w:r>
          </w:p>
        </w:tc>
        <w:tc>
          <w:tcPr>
            <w:tcW w:w="3223" w:type="pct"/>
            <w:vAlign w:val="center"/>
          </w:tcPr>
          <w:p w14:paraId="3CB3C4A4">
            <w:pPr>
              <w:pStyle w:val="69"/>
              <w:spacing w:before="62" w:after="62"/>
              <w:rPr>
                <w:rFonts w:cs="Times New Roman"/>
                <w:color w:val="auto"/>
                <w:highlight w:val="none"/>
              </w:rPr>
            </w:pPr>
            <w:r>
              <w:rPr>
                <w:rFonts w:hint="eastAsia" w:cs="Times New Roman"/>
                <w:color w:val="auto"/>
                <w:highlight w:val="none"/>
              </w:rPr>
              <w:t>1</w:t>
            </w:r>
            <w:r>
              <w:rPr>
                <w:rFonts w:cs="Times New Roman"/>
                <w:color w:val="auto"/>
                <w:highlight w:val="none"/>
              </w:rPr>
              <w:t>个事故应急水池，容积</w:t>
            </w:r>
            <w:r>
              <w:rPr>
                <w:rFonts w:hint="eastAsia" w:cs="Times New Roman"/>
                <w:color w:val="auto"/>
                <w:highlight w:val="none"/>
              </w:rPr>
              <w:t>1020</w:t>
            </w:r>
            <w:r>
              <w:rPr>
                <w:rFonts w:cs="Times New Roman"/>
                <w:color w:val="auto"/>
                <w:highlight w:val="none"/>
              </w:rPr>
              <w:t>m</w:t>
            </w:r>
            <w:r>
              <w:rPr>
                <w:rFonts w:cs="Times New Roman"/>
                <w:color w:val="auto"/>
                <w:highlight w:val="none"/>
                <w:vertAlign w:val="superscript"/>
              </w:rPr>
              <w:t>3</w:t>
            </w:r>
          </w:p>
        </w:tc>
        <w:tc>
          <w:tcPr>
            <w:tcW w:w="588" w:type="pct"/>
            <w:vMerge w:val="continue"/>
            <w:vAlign w:val="center"/>
          </w:tcPr>
          <w:p w14:paraId="578B90DB">
            <w:pPr>
              <w:pStyle w:val="69"/>
              <w:spacing w:before="62" w:after="62"/>
              <w:rPr>
                <w:rFonts w:cs="Times New Roman"/>
                <w:color w:val="auto"/>
                <w:highlight w:val="none"/>
              </w:rPr>
            </w:pPr>
          </w:p>
        </w:tc>
        <w:tc>
          <w:tcPr>
            <w:tcW w:w="363" w:type="pct"/>
            <w:vAlign w:val="center"/>
          </w:tcPr>
          <w:p w14:paraId="20411420">
            <w:pPr>
              <w:pStyle w:val="69"/>
              <w:spacing w:before="62" w:after="62"/>
              <w:rPr>
                <w:rFonts w:cs="Times New Roman"/>
                <w:color w:val="auto"/>
                <w:highlight w:val="none"/>
              </w:rPr>
            </w:pPr>
            <w:r>
              <w:rPr>
                <w:rFonts w:cs="Times New Roman"/>
                <w:color w:val="auto"/>
                <w:highlight w:val="none"/>
              </w:rPr>
              <w:t>/</w:t>
            </w:r>
          </w:p>
        </w:tc>
      </w:tr>
      <w:tr w14:paraId="2E7E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5" w:type="pct"/>
            <w:vAlign w:val="center"/>
          </w:tcPr>
          <w:p w14:paraId="5852BDE1">
            <w:pPr>
              <w:pStyle w:val="69"/>
              <w:spacing w:before="62" w:after="62"/>
              <w:rPr>
                <w:rFonts w:cs="Times New Roman"/>
                <w:color w:val="auto"/>
                <w:highlight w:val="none"/>
              </w:rPr>
            </w:pPr>
            <w:r>
              <w:rPr>
                <w:rFonts w:cs="Times New Roman"/>
                <w:color w:val="auto"/>
                <w:highlight w:val="none"/>
              </w:rPr>
              <w:t>应急预案</w:t>
            </w:r>
          </w:p>
        </w:tc>
        <w:tc>
          <w:tcPr>
            <w:tcW w:w="3223" w:type="pct"/>
            <w:vAlign w:val="center"/>
          </w:tcPr>
          <w:p w14:paraId="794B3794">
            <w:pPr>
              <w:pStyle w:val="69"/>
              <w:spacing w:before="62" w:after="62"/>
              <w:rPr>
                <w:rFonts w:cs="Times New Roman"/>
                <w:color w:val="auto"/>
                <w:highlight w:val="none"/>
              </w:rPr>
            </w:pPr>
            <w:r>
              <w:rPr>
                <w:rFonts w:cs="Times New Roman"/>
                <w:color w:val="auto"/>
                <w:highlight w:val="none"/>
              </w:rPr>
              <w:t>制定应急预案，加强环境管理，区域、部门联动</w:t>
            </w:r>
          </w:p>
        </w:tc>
        <w:tc>
          <w:tcPr>
            <w:tcW w:w="588" w:type="pct"/>
            <w:vMerge w:val="continue"/>
            <w:vAlign w:val="center"/>
          </w:tcPr>
          <w:p w14:paraId="55A0169C">
            <w:pPr>
              <w:pStyle w:val="69"/>
              <w:spacing w:before="62" w:after="62"/>
              <w:rPr>
                <w:rFonts w:cs="Times New Roman"/>
                <w:color w:val="auto"/>
                <w:highlight w:val="none"/>
              </w:rPr>
            </w:pPr>
          </w:p>
        </w:tc>
        <w:tc>
          <w:tcPr>
            <w:tcW w:w="363" w:type="pct"/>
            <w:vAlign w:val="center"/>
          </w:tcPr>
          <w:p w14:paraId="79904399">
            <w:pPr>
              <w:pStyle w:val="69"/>
              <w:spacing w:before="62" w:after="62"/>
              <w:rPr>
                <w:rFonts w:cs="Times New Roman"/>
                <w:color w:val="auto"/>
                <w:highlight w:val="none"/>
              </w:rPr>
            </w:pPr>
            <w:r>
              <w:rPr>
                <w:rFonts w:cs="Times New Roman"/>
                <w:color w:val="auto"/>
                <w:highlight w:val="none"/>
              </w:rPr>
              <w:t>/</w:t>
            </w:r>
          </w:p>
        </w:tc>
      </w:tr>
    </w:tbl>
    <w:p w14:paraId="3B3BDAB3">
      <w:pPr>
        <w:pStyle w:val="3"/>
        <w:adjustRightInd w:val="0"/>
        <w:rPr>
          <w:rFonts w:cs="Times New Roman"/>
          <w:color w:val="auto"/>
          <w:highlight w:val="none"/>
        </w:rPr>
      </w:pPr>
      <w:bookmarkStart w:id="244" w:name="_Toc7403"/>
      <w:bookmarkStart w:id="245" w:name="_Toc9615"/>
      <w:bookmarkStart w:id="246" w:name="_Toc10490"/>
      <w:bookmarkStart w:id="247" w:name="_Toc8415"/>
      <w:r>
        <w:rPr>
          <w:rFonts w:cs="Times New Roman"/>
          <w:color w:val="auto"/>
          <w:highlight w:val="none"/>
        </w:rPr>
        <w:t>风险分析结论</w:t>
      </w:r>
      <w:bookmarkEnd w:id="244"/>
      <w:bookmarkEnd w:id="245"/>
      <w:bookmarkEnd w:id="246"/>
      <w:bookmarkEnd w:id="247"/>
    </w:p>
    <w:p w14:paraId="0241CBEA">
      <w:pPr>
        <w:adjustRightInd w:val="0"/>
        <w:ind w:firstLine="480"/>
        <w:rPr>
          <w:rFonts w:cs="Times New Roman"/>
          <w:color w:val="auto"/>
          <w:highlight w:val="none"/>
        </w:rPr>
      </w:pPr>
      <w:r>
        <w:rPr>
          <w:rFonts w:cs="Times New Roman"/>
          <w:color w:val="auto"/>
          <w:highlight w:val="none"/>
        </w:rPr>
        <w:t>通过加强员工的技术水平培训，同时做好日常检查工作，</w:t>
      </w:r>
      <w:r>
        <w:rPr>
          <w:rFonts w:hint="eastAsia" w:cs="Times New Roman"/>
          <w:color w:val="auto"/>
          <w:highlight w:val="none"/>
        </w:rPr>
        <w:t>可以</w:t>
      </w:r>
      <w:r>
        <w:rPr>
          <w:rFonts w:cs="Times New Roman"/>
          <w:color w:val="auto"/>
          <w:highlight w:val="none"/>
        </w:rPr>
        <w:t>从源头上减少事故发生的概率。若事故发生，可按照应急预案紧急处理所发生事故，各应急小组紧密配合，可将风险及损失控制在最低，同时，通过以上分析可知，事故发生后各应对措施可使环境风险事故对环境空气、地表水、地下水的影响较小。</w:t>
      </w:r>
    </w:p>
    <w:p w14:paraId="31387D0A">
      <w:pPr>
        <w:adjustRightInd w:val="0"/>
        <w:ind w:firstLine="480"/>
        <w:rPr>
          <w:rFonts w:cs="Times New Roman"/>
          <w:color w:val="auto"/>
          <w:highlight w:val="none"/>
        </w:rPr>
      </w:pPr>
      <w:r>
        <w:rPr>
          <w:rFonts w:cs="Times New Roman"/>
          <w:color w:val="auto"/>
          <w:highlight w:val="none"/>
        </w:rPr>
        <w:t>本项目在切实落实评价中提出的事故防范与减缓、应急措施与提高风险管理水平的前提下，环境污染影响均可降至最低限度，降至可接受水平的范围之内，达到安全、平稳与持续健康生产与发展的目的。</w:t>
      </w:r>
    </w:p>
    <w:p w14:paraId="5F21C8D7">
      <w:pPr>
        <w:adjustRightInd w:val="0"/>
        <w:ind w:firstLine="480"/>
        <w:rPr>
          <w:rFonts w:cs="Times New Roman"/>
          <w:color w:val="auto"/>
          <w:highlight w:val="none"/>
        </w:rPr>
      </w:pPr>
      <w:r>
        <w:rPr>
          <w:rFonts w:cs="Times New Roman"/>
          <w:color w:val="auto"/>
          <w:highlight w:val="none"/>
        </w:rPr>
        <w:t>综上所述，本项目发生突发环境事件的可能性较小，环境风险程度是可以接受的。建设项目环境风险简单分析内容见下表。</w:t>
      </w:r>
    </w:p>
    <w:p w14:paraId="2E22D9A4">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10</w:t>
      </w:r>
      <w:r>
        <w:rPr>
          <w:rFonts w:cs="Times New Roman"/>
          <w:color w:val="auto"/>
          <w:highlight w:val="none"/>
        </w:rPr>
        <w:fldChar w:fldCharType="end"/>
      </w:r>
      <w:r>
        <w:rPr>
          <w:rFonts w:cs="Times New Roman"/>
          <w:color w:val="auto"/>
          <w:highlight w:val="none"/>
        </w:rPr>
        <w:t>建设项目环境风险简单分析内容表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1489"/>
        <w:gridCol w:w="1526"/>
        <w:gridCol w:w="1359"/>
        <w:gridCol w:w="1085"/>
        <w:gridCol w:w="2119"/>
      </w:tblGrid>
      <w:tr w14:paraId="6BAE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vAlign w:val="center"/>
          </w:tcPr>
          <w:p w14:paraId="0A0433E2">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建设项目名称</w:t>
            </w:r>
          </w:p>
        </w:tc>
        <w:tc>
          <w:tcPr>
            <w:tcW w:w="4181" w:type="pct"/>
            <w:gridSpan w:val="5"/>
            <w:vAlign w:val="center"/>
          </w:tcPr>
          <w:p w14:paraId="5E472DA1">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hint="eastAsia" w:cs="Times New Roman"/>
                <w:bCs/>
                <w:color w:val="auto"/>
                <w:kern w:val="21"/>
                <w:sz w:val="21"/>
                <w:highlight w:val="none"/>
              </w:rPr>
              <w:t>沙湾豪宸新建36万吨锂矿综合利用项目</w:t>
            </w:r>
          </w:p>
        </w:tc>
      </w:tr>
      <w:tr w14:paraId="7BB6D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vAlign w:val="center"/>
          </w:tcPr>
          <w:p w14:paraId="1E82585B">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建设地点</w:t>
            </w:r>
          </w:p>
        </w:tc>
        <w:tc>
          <w:tcPr>
            <w:tcW w:w="822" w:type="pct"/>
            <w:vAlign w:val="center"/>
          </w:tcPr>
          <w:p w14:paraId="09845F9F">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（四川）省</w:t>
            </w:r>
          </w:p>
        </w:tc>
        <w:tc>
          <w:tcPr>
            <w:tcW w:w="842" w:type="pct"/>
            <w:vAlign w:val="center"/>
          </w:tcPr>
          <w:p w14:paraId="365511F5">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（乐山）市</w:t>
            </w:r>
          </w:p>
        </w:tc>
        <w:tc>
          <w:tcPr>
            <w:tcW w:w="750" w:type="pct"/>
            <w:vAlign w:val="center"/>
          </w:tcPr>
          <w:p w14:paraId="789EAA82">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（沙湾）区</w:t>
            </w:r>
          </w:p>
        </w:tc>
        <w:tc>
          <w:tcPr>
            <w:tcW w:w="599" w:type="pct"/>
            <w:vAlign w:val="center"/>
          </w:tcPr>
          <w:p w14:paraId="7A003A81">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（）县</w:t>
            </w:r>
          </w:p>
        </w:tc>
        <w:tc>
          <w:tcPr>
            <w:tcW w:w="1166" w:type="pct"/>
            <w:vAlign w:val="center"/>
          </w:tcPr>
          <w:p w14:paraId="75D15BAC">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四川乐山沙湾经济开发区</w:t>
            </w:r>
          </w:p>
        </w:tc>
      </w:tr>
      <w:tr w14:paraId="79C5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vAlign w:val="center"/>
          </w:tcPr>
          <w:p w14:paraId="313906CA">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地理坐标</w:t>
            </w:r>
          </w:p>
        </w:tc>
        <w:tc>
          <w:tcPr>
            <w:tcW w:w="822" w:type="pct"/>
            <w:vAlign w:val="center"/>
          </w:tcPr>
          <w:p w14:paraId="73C631F2">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经度</w:t>
            </w:r>
          </w:p>
        </w:tc>
        <w:tc>
          <w:tcPr>
            <w:tcW w:w="842" w:type="pct"/>
            <w:vAlign w:val="center"/>
          </w:tcPr>
          <w:p w14:paraId="15770475">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color w:val="auto"/>
                <w:kern w:val="21"/>
                <w:sz w:val="21"/>
                <w:highlight w:val="none"/>
              </w:rPr>
              <w:t>E103.632834°</w:t>
            </w:r>
          </w:p>
        </w:tc>
        <w:tc>
          <w:tcPr>
            <w:tcW w:w="750" w:type="pct"/>
            <w:vAlign w:val="center"/>
          </w:tcPr>
          <w:p w14:paraId="11F2B394">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纬度</w:t>
            </w:r>
          </w:p>
        </w:tc>
        <w:tc>
          <w:tcPr>
            <w:tcW w:w="1765" w:type="pct"/>
            <w:gridSpan w:val="2"/>
            <w:vAlign w:val="center"/>
          </w:tcPr>
          <w:p w14:paraId="26DFFBA6">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color w:val="auto"/>
                <w:kern w:val="21"/>
                <w:sz w:val="21"/>
                <w:highlight w:val="none"/>
              </w:rPr>
              <w:t>N29.784329°</w:t>
            </w:r>
          </w:p>
        </w:tc>
      </w:tr>
      <w:tr w14:paraId="1F0B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8" w:type="pct"/>
            <w:vAlign w:val="center"/>
          </w:tcPr>
          <w:p w14:paraId="3796CD3C">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主要危险物质及分布</w:t>
            </w:r>
          </w:p>
        </w:tc>
        <w:tc>
          <w:tcPr>
            <w:tcW w:w="4181" w:type="pct"/>
            <w:gridSpan w:val="5"/>
            <w:vAlign w:val="center"/>
          </w:tcPr>
          <w:p w14:paraId="2F4C5954">
            <w:pPr>
              <w:overflowPunct w:val="0"/>
              <w:adjustRightInd w:val="0"/>
              <w:spacing w:before="62" w:beforeLines="20" w:after="62" w:afterLines="20" w:line="240" w:lineRule="auto"/>
              <w:ind w:firstLine="0" w:firstLineChars="0"/>
              <w:rPr>
                <w:rFonts w:cs="Times New Roman"/>
                <w:bCs/>
                <w:color w:val="auto"/>
                <w:kern w:val="21"/>
                <w:sz w:val="21"/>
                <w:highlight w:val="none"/>
              </w:rPr>
            </w:pPr>
            <w:r>
              <w:rPr>
                <w:rFonts w:cs="Times New Roman"/>
                <w:color w:val="auto"/>
                <w:kern w:val="21"/>
                <w:sz w:val="21"/>
                <w:highlight w:val="none"/>
              </w:rPr>
              <w:t>项目主要风险物质为机油</w:t>
            </w:r>
            <w:r>
              <w:rPr>
                <w:rFonts w:hint="eastAsia" w:cs="Times New Roman"/>
                <w:color w:val="auto"/>
                <w:kern w:val="21"/>
                <w:sz w:val="21"/>
                <w:highlight w:val="none"/>
              </w:rPr>
              <w:t>、汽油</w:t>
            </w:r>
            <w:r>
              <w:rPr>
                <w:rFonts w:cs="Times New Roman"/>
                <w:color w:val="auto"/>
                <w:kern w:val="21"/>
                <w:sz w:val="21"/>
                <w:highlight w:val="none"/>
              </w:rPr>
              <w:t>、废机油。</w:t>
            </w:r>
          </w:p>
        </w:tc>
      </w:tr>
      <w:tr w14:paraId="59E44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vAlign w:val="center"/>
          </w:tcPr>
          <w:p w14:paraId="20CD2F2C">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环境影响途径及危害后果（大气、地表水、地下水等）</w:t>
            </w:r>
          </w:p>
        </w:tc>
        <w:tc>
          <w:tcPr>
            <w:tcW w:w="4181" w:type="pct"/>
            <w:gridSpan w:val="5"/>
            <w:vAlign w:val="center"/>
          </w:tcPr>
          <w:p w14:paraId="7A977E4D">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大气：本项目发生环境风险事件后对环境空气的影响主要来源于风险物质发生火灾、爆炸事件后产生的大气污染物，主要污染物为一氧化碳、二氧化碳等有毒、有害气体，因此本项目风险物质若发生火灾、爆炸，对环境空气的主要影响为项目所在区域环境空气中一氧化碳、二氧化碳等有毒、有害气体浓度升高。但发生此类事故的可能性很小。</w:t>
            </w:r>
          </w:p>
          <w:p w14:paraId="20D54F9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地表水：本项目突发环境事件后对地表水的影响主要为发生火灾时消防水，主要污染物为SS，发生火灾时消防废水的收集处理，不会直接排入地表水中，对地表水环境影响较小。</w:t>
            </w:r>
          </w:p>
          <w:p w14:paraId="325AA121">
            <w:pPr>
              <w:overflowPunct w:val="0"/>
              <w:adjustRightInd w:val="0"/>
              <w:spacing w:before="62" w:beforeLines="20" w:after="62" w:afterLines="20" w:line="240" w:lineRule="auto"/>
              <w:ind w:firstLine="0" w:firstLineChars="0"/>
              <w:rPr>
                <w:rFonts w:cs="Times New Roman"/>
                <w:bCs/>
                <w:color w:val="auto"/>
                <w:kern w:val="21"/>
                <w:sz w:val="21"/>
                <w:highlight w:val="none"/>
              </w:rPr>
            </w:pPr>
            <w:r>
              <w:rPr>
                <w:rFonts w:cs="Times New Roman"/>
                <w:color w:val="auto"/>
                <w:kern w:val="21"/>
                <w:sz w:val="21"/>
                <w:highlight w:val="none"/>
              </w:rPr>
              <w:t>地下水：项目采取了分区防渗措施，废水排放不会直接渗入地下对地下水产生影响。</w:t>
            </w:r>
          </w:p>
        </w:tc>
      </w:tr>
      <w:tr w14:paraId="6AA5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vAlign w:val="center"/>
          </w:tcPr>
          <w:p w14:paraId="25F5DCC0">
            <w:pPr>
              <w:overflowPunct w:val="0"/>
              <w:adjustRightInd w:val="0"/>
              <w:spacing w:before="62" w:beforeLines="20" w:after="62" w:afterLines="20" w:line="240" w:lineRule="auto"/>
              <w:ind w:firstLine="0" w:firstLineChars="0"/>
              <w:jc w:val="center"/>
              <w:rPr>
                <w:rFonts w:cs="Times New Roman"/>
                <w:bCs/>
                <w:color w:val="auto"/>
                <w:kern w:val="21"/>
                <w:sz w:val="21"/>
                <w:highlight w:val="none"/>
              </w:rPr>
            </w:pPr>
            <w:r>
              <w:rPr>
                <w:rFonts w:cs="Times New Roman"/>
                <w:bCs/>
                <w:color w:val="auto"/>
                <w:kern w:val="21"/>
                <w:sz w:val="21"/>
                <w:highlight w:val="none"/>
              </w:rPr>
              <w:t>风险防范措施要求</w:t>
            </w:r>
          </w:p>
        </w:tc>
        <w:tc>
          <w:tcPr>
            <w:tcW w:w="4181" w:type="pct"/>
            <w:gridSpan w:val="5"/>
            <w:vAlign w:val="center"/>
          </w:tcPr>
          <w:p w14:paraId="642273AF">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（1）制定火灾和爆炸事故的防范措施</w:t>
            </w:r>
          </w:p>
          <w:p w14:paraId="18BCFAC9">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（2）制定废水和废气处理装置事故防范措施规范</w:t>
            </w:r>
          </w:p>
          <w:p w14:paraId="24EDAE50">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hint="eastAsia" w:cs="Times New Roman"/>
                <w:color w:val="auto"/>
                <w:kern w:val="21"/>
                <w:sz w:val="21"/>
                <w:highlight w:val="none"/>
              </w:rPr>
              <w:t>（3）制定危险废物泄漏的防范措施</w:t>
            </w:r>
          </w:p>
          <w:p w14:paraId="4D44FCDE">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w:t>
            </w:r>
            <w:r>
              <w:rPr>
                <w:rFonts w:hint="eastAsia" w:cs="Times New Roman"/>
                <w:color w:val="auto"/>
                <w:kern w:val="21"/>
                <w:sz w:val="21"/>
                <w:highlight w:val="none"/>
              </w:rPr>
              <w:t>4</w:t>
            </w:r>
            <w:r>
              <w:rPr>
                <w:rFonts w:cs="Times New Roman"/>
                <w:color w:val="auto"/>
                <w:kern w:val="21"/>
                <w:sz w:val="21"/>
                <w:highlight w:val="none"/>
              </w:rPr>
              <w:t>）制定管理上的防范措施</w:t>
            </w:r>
          </w:p>
        </w:tc>
      </w:tr>
      <w:tr w14:paraId="024E5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6"/>
            <w:vAlign w:val="center"/>
          </w:tcPr>
          <w:p w14:paraId="700EB4A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填表说明（列出项目相关信息及评价说明）</w:t>
            </w:r>
          </w:p>
          <w:p w14:paraId="7F34E8B7">
            <w:pPr>
              <w:overflowPunct w:val="0"/>
              <w:adjustRightInd w:val="0"/>
              <w:spacing w:before="62" w:beforeLines="20" w:after="62" w:afterLines="20" w:line="240" w:lineRule="auto"/>
              <w:ind w:firstLine="420"/>
              <w:rPr>
                <w:rFonts w:cs="Times New Roman"/>
                <w:color w:val="auto"/>
                <w:kern w:val="21"/>
                <w:sz w:val="21"/>
                <w:highlight w:val="none"/>
              </w:rPr>
            </w:pPr>
            <w:r>
              <w:rPr>
                <w:rFonts w:cs="Times New Roman"/>
                <w:color w:val="auto"/>
                <w:kern w:val="21"/>
                <w:sz w:val="21"/>
                <w:highlight w:val="none"/>
              </w:rPr>
              <w:t>根据《建设项目环境风险评价技术导则》（HJ169-2018），建设项目环境风险潜势划分为Ⅰ、Ⅱ、Ⅲ、Ⅳ/Ⅳ+级。查阅《建设项目环境风险评价技术导则》（HJ169-2018）附录B，本工程涉及的主要物料为机油、废机油，经计算，Q＜1，该项目环境风险潜势为Ⅰ。根据《建设项目环境风险评价技术导则》（HJ169-2018）当危险物质数量与临界量比值Q＜1时，该项目环境风险潜势为Ⅰ。由此确定本项目环境风险评价工作等级为简单分析。</w:t>
            </w:r>
          </w:p>
          <w:p w14:paraId="2BD0BF79">
            <w:pPr>
              <w:overflowPunct w:val="0"/>
              <w:adjustRightInd w:val="0"/>
              <w:spacing w:before="62" w:beforeLines="20" w:after="62" w:afterLines="20" w:line="240" w:lineRule="auto"/>
              <w:ind w:firstLine="420"/>
              <w:rPr>
                <w:rFonts w:cs="Times New Roman"/>
                <w:color w:val="auto"/>
                <w:kern w:val="21"/>
                <w:sz w:val="21"/>
                <w:highlight w:val="none"/>
              </w:rPr>
            </w:pPr>
            <w:r>
              <w:rPr>
                <w:rFonts w:cs="Times New Roman"/>
                <w:color w:val="auto"/>
                <w:kern w:val="21"/>
                <w:sz w:val="21"/>
                <w:highlight w:val="none"/>
              </w:rPr>
              <w:t>本项目在切实落实评价中提出的事故防范与减缓、应急措施与提高风险管理水平的前提下，环境污染影响均可降至最低限度，降至可接受水平的范围之内，达到安全、平稳与持续健康生产与发展的目的。</w:t>
            </w:r>
          </w:p>
        </w:tc>
      </w:tr>
    </w:tbl>
    <w:p w14:paraId="13470D68">
      <w:pPr>
        <w:overflowPunct w:val="0"/>
        <w:adjustRightInd w:val="0"/>
        <w:ind w:firstLine="420"/>
        <w:rPr>
          <w:rFonts w:cs="Times New Roman"/>
          <w:color w:val="auto"/>
          <w:kern w:val="21"/>
          <w:sz w:val="21"/>
          <w:highlight w:val="none"/>
        </w:rPr>
        <w:sectPr>
          <w:pgSz w:w="11906" w:h="16838"/>
          <w:pgMar w:top="1134" w:right="1531" w:bottom="1134" w:left="1531" w:header="851" w:footer="907" w:gutter="0"/>
          <w:cols w:space="425" w:num="1"/>
          <w:docGrid w:type="lines" w:linePitch="312" w:charSpace="0"/>
        </w:sectPr>
      </w:pPr>
    </w:p>
    <w:p w14:paraId="27DA021C">
      <w:pPr>
        <w:pStyle w:val="2"/>
        <w:rPr>
          <w:color w:val="auto"/>
          <w:highlight w:val="none"/>
        </w:rPr>
      </w:pPr>
      <w:bookmarkStart w:id="248" w:name="_Toc11723"/>
      <w:r>
        <w:rPr>
          <w:color w:val="auto"/>
          <w:highlight w:val="none"/>
        </w:rPr>
        <w:t>环境保护措施及其可行性论证</w:t>
      </w:r>
      <w:bookmarkEnd w:id="248"/>
    </w:p>
    <w:p w14:paraId="718FC6E8">
      <w:pPr>
        <w:pStyle w:val="3"/>
        <w:rPr>
          <w:color w:val="auto"/>
          <w:highlight w:val="none"/>
        </w:rPr>
      </w:pPr>
      <w:bookmarkStart w:id="249" w:name="_Toc14376"/>
      <w:bookmarkStart w:id="250" w:name="_Toc20342"/>
      <w:bookmarkStart w:id="251" w:name="_Toc7054"/>
      <w:r>
        <w:rPr>
          <w:color w:val="auto"/>
          <w:highlight w:val="none"/>
        </w:rPr>
        <w:t>施工期</w:t>
      </w:r>
      <w:bookmarkEnd w:id="249"/>
      <w:bookmarkEnd w:id="250"/>
      <w:r>
        <w:rPr>
          <w:color w:val="auto"/>
          <w:highlight w:val="none"/>
        </w:rPr>
        <w:t>环境保护措施及其可行性论证</w:t>
      </w:r>
      <w:bookmarkEnd w:id="251"/>
    </w:p>
    <w:p w14:paraId="33CEB136">
      <w:pPr>
        <w:pStyle w:val="4"/>
        <w:adjustRightInd w:val="0"/>
        <w:rPr>
          <w:rFonts w:cs="Times New Roman"/>
          <w:color w:val="auto"/>
          <w:highlight w:val="none"/>
        </w:rPr>
      </w:pPr>
      <w:bookmarkStart w:id="252" w:name="_Toc17622"/>
      <w:bookmarkStart w:id="253" w:name="_Toc2533"/>
      <w:bookmarkStart w:id="254" w:name="_Toc8798"/>
      <w:r>
        <w:rPr>
          <w:rFonts w:cs="Times New Roman"/>
          <w:color w:val="auto"/>
          <w:highlight w:val="none"/>
        </w:rPr>
        <w:t>施工期</w:t>
      </w:r>
      <w:bookmarkStart w:id="255" w:name="_Toc29095"/>
      <w:r>
        <w:rPr>
          <w:rFonts w:cs="Times New Roman"/>
          <w:color w:val="auto"/>
          <w:highlight w:val="none"/>
        </w:rPr>
        <w:t>废气治理措施分析</w:t>
      </w:r>
      <w:bookmarkEnd w:id="252"/>
      <w:bookmarkEnd w:id="253"/>
      <w:bookmarkEnd w:id="254"/>
      <w:bookmarkEnd w:id="255"/>
    </w:p>
    <w:p w14:paraId="1B713312">
      <w:pPr>
        <w:pStyle w:val="42"/>
        <w:adjustRightInd w:val="0"/>
        <w:ind w:firstLine="480"/>
        <w:rPr>
          <w:color w:val="auto"/>
          <w:highlight w:val="none"/>
        </w:rPr>
      </w:pPr>
      <w:r>
        <w:rPr>
          <w:rFonts w:hint="eastAsia"/>
          <w:color w:val="auto"/>
          <w:highlight w:val="none"/>
        </w:rPr>
        <w:t>项目施工工地做到“六必须”（必须围挡作业、必须硬化道路、必须设置冲洗设施、必须及时洒水作业、必须落实保洁人员、必须定时清扫施工现场）、“六不准”（不准车辆带泥出门、不准运渣车辆冒顶装载、不准高空抛撒建筑垃圾、不准现场搅拌混凝土、不准场地积水、不准现场焚烧废弃物）。</w:t>
      </w:r>
    </w:p>
    <w:p w14:paraId="60C0F3D5">
      <w:pPr>
        <w:pStyle w:val="42"/>
        <w:adjustRightInd w:val="0"/>
        <w:ind w:firstLine="480"/>
        <w:rPr>
          <w:color w:val="auto"/>
          <w:highlight w:val="none"/>
        </w:rPr>
      </w:pPr>
      <w:r>
        <w:rPr>
          <w:rFonts w:hint="eastAsia"/>
          <w:color w:val="auto"/>
          <w:highlight w:val="none"/>
        </w:rPr>
        <w:t>项目在施工过程中应采取的废气治理措施如下：</w:t>
      </w:r>
    </w:p>
    <w:p w14:paraId="6557185B">
      <w:pPr>
        <w:pStyle w:val="42"/>
        <w:adjustRightInd w:val="0"/>
        <w:ind w:firstLine="480"/>
        <w:rPr>
          <w:color w:val="auto"/>
          <w:highlight w:val="none"/>
        </w:rPr>
      </w:pPr>
      <w:r>
        <w:rPr>
          <w:rFonts w:hint="eastAsia"/>
          <w:color w:val="auto"/>
          <w:highlight w:val="none"/>
        </w:rPr>
        <w:t>①在施工过程中，采取围挡、围护以减少扬尘扩散，围挡、围护对减少扬尘对环境的污染有明显作用，在施工现场周围，连续设置不低于1.5m高的彩钢板挡墙。</w:t>
      </w:r>
    </w:p>
    <w:p w14:paraId="594E3D10">
      <w:pPr>
        <w:pStyle w:val="42"/>
        <w:adjustRightInd w:val="0"/>
        <w:ind w:firstLine="480"/>
        <w:rPr>
          <w:color w:val="auto"/>
          <w:highlight w:val="none"/>
        </w:rPr>
      </w:pPr>
      <w:r>
        <w:rPr>
          <w:rFonts w:hint="eastAsia"/>
          <w:color w:val="auto"/>
          <w:highlight w:val="none"/>
        </w:rPr>
        <w:t>②在施工场地安排员工定期对施工场地洒水以减少扬尘量，洒水次数根据天气状况而定，一般每天洒水1~2次，若遇到大风或干燥天气可适当增加洒水次数。施工场地洒水与否对扬尘的影响较大，类比同类项目施工场地，场地洒水后，扬尘量将减低28%~75%，大大减少了其对环境的影响。</w:t>
      </w:r>
    </w:p>
    <w:p w14:paraId="29897F22">
      <w:pPr>
        <w:pStyle w:val="42"/>
        <w:adjustRightInd w:val="0"/>
        <w:ind w:firstLine="480"/>
        <w:rPr>
          <w:color w:val="auto"/>
          <w:highlight w:val="none"/>
        </w:rPr>
      </w:pPr>
      <w:r>
        <w:rPr>
          <w:rFonts w:hint="eastAsia"/>
          <w:color w:val="auto"/>
          <w:highlight w:val="none"/>
        </w:rPr>
        <w:t>③针对施工任务和施工场地环境状况，制定合理的施工计划，采取集中力量逐段施工方法，缩短施工周期，减少施工现场的工作面，减轻施工扬尘对环境的影响。</w:t>
      </w:r>
    </w:p>
    <w:p w14:paraId="1ADEF98B">
      <w:pPr>
        <w:pStyle w:val="42"/>
        <w:adjustRightInd w:val="0"/>
        <w:ind w:firstLine="480"/>
        <w:rPr>
          <w:color w:val="auto"/>
          <w:highlight w:val="none"/>
        </w:rPr>
      </w:pPr>
      <w:r>
        <w:rPr>
          <w:rFonts w:hint="eastAsia"/>
          <w:color w:val="auto"/>
          <w:highlight w:val="none"/>
        </w:rPr>
        <w:t>④为了减少工程扬尘对周围环境的影响，建议施工中遇到天气起风的情况下，对弃土表面洒水，防止扬尘。</w:t>
      </w:r>
    </w:p>
    <w:p w14:paraId="77181A31">
      <w:pPr>
        <w:pStyle w:val="42"/>
        <w:adjustRightInd w:val="0"/>
        <w:ind w:firstLine="480"/>
        <w:rPr>
          <w:color w:val="auto"/>
          <w:highlight w:val="none"/>
        </w:rPr>
      </w:pPr>
      <w:r>
        <w:rPr>
          <w:rFonts w:hint="eastAsia"/>
          <w:color w:val="auto"/>
          <w:highlight w:val="none"/>
        </w:rPr>
        <w:t>⑤施工车辆采取篷布加盖措施，施工车辆及运输车辆在驶出施工区前，轮胎需做清泥除尘处理，不得将泥土尘土带出工地。</w:t>
      </w:r>
    </w:p>
    <w:p w14:paraId="72B1BBB0">
      <w:pPr>
        <w:pStyle w:val="42"/>
        <w:adjustRightInd w:val="0"/>
        <w:ind w:firstLine="480"/>
        <w:rPr>
          <w:color w:val="auto"/>
          <w:highlight w:val="none"/>
        </w:rPr>
      </w:pPr>
      <w:r>
        <w:rPr>
          <w:rFonts w:hint="eastAsia"/>
          <w:color w:val="auto"/>
          <w:highlight w:val="none"/>
        </w:rPr>
        <w:t>⑥在施工场地上设置专人负责建筑垃圾、建筑材料的处置、清运和堆放，堆放场地加盖篷布或洒水，防止二次扬尘，建筑垃圾应及时处理、清运、以减少占地，防止扬尘污染，改善施工场地的环境。</w:t>
      </w:r>
    </w:p>
    <w:p w14:paraId="277A52BD">
      <w:pPr>
        <w:pStyle w:val="42"/>
        <w:adjustRightInd w:val="0"/>
        <w:ind w:firstLine="480"/>
        <w:rPr>
          <w:color w:val="auto"/>
          <w:highlight w:val="none"/>
        </w:rPr>
      </w:pPr>
      <w:r>
        <w:rPr>
          <w:rFonts w:hint="eastAsia"/>
          <w:color w:val="auto"/>
          <w:highlight w:val="none"/>
        </w:rPr>
        <w:t>⑦加强对施工人员的环保教育，增强全体施工人员的环保意识，坚持文明施工、科学施工，减少施工期的大气污染。</w:t>
      </w:r>
    </w:p>
    <w:p w14:paraId="1AC4E39F">
      <w:pPr>
        <w:pStyle w:val="42"/>
        <w:adjustRightInd w:val="0"/>
        <w:ind w:firstLine="480"/>
        <w:rPr>
          <w:color w:val="auto"/>
          <w:highlight w:val="none"/>
        </w:rPr>
      </w:pPr>
      <w:r>
        <w:rPr>
          <w:rFonts w:hint="eastAsia"/>
          <w:color w:val="auto"/>
          <w:highlight w:val="none"/>
        </w:rPr>
        <w:t>综上所述，本项目采取的施工期废气治理措施为施工场地常用的废气治理措施，可确保项目施工废气合理有效处置，故项目施工废气处理措施技术合理可行</w:t>
      </w:r>
      <w:r>
        <w:rPr>
          <w:color w:val="auto"/>
          <w:highlight w:val="none"/>
        </w:rPr>
        <w:t>。</w:t>
      </w:r>
    </w:p>
    <w:p w14:paraId="0E5CFEC4">
      <w:pPr>
        <w:pStyle w:val="4"/>
        <w:adjustRightInd w:val="0"/>
        <w:rPr>
          <w:rFonts w:cs="Times New Roman"/>
          <w:color w:val="auto"/>
          <w:highlight w:val="none"/>
        </w:rPr>
      </w:pPr>
      <w:bookmarkStart w:id="256" w:name="_Toc13112"/>
      <w:bookmarkStart w:id="257" w:name="_Toc8982"/>
      <w:bookmarkStart w:id="258" w:name="_Toc13458"/>
      <w:r>
        <w:rPr>
          <w:rFonts w:cs="Times New Roman"/>
          <w:color w:val="auto"/>
          <w:highlight w:val="none"/>
        </w:rPr>
        <w:t>施工废水污染防治措施</w:t>
      </w:r>
      <w:bookmarkEnd w:id="256"/>
      <w:bookmarkEnd w:id="257"/>
      <w:r>
        <w:rPr>
          <w:rFonts w:hint="eastAsia" w:cs="Times New Roman"/>
          <w:color w:val="auto"/>
          <w:highlight w:val="none"/>
        </w:rPr>
        <w:t>分析</w:t>
      </w:r>
      <w:bookmarkEnd w:id="258"/>
    </w:p>
    <w:p w14:paraId="20A65AEE">
      <w:pPr>
        <w:adjustRightInd w:val="0"/>
        <w:ind w:firstLine="480"/>
        <w:rPr>
          <w:rFonts w:cs="Times New Roman"/>
          <w:color w:val="auto"/>
          <w:highlight w:val="none"/>
        </w:rPr>
      </w:pPr>
      <w:r>
        <w:rPr>
          <w:rFonts w:hint="eastAsia" w:cs="Times New Roman"/>
          <w:color w:val="auto"/>
          <w:highlight w:val="none"/>
        </w:rPr>
        <w:t>施工期产生的废水主要为施工人员的生活污水和施工废水。</w:t>
      </w:r>
    </w:p>
    <w:p w14:paraId="28FB1901">
      <w:pPr>
        <w:adjustRightInd w:val="0"/>
        <w:ind w:firstLine="480"/>
        <w:rPr>
          <w:rFonts w:cs="Times New Roman"/>
          <w:color w:val="auto"/>
          <w:highlight w:val="none"/>
        </w:rPr>
      </w:pPr>
      <w:r>
        <w:rPr>
          <w:rFonts w:hint="eastAsia" w:cs="Times New Roman"/>
          <w:color w:val="auto"/>
          <w:highlight w:val="none"/>
        </w:rPr>
        <w:t>①生活污水</w:t>
      </w:r>
    </w:p>
    <w:p w14:paraId="43FB0C36">
      <w:pPr>
        <w:adjustRightInd w:val="0"/>
        <w:ind w:firstLine="480"/>
        <w:rPr>
          <w:rFonts w:cs="Times New Roman"/>
          <w:color w:val="auto"/>
          <w:highlight w:val="none"/>
        </w:rPr>
      </w:pPr>
      <w:r>
        <w:rPr>
          <w:rFonts w:hint="eastAsia" w:cs="Times New Roman"/>
          <w:color w:val="auto"/>
          <w:highlight w:val="none"/>
        </w:rPr>
        <w:t>本项目施工期间高峰期人数为50人，参考《四川省用水定额》（川府函〔2021〕8号），嘉农镇人口约2.4万人，属于小型城市，员工生活用水量取160L（人·d），则本项目员工生活用水为9m</w:t>
      </w:r>
      <w:r>
        <w:rPr>
          <w:rFonts w:hint="eastAsia" w:cs="Times New Roman"/>
          <w:color w:val="auto"/>
          <w:highlight w:val="none"/>
          <w:vertAlign w:val="superscript"/>
        </w:rPr>
        <w:t>3</w:t>
      </w:r>
      <w:r>
        <w:rPr>
          <w:rFonts w:hint="eastAsia" w:cs="Times New Roman"/>
          <w:color w:val="auto"/>
          <w:highlight w:val="none"/>
        </w:rPr>
        <w:t>/d，污水排放系数按0.85计算，则员工生活污水产生量为7.65m</w:t>
      </w:r>
      <w:r>
        <w:rPr>
          <w:rFonts w:hint="eastAsia" w:cs="Times New Roman"/>
          <w:color w:val="auto"/>
          <w:highlight w:val="none"/>
          <w:vertAlign w:val="superscript"/>
        </w:rPr>
        <w:t>3</w:t>
      </w:r>
      <w:r>
        <w:rPr>
          <w:rFonts w:hint="eastAsia" w:cs="Times New Roman"/>
          <w:color w:val="auto"/>
          <w:highlight w:val="none"/>
        </w:rPr>
        <w:t>/d。本项目施工期生活污水依托项目周围居民房化粪池处理后排入园区污水管网。主要污染因子：COD、BOD</w:t>
      </w:r>
      <w:r>
        <w:rPr>
          <w:rFonts w:hint="eastAsia" w:cs="Times New Roman"/>
          <w:color w:val="auto"/>
          <w:highlight w:val="none"/>
          <w:vertAlign w:val="subscript"/>
        </w:rPr>
        <w:t>5</w:t>
      </w:r>
      <w:r>
        <w:rPr>
          <w:rFonts w:hint="eastAsia" w:cs="Times New Roman"/>
          <w:color w:val="auto"/>
          <w:highlight w:val="none"/>
        </w:rPr>
        <w:t>、TP、SS、氨氮。</w:t>
      </w:r>
    </w:p>
    <w:p w14:paraId="11104D16">
      <w:pPr>
        <w:adjustRightInd w:val="0"/>
        <w:ind w:firstLine="480"/>
        <w:rPr>
          <w:rFonts w:cs="Times New Roman"/>
          <w:color w:val="auto"/>
          <w:highlight w:val="none"/>
        </w:rPr>
      </w:pPr>
      <w:r>
        <w:rPr>
          <w:rFonts w:hint="eastAsia" w:cs="Times New Roman"/>
          <w:color w:val="auto"/>
          <w:highlight w:val="none"/>
        </w:rPr>
        <w:t>②施工废水</w:t>
      </w:r>
    </w:p>
    <w:p w14:paraId="3969F3D3">
      <w:pPr>
        <w:adjustRightInd w:val="0"/>
        <w:ind w:firstLine="480"/>
        <w:rPr>
          <w:rFonts w:cs="Times New Roman"/>
          <w:color w:val="auto"/>
          <w:highlight w:val="none"/>
        </w:rPr>
      </w:pPr>
      <w:r>
        <w:rPr>
          <w:rFonts w:hint="eastAsia" w:cs="Times New Roman"/>
          <w:color w:val="auto"/>
          <w:highlight w:val="none"/>
        </w:rPr>
        <w:t>施工废水包括车辆冲洗废水等排入简易沉淀池，经过沉淀后回用，不外排；也可考虑用于材料堆场的喷淋防止起尘，或用于出施工区车辆轮胎的清洗，基本上不会对周围环境造成影响。根据《四川省用水定额》（川府函〔2021〕8号）平均每辆运输车辆每次冲洗轮胎用水量为0.1m</w:t>
      </w:r>
      <w:r>
        <w:rPr>
          <w:rFonts w:hint="eastAsia" w:cs="Times New Roman"/>
          <w:color w:val="auto"/>
          <w:highlight w:val="none"/>
          <w:vertAlign w:val="superscript"/>
        </w:rPr>
        <w:t>3</w:t>
      </w:r>
      <w:r>
        <w:rPr>
          <w:rFonts w:hint="eastAsia" w:cs="Times New Roman"/>
          <w:color w:val="auto"/>
          <w:highlight w:val="none"/>
        </w:rPr>
        <w:t>。施工期每天运输建材约200t，本项目每天运输车辆约10辆，因此本项目施工期车辆冲洗用水量约为1m</w:t>
      </w:r>
      <w:r>
        <w:rPr>
          <w:rFonts w:hint="eastAsia" w:cs="Times New Roman"/>
          <w:color w:val="auto"/>
          <w:highlight w:val="none"/>
          <w:vertAlign w:val="superscript"/>
        </w:rPr>
        <w:t>3</w:t>
      </w:r>
      <w:r>
        <w:rPr>
          <w:rFonts w:hint="eastAsia" w:cs="Times New Roman"/>
          <w:color w:val="auto"/>
          <w:highlight w:val="none"/>
        </w:rPr>
        <w:t>/d。本项目车辆冲洗废水产污系数按85%计，因此本项目车辆冲洗废水产生量为850m</w:t>
      </w:r>
      <w:r>
        <w:rPr>
          <w:rFonts w:hint="eastAsia" w:cs="Times New Roman"/>
          <w:color w:val="auto"/>
          <w:highlight w:val="none"/>
          <w:vertAlign w:val="superscript"/>
        </w:rPr>
        <w:t>3</w:t>
      </w:r>
      <w:r>
        <w:rPr>
          <w:rFonts w:hint="eastAsia" w:cs="Times New Roman"/>
          <w:color w:val="auto"/>
          <w:highlight w:val="none"/>
        </w:rPr>
        <w:t>/a（2.83m</w:t>
      </w:r>
      <w:r>
        <w:rPr>
          <w:rFonts w:hint="eastAsia" w:cs="Times New Roman"/>
          <w:color w:val="auto"/>
          <w:highlight w:val="none"/>
          <w:vertAlign w:val="superscript"/>
        </w:rPr>
        <w:t>3</w:t>
      </w:r>
      <w:r>
        <w:rPr>
          <w:rFonts w:hint="eastAsia" w:cs="Times New Roman"/>
          <w:color w:val="auto"/>
          <w:highlight w:val="none"/>
        </w:rPr>
        <w:t>/d）。主要污染因子为SS、石油类。</w:t>
      </w:r>
    </w:p>
    <w:p w14:paraId="30BBAD49">
      <w:pPr>
        <w:adjustRightInd w:val="0"/>
        <w:ind w:firstLine="480"/>
        <w:rPr>
          <w:rFonts w:cs="Times New Roman"/>
          <w:color w:val="auto"/>
          <w:highlight w:val="none"/>
        </w:rPr>
      </w:pPr>
      <w:r>
        <w:rPr>
          <w:rFonts w:hint="eastAsia" w:cs="Times New Roman"/>
          <w:color w:val="auto"/>
          <w:highlight w:val="none"/>
        </w:rPr>
        <w:t>采取上述治理措施后，施工期产生的废水不会对地表水环境产生明显影响</w:t>
      </w:r>
      <w:r>
        <w:rPr>
          <w:rFonts w:cs="Times New Roman"/>
          <w:color w:val="auto"/>
          <w:highlight w:val="none"/>
        </w:rPr>
        <w:t>。</w:t>
      </w:r>
    </w:p>
    <w:p w14:paraId="2AF395E0">
      <w:pPr>
        <w:pStyle w:val="4"/>
        <w:adjustRightInd w:val="0"/>
        <w:rPr>
          <w:rFonts w:cs="Times New Roman"/>
          <w:color w:val="auto"/>
          <w:highlight w:val="none"/>
        </w:rPr>
      </w:pPr>
      <w:bookmarkStart w:id="259" w:name="_Toc27261"/>
      <w:bookmarkStart w:id="260" w:name="_Toc32244"/>
      <w:bookmarkStart w:id="261" w:name="_Toc1336"/>
      <w:r>
        <w:rPr>
          <w:rFonts w:cs="Times New Roman"/>
          <w:color w:val="auto"/>
          <w:highlight w:val="none"/>
        </w:rPr>
        <w:t>施工噪声治理措施分析</w:t>
      </w:r>
      <w:bookmarkEnd w:id="259"/>
      <w:bookmarkEnd w:id="260"/>
      <w:bookmarkEnd w:id="261"/>
    </w:p>
    <w:p w14:paraId="5DC9695F">
      <w:pPr>
        <w:overflowPunct w:val="0"/>
        <w:adjustRightInd w:val="0"/>
        <w:ind w:firstLine="480"/>
        <w:rPr>
          <w:rFonts w:cs="Times New Roman"/>
          <w:color w:val="auto"/>
          <w:highlight w:val="none"/>
        </w:rPr>
      </w:pPr>
      <w:r>
        <w:rPr>
          <w:rFonts w:hint="eastAsia" w:cs="Times New Roman"/>
          <w:color w:val="auto"/>
          <w:highlight w:val="none"/>
        </w:rPr>
        <w:t>项目在施工过程中应采取的噪声治理措施如下：</w:t>
      </w:r>
    </w:p>
    <w:p w14:paraId="12DC47CB">
      <w:pPr>
        <w:overflowPunct w:val="0"/>
        <w:adjustRightInd w:val="0"/>
        <w:ind w:firstLine="480"/>
        <w:rPr>
          <w:rFonts w:cs="Times New Roman"/>
          <w:color w:val="auto"/>
          <w:highlight w:val="none"/>
        </w:rPr>
      </w:pPr>
      <w:r>
        <w:rPr>
          <w:rFonts w:hint="eastAsia" w:cs="Times New Roman"/>
          <w:color w:val="auto"/>
          <w:highlight w:val="none"/>
        </w:rPr>
        <w:t>①根据《中华人民共和国噪声污染防治法》第二十九条规定：施工单位必须在工程开工15日以前向工程所在地县级以上地方人民政府环境保护行政主管部门申报工程项目名称、施工场所和期限、建筑施工机械可能产生的环境噪声值以及所采取的环境噪声污染防治措施情况；</w:t>
      </w:r>
    </w:p>
    <w:p w14:paraId="27BAE7E7">
      <w:pPr>
        <w:overflowPunct w:val="0"/>
        <w:adjustRightInd w:val="0"/>
        <w:ind w:firstLine="480"/>
        <w:rPr>
          <w:rFonts w:cs="Times New Roman"/>
          <w:color w:val="auto"/>
          <w:highlight w:val="none"/>
        </w:rPr>
      </w:pPr>
      <w:r>
        <w:rPr>
          <w:rFonts w:hint="eastAsia" w:cs="Times New Roman"/>
          <w:color w:val="auto"/>
          <w:highlight w:val="none"/>
        </w:rPr>
        <w:t>②合理安排施工时间，高噪声工种禁止午休（12:00~14:00）施工，避免在同一时间内集中使用大量的动力机械设备。如夜间需进行施工工艺要求必须连续作业的强噪声施工，建设单位应首先征得项目所在地环保、建委、城管等主管部门同意。同时，要求施工单位严格执行《建筑施工场界环境噪声排放标准》（GB12523-20</w:t>
      </w:r>
      <w:r>
        <w:rPr>
          <w:rFonts w:hint="eastAsia" w:cs="Times New Roman"/>
          <w:color w:val="auto"/>
          <w:highlight w:val="none"/>
          <w:lang w:val="en-US" w:eastAsia="zh-CN"/>
        </w:rPr>
        <w:t>25</w:t>
      </w:r>
      <w:r>
        <w:rPr>
          <w:rFonts w:hint="eastAsia" w:cs="Times New Roman"/>
          <w:color w:val="auto"/>
          <w:highlight w:val="none"/>
        </w:rPr>
        <w:t>）中的相关规定，施工期间的场界噪声必须满足《建筑施工场界环境噪声排放标准》（GB12523-20</w:t>
      </w:r>
      <w:r>
        <w:rPr>
          <w:rFonts w:hint="eastAsia" w:cs="Times New Roman"/>
          <w:color w:val="auto"/>
          <w:highlight w:val="none"/>
          <w:lang w:val="en-US" w:eastAsia="zh-CN"/>
        </w:rPr>
        <w:t>25</w:t>
      </w:r>
      <w:r>
        <w:rPr>
          <w:rFonts w:hint="eastAsia" w:cs="Times New Roman"/>
          <w:color w:val="auto"/>
          <w:highlight w:val="none"/>
        </w:rPr>
        <w:t>）各阶段标准限值要求；</w:t>
      </w:r>
    </w:p>
    <w:p w14:paraId="485F4263">
      <w:pPr>
        <w:overflowPunct w:val="0"/>
        <w:adjustRightInd w:val="0"/>
        <w:ind w:firstLine="480"/>
        <w:rPr>
          <w:rFonts w:cs="Times New Roman"/>
          <w:color w:val="auto"/>
          <w:highlight w:val="none"/>
        </w:rPr>
      </w:pPr>
      <w:r>
        <w:rPr>
          <w:rFonts w:hint="eastAsia" w:cs="Times New Roman"/>
          <w:color w:val="auto"/>
          <w:highlight w:val="none"/>
        </w:rPr>
        <w:t>③文明施工，施工单位要加强声源噪声控制，应使用低噪声机械或采取消声器、消声管或声障等措施进行控制，使噪声的排放符合国家规定的施工场界环境噪声排放标准。在装卸、搬运木材、模具、钢材等材料时应轻拿轻放，严禁抛掷。运输车辆进出施工现场时应有专人指挥并限速，场内运输车辆禁止鸣笛，减少交通噪声；</w:t>
      </w:r>
    </w:p>
    <w:p w14:paraId="0982B605">
      <w:pPr>
        <w:overflowPunct w:val="0"/>
        <w:adjustRightInd w:val="0"/>
        <w:ind w:firstLine="480"/>
        <w:rPr>
          <w:rFonts w:cs="Times New Roman"/>
          <w:color w:val="auto"/>
          <w:highlight w:val="none"/>
        </w:rPr>
      </w:pPr>
      <w:r>
        <w:rPr>
          <w:rFonts w:hint="eastAsia" w:cs="Times New Roman"/>
          <w:color w:val="auto"/>
          <w:highlight w:val="none"/>
        </w:rPr>
        <w:t>④施工车辆特别是重型运载车辆的运行线路和时间，应尽量避开噪声敏感区域和噪声敏感时段。进出车辆要合理调度，明确线路，使行驶道路保持平坦，减弱车辆的颠簸噪声和产生振动。加强施工区域交通管理，避免因交通堵塞增加车辆鸣号。</w:t>
      </w:r>
    </w:p>
    <w:p w14:paraId="768DA06D">
      <w:pPr>
        <w:overflowPunct w:val="0"/>
        <w:adjustRightInd w:val="0"/>
        <w:ind w:firstLine="480"/>
        <w:rPr>
          <w:rFonts w:cs="Times New Roman"/>
          <w:color w:val="auto"/>
          <w:highlight w:val="none"/>
        </w:rPr>
      </w:pPr>
      <w:r>
        <w:rPr>
          <w:rFonts w:hint="eastAsia" w:cs="Times New Roman"/>
          <w:color w:val="auto"/>
          <w:highlight w:val="none"/>
        </w:rPr>
        <w:t>⑤夜间禁止施工。</w:t>
      </w:r>
    </w:p>
    <w:p w14:paraId="325061CC">
      <w:pPr>
        <w:overflowPunct w:val="0"/>
        <w:adjustRightInd w:val="0"/>
        <w:ind w:firstLine="480"/>
        <w:rPr>
          <w:rFonts w:cs="Times New Roman"/>
          <w:color w:val="auto"/>
          <w:highlight w:val="none"/>
        </w:rPr>
      </w:pPr>
      <w:r>
        <w:rPr>
          <w:rFonts w:hint="eastAsia" w:cs="Times New Roman"/>
          <w:color w:val="auto"/>
          <w:highlight w:val="none"/>
        </w:rPr>
        <w:t>⑥工程设计应当包含施工期间噪声污染的防治措施，编制工程预算应当包含施工期间噪声污染防治措施专项费用。建设单位和施工单位应当根据建设项目工程施工需要，安排噪声污染的防治费用，建设单位应当督促施工单位达标排放施工噪声。</w:t>
      </w:r>
    </w:p>
    <w:p w14:paraId="50C48DAC">
      <w:pPr>
        <w:overflowPunct w:val="0"/>
        <w:adjustRightInd w:val="0"/>
        <w:ind w:firstLine="480"/>
        <w:rPr>
          <w:rFonts w:cs="Times New Roman"/>
          <w:color w:val="auto"/>
          <w:kern w:val="21"/>
          <w:szCs w:val="24"/>
          <w:highlight w:val="none"/>
        </w:rPr>
      </w:pPr>
      <w:r>
        <w:rPr>
          <w:rFonts w:hint="eastAsia" w:cs="Times New Roman"/>
          <w:color w:val="auto"/>
          <w:highlight w:val="none"/>
        </w:rPr>
        <w:t>本项目采取的施工期噪声治理措施为施工场地常用的处置措施，可确保项目施工噪声对周围环境影响较小，故项目施工噪声治理措施技术合理可行</w:t>
      </w:r>
      <w:r>
        <w:rPr>
          <w:rFonts w:cs="Times New Roman"/>
          <w:color w:val="auto"/>
          <w:kern w:val="21"/>
          <w:szCs w:val="24"/>
          <w:highlight w:val="none"/>
        </w:rPr>
        <w:t>。</w:t>
      </w:r>
    </w:p>
    <w:p w14:paraId="1F7BF307">
      <w:pPr>
        <w:pStyle w:val="4"/>
        <w:adjustRightInd w:val="0"/>
        <w:rPr>
          <w:rFonts w:cs="Times New Roman"/>
          <w:color w:val="auto"/>
          <w:highlight w:val="none"/>
        </w:rPr>
      </w:pPr>
      <w:bookmarkStart w:id="262" w:name="_Toc14900"/>
      <w:bookmarkStart w:id="263" w:name="_Toc15965"/>
      <w:bookmarkStart w:id="264" w:name="_Toc19444"/>
      <w:r>
        <w:rPr>
          <w:rFonts w:cs="Times New Roman"/>
          <w:color w:val="auto"/>
          <w:highlight w:val="none"/>
        </w:rPr>
        <w:t>施工</w:t>
      </w:r>
      <w:bookmarkStart w:id="265" w:name="_Toc8650"/>
      <w:r>
        <w:rPr>
          <w:rFonts w:cs="Times New Roman"/>
          <w:color w:val="auto"/>
          <w:highlight w:val="none"/>
        </w:rPr>
        <w:t>固体废物治理措施分析</w:t>
      </w:r>
      <w:bookmarkEnd w:id="262"/>
      <w:bookmarkEnd w:id="263"/>
      <w:bookmarkEnd w:id="264"/>
      <w:bookmarkEnd w:id="265"/>
    </w:p>
    <w:p w14:paraId="71270A76">
      <w:pPr>
        <w:adjustRightInd w:val="0"/>
        <w:ind w:firstLine="480"/>
        <w:rPr>
          <w:rFonts w:cs="Times New Roman"/>
          <w:color w:val="auto"/>
          <w:highlight w:val="none"/>
        </w:rPr>
      </w:pPr>
      <w:r>
        <w:rPr>
          <w:rFonts w:hint="eastAsia" w:cs="Times New Roman"/>
          <w:color w:val="auto"/>
          <w:highlight w:val="none"/>
        </w:rPr>
        <w:t>项目在施工过程中应采取的固体废物防治措施如下：</w:t>
      </w:r>
    </w:p>
    <w:p w14:paraId="01C9568B">
      <w:pPr>
        <w:adjustRightInd w:val="0"/>
        <w:ind w:firstLine="480"/>
        <w:rPr>
          <w:rFonts w:cs="Times New Roman"/>
          <w:color w:val="auto"/>
          <w:highlight w:val="none"/>
        </w:rPr>
      </w:pPr>
      <w:r>
        <w:rPr>
          <w:rFonts w:hint="eastAsia" w:cs="Times New Roman"/>
          <w:color w:val="auto"/>
          <w:highlight w:val="none"/>
        </w:rPr>
        <w:t>（1）建筑垃圾中，钢筋、钢板、木材等下脚料可分类回收，交废物收购站处理；装修垃圾，如废油漆桶、废涂料桶等，建筑垃圾中可回收利用的出售给废品回收站，不能回收的运往政府指定堆放点；废油漆桶、废涂料桶等装修垃圾交由有相应危废资质的单位处理。</w:t>
      </w:r>
    </w:p>
    <w:p w14:paraId="2409C7C6">
      <w:pPr>
        <w:adjustRightInd w:val="0"/>
        <w:ind w:firstLine="480"/>
        <w:rPr>
          <w:rFonts w:cs="Times New Roman"/>
          <w:color w:val="auto"/>
          <w:highlight w:val="none"/>
        </w:rPr>
      </w:pPr>
      <w:r>
        <w:rPr>
          <w:rFonts w:hint="eastAsia" w:cs="Times New Roman"/>
          <w:color w:val="auto"/>
          <w:highlight w:val="none"/>
        </w:rPr>
        <w:t>（2）施工人员产生的生活垃圾经过袋装收集后，运往生活垃圾填埋场，严禁就地填埋。</w:t>
      </w:r>
    </w:p>
    <w:p w14:paraId="2641B007">
      <w:pPr>
        <w:adjustRightInd w:val="0"/>
        <w:ind w:firstLine="480"/>
        <w:rPr>
          <w:rFonts w:cs="Times New Roman"/>
          <w:color w:val="auto"/>
          <w:highlight w:val="none"/>
        </w:rPr>
      </w:pPr>
      <w:r>
        <w:rPr>
          <w:rFonts w:hint="eastAsia" w:cs="Times New Roman"/>
          <w:color w:val="auto"/>
          <w:highlight w:val="none"/>
        </w:rPr>
        <w:t>本项目采取的固体废物处置措施为施工场地常用的固废处置措施，可确保项目固体废物得到合理有效地处置，故项目施工期固体废物处置措施可行</w:t>
      </w:r>
      <w:r>
        <w:rPr>
          <w:rFonts w:cs="Times New Roman"/>
          <w:color w:val="auto"/>
          <w:highlight w:val="none"/>
        </w:rPr>
        <w:t>。</w:t>
      </w:r>
    </w:p>
    <w:p w14:paraId="410AD6C2">
      <w:pPr>
        <w:pStyle w:val="3"/>
        <w:rPr>
          <w:color w:val="auto"/>
          <w:highlight w:val="none"/>
        </w:rPr>
      </w:pPr>
      <w:bookmarkStart w:id="266" w:name="_Toc7769"/>
      <w:bookmarkStart w:id="267" w:name="_Toc4837"/>
      <w:bookmarkStart w:id="268" w:name="_Toc8806"/>
      <w:r>
        <w:rPr>
          <w:color w:val="auto"/>
          <w:highlight w:val="none"/>
        </w:rPr>
        <w:t>运营期</w:t>
      </w:r>
      <w:bookmarkEnd w:id="266"/>
      <w:bookmarkEnd w:id="267"/>
      <w:r>
        <w:rPr>
          <w:color w:val="auto"/>
          <w:highlight w:val="none"/>
        </w:rPr>
        <w:t>环境保护措施及其可行性论证</w:t>
      </w:r>
      <w:bookmarkEnd w:id="268"/>
    </w:p>
    <w:p w14:paraId="57DD9EA0">
      <w:pPr>
        <w:adjustRightInd w:val="0"/>
        <w:ind w:firstLine="480"/>
        <w:rPr>
          <w:rFonts w:cs="Times New Roman"/>
          <w:color w:val="auto"/>
          <w:highlight w:val="none"/>
        </w:rPr>
      </w:pPr>
      <w:r>
        <w:rPr>
          <w:rFonts w:cs="Times New Roman"/>
          <w:color w:val="auto"/>
          <w:highlight w:val="none"/>
        </w:rPr>
        <w:t>根据本工程的排污特点及本地区的环境特征，通过类比调查和资料分析，对本工程提出的废气、废水、噪声、固体废物治理方案进行分析评述，为本项目的污染治理设计提供决策依据。</w:t>
      </w:r>
    </w:p>
    <w:p w14:paraId="6C1B4B45">
      <w:pPr>
        <w:pStyle w:val="4"/>
        <w:rPr>
          <w:color w:val="auto"/>
          <w:highlight w:val="none"/>
        </w:rPr>
      </w:pPr>
      <w:bookmarkStart w:id="269" w:name="_Toc26859"/>
      <w:bookmarkStart w:id="270" w:name="_Toc11591"/>
      <w:bookmarkStart w:id="271" w:name="_Toc24842"/>
      <w:r>
        <w:rPr>
          <w:color w:val="auto"/>
          <w:highlight w:val="none"/>
        </w:rPr>
        <w:t>废气</w:t>
      </w:r>
      <w:bookmarkEnd w:id="269"/>
      <w:bookmarkEnd w:id="270"/>
      <w:r>
        <w:rPr>
          <w:color w:val="auto"/>
          <w:highlight w:val="none"/>
        </w:rPr>
        <w:t>环境保护措施及其可行性论证</w:t>
      </w:r>
      <w:bookmarkEnd w:id="271"/>
    </w:p>
    <w:p w14:paraId="6E238C87">
      <w:pPr>
        <w:adjustRightInd w:val="0"/>
        <w:ind w:firstLine="480"/>
        <w:rPr>
          <w:rFonts w:cs="Times New Roman"/>
          <w:color w:val="auto"/>
          <w:highlight w:val="none"/>
        </w:rPr>
      </w:pPr>
      <w:r>
        <w:rPr>
          <w:rFonts w:cs="Times New Roman"/>
          <w:color w:val="auto"/>
          <w:highlight w:val="none"/>
        </w:rPr>
        <w:t>本项目设置1个碎矿车间，车间作业时保持门窗关闭，保持其封闭性，同时在项目碎矿车间</w:t>
      </w:r>
      <w:r>
        <w:rPr>
          <w:rFonts w:hint="eastAsia" w:cs="Times New Roman"/>
          <w:color w:val="auto"/>
          <w:highlight w:val="none"/>
        </w:rPr>
        <w:t>设置</w:t>
      </w:r>
      <w:r>
        <w:rPr>
          <w:rFonts w:cs="Times New Roman"/>
          <w:color w:val="auto"/>
          <w:highlight w:val="none"/>
        </w:rPr>
        <w:t>喷雾装置进行喷雾降尘，项目给料、破碎、筛分等产尘点采用集气</w:t>
      </w:r>
      <w:r>
        <w:rPr>
          <w:rFonts w:hint="eastAsia"/>
          <w:color w:val="auto"/>
          <w:highlight w:val="none"/>
        </w:rPr>
        <w:t>罩</w:t>
      </w:r>
      <w:r>
        <w:rPr>
          <w:rFonts w:cs="Times New Roman"/>
          <w:color w:val="auto"/>
          <w:highlight w:val="none"/>
        </w:rPr>
        <w:t>收集粉尘，收集的粉尘选用布袋除尘装置进行除尘，本项目给料、破碎粉尘经收集后统一经1套袋式除尘装置（TA001）处理后经一根15m排气筒（DA001）处理后达标外排</w:t>
      </w:r>
      <w:r>
        <w:rPr>
          <w:rFonts w:hint="eastAsia" w:cs="Times New Roman"/>
          <w:color w:val="auto"/>
          <w:highlight w:val="none"/>
        </w:rPr>
        <w:t>，</w:t>
      </w:r>
      <w:r>
        <w:rPr>
          <w:rFonts w:cs="Times New Roman"/>
          <w:color w:val="auto"/>
          <w:highlight w:val="none"/>
        </w:rPr>
        <w:t>筛分废气经收集后统一经1套袋式除尘装置（TA002）处理后经一根15m排气筒（DA001，共用）处理后达标外排。</w:t>
      </w:r>
    </w:p>
    <w:p w14:paraId="64D2F7A0">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除尘工艺的选择：</w:t>
      </w:r>
    </w:p>
    <w:p w14:paraId="0C729436">
      <w:pPr>
        <w:overflowPunct w:val="0"/>
        <w:adjustRightInd w:val="0"/>
        <w:ind w:firstLine="480"/>
        <w:rPr>
          <w:rFonts w:cs="Times New Roman"/>
          <w:color w:val="auto"/>
          <w:kern w:val="21"/>
          <w:szCs w:val="22"/>
          <w:highlight w:val="none"/>
        </w:rPr>
      </w:pPr>
      <w:r>
        <w:rPr>
          <w:rFonts w:cs="Times New Roman"/>
          <w:color w:val="auto"/>
          <w:kern w:val="21"/>
          <w:szCs w:val="22"/>
          <w:highlight w:val="none"/>
        </w:rPr>
        <w:t>袋布除尘器是一种干式滤尘装置。滤料使用一段时间后，由于筛滤、碰撞、滞留、扩散、静电等效应，滤袋表面积聚了一层粉尘，这层粉尘称为初层，在此以后的运动过程中，初层成了滤料的主要过滤层，依靠初层的作用，网孔较大的滤料也能获得较高的过滤效率。随着粉尘在滤料表面的积聚，除尘器的效率和阻力都相应</w:t>
      </w:r>
      <w:r>
        <w:rPr>
          <w:rFonts w:hint="eastAsia" w:cs="Times New Roman"/>
          <w:color w:val="auto"/>
          <w:kern w:val="21"/>
          <w:szCs w:val="22"/>
          <w:highlight w:val="none"/>
        </w:rPr>
        <w:t>地</w:t>
      </w:r>
      <w:r>
        <w:rPr>
          <w:rFonts w:cs="Times New Roman"/>
          <w:color w:val="auto"/>
          <w:kern w:val="21"/>
          <w:szCs w:val="22"/>
          <w:highlight w:val="none"/>
        </w:rPr>
        <w:t>增加，当滤料两侧的压力差很大时，会把有些已附着在滤料上的细小尘粒挤压过去，使除尘器效率下降。另外，除尘器的阻力过高会使除尘系统的风量显著下降。因此，除尘器的阻力达到一定数值后，要及时清灰。清灰时不能破坏初层，以免效率下降。</w:t>
      </w:r>
    </w:p>
    <w:p w14:paraId="22ACA25A">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w:t>
      </w:r>
      <w:r>
        <w:rPr>
          <w:rFonts w:hint="eastAsia" w:cs="Times New Roman"/>
          <w:color w:val="auto"/>
          <w:kern w:val="21"/>
          <w:szCs w:val="22"/>
          <w:highlight w:val="none"/>
        </w:rPr>
        <w:t>给料、</w:t>
      </w:r>
      <w:r>
        <w:rPr>
          <w:rFonts w:cs="Times New Roman"/>
          <w:color w:val="auto"/>
          <w:kern w:val="21"/>
          <w:szCs w:val="22"/>
          <w:highlight w:val="none"/>
        </w:rPr>
        <w:t>破碎、筛分工序颗粒物经袋式除尘器处理后可满足《乐山市打赢蓝天保卫战实施方案》相关要求（排放浓度＜10mg/m</w:t>
      </w:r>
      <w:r>
        <w:rPr>
          <w:rFonts w:cs="Times New Roman"/>
          <w:color w:val="auto"/>
          <w:kern w:val="21"/>
          <w:szCs w:val="22"/>
          <w:highlight w:val="none"/>
          <w:vertAlign w:val="superscript"/>
        </w:rPr>
        <w:t>3</w:t>
      </w:r>
      <w:r>
        <w:rPr>
          <w:rFonts w:cs="Times New Roman"/>
          <w:color w:val="auto"/>
          <w:kern w:val="21"/>
          <w:szCs w:val="22"/>
          <w:highlight w:val="none"/>
        </w:rPr>
        <w:t>），能确保废气保持长期稳定达标排放。袋式除尘器除尘效率较高，设备运行稳定、可靠，运行维护成本较低，已在国内得到广泛应用并取得较好的使用效果。袋式除尘器在国内应用较广泛，技术成熟，可满足本项目要求，实现达标排放。</w:t>
      </w:r>
    </w:p>
    <w:p w14:paraId="53DD1C27">
      <w:pPr>
        <w:adjustRightInd w:val="0"/>
        <w:ind w:firstLine="480"/>
        <w:rPr>
          <w:rFonts w:cs="Times New Roman"/>
          <w:color w:val="auto"/>
          <w:highlight w:val="none"/>
        </w:rPr>
      </w:pPr>
      <w:r>
        <w:rPr>
          <w:rFonts w:cs="Times New Roman"/>
          <w:color w:val="auto"/>
          <w:highlight w:val="none"/>
        </w:rPr>
        <w:t>参考《排污许可证申请与核发技术规范陶瓷砖瓦工业》（HJ954-2018）中砖瓦行业生产过程中原料制备、成型、包装机等对应排放口可行技术为袋式除尘。</w:t>
      </w:r>
    </w:p>
    <w:p w14:paraId="648DEC9E">
      <w:pPr>
        <w:adjustRightInd w:val="0"/>
        <w:ind w:firstLine="480"/>
        <w:rPr>
          <w:rFonts w:cs="Times New Roman"/>
          <w:color w:val="auto"/>
          <w:highlight w:val="none"/>
        </w:rPr>
      </w:pPr>
      <w:r>
        <w:rPr>
          <w:rFonts w:cs="Times New Roman"/>
          <w:color w:val="auto"/>
          <w:highlight w:val="none"/>
        </w:rPr>
        <w:t>参照其他制品类原料破碎、搅拌、成型等过程产生的粉尘，可行处理技术为湿法作业或袋式除尘，本项目对原矿仓库、生产车间进行封闭处理，并设置喷雾设施进行湿法作业，为可行技术。</w:t>
      </w:r>
    </w:p>
    <w:p w14:paraId="33BB4B2E">
      <w:pPr>
        <w:adjustRightInd w:val="0"/>
        <w:ind w:firstLine="480"/>
        <w:rPr>
          <w:rFonts w:cs="Times New Roman"/>
          <w:color w:val="auto"/>
          <w:highlight w:val="none"/>
        </w:rPr>
      </w:pPr>
      <w:r>
        <w:rPr>
          <w:rFonts w:hint="eastAsia" w:cs="Times New Roman"/>
          <w:color w:val="auto"/>
          <w:highlight w:val="none"/>
        </w:rPr>
        <w:t>本项目</w:t>
      </w:r>
      <w:r>
        <w:rPr>
          <w:rFonts w:cs="Times New Roman"/>
          <w:color w:val="auto"/>
          <w:highlight w:val="none"/>
        </w:rPr>
        <w:t>原矿仓库、粉矿仓库、精矿仓库、尾矿仓库堆料粉尘：原矿仓库、粉矿仓库、精矿仓库、尾矿仓库设置为封闭厂房，在原矿仓库上方设置喷雾降尘装置进行喷雾除尘，粉矿仓库、精矿仓库、尾矿仓库采取雾炮机进行喷雾除尘；车辆运输及装卸扬尘：加强车辆管理，</w:t>
      </w:r>
      <w:r>
        <w:rPr>
          <w:rFonts w:hint="eastAsia" w:cs="Times New Roman"/>
          <w:color w:val="auto"/>
          <w:highlight w:val="none"/>
          <w:lang w:val="en-US" w:eastAsia="zh-CN"/>
        </w:rPr>
        <w:t>依托</w:t>
      </w:r>
      <w:r>
        <w:rPr>
          <w:rFonts w:cs="Times New Roman"/>
          <w:color w:val="auto"/>
          <w:highlight w:val="none"/>
        </w:rPr>
        <w:t>1个洗车区（面积约10m</w:t>
      </w:r>
      <w:r>
        <w:rPr>
          <w:rFonts w:cs="Times New Roman"/>
          <w:color w:val="auto"/>
          <w:highlight w:val="none"/>
          <w:vertAlign w:val="superscript"/>
        </w:rPr>
        <w:t>2</w:t>
      </w:r>
      <w:r>
        <w:rPr>
          <w:rFonts w:cs="Times New Roman"/>
          <w:color w:val="auto"/>
          <w:highlight w:val="none"/>
        </w:rPr>
        <w:t>）、运输车辆车轮清洗，降低车速，定期洒水降尘，加盖篷布，密闭运输</w:t>
      </w:r>
      <w:r>
        <w:rPr>
          <w:rFonts w:hint="eastAsia" w:cs="Times New Roman"/>
          <w:color w:val="auto"/>
          <w:highlight w:val="none"/>
        </w:rPr>
        <w:t>；</w:t>
      </w:r>
      <w:r>
        <w:rPr>
          <w:rFonts w:cs="Times New Roman"/>
          <w:color w:val="auto"/>
          <w:highlight w:val="none"/>
        </w:rPr>
        <w:t>全厂运输皮带均采取密闭措施</w:t>
      </w:r>
      <w:r>
        <w:rPr>
          <w:rFonts w:hint="eastAsia" w:cs="Times New Roman"/>
          <w:color w:val="auto"/>
          <w:highlight w:val="none"/>
        </w:rPr>
        <w:t>；厂区围墙、主要运输道路两侧加装喷雾装置</w:t>
      </w:r>
      <w:r>
        <w:rPr>
          <w:rFonts w:cs="Times New Roman"/>
          <w:color w:val="auto"/>
          <w:highlight w:val="none"/>
        </w:rPr>
        <w:t>。</w:t>
      </w:r>
    </w:p>
    <w:p w14:paraId="333FFF20">
      <w:pPr>
        <w:adjustRightInd w:val="0"/>
        <w:ind w:firstLine="480"/>
        <w:rPr>
          <w:rFonts w:cs="Times New Roman"/>
          <w:color w:val="auto"/>
          <w:highlight w:val="none"/>
        </w:rPr>
      </w:pPr>
      <w:r>
        <w:rPr>
          <w:rFonts w:cs="Times New Roman"/>
          <w:color w:val="auto"/>
          <w:highlight w:val="none"/>
        </w:rPr>
        <w:t>因此，本项目采取的废气治理措施可行。</w:t>
      </w:r>
    </w:p>
    <w:p w14:paraId="392B392E">
      <w:pPr>
        <w:pStyle w:val="4"/>
        <w:adjustRightInd w:val="0"/>
        <w:rPr>
          <w:rFonts w:cs="Times New Roman"/>
          <w:color w:val="auto"/>
          <w:highlight w:val="none"/>
        </w:rPr>
      </w:pPr>
      <w:bookmarkStart w:id="272" w:name="_Toc7969"/>
      <w:bookmarkStart w:id="273" w:name="_Toc15587"/>
      <w:bookmarkStart w:id="274" w:name="_Toc22884"/>
      <w:r>
        <w:rPr>
          <w:rFonts w:cs="Times New Roman"/>
          <w:color w:val="auto"/>
          <w:highlight w:val="none"/>
        </w:rPr>
        <w:t>地表水</w:t>
      </w:r>
      <w:bookmarkEnd w:id="272"/>
      <w:bookmarkEnd w:id="273"/>
      <w:r>
        <w:rPr>
          <w:color w:val="auto"/>
          <w:highlight w:val="none"/>
        </w:rPr>
        <w:t>环境保护措施及其可行性论证</w:t>
      </w:r>
      <w:bookmarkEnd w:id="274"/>
    </w:p>
    <w:p w14:paraId="4A3D6949">
      <w:pPr>
        <w:adjustRightInd w:val="0"/>
        <w:ind w:firstLine="480"/>
        <w:rPr>
          <w:rFonts w:cs="Times New Roman"/>
          <w:color w:val="auto"/>
          <w:highlight w:val="none"/>
        </w:rPr>
      </w:pPr>
      <w:r>
        <w:rPr>
          <w:rFonts w:cs="Times New Roman"/>
          <w:color w:val="auto"/>
          <w:highlight w:val="none"/>
        </w:rPr>
        <w:t>本项目选矿废水经絮凝沉淀处理后回用于</w:t>
      </w:r>
      <w:r>
        <w:rPr>
          <w:rFonts w:hint="eastAsia" w:cs="Times New Roman"/>
          <w:color w:val="auto"/>
          <w:highlight w:val="none"/>
        </w:rPr>
        <w:t>湿式磨矿、浮选等工序</w:t>
      </w:r>
      <w:r>
        <w:rPr>
          <w:rFonts w:cs="Times New Roman"/>
          <w:color w:val="auto"/>
          <w:highlight w:val="none"/>
        </w:rPr>
        <w:t>，不外排；车辆冲洗废水经</w:t>
      </w:r>
      <w:r>
        <w:rPr>
          <w:rFonts w:hint="eastAsia" w:cs="Times New Roman"/>
          <w:color w:val="auto"/>
          <w:highlight w:val="none"/>
        </w:rPr>
        <w:t>依托的乐山市沙湾区豪沐科技有限公司</w:t>
      </w:r>
      <w:r>
        <w:rPr>
          <w:rFonts w:cs="Times New Roman"/>
          <w:color w:val="auto"/>
          <w:highlight w:val="none"/>
        </w:rPr>
        <w:t>沉淀池处理后回用于车辆冲洗，不外排；生活污水</w:t>
      </w:r>
      <w:r>
        <w:rPr>
          <w:rFonts w:hint="eastAsia" w:cs="Times New Roman"/>
          <w:color w:val="auto"/>
          <w:highlight w:val="none"/>
        </w:rPr>
        <w:t>（含食堂废水）</w:t>
      </w:r>
      <w:r>
        <w:rPr>
          <w:rFonts w:cs="Times New Roman"/>
          <w:color w:val="auto"/>
          <w:highlight w:val="none"/>
        </w:rPr>
        <w:t>经</w:t>
      </w:r>
      <w:r>
        <w:rPr>
          <w:rFonts w:hint="eastAsia" w:cs="Times New Roman"/>
          <w:color w:val="auto"/>
          <w:highlight w:val="none"/>
        </w:rPr>
        <w:t>依托的乐山市沙湾区豪沐科技有限公司</w:t>
      </w:r>
      <w:r>
        <w:rPr>
          <w:rFonts w:cs="Times New Roman"/>
          <w:color w:val="auto"/>
          <w:highlight w:val="none"/>
        </w:rPr>
        <w:t>预处理池（</w:t>
      </w:r>
      <w:r>
        <w:rPr>
          <w:rFonts w:hint="eastAsia" w:cs="Times New Roman"/>
          <w:color w:val="auto"/>
          <w:highlight w:val="none"/>
        </w:rPr>
        <w:t>2</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）处理达标后经污水管网排入园区污水处理厂处理；初期雨水经</w:t>
      </w:r>
      <w:r>
        <w:rPr>
          <w:rFonts w:hint="eastAsia" w:cs="Times New Roman"/>
          <w:color w:val="auto"/>
          <w:highlight w:val="none"/>
        </w:rPr>
        <w:t>依托的乐山市沙湾区豪沐科技有限公司</w:t>
      </w:r>
      <w:r>
        <w:rPr>
          <w:rFonts w:cs="Times New Roman"/>
          <w:color w:val="auto"/>
          <w:highlight w:val="none"/>
        </w:rPr>
        <w:t>初期雨水池沉淀处理后排入园区污水管网。</w:t>
      </w:r>
    </w:p>
    <w:p w14:paraId="30FCEB9D">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（1）</w:t>
      </w:r>
      <w:r>
        <w:rPr>
          <w:rFonts w:cs="Times New Roman"/>
          <w:b/>
          <w:bCs/>
          <w:color w:val="auto"/>
          <w:kern w:val="21"/>
          <w:szCs w:val="24"/>
          <w:highlight w:val="none"/>
        </w:rPr>
        <w:t>选矿废水</w:t>
      </w:r>
      <w:r>
        <w:rPr>
          <w:rFonts w:cs="Times New Roman"/>
          <w:b/>
          <w:color w:val="auto"/>
          <w:kern w:val="21"/>
          <w:szCs w:val="22"/>
          <w:highlight w:val="none"/>
        </w:rPr>
        <w:t>治理措施可行性</w:t>
      </w:r>
    </w:p>
    <w:p w14:paraId="71E7B48F">
      <w:pPr>
        <w:overflowPunct w:val="0"/>
        <w:adjustRightInd w:val="0"/>
        <w:ind w:firstLine="480"/>
        <w:rPr>
          <w:rFonts w:cs="Times New Roman"/>
          <w:color w:val="auto"/>
          <w:kern w:val="21"/>
          <w:sz w:val="40"/>
          <w:szCs w:val="22"/>
          <w:highlight w:val="none"/>
        </w:rPr>
      </w:pPr>
      <w:r>
        <w:rPr>
          <w:rFonts w:cs="Times New Roman"/>
          <w:color w:val="auto"/>
          <w:kern w:val="21"/>
          <w:szCs w:val="22"/>
          <w:highlight w:val="none"/>
        </w:rPr>
        <w:t>全厂共设置1套生产废水处理设施，为3级沉淀池（</w:t>
      </w:r>
      <w:r>
        <w:rPr>
          <w:rFonts w:cs="Times New Roman"/>
          <w:color w:val="auto"/>
          <w:highlight w:val="none"/>
        </w:rPr>
        <w:t>一级沉淀池有效容积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、二级沉淀池有效容积</w:t>
      </w:r>
      <w:r>
        <w:rPr>
          <w:rFonts w:hint="eastAsia" w:cs="Times New Roman"/>
          <w:color w:val="auto"/>
          <w:highlight w:val="none"/>
        </w:rPr>
        <w:t>1530</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、三级沉淀池有效容积</w:t>
      </w:r>
      <w:r>
        <w:rPr>
          <w:rFonts w:hint="eastAsia" w:cs="Times New Roman"/>
          <w:color w:val="auto"/>
          <w:highlight w:val="none"/>
        </w:rPr>
        <w:t>153</w:t>
      </w:r>
      <w:r>
        <w:rPr>
          <w:rFonts w:cs="Times New Roman"/>
          <w:color w:val="auto"/>
          <w:highlight w:val="none"/>
        </w:rPr>
        <w:t>0m</w:t>
      </w:r>
      <w:r>
        <w:rPr>
          <w:rFonts w:cs="Times New Roman"/>
          <w:color w:val="auto"/>
          <w:highlight w:val="none"/>
          <w:vertAlign w:val="superscript"/>
        </w:rPr>
        <w:t>3</w:t>
      </w:r>
      <w:r>
        <w:rPr>
          <w:rFonts w:cs="Times New Roman"/>
          <w:color w:val="auto"/>
          <w:highlight w:val="none"/>
        </w:rPr>
        <w:t>，其中一级沉淀池设计水力停留时间为5h、二级沉淀池设计水力停留时间为5h，三级沉淀池设计水力停留时间为5h，处理能力</w:t>
      </w:r>
      <w:r>
        <w:rPr>
          <w:rFonts w:hint="eastAsia" w:cs="Times New Roman"/>
          <w:color w:val="auto"/>
          <w:highlight w:val="none"/>
        </w:rPr>
        <w:t>306</w:t>
      </w:r>
      <w:r>
        <w:rPr>
          <w:rFonts w:cs="Times New Roman"/>
          <w:color w:val="auto"/>
          <w:highlight w:val="none"/>
        </w:rPr>
        <w:t>m</w:t>
      </w:r>
      <w:r>
        <w:rPr>
          <w:rFonts w:cs="Times New Roman"/>
          <w:color w:val="auto"/>
          <w:highlight w:val="none"/>
          <w:vertAlign w:val="superscript"/>
        </w:rPr>
        <w:t>3</w:t>
      </w:r>
      <w:r>
        <w:rPr>
          <w:rFonts w:cs="Times New Roman"/>
          <w:color w:val="auto"/>
          <w:highlight w:val="none"/>
        </w:rPr>
        <w:t>/h，每天运行时间24h，处理工艺为絮凝+</w:t>
      </w:r>
      <w:r>
        <w:rPr>
          <w:rFonts w:hint="eastAsia" w:cs="Times New Roman"/>
          <w:color w:val="auto"/>
          <w:highlight w:val="none"/>
          <w:lang w:val="en-US" w:eastAsia="zh-CN"/>
        </w:rPr>
        <w:t>三级</w:t>
      </w:r>
      <w:r>
        <w:rPr>
          <w:rFonts w:cs="Times New Roman"/>
          <w:color w:val="auto"/>
          <w:highlight w:val="none"/>
        </w:rPr>
        <w:t>沉淀</w:t>
      </w:r>
      <w:r>
        <w:rPr>
          <w:rFonts w:cs="Times New Roman"/>
          <w:color w:val="auto"/>
          <w:kern w:val="21"/>
          <w:szCs w:val="22"/>
          <w:highlight w:val="none"/>
        </w:rPr>
        <w:t>），选矿废水经絮凝沉淀后回用于</w:t>
      </w:r>
      <w:r>
        <w:rPr>
          <w:rFonts w:hint="eastAsia" w:cs="Times New Roman"/>
          <w:color w:val="auto"/>
          <w:kern w:val="21"/>
          <w:szCs w:val="22"/>
          <w:highlight w:val="none"/>
        </w:rPr>
        <w:t>湿式磨矿、浮选等工序</w:t>
      </w:r>
      <w:r>
        <w:rPr>
          <w:rFonts w:cs="Times New Roman"/>
          <w:color w:val="auto"/>
          <w:kern w:val="21"/>
          <w:szCs w:val="24"/>
          <w:highlight w:val="none"/>
        </w:rPr>
        <w:t>。</w:t>
      </w:r>
    </w:p>
    <w:p w14:paraId="6106B993">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选矿废水采用絮凝沉淀法处理，絮凝沉淀法是目前应用最多的选矿废水处理方法，其处理的对象主要为选矿废水中呈胶体或微小悬浮状态存在的矿物颗粒等。在絮凝沉淀过程中，需要加入絮凝剂和聚凝剂，常见的絮凝剂有无机类的三硫酸铝、聚合氯化铝、氯化铁、硫酸亚铁以及有机类的高分子等，常见的聚凝剂有聚丙烯酰胺等。采用絮凝沉淀工艺处理选矿废水时，要通过试验确定絮凝剂、絮凝剂种类和用量、沉淀时间等参数，以保证投入药剂量适宜和获得最佳的处理效果。絮凝沉淀法处理选矿废水，工艺简单，效果稳定，由于其能够去除选矿废水中大量悬浮物，其在实践中的应用较多。选矿废水主要在浓缩脱水过程中产生，选厂采用以聚丙烯酰胺和聚合氯化铝为主要成分的高效絮凝剂絮凝沉淀处理选矿废水后回用于选矿，该方法能够获得较好较稳定的选矿指标。该方法在处理选矿废水上工艺成熟，从技术和长期有效性上分析是可行的。</w:t>
      </w:r>
    </w:p>
    <w:p w14:paraId="5A0A1E55">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采用湿法选矿，湿式磨矿及浮选工序需要加入大量的水以便形成矿浆，废水产生环节为浓缩絮凝沉淀后的废水、脱水、压榨产生的废水，这部分废水中含有高浓度的SS，但根据本项目特性，项目湿式磨矿及浮选等环节对用水水质要求不高，其中絮凝沉淀处理后的浓缩桶上清液完全可直接回用于</w:t>
      </w:r>
      <w:r>
        <w:rPr>
          <w:rFonts w:hint="eastAsia" w:cs="Times New Roman"/>
          <w:color w:val="auto"/>
          <w:kern w:val="21"/>
          <w:szCs w:val="22"/>
          <w:highlight w:val="none"/>
        </w:rPr>
        <w:t>湿式磨矿、浮选等工序</w:t>
      </w:r>
      <w:r>
        <w:rPr>
          <w:rFonts w:cs="Times New Roman"/>
          <w:color w:val="auto"/>
          <w:kern w:val="21"/>
          <w:szCs w:val="22"/>
          <w:highlight w:val="none"/>
        </w:rPr>
        <w:t>，且对选矿工艺不会产生大的影响；根据企业描述，项目浮选剂用途为选出锂精矿，选出过程中主要附着于锂精矿上，另尾矿可带走少部分浮选剂，只有少部分浮选药剂存在于循环水系统中，同时考虑循环水系统中存在浮选剂，建设单位后期浮选药剂添加量相比原投加量会相应减少，再根据项目浮选剂投加量与项目循环水量，水中浮选药剂浓度较小，故项目循环水系统中的浮选剂不会对项目回用水水质产生影响，对选矿工艺不会产生大的影响。</w:t>
      </w:r>
    </w:p>
    <w:p w14:paraId="513A8C3A">
      <w:pPr>
        <w:overflowPunct w:val="0"/>
        <w:adjustRightInd w:val="0"/>
        <w:ind w:firstLine="480"/>
        <w:rPr>
          <w:rFonts w:cs="Times New Roman"/>
          <w:color w:val="auto"/>
          <w:kern w:val="21"/>
          <w:szCs w:val="24"/>
          <w:highlight w:val="none"/>
        </w:rPr>
      </w:pPr>
      <w:r>
        <w:rPr>
          <w:rFonts w:cs="Times New Roman"/>
          <w:color w:val="auto"/>
          <w:kern w:val="21"/>
          <w:szCs w:val="24"/>
          <w:highlight w:val="none"/>
        </w:rPr>
        <w:t>参考《金川县业隆沟锂辉石矿尾水循环利用技术研究报告》（中国地质科学院矿产综合利用研究所，2017年2月），对选矿废水采用</w:t>
      </w:r>
      <w:r>
        <w:rPr>
          <w:rFonts w:hint="eastAsia" w:cs="Times New Roman"/>
          <w:color w:val="auto"/>
          <w:kern w:val="21"/>
          <w:szCs w:val="24"/>
          <w:highlight w:val="none"/>
        </w:rPr>
        <w:t>“</w:t>
      </w:r>
      <w:r>
        <w:rPr>
          <w:rFonts w:cs="Times New Roman"/>
          <w:color w:val="auto"/>
          <w:kern w:val="21"/>
          <w:szCs w:val="24"/>
          <w:highlight w:val="none"/>
        </w:rPr>
        <w:t>絮凝沉淀</w:t>
      </w:r>
      <w:r>
        <w:rPr>
          <w:rFonts w:hint="eastAsia" w:cs="Times New Roman"/>
          <w:color w:val="auto"/>
          <w:kern w:val="21"/>
          <w:szCs w:val="24"/>
          <w:highlight w:val="none"/>
        </w:rPr>
        <w:t>”</w:t>
      </w:r>
      <w:r>
        <w:rPr>
          <w:rFonts w:cs="Times New Roman"/>
          <w:color w:val="auto"/>
          <w:kern w:val="21"/>
          <w:szCs w:val="24"/>
          <w:highlight w:val="none"/>
        </w:rPr>
        <w:t>工艺，处理后回水水质情况见下表。</w:t>
      </w:r>
    </w:p>
    <w:p w14:paraId="4E2275BF">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7</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选矿回水的水质分析单位：mg/L</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004"/>
        <w:gridCol w:w="1004"/>
        <w:gridCol w:w="1006"/>
        <w:gridCol w:w="1006"/>
        <w:gridCol w:w="1008"/>
        <w:gridCol w:w="1008"/>
        <w:gridCol w:w="1008"/>
        <w:gridCol w:w="1008"/>
      </w:tblGrid>
      <w:tr w14:paraId="0B7D8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pct"/>
            <w:vAlign w:val="center"/>
          </w:tcPr>
          <w:p w14:paraId="1B0BF0B6">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项目</w:t>
            </w:r>
          </w:p>
        </w:tc>
        <w:tc>
          <w:tcPr>
            <w:tcW w:w="554" w:type="pct"/>
            <w:vAlign w:val="center"/>
          </w:tcPr>
          <w:p w14:paraId="341E452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Fe</w:t>
            </w:r>
            <w:r>
              <w:rPr>
                <w:rFonts w:cs="Times New Roman"/>
                <w:color w:val="auto"/>
                <w:kern w:val="21"/>
                <w:sz w:val="21"/>
                <w:highlight w:val="none"/>
                <w:vertAlign w:val="superscript"/>
              </w:rPr>
              <w:t>2+</w:t>
            </w:r>
          </w:p>
        </w:tc>
        <w:tc>
          <w:tcPr>
            <w:tcW w:w="554" w:type="pct"/>
            <w:vAlign w:val="center"/>
          </w:tcPr>
          <w:p w14:paraId="08504E4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Fe</w:t>
            </w:r>
            <w:r>
              <w:rPr>
                <w:rFonts w:cs="Times New Roman"/>
                <w:color w:val="auto"/>
                <w:kern w:val="21"/>
                <w:sz w:val="21"/>
                <w:highlight w:val="none"/>
                <w:vertAlign w:val="superscript"/>
              </w:rPr>
              <w:t>3+</w:t>
            </w:r>
          </w:p>
        </w:tc>
        <w:tc>
          <w:tcPr>
            <w:tcW w:w="555" w:type="pct"/>
            <w:vAlign w:val="center"/>
          </w:tcPr>
          <w:p w14:paraId="0BD8A4F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Al</w:t>
            </w:r>
            <w:r>
              <w:rPr>
                <w:rFonts w:cs="Times New Roman"/>
                <w:color w:val="auto"/>
                <w:kern w:val="21"/>
                <w:sz w:val="21"/>
                <w:highlight w:val="none"/>
                <w:vertAlign w:val="superscript"/>
              </w:rPr>
              <w:t>3+</w:t>
            </w:r>
          </w:p>
        </w:tc>
        <w:tc>
          <w:tcPr>
            <w:tcW w:w="555" w:type="pct"/>
            <w:vAlign w:val="center"/>
          </w:tcPr>
          <w:p w14:paraId="113E163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Ca</w:t>
            </w:r>
            <w:r>
              <w:rPr>
                <w:rFonts w:cs="Times New Roman"/>
                <w:color w:val="auto"/>
                <w:kern w:val="21"/>
                <w:sz w:val="21"/>
                <w:highlight w:val="none"/>
                <w:vertAlign w:val="superscript"/>
              </w:rPr>
              <w:t>2+</w:t>
            </w:r>
          </w:p>
        </w:tc>
        <w:tc>
          <w:tcPr>
            <w:tcW w:w="556" w:type="pct"/>
            <w:vAlign w:val="center"/>
          </w:tcPr>
          <w:p w14:paraId="15E6039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SO</w:t>
            </w:r>
            <w:r>
              <w:rPr>
                <w:rFonts w:cs="Times New Roman"/>
                <w:color w:val="auto"/>
                <w:kern w:val="21"/>
                <w:sz w:val="21"/>
                <w:highlight w:val="none"/>
                <w:vertAlign w:val="subscript"/>
              </w:rPr>
              <w:t>4</w:t>
            </w:r>
            <w:r>
              <w:rPr>
                <w:rFonts w:cs="Times New Roman"/>
                <w:color w:val="auto"/>
                <w:kern w:val="21"/>
                <w:sz w:val="21"/>
                <w:highlight w:val="none"/>
                <w:vertAlign w:val="superscript"/>
              </w:rPr>
              <w:t>2-</w:t>
            </w:r>
          </w:p>
        </w:tc>
        <w:tc>
          <w:tcPr>
            <w:tcW w:w="556" w:type="pct"/>
            <w:vAlign w:val="center"/>
          </w:tcPr>
          <w:p w14:paraId="3424444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Cl</w:t>
            </w:r>
            <w:r>
              <w:rPr>
                <w:rFonts w:cs="Times New Roman"/>
                <w:color w:val="auto"/>
                <w:kern w:val="21"/>
                <w:sz w:val="21"/>
                <w:highlight w:val="none"/>
                <w:vertAlign w:val="superscript"/>
              </w:rPr>
              <w:t>-</w:t>
            </w:r>
          </w:p>
        </w:tc>
        <w:tc>
          <w:tcPr>
            <w:tcW w:w="556" w:type="pct"/>
            <w:vAlign w:val="center"/>
          </w:tcPr>
          <w:p w14:paraId="6E5CD0E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Cu</w:t>
            </w:r>
            <w:r>
              <w:rPr>
                <w:rFonts w:cs="Times New Roman"/>
                <w:color w:val="auto"/>
                <w:kern w:val="21"/>
                <w:sz w:val="21"/>
                <w:highlight w:val="none"/>
                <w:vertAlign w:val="superscript"/>
              </w:rPr>
              <w:t>2+</w:t>
            </w:r>
          </w:p>
        </w:tc>
        <w:tc>
          <w:tcPr>
            <w:tcW w:w="556" w:type="pct"/>
            <w:vAlign w:val="center"/>
          </w:tcPr>
          <w:p w14:paraId="79C8129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Pb</w:t>
            </w:r>
            <w:r>
              <w:rPr>
                <w:rFonts w:cs="Times New Roman"/>
                <w:color w:val="auto"/>
                <w:kern w:val="21"/>
                <w:sz w:val="21"/>
                <w:highlight w:val="none"/>
                <w:vertAlign w:val="superscript"/>
              </w:rPr>
              <w:t>2+</w:t>
            </w:r>
          </w:p>
        </w:tc>
      </w:tr>
      <w:tr w14:paraId="2858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pct"/>
            <w:vAlign w:val="center"/>
          </w:tcPr>
          <w:p w14:paraId="6908D2EB">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浓度</w:t>
            </w:r>
          </w:p>
        </w:tc>
        <w:tc>
          <w:tcPr>
            <w:tcW w:w="554" w:type="pct"/>
            <w:vAlign w:val="center"/>
          </w:tcPr>
          <w:p w14:paraId="1290745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w:t>
            </w:r>
          </w:p>
        </w:tc>
        <w:tc>
          <w:tcPr>
            <w:tcW w:w="554" w:type="pct"/>
            <w:vAlign w:val="center"/>
          </w:tcPr>
          <w:p w14:paraId="4ACAECF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0.058</w:t>
            </w:r>
          </w:p>
        </w:tc>
        <w:tc>
          <w:tcPr>
            <w:tcW w:w="555" w:type="pct"/>
            <w:vAlign w:val="center"/>
          </w:tcPr>
          <w:p w14:paraId="65F199A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w:t>
            </w:r>
          </w:p>
        </w:tc>
        <w:tc>
          <w:tcPr>
            <w:tcW w:w="555" w:type="pct"/>
            <w:vAlign w:val="center"/>
          </w:tcPr>
          <w:p w14:paraId="00A0279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2.2</w:t>
            </w:r>
          </w:p>
        </w:tc>
        <w:tc>
          <w:tcPr>
            <w:tcW w:w="556" w:type="pct"/>
            <w:vAlign w:val="center"/>
          </w:tcPr>
          <w:p w14:paraId="1B1B546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15.0</w:t>
            </w:r>
          </w:p>
        </w:tc>
        <w:tc>
          <w:tcPr>
            <w:tcW w:w="556" w:type="pct"/>
            <w:vAlign w:val="center"/>
          </w:tcPr>
          <w:p w14:paraId="02819BA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45.3</w:t>
            </w:r>
          </w:p>
        </w:tc>
        <w:tc>
          <w:tcPr>
            <w:tcW w:w="556" w:type="pct"/>
            <w:vAlign w:val="center"/>
          </w:tcPr>
          <w:p w14:paraId="413D4FC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w:t>
            </w:r>
          </w:p>
        </w:tc>
        <w:tc>
          <w:tcPr>
            <w:tcW w:w="556" w:type="pct"/>
            <w:vAlign w:val="center"/>
          </w:tcPr>
          <w:p w14:paraId="6829D83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w:t>
            </w:r>
          </w:p>
        </w:tc>
      </w:tr>
      <w:tr w14:paraId="606EF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pct"/>
            <w:vAlign w:val="center"/>
          </w:tcPr>
          <w:p w14:paraId="78E8A0CA">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项目</w:t>
            </w:r>
          </w:p>
        </w:tc>
        <w:tc>
          <w:tcPr>
            <w:tcW w:w="554" w:type="pct"/>
            <w:vAlign w:val="center"/>
          </w:tcPr>
          <w:p w14:paraId="0F6D59A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Zn</w:t>
            </w:r>
            <w:r>
              <w:rPr>
                <w:rFonts w:cs="Times New Roman"/>
                <w:color w:val="auto"/>
                <w:kern w:val="21"/>
                <w:sz w:val="21"/>
                <w:highlight w:val="none"/>
                <w:vertAlign w:val="superscript"/>
              </w:rPr>
              <w:t>2+</w:t>
            </w:r>
          </w:p>
        </w:tc>
        <w:tc>
          <w:tcPr>
            <w:tcW w:w="554" w:type="pct"/>
            <w:vAlign w:val="center"/>
          </w:tcPr>
          <w:p w14:paraId="7115F1B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Cd</w:t>
            </w:r>
            <w:r>
              <w:rPr>
                <w:rFonts w:cs="Times New Roman"/>
                <w:color w:val="auto"/>
                <w:kern w:val="21"/>
                <w:sz w:val="21"/>
                <w:highlight w:val="none"/>
                <w:vertAlign w:val="superscript"/>
              </w:rPr>
              <w:t>2+</w:t>
            </w:r>
          </w:p>
        </w:tc>
        <w:tc>
          <w:tcPr>
            <w:tcW w:w="555" w:type="pct"/>
            <w:vAlign w:val="center"/>
          </w:tcPr>
          <w:p w14:paraId="71E7490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Cr</w:t>
            </w:r>
            <w:r>
              <w:rPr>
                <w:rFonts w:cs="Times New Roman"/>
                <w:color w:val="auto"/>
                <w:kern w:val="21"/>
                <w:sz w:val="21"/>
                <w:highlight w:val="none"/>
                <w:vertAlign w:val="superscript"/>
              </w:rPr>
              <w:t>6+</w:t>
            </w:r>
          </w:p>
        </w:tc>
        <w:tc>
          <w:tcPr>
            <w:tcW w:w="555" w:type="pct"/>
            <w:vAlign w:val="center"/>
          </w:tcPr>
          <w:p w14:paraId="50E9977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As*</w:t>
            </w:r>
          </w:p>
        </w:tc>
        <w:tc>
          <w:tcPr>
            <w:tcW w:w="556" w:type="pct"/>
            <w:vAlign w:val="center"/>
          </w:tcPr>
          <w:p w14:paraId="2C63944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Hg*</w:t>
            </w:r>
          </w:p>
        </w:tc>
        <w:tc>
          <w:tcPr>
            <w:tcW w:w="556" w:type="pct"/>
            <w:vAlign w:val="center"/>
          </w:tcPr>
          <w:p w14:paraId="033D4E6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氟化物</w:t>
            </w:r>
          </w:p>
        </w:tc>
        <w:tc>
          <w:tcPr>
            <w:tcW w:w="556" w:type="pct"/>
            <w:vAlign w:val="center"/>
          </w:tcPr>
          <w:p w14:paraId="61F585A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SS</w:t>
            </w:r>
          </w:p>
        </w:tc>
        <w:tc>
          <w:tcPr>
            <w:tcW w:w="556" w:type="pct"/>
            <w:vAlign w:val="center"/>
          </w:tcPr>
          <w:p w14:paraId="231464E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COD</w:t>
            </w:r>
          </w:p>
        </w:tc>
      </w:tr>
      <w:tr w14:paraId="5C6F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4" w:type="pct"/>
            <w:vAlign w:val="center"/>
          </w:tcPr>
          <w:p w14:paraId="1B4A3AD8">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浓度</w:t>
            </w:r>
          </w:p>
        </w:tc>
        <w:tc>
          <w:tcPr>
            <w:tcW w:w="554" w:type="pct"/>
            <w:vAlign w:val="center"/>
          </w:tcPr>
          <w:p w14:paraId="09C025D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＜0.01</w:t>
            </w:r>
          </w:p>
        </w:tc>
        <w:tc>
          <w:tcPr>
            <w:tcW w:w="554" w:type="pct"/>
            <w:vAlign w:val="center"/>
          </w:tcPr>
          <w:p w14:paraId="2B77A95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＜0.01</w:t>
            </w:r>
          </w:p>
        </w:tc>
        <w:tc>
          <w:tcPr>
            <w:tcW w:w="555" w:type="pct"/>
            <w:vAlign w:val="center"/>
          </w:tcPr>
          <w:p w14:paraId="28A8C72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＜0.05</w:t>
            </w:r>
          </w:p>
        </w:tc>
        <w:tc>
          <w:tcPr>
            <w:tcW w:w="555" w:type="pct"/>
            <w:vAlign w:val="center"/>
          </w:tcPr>
          <w:p w14:paraId="6DECD46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＜1.0</w:t>
            </w:r>
          </w:p>
        </w:tc>
        <w:tc>
          <w:tcPr>
            <w:tcW w:w="556" w:type="pct"/>
            <w:vAlign w:val="center"/>
          </w:tcPr>
          <w:p w14:paraId="319D0D7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＜0.1</w:t>
            </w:r>
          </w:p>
        </w:tc>
        <w:tc>
          <w:tcPr>
            <w:tcW w:w="556" w:type="pct"/>
            <w:vAlign w:val="center"/>
          </w:tcPr>
          <w:p w14:paraId="711B7CB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4.52</w:t>
            </w:r>
          </w:p>
        </w:tc>
        <w:tc>
          <w:tcPr>
            <w:tcW w:w="556" w:type="pct"/>
            <w:vAlign w:val="center"/>
          </w:tcPr>
          <w:p w14:paraId="468BEEB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7.0</w:t>
            </w:r>
          </w:p>
        </w:tc>
        <w:tc>
          <w:tcPr>
            <w:tcW w:w="556" w:type="pct"/>
            <w:vAlign w:val="center"/>
          </w:tcPr>
          <w:p w14:paraId="0152B17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5.68</w:t>
            </w:r>
          </w:p>
        </w:tc>
      </w:tr>
    </w:tbl>
    <w:p w14:paraId="46315D82">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注：As和Hg的单位为μg/L。</w:t>
      </w:r>
    </w:p>
    <w:p w14:paraId="6EDD1C1D">
      <w:pPr>
        <w:overflowPunct w:val="0"/>
        <w:adjustRightInd w:val="0"/>
        <w:ind w:firstLine="480"/>
        <w:rPr>
          <w:rFonts w:cs="Times New Roman"/>
          <w:color w:val="auto"/>
          <w:kern w:val="21"/>
          <w:szCs w:val="24"/>
          <w:highlight w:val="none"/>
        </w:rPr>
      </w:pPr>
      <w:r>
        <w:rPr>
          <w:rFonts w:cs="Times New Roman"/>
          <w:color w:val="auto"/>
          <w:kern w:val="21"/>
          <w:szCs w:val="24"/>
          <w:highlight w:val="none"/>
        </w:rPr>
        <w:t>由上表回水的水质分析结果可知，回水中的重金属离子含量</w:t>
      </w:r>
      <w:r>
        <w:rPr>
          <w:rFonts w:hint="eastAsia" w:cs="Times New Roman"/>
          <w:color w:val="auto"/>
          <w:kern w:val="21"/>
          <w:szCs w:val="24"/>
          <w:highlight w:val="none"/>
        </w:rPr>
        <w:t>均</w:t>
      </w:r>
      <w:r>
        <w:rPr>
          <w:rFonts w:cs="Times New Roman"/>
          <w:color w:val="auto"/>
          <w:kern w:val="21"/>
          <w:szCs w:val="24"/>
          <w:highlight w:val="none"/>
        </w:rPr>
        <w:t>未检出，引入离子Fe</w:t>
      </w:r>
      <w:r>
        <w:rPr>
          <w:rFonts w:cs="Times New Roman"/>
          <w:color w:val="auto"/>
          <w:kern w:val="21"/>
          <w:szCs w:val="24"/>
          <w:highlight w:val="none"/>
          <w:vertAlign w:val="superscript"/>
        </w:rPr>
        <w:t>2+</w:t>
      </w:r>
      <w:r>
        <w:rPr>
          <w:rFonts w:cs="Times New Roman"/>
          <w:color w:val="auto"/>
          <w:kern w:val="21"/>
          <w:szCs w:val="24"/>
          <w:highlight w:val="none"/>
        </w:rPr>
        <w:t>/Fe</w:t>
      </w:r>
      <w:r>
        <w:rPr>
          <w:rFonts w:cs="Times New Roman"/>
          <w:color w:val="auto"/>
          <w:kern w:val="21"/>
          <w:szCs w:val="24"/>
          <w:highlight w:val="none"/>
          <w:vertAlign w:val="superscript"/>
        </w:rPr>
        <w:t>3+</w:t>
      </w:r>
      <w:r>
        <w:rPr>
          <w:rFonts w:cs="Times New Roman"/>
          <w:color w:val="auto"/>
          <w:kern w:val="21"/>
          <w:szCs w:val="24"/>
          <w:highlight w:val="none"/>
        </w:rPr>
        <w:t>＜0.1mg/L，Al</w:t>
      </w:r>
      <w:r>
        <w:rPr>
          <w:rFonts w:cs="Times New Roman"/>
          <w:color w:val="auto"/>
          <w:kern w:val="21"/>
          <w:szCs w:val="24"/>
          <w:highlight w:val="none"/>
          <w:vertAlign w:val="superscript"/>
        </w:rPr>
        <w:t>3+</w:t>
      </w:r>
      <w:r>
        <w:rPr>
          <w:rFonts w:cs="Times New Roman"/>
          <w:color w:val="auto"/>
          <w:kern w:val="21"/>
          <w:szCs w:val="24"/>
          <w:highlight w:val="none"/>
        </w:rPr>
        <w:t>离子含量＜0.05mg/L，Ca</w:t>
      </w:r>
      <w:r>
        <w:rPr>
          <w:rFonts w:cs="Times New Roman"/>
          <w:color w:val="auto"/>
          <w:kern w:val="21"/>
          <w:szCs w:val="24"/>
          <w:highlight w:val="none"/>
          <w:vertAlign w:val="superscript"/>
        </w:rPr>
        <w:t>2+</w:t>
      </w:r>
      <w:r>
        <w:rPr>
          <w:rFonts w:cs="Times New Roman"/>
          <w:color w:val="auto"/>
          <w:kern w:val="21"/>
          <w:szCs w:val="24"/>
          <w:highlight w:val="none"/>
        </w:rPr>
        <w:t>离子含量仅为2.2mg/L，该回水返回利用较理想。本项目为锂矿</w:t>
      </w:r>
      <w:r>
        <w:rPr>
          <w:rFonts w:hint="eastAsia" w:cs="Times New Roman"/>
          <w:color w:val="auto"/>
          <w:kern w:val="21"/>
          <w:szCs w:val="24"/>
          <w:highlight w:val="none"/>
        </w:rPr>
        <w:t>选矿</w:t>
      </w:r>
      <w:r>
        <w:rPr>
          <w:rFonts w:cs="Times New Roman"/>
          <w:color w:val="auto"/>
          <w:kern w:val="21"/>
          <w:szCs w:val="24"/>
          <w:highlight w:val="none"/>
        </w:rPr>
        <w:t>项目，选矿废水水质类比该研究报告可行。因此，本项目仅絮凝沉淀后的选矿废水回用于</w:t>
      </w:r>
      <w:r>
        <w:rPr>
          <w:rFonts w:hint="eastAsia" w:cs="Times New Roman"/>
          <w:color w:val="auto"/>
          <w:kern w:val="21"/>
          <w:szCs w:val="24"/>
          <w:highlight w:val="none"/>
        </w:rPr>
        <w:t>湿式磨矿、浮选等工序</w:t>
      </w:r>
      <w:r>
        <w:rPr>
          <w:rFonts w:cs="Times New Roman"/>
          <w:color w:val="auto"/>
          <w:kern w:val="21"/>
          <w:szCs w:val="24"/>
          <w:highlight w:val="none"/>
        </w:rPr>
        <w:t>可行。</w:t>
      </w:r>
    </w:p>
    <w:p w14:paraId="338C8736">
      <w:pPr>
        <w:overflowPunct w:val="0"/>
        <w:adjustRightInd w:val="0"/>
        <w:ind w:firstLine="480"/>
        <w:rPr>
          <w:rFonts w:cs="Times New Roman"/>
          <w:color w:val="auto"/>
          <w:kern w:val="21"/>
          <w:szCs w:val="22"/>
          <w:highlight w:val="none"/>
        </w:rPr>
      </w:pPr>
      <w:r>
        <w:rPr>
          <w:rFonts w:cs="Times New Roman"/>
          <w:color w:val="auto"/>
          <w:kern w:val="21"/>
          <w:szCs w:val="24"/>
          <w:highlight w:val="none"/>
        </w:rPr>
        <w:t>本项目具有足够的废水停留时间，废水经循环沉淀水池沉淀后，上清液排放至清水池，措施可行。</w:t>
      </w:r>
    </w:p>
    <w:p w14:paraId="312BF411">
      <w:pPr>
        <w:overflowPunct w:val="0"/>
        <w:adjustRightInd w:val="0"/>
        <w:ind w:firstLine="480"/>
        <w:rPr>
          <w:rFonts w:cs="Times New Roman"/>
          <w:color w:val="auto"/>
          <w:kern w:val="21"/>
          <w:szCs w:val="24"/>
          <w:highlight w:val="none"/>
        </w:rPr>
      </w:pPr>
      <w:r>
        <w:rPr>
          <w:rFonts w:cs="Times New Roman"/>
          <w:color w:val="auto"/>
          <w:kern w:val="21"/>
          <w:szCs w:val="24"/>
          <w:highlight w:val="none"/>
        </w:rPr>
        <w:t>综上，项目选矿废水治理措施可行，选矿废水循环使用可行。</w:t>
      </w:r>
    </w:p>
    <w:p w14:paraId="7E3EF4A8">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工艺废水零排放的可行性分析：</w:t>
      </w:r>
    </w:p>
    <w:p w14:paraId="503CD1FB">
      <w:pPr>
        <w:overflowPunct w:val="0"/>
        <w:adjustRightInd w:val="0"/>
        <w:ind w:firstLine="480"/>
        <w:rPr>
          <w:rFonts w:cs="Times New Roman"/>
          <w:color w:val="auto"/>
          <w:kern w:val="21"/>
          <w:szCs w:val="24"/>
          <w:highlight w:val="none"/>
        </w:rPr>
      </w:pPr>
      <w:r>
        <w:rPr>
          <w:rFonts w:cs="Times New Roman"/>
          <w:color w:val="auto"/>
          <w:kern w:val="21"/>
          <w:szCs w:val="24"/>
          <w:highlight w:val="none"/>
        </w:rPr>
        <w:t>①本项目在实际运营过程中应加强对各种废水处理设施的运行管理，一旦发现隐患应当及时报告和排除，当出现废水事故排放时，立即停产将废水抽送至事故应急池，组织人力抢修，排除故障，避免废水事故外排；</w:t>
      </w:r>
    </w:p>
    <w:p w14:paraId="48507B40">
      <w:pPr>
        <w:overflowPunct w:val="0"/>
        <w:adjustRightInd w:val="0"/>
        <w:ind w:firstLine="480"/>
        <w:rPr>
          <w:rFonts w:cs="Times New Roman"/>
          <w:color w:val="auto"/>
          <w:kern w:val="21"/>
          <w:szCs w:val="24"/>
          <w:highlight w:val="none"/>
        </w:rPr>
      </w:pPr>
      <w:r>
        <w:rPr>
          <w:rFonts w:cs="Times New Roman"/>
          <w:color w:val="auto"/>
          <w:kern w:val="21"/>
          <w:szCs w:val="24"/>
          <w:highlight w:val="none"/>
        </w:rPr>
        <w:t>②本项目各个池子的输水泵及清水池的回水泵均为</w:t>
      </w:r>
      <w:r>
        <w:rPr>
          <w:rFonts w:hint="eastAsia" w:cs="Times New Roman"/>
          <w:color w:val="auto"/>
          <w:kern w:val="21"/>
          <w:szCs w:val="24"/>
          <w:highlight w:val="none"/>
        </w:rPr>
        <w:t>“</w:t>
      </w:r>
      <w:r>
        <w:rPr>
          <w:rFonts w:cs="Times New Roman"/>
          <w:color w:val="auto"/>
          <w:kern w:val="21"/>
          <w:szCs w:val="24"/>
          <w:highlight w:val="none"/>
        </w:rPr>
        <w:t>一开一备</w:t>
      </w:r>
      <w:r>
        <w:rPr>
          <w:rFonts w:hint="eastAsia" w:cs="Times New Roman"/>
          <w:color w:val="auto"/>
          <w:kern w:val="21"/>
          <w:szCs w:val="24"/>
          <w:highlight w:val="none"/>
        </w:rPr>
        <w:t>”</w:t>
      </w:r>
      <w:r>
        <w:rPr>
          <w:rFonts w:cs="Times New Roman"/>
          <w:color w:val="auto"/>
          <w:kern w:val="21"/>
          <w:szCs w:val="24"/>
          <w:highlight w:val="none"/>
        </w:rPr>
        <w:t>，一旦水泵出现损坏，立即启用备用水泵，确保各个水池不因水泵损坏而溢流；</w:t>
      </w:r>
    </w:p>
    <w:p w14:paraId="529523C2">
      <w:pPr>
        <w:overflowPunct w:val="0"/>
        <w:adjustRightInd w:val="0"/>
        <w:ind w:firstLine="480"/>
        <w:rPr>
          <w:rFonts w:cs="Times New Roman"/>
          <w:color w:val="auto"/>
          <w:kern w:val="21"/>
          <w:szCs w:val="24"/>
          <w:highlight w:val="none"/>
        </w:rPr>
      </w:pPr>
      <w:r>
        <w:rPr>
          <w:rFonts w:cs="Times New Roman"/>
          <w:color w:val="auto"/>
          <w:kern w:val="21"/>
          <w:szCs w:val="24"/>
          <w:highlight w:val="none"/>
        </w:rPr>
        <w:t>③本项目各废水收集池均为钢混结构，地下式，具有足够的稳固性，不易垮塌；雨季加强对废水沉淀池的巡检，若发生开裂变形需及时加固维修。</w:t>
      </w:r>
    </w:p>
    <w:p w14:paraId="3E89BDB1">
      <w:pPr>
        <w:overflowPunct w:val="0"/>
        <w:adjustRightInd w:val="0"/>
        <w:ind w:firstLine="480"/>
        <w:rPr>
          <w:rFonts w:cs="Times New Roman"/>
          <w:color w:val="auto"/>
          <w:kern w:val="21"/>
          <w:szCs w:val="24"/>
          <w:highlight w:val="none"/>
        </w:rPr>
      </w:pPr>
      <w:r>
        <w:rPr>
          <w:rFonts w:cs="Times New Roman"/>
          <w:color w:val="auto"/>
          <w:kern w:val="21"/>
          <w:szCs w:val="24"/>
          <w:highlight w:val="none"/>
        </w:rPr>
        <w:t>④经常检查排洪设施，如排洪斜槽、涵洞、溢水塔、排水明沟等，有无变形、位移、损毁、淤堵、裂缝、渗漏；进水口水面有无漂浮物等。选厂应对制定的相应防洪防汛事故应急救援预案，并定期进行演练，备足应急物资。防止废水收集池泄漏导致废水外排。</w:t>
      </w:r>
    </w:p>
    <w:p w14:paraId="453EFE93">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（2）生活污水</w:t>
      </w:r>
      <w:r>
        <w:rPr>
          <w:rFonts w:hint="eastAsia" w:cs="Times New Roman"/>
          <w:b/>
          <w:color w:val="auto"/>
          <w:kern w:val="21"/>
          <w:szCs w:val="22"/>
          <w:highlight w:val="none"/>
        </w:rPr>
        <w:t>（含食堂废水）</w:t>
      </w:r>
      <w:r>
        <w:rPr>
          <w:rFonts w:cs="Times New Roman"/>
          <w:b/>
          <w:color w:val="auto"/>
          <w:kern w:val="21"/>
          <w:szCs w:val="22"/>
          <w:highlight w:val="none"/>
        </w:rPr>
        <w:t>治理措施可行性</w:t>
      </w:r>
    </w:p>
    <w:p w14:paraId="1CB92DFD">
      <w:pPr>
        <w:overflowPunct w:val="0"/>
        <w:adjustRightInd w:val="0"/>
        <w:ind w:firstLine="480"/>
        <w:rPr>
          <w:rFonts w:cs="Times New Roman"/>
          <w:bCs/>
          <w:color w:val="auto"/>
          <w:kern w:val="21"/>
          <w:szCs w:val="22"/>
          <w:highlight w:val="none"/>
        </w:rPr>
      </w:pPr>
      <w:r>
        <w:rPr>
          <w:rFonts w:cs="Times New Roman"/>
          <w:bCs/>
          <w:color w:val="auto"/>
          <w:kern w:val="21"/>
          <w:szCs w:val="22"/>
          <w:highlight w:val="none"/>
        </w:rPr>
        <w:t>本项目运营期仅生活污水</w:t>
      </w:r>
      <w:r>
        <w:rPr>
          <w:rFonts w:hint="eastAsia" w:cs="Times New Roman"/>
          <w:bCs/>
          <w:color w:val="auto"/>
          <w:kern w:val="21"/>
          <w:szCs w:val="22"/>
          <w:highlight w:val="none"/>
        </w:rPr>
        <w:t>（含食堂废水）</w:t>
      </w:r>
      <w:r>
        <w:rPr>
          <w:rFonts w:cs="Times New Roman"/>
          <w:bCs/>
          <w:color w:val="auto"/>
          <w:kern w:val="21"/>
          <w:szCs w:val="22"/>
          <w:highlight w:val="none"/>
        </w:rPr>
        <w:t>外排，</w:t>
      </w:r>
      <w:r>
        <w:rPr>
          <w:rFonts w:hint="eastAsia" w:cs="Times New Roman"/>
          <w:bCs/>
          <w:color w:val="auto"/>
          <w:kern w:val="21"/>
          <w:szCs w:val="22"/>
          <w:highlight w:val="none"/>
        </w:rPr>
        <w:t>食堂废水经隔油池（1m</w:t>
      </w:r>
      <w:r>
        <w:rPr>
          <w:rFonts w:hint="eastAsia" w:cs="Times New Roman"/>
          <w:bCs/>
          <w:color w:val="auto"/>
          <w:kern w:val="21"/>
          <w:szCs w:val="22"/>
          <w:highlight w:val="none"/>
          <w:vertAlign w:val="superscript"/>
        </w:rPr>
        <w:t>3</w:t>
      </w:r>
      <w:r>
        <w:rPr>
          <w:rFonts w:hint="eastAsia" w:cs="Times New Roman"/>
          <w:bCs/>
          <w:color w:val="auto"/>
          <w:kern w:val="21"/>
          <w:szCs w:val="22"/>
          <w:highlight w:val="none"/>
        </w:rPr>
        <w:t>）处理后与生活污水一同经依托的乐山市沙湾区豪沐科技有限公司预处理池预</w:t>
      </w:r>
      <w:r>
        <w:rPr>
          <w:rFonts w:cs="Times New Roman"/>
          <w:bCs/>
          <w:color w:val="auto"/>
          <w:kern w:val="21"/>
          <w:szCs w:val="22"/>
          <w:highlight w:val="none"/>
        </w:rPr>
        <w:t>处理后达</w:t>
      </w:r>
      <w:r>
        <w:rPr>
          <w:rFonts w:hint="eastAsia" w:cs="Times New Roman"/>
          <w:bCs/>
          <w:color w:val="auto"/>
          <w:kern w:val="21"/>
          <w:szCs w:val="22"/>
          <w:highlight w:val="none"/>
        </w:rPr>
        <w:t>“</w:t>
      </w:r>
      <w:r>
        <w:rPr>
          <w:rFonts w:cs="Times New Roman"/>
          <w:bCs/>
          <w:color w:val="auto"/>
          <w:kern w:val="21"/>
          <w:szCs w:val="22"/>
          <w:highlight w:val="none"/>
        </w:rPr>
        <w:t>乐山沙湾经济开发区污水处理厂设计进水水质标准</w:t>
      </w:r>
      <w:r>
        <w:rPr>
          <w:rFonts w:hint="eastAsia" w:cs="Times New Roman"/>
          <w:bCs/>
          <w:color w:val="auto"/>
          <w:kern w:val="21"/>
          <w:szCs w:val="22"/>
          <w:highlight w:val="none"/>
        </w:rPr>
        <w:t>”</w:t>
      </w:r>
      <w:r>
        <w:rPr>
          <w:rFonts w:cs="Times New Roman"/>
          <w:bCs/>
          <w:color w:val="auto"/>
          <w:kern w:val="21"/>
          <w:szCs w:val="22"/>
          <w:highlight w:val="none"/>
        </w:rPr>
        <w:t>后，排入乐山沙湾经济开发区污水处理厂。《排污许可证申请与核发技术规范总则》（HJ942-2018）未明确生活污水可行性技术。本项目生活污水</w:t>
      </w:r>
      <w:r>
        <w:rPr>
          <w:rFonts w:hint="eastAsia" w:cs="Times New Roman"/>
          <w:bCs/>
          <w:color w:val="auto"/>
          <w:kern w:val="21"/>
          <w:szCs w:val="22"/>
          <w:highlight w:val="none"/>
        </w:rPr>
        <w:t>（含食堂废水）</w:t>
      </w:r>
      <w:r>
        <w:rPr>
          <w:rFonts w:cs="Times New Roman"/>
          <w:bCs/>
          <w:color w:val="auto"/>
          <w:kern w:val="21"/>
          <w:szCs w:val="22"/>
          <w:highlight w:val="none"/>
        </w:rPr>
        <w:t>产生量9.52m</w:t>
      </w:r>
      <w:r>
        <w:rPr>
          <w:rFonts w:cs="Times New Roman"/>
          <w:bCs/>
          <w:color w:val="auto"/>
          <w:kern w:val="21"/>
          <w:szCs w:val="22"/>
          <w:highlight w:val="none"/>
          <w:vertAlign w:val="superscript"/>
        </w:rPr>
        <w:t>3</w:t>
      </w:r>
      <w:r>
        <w:rPr>
          <w:rFonts w:cs="Times New Roman"/>
          <w:bCs/>
          <w:color w:val="auto"/>
          <w:kern w:val="21"/>
          <w:szCs w:val="22"/>
          <w:highlight w:val="none"/>
        </w:rPr>
        <w:t>/d，可生化性较强。本项目生活污水</w:t>
      </w:r>
      <w:r>
        <w:rPr>
          <w:rFonts w:hint="eastAsia" w:cs="Times New Roman"/>
          <w:bCs/>
          <w:color w:val="auto"/>
          <w:kern w:val="21"/>
          <w:szCs w:val="22"/>
          <w:highlight w:val="none"/>
        </w:rPr>
        <w:t>（含食堂废水）</w:t>
      </w:r>
      <w:r>
        <w:rPr>
          <w:rFonts w:cs="Times New Roman"/>
          <w:bCs/>
          <w:color w:val="auto"/>
          <w:kern w:val="21"/>
          <w:szCs w:val="22"/>
          <w:highlight w:val="none"/>
        </w:rPr>
        <w:t>经预处理池预处理后的水质可稳定达到</w:t>
      </w:r>
      <w:r>
        <w:rPr>
          <w:rFonts w:hint="eastAsia" w:cs="Times New Roman"/>
          <w:bCs/>
          <w:color w:val="auto"/>
          <w:kern w:val="21"/>
          <w:szCs w:val="22"/>
          <w:highlight w:val="none"/>
        </w:rPr>
        <w:t>“</w:t>
      </w:r>
      <w:r>
        <w:rPr>
          <w:rFonts w:cs="Times New Roman"/>
          <w:bCs/>
          <w:color w:val="auto"/>
          <w:kern w:val="21"/>
          <w:szCs w:val="22"/>
          <w:highlight w:val="none"/>
        </w:rPr>
        <w:t>乐山沙湾经济开发区污水处理厂设计进水水质标准</w:t>
      </w:r>
      <w:r>
        <w:rPr>
          <w:rFonts w:hint="eastAsia" w:cs="Times New Roman"/>
          <w:bCs/>
          <w:color w:val="auto"/>
          <w:kern w:val="21"/>
          <w:szCs w:val="22"/>
          <w:highlight w:val="none"/>
        </w:rPr>
        <w:t>”</w:t>
      </w:r>
      <w:r>
        <w:rPr>
          <w:rFonts w:cs="Times New Roman"/>
          <w:bCs/>
          <w:color w:val="auto"/>
          <w:kern w:val="21"/>
          <w:szCs w:val="22"/>
          <w:highlight w:val="none"/>
        </w:rPr>
        <w:t>，生活污水</w:t>
      </w:r>
      <w:r>
        <w:rPr>
          <w:rFonts w:hint="eastAsia" w:cs="Times New Roman"/>
          <w:bCs/>
          <w:color w:val="auto"/>
          <w:kern w:val="21"/>
          <w:szCs w:val="22"/>
          <w:highlight w:val="none"/>
        </w:rPr>
        <w:t>（含食堂废水）</w:t>
      </w:r>
      <w:r>
        <w:rPr>
          <w:rFonts w:cs="Times New Roman"/>
          <w:bCs/>
          <w:color w:val="auto"/>
          <w:kern w:val="21"/>
          <w:szCs w:val="22"/>
          <w:highlight w:val="none"/>
        </w:rPr>
        <w:t>预处理措施可行。</w:t>
      </w:r>
      <w:r>
        <w:rPr>
          <w:rFonts w:hint="eastAsia"/>
          <w:color w:val="auto"/>
          <w:highlight w:val="none"/>
        </w:rPr>
        <w:t>乐山沙湾经济开发区</w:t>
      </w:r>
      <w:r>
        <w:rPr>
          <w:rFonts w:cs="Times New Roman"/>
          <w:color w:val="auto"/>
          <w:kern w:val="21"/>
          <w:szCs w:val="32"/>
          <w:highlight w:val="none"/>
        </w:rPr>
        <w:t>污水处理厂采用</w:t>
      </w:r>
      <w:r>
        <w:rPr>
          <w:rFonts w:hint="eastAsia" w:cs="Times New Roman"/>
          <w:color w:val="auto"/>
          <w:kern w:val="21"/>
          <w:szCs w:val="32"/>
          <w:highlight w:val="none"/>
        </w:rPr>
        <w:t>“</w:t>
      </w:r>
      <w:r>
        <w:rPr>
          <w:rFonts w:cs="Times New Roman"/>
          <w:color w:val="auto"/>
          <w:kern w:val="21"/>
          <w:szCs w:val="32"/>
          <w:highlight w:val="none"/>
        </w:rPr>
        <w:t>预处理+物化处理+A</w:t>
      </w:r>
      <w:r>
        <w:rPr>
          <w:rFonts w:cs="Times New Roman"/>
          <w:color w:val="auto"/>
          <w:kern w:val="21"/>
          <w:szCs w:val="32"/>
          <w:highlight w:val="none"/>
          <w:vertAlign w:val="superscript"/>
        </w:rPr>
        <w:t>2</w:t>
      </w:r>
      <w:r>
        <w:rPr>
          <w:rFonts w:cs="Times New Roman"/>
          <w:color w:val="auto"/>
          <w:kern w:val="21"/>
          <w:szCs w:val="32"/>
          <w:highlight w:val="none"/>
        </w:rPr>
        <w:t>O/AO处理+深度处理</w:t>
      </w:r>
      <w:r>
        <w:rPr>
          <w:rFonts w:hint="eastAsia" w:cs="Times New Roman"/>
          <w:color w:val="auto"/>
          <w:kern w:val="21"/>
          <w:szCs w:val="32"/>
          <w:highlight w:val="none"/>
        </w:rPr>
        <w:t>”</w:t>
      </w:r>
      <w:r>
        <w:rPr>
          <w:rFonts w:cs="Times New Roman"/>
          <w:color w:val="auto"/>
          <w:kern w:val="21"/>
          <w:szCs w:val="32"/>
          <w:highlight w:val="none"/>
        </w:rPr>
        <w:t>工艺</w:t>
      </w:r>
      <w:r>
        <w:rPr>
          <w:rFonts w:hint="eastAsia" w:cs="Times New Roman"/>
          <w:color w:val="auto"/>
          <w:kern w:val="21"/>
          <w:szCs w:val="32"/>
          <w:highlight w:val="none"/>
        </w:rPr>
        <w:t>，能有效去除生活污水（含食堂废水）中的污染物。</w:t>
      </w:r>
    </w:p>
    <w:p w14:paraId="0725FB8F">
      <w:pPr>
        <w:overflowPunct w:val="0"/>
        <w:adjustRightInd w:val="0"/>
        <w:ind w:firstLine="482"/>
        <w:rPr>
          <w:rFonts w:cs="Times New Roman"/>
          <w:color w:val="auto"/>
          <w:kern w:val="21"/>
          <w:szCs w:val="32"/>
          <w:highlight w:val="none"/>
        </w:rPr>
      </w:pPr>
      <w:r>
        <w:rPr>
          <w:rFonts w:cs="Times New Roman"/>
          <w:b/>
          <w:color w:val="auto"/>
          <w:kern w:val="21"/>
          <w:szCs w:val="32"/>
          <w:highlight w:val="none"/>
        </w:rPr>
        <w:t>乐山沙湾经济开发区污水处理厂简介：</w:t>
      </w:r>
      <w:r>
        <w:rPr>
          <w:rFonts w:cs="Times New Roman"/>
          <w:color w:val="auto"/>
          <w:kern w:val="21"/>
          <w:szCs w:val="32"/>
          <w:highlight w:val="none"/>
        </w:rPr>
        <w:t>乐山沙湾经济开发区污水处理厂建于乐山市沙湾区嘉农镇（四川乐山沙湾经济开发区内），占地面积约28065m</w:t>
      </w:r>
      <w:r>
        <w:rPr>
          <w:rFonts w:cs="Times New Roman"/>
          <w:color w:val="auto"/>
          <w:kern w:val="21"/>
          <w:szCs w:val="32"/>
          <w:highlight w:val="none"/>
          <w:vertAlign w:val="superscript"/>
        </w:rPr>
        <w:t>2</w:t>
      </w:r>
      <w:r>
        <w:rPr>
          <w:rFonts w:cs="Times New Roman"/>
          <w:color w:val="auto"/>
          <w:kern w:val="21"/>
          <w:szCs w:val="32"/>
          <w:highlight w:val="none"/>
        </w:rPr>
        <w:t>，服务范围为沙湾不锈钢产业园区工业废水及嘉农社区、嘉华、燎原村、新兴村、王场村等居民的生活污水。尾水最终汇入大渡河。污水处理厂采用</w:t>
      </w:r>
      <w:r>
        <w:rPr>
          <w:rFonts w:hint="eastAsia" w:cs="Times New Roman"/>
          <w:color w:val="auto"/>
          <w:kern w:val="21"/>
          <w:szCs w:val="32"/>
          <w:highlight w:val="none"/>
        </w:rPr>
        <w:t>“</w:t>
      </w:r>
      <w:r>
        <w:rPr>
          <w:rFonts w:cs="Times New Roman"/>
          <w:color w:val="auto"/>
          <w:kern w:val="21"/>
          <w:szCs w:val="32"/>
          <w:highlight w:val="none"/>
        </w:rPr>
        <w:t>预处理+物化处理+A</w:t>
      </w:r>
      <w:r>
        <w:rPr>
          <w:rFonts w:cs="Times New Roman"/>
          <w:color w:val="auto"/>
          <w:kern w:val="21"/>
          <w:szCs w:val="32"/>
          <w:highlight w:val="none"/>
          <w:vertAlign w:val="superscript"/>
        </w:rPr>
        <w:t>2</w:t>
      </w:r>
      <w:r>
        <w:rPr>
          <w:rFonts w:cs="Times New Roman"/>
          <w:color w:val="auto"/>
          <w:kern w:val="21"/>
          <w:szCs w:val="32"/>
          <w:highlight w:val="none"/>
        </w:rPr>
        <w:t>O/AO处理+深度处理</w:t>
      </w:r>
      <w:r>
        <w:rPr>
          <w:rFonts w:hint="eastAsia" w:cs="Times New Roman"/>
          <w:color w:val="auto"/>
          <w:kern w:val="21"/>
          <w:szCs w:val="32"/>
          <w:highlight w:val="none"/>
        </w:rPr>
        <w:t>”</w:t>
      </w:r>
      <w:r>
        <w:rPr>
          <w:rFonts w:cs="Times New Roman"/>
          <w:color w:val="auto"/>
          <w:kern w:val="21"/>
          <w:szCs w:val="32"/>
          <w:highlight w:val="none"/>
        </w:rPr>
        <w:t>工艺，出水水质执行《四川省岷江、沱江流域水污染物排放标准》（DB51/2311-2016）表1中的工业园区集中式污水处理厂排放限值，表1中未列入的污染物，执行《城镇污水处理厂污染物排放标准》（GB18918-2002）中的一级A标准。目前，已建成规模为10000立方米/日。根据其验收报告，乐山沙湾经济开发区污水处理厂为80%（处理规模为8000立方米/日）。</w:t>
      </w:r>
    </w:p>
    <w:p w14:paraId="57305CB6">
      <w:pPr>
        <w:overflowPunct w:val="0"/>
        <w:adjustRightInd w:val="0"/>
        <w:ind w:firstLine="480"/>
        <w:rPr>
          <w:rFonts w:cs="Times New Roman"/>
          <w:color w:val="auto"/>
          <w:kern w:val="21"/>
          <w:szCs w:val="22"/>
          <w:highlight w:val="none"/>
        </w:rPr>
      </w:pPr>
      <w:r>
        <w:rPr>
          <w:rFonts w:cs="Times New Roman"/>
          <w:color w:val="auto"/>
          <w:kern w:val="21"/>
          <w:szCs w:val="32"/>
          <w:highlight w:val="none"/>
        </w:rPr>
        <w:t>本项目拟建于四川乐山沙湾经济开发区内，位于乐山沙湾经济开发区污水处理厂服务范围，且本项目废水排放量为9.52m</w:t>
      </w:r>
      <w:r>
        <w:rPr>
          <w:rFonts w:cs="Times New Roman"/>
          <w:color w:val="auto"/>
          <w:kern w:val="21"/>
          <w:szCs w:val="32"/>
          <w:highlight w:val="none"/>
          <w:vertAlign w:val="superscript"/>
        </w:rPr>
        <w:t>3</w:t>
      </w:r>
      <w:r>
        <w:rPr>
          <w:rFonts w:cs="Times New Roman"/>
          <w:color w:val="auto"/>
          <w:kern w:val="21"/>
          <w:szCs w:val="32"/>
          <w:highlight w:val="none"/>
        </w:rPr>
        <w:t>/d，乐山沙湾经济开发区污水处理厂有能力接收并处理本项目生活污水</w:t>
      </w:r>
      <w:r>
        <w:rPr>
          <w:rFonts w:hint="eastAsia" w:cs="Times New Roman"/>
          <w:color w:val="auto"/>
          <w:kern w:val="21"/>
          <w:szCs w:val="32"/>
          <w:highlight w:val="none"/>
        </w:rPr>
        <w:t>（含食堂废水）</w:t>
      </w:r>
      <w:r>
        <w:rPr>
          <w:rFonts w:cs="Times New Roman"/>
          <w:color w:val="auto"/>
          <w:kern w:val="21"/>
          <w:szCs w:val="32"/>
          <w:highlight w:val="none"/>
        </w:rPr>
        <w:t>。</w:t>
      </w:r>
    </w:p>
    <w:p w14:paraId="7561A20F">
      <w:pPr>
        <w:pStyle w:val="4"/>
        <w:adjustRightInd w:val="0"/>
        <w:rPr>
          <w:rFonts w:cs="Times New Roman"/>
          <w:color w:val="auto"/>
          <w:highlight w:val="none"/>
        </w:rPr>
      </w:pPr>
      <w:bookmarkStart w:id="275" w:name="_Toc2546"/>
      <w:bookmarkStart w:id="276" w:name="_Toc15799"/>
      <w:bookmarkStart w:id="277" w:name="_Toc9460"/>
      <w:r>
        <w:rPr>
          <w:rFonts w:cs="Times New Roman"/>
          <w:color w:val="auto"/>
          <w:highlight w:val="none"/>
        </w:rPr>
        <w:t>噪声</w:t>
      </w:r>
      <w:bookmarkEnd w:id="275"/>
      <w:bookmarkEnd w:id="276"/>
      <w:r>
        <w:rPr>
          <w:color w:val="auto"/>
          <w:highlight w:val="none"/>
        </w:rPr>
        <w:t>环境保护措施及其可行性论证</w:t>
      </w:r>
      <w:bookmarkEnd w:id="277"/>
    </w:p>
    <w:p w14:paraId="3D930186">
      <w:pPr>
        <w:adjustRightInd w:val="0"/>
        <w:ind w:firstLine="480"/>
        <w:rPr>
          <w:rFonts w:cs="Times New Roman"/>
          <w:color w:val="auto"/>
          <w:highlight w:val="none"/>
        </w:rPr>
      </w:pPr>
      <w:r>
        <w:rPr>
          <w:rFonts w:cs="Times New Roman"/>
          <w:color w:val="auto"/>
          <w:highlight w:val="none"/>
        </w:rPr>
        <w:t>本项目主要噪声源为设备运行时产生的噪声。这些设备噪声防治原则应首先考虑选用低噪声设备，其次是采用消声、减震和使用隔声罩等措施，降低其噪声对周围环境的影响。为增强噪声防治效果，建议采用如下措施：</w:t>
      </w:r>
    </w:p>
    <w:p w14:paraId="4BAE570F">
      <w:pPr>
        <w:adjustRightInd w:val="0"/>
        <w:ind w:firstLine="482"/>
        <w:rPr>
          <w:rFonts w:cs="Times New Roman"/>
          <w:b/>
          <w:bCs/>
          <w:color w:val="auto"/>
          <w:highlight w:val="none"/>
        </w:rPr>
      </w:pPr>
      <w:r>
        <w:rPr>
          <w:rFonts w:cs="Times New Roman"/>
          <w:b/>
          <w:bCs/>
          <w:color w:val="auto"/>
          <w:highlight w:val="none"/>
        </w:rPr>
        <w:t>（1）从声源降噪</w:t>
      </w:r>
    </w:p>
    <w:p w14:paraId="7A4EAB12">
      <w:pPr>
        <w:adjustRightInd w:val="0"/>
        <w:ind w:firstLine="480"/>
        <w:rPr>
          <w:rFonts w:cs="Times New Roman"/>
          <w:color w:val="auto"/>
          <w:highlight w:val="none"/>
        </w:rPr>
      </w:pPr>
      <w:r>
        <w:rPr>
          <w:rFonts w:cs="Times New Roman"/>
          <w:color w:val="auto"/>
          <w:highlight w:val="none"/>
        </w:rPr>
        <w:t>根据本项目噪声源特征，建议在设计和设备采购阶段，在满足工艺设计的前提下，优先选用低噪声、低振动型号的设备，如低噪的设备、各种泵等，从而从声源上降低设备本身的噪声。</w:t>
      </w:r>
    </w:p>
    <w:p w14:paraId="3705BC76">
      <w:pPr>
        <w:adjustRightInd w:val="0"/>
        <w:ind w:firstLine="480"/>
        <w:rPr>
          <w:rFonts w:cs="Times New Roman"/>
          <w:color w:val="auto"/>
          <w:highlight w:val="none"/>
        </w:rPr>
      </w:pPr>
      <w:r>
        <w:rPr>
          <w:rFonts w:cs="Times New Roman"/>
          <w:color w:val="auto"/>
          <w:highlight w:val="none"/>
        </w:rPr>
        <w:t>为防止振动产生的噪声污染，本项目各类泵、风机均设置单独基础，并加设减振垫，以防止振动产生噪声。各种泵的进、出口均采用减振软接头，以减少泵的振动和噪声经管道传播。</w:t>
      </w:r>
    </w:p>
    <w:p w14:paraId="721BDC7F">
      <w:pPr>
        <w:adjustRightInd w:val="0"/>
        <w:ind w:firstLine="482"/>
        <w:rPr>
          <w:rFonts w:cs="Times New Roman"/>
          <w:b/>
          <w:bCs/>
          <w:color w:val="auto"/>
          <w:highlight w:val="none"/>
        </w:rPr>
      </w:pPr>
      <w:r>
        <w:rPr>
          <w:rFonts w:cs="Times New Roman"/>
          <w:b/>
          <w:bCs/>
          <w:color w:val="auto"/>
          <w:highlight w:val="none"/>
        </w:rPr>
        <w:t>（2）从传播途径上降噪</w:t>
      </w:r>
    </w:p>
    <w:p w14:paraId="31E6E7FA">
      <w:pPr>
        <w:adjustRightInd w:val="0"/>
        <w:ind w:firstLine="480"/>
        <w:rPr>
          <w:rFonts w:cs="Times New Roman"/>
          <w:color w:val="auto"/>
          <w:highlight w:val="none"/>
        </w:rPr>
      </w:pPr>
      <w:r>
        <w:rPr>
          <w:rFonts w:cs="Times New Roman"/>
          <w:color w:val="auto"/>
          <w:highlight w:val="none"/>
        </w:rPr>
        <w:t>车间通风、空调和排气系统的综合降噪措施：除选择低噪声设备外，在安装上注意到风机本身应带减振底座，安装位置具有减振台基础，主排风管在风气出口要配置消声器，排风管道进出口加柔性软接头。对于设置在屋顶的风机或排气口考虑加设风机隔声罩，以降低风机噪声对周围环境的影响。设备之间应保持相应的间距，避免噪声叠加影响。</w:t>
      </w:r>
    </w:p>
    <w:p w14:paraId="025E34C5">
      <w:pPr>
        <w:adjustRightInd w:val="0"/>
        <w:ind w:firstLine="480"/>
        <w:rPr>
          <w:rFonts w:cs="Times New Roman"/>
          <w:color w:val="auto"/>
          <w:highlight w:val="none"/>
        </w:rPr>
      </w:pPr>
      <w:r>
        <w:rPr>
          <w:rFonts w:cs="Times New Roman"/>
          <w:color w:val="auto"/>
          <w:highlight w:val="none"/>
        </w:rPr>
        <w:t>建筑物隔声：本项目所有生产设备均在车间内，车间隔声窗的隔声量大于</w:t>
      </w:r>
      <w:r>
        <w:rPr>
          <w:rFonts w:hint="eastAsia" w:cs="Times New Roman"/>
          <w:color w:val="auto"/>
          <w:highlight w:val="none"/>
        </w:rPr>
        <w:t>1</w:t>
      </w:r>
      <w:r>
        <w:rPr>
          <w:rFonts w:cs="Times New Roman"/>
          <w:color w:val="auto"/>
          <w:highlight w:val="none"/>
        </w:rPr>
        <w:t>5dB（A）。</w:t>
      </w:r>
    </w:p>
    <w:p w14:paraId="731B1FF6">
      <w:pPr>
        <w:adjustRightInd w:val="0"/>
        <w:ind w:firstLine="480"/>
        <w:rPr>
          <w:rFonts w:cs="Times New Roman"/>
          <w:color w:val="auto"/>
          <w:highlight w:val="none"/>
        </w:rPr>
      </w:pPr>
      <w:r>
        <w:rPr>
          <w:rFonts w:cs="Times New Roman"/>
          <w:color w:val="auto"/>
          <w:highlight w:val="none"/>
        </w:rPr>
        <w:t>当然安装在房屋上后由于受到墙体本身存在孔隙等隔声薄弱环节的牵制，实际隔声效果要相应标准降低，但通过建筑物封闭隔声措施并在房屋内壁铺设吸声材料，应至少可以降低噪声</w:t>
      </w:r>
      <w:r>
        <w:rPr>
          <w:rFonts w:hint="eastAsia" w:cs="Times New Roman"/>
          <w:color w:val="auto"/>
          <w:highlight w:val="none"/>
        </w:rPr>
        <w:t>15</w:t>
      </w:r>
      <w:r>
        <w:rPr>
          <w:rFonts w:cs="Times New Roman"/>
          <w:color w:val="auto"/>
          <w:highlight w:val="none"/>
        </w:rPr>
        <w:t>dB（A）以上。</w:t>
      </w:r>
    </w:p>
    <w:p w14:paraId="72A61BA0">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（3）合理布局</w:t>
      </w:r>
    </w:p>
    <w:p w14:paraId="697EB23F">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本项建议将主要高噪声生产设备布置在厂区中部。采用</w:t>
      </w:r>
      <w:r>
        <w:rPr>
          <w:rFonts w:hint="eastAsia" w:cs="Times New Roman"/>
          <w:color w:val="auto"/>
          <w:kern w:val="21"/>
          <w:szCs w:val="22"/>
          <w:highlight w:val="none"/>
        </w:rPr>
        <w:t>“</w:t>
      </w:r>
      <w:r>
        <w:rPr>
          <w:rFonts w:cs="Times New Roman"/>
          <w:color w:val="auto"/>
          <w:kern w:val="21"/>
          <w:szCs w:val="22"/>
          <w:highlight w:val="none"/>
        </w:rPr>
        <w:t>闹静分开</w:t>
      </w:r>
      <w:r>
        <w:rPr>
          <w:rFonts w:hint="eastAsia" w:cs="Times New Roman"/>
          <w:color w:val="auto"/>
          <w:kern w:val="21"/>
          <w:szCs w:val="22"/>
          <w:highlight w:val="none"/>
        </w:rPr>
        <w:t>”</w:t>
      </w:r>
      <w:r>
        <w:rPr>
          <w:rFonts w:cs="Times New Roman"/>
          <w:color w:val="auto"/>
          <w:kern w:val="21"/>
          <w:szCs w:val="22"/>
          <w:highlight w:val="none"/>
        </w:rPr>
        <w:t>和合理布局的设置原则，尽量将高噪声源远离噪声敏感区域或厂界。在车间、厂区周围建设一定高度的隔声屏障，如围墙，减少对车间外或厂区外声环境的影响。</w:t>
      </w:r>
    </w:p>
    <w:p w14:paraId="3C891518">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（4）加强管理</w:t>
      </w:r>
    </w:p>
    <w:p w14:paraId="71FB1D5F">
      <w:pPr>
        <w:overflowPunct w:val="0"/>
        <w:adjustRightInd w:val="0"/>
        <w:ind w:firstLine="480"/>
        <w:rPr>
          <w:rFonts w:cs="Times New Roman"/>
          <w:color w:val="auto"/>
          <w:kern w:val="21"/>
          <w:szCs w:val="22"/>
          <w:highlight w:val="none"/>
        </w:rPr>
      </w:pPr>
      <w:r>
        <w:rPr>
          <w:rFonts w:cs="Times New Roman"/>
          <w:color w:val="auto"/>
          <w:kern w:val="21"/>
          <w:szCs w:val="22"/>
          <w:highlight w:val="none"/>
        </w:rPr>
        <w:t>平时加强对各噪声设备的保养、检修与润滑，保证设备良好运转，减轻运行噪声强度，杜绝因设备不正常运转时产生的高噪声现象。在厂界四周设置尽可能宽的绿化带，同时做好对运输车辆的管理和维护。本项目建成后，机动车辆在项目内行驶距离短，采用规范行车路线、限速、禁鸣等防噪措施后，不会对周围环境造成噪声影响。定期对各车间工人发放耳塞和耳帽等物品进行佩戴，以减轻各设备噪声对车间工人的影响。</w:t>
      </w:r>
    </w:p>
    <w:p w14:paraId="49A2B5AE">
      <w:pPr>
        <w:overflowPunct w:val="0"/>
        <w:adjustRightInd w:val="0"/>
        <w:ind w:firstLine="482"/>
        <w:rPr>
          <w:rFonts w:cs="Times New Roman"/>
          <w:color w:val="auto"/>
          <w:kern w:val="21"/>
          <w:szCs w:val="22"/>
          <w:highlight w:val="none"/>
        </w:rPr>
      </w:pPr>
      <w:r>
        <w:rPr>
          <w:rFonts w:cs="Times New Roman"/>
          <w:b/>
          <w:color w:val="auto"/>
          <w:kern w:val="21"/>
          <w:szCs w:val="22"/>
          <w:highlight w:val="none"/>
        </w:rPr>
        <w:t>综上所述，本项目采取的降噪措施是国内通常采用的有效措施，措施是可行的。</w:t>
      </w:r>
    </w:p>
    <w:p w14:paraId="0220AAE8">
      <w:pPr>
        <w:pStyle w:val="4"/>
        <w:adjustRightInd w:val="0"/>
        <w:rPr>
          <w:rFonts w:cs="Times New Roman"/>
          <w:color w:val="auto"/>
          <w:highlight w:val="none"/>
        </w:rPr>
      </w:pPr>
      <w:bookmarkStart w:id="278" w:name="_Toc29593"/>
      <w:bookmarkStart w:id="279" w:name="_Toc2159"/>
      <w:bookmarkStart w:id="280" w:name="_Toc32739"/>
      <w:bookmarkStart w:id="281" w:name="_Toc28695"/>
      <w:r>
        <w:rPr>
          <w:rFonts w:cs="Times New Roman"/>
          <w:color w:val="auto"/>
          <w:highlight w:val="none"/>
        </w:rPr>
        <w:t>固体废物</w:t>
      </w:r>
      <w:bookmarkEnd w:id="278"/>
      <w:bookmarkEnd w:id="279"/>
      <w:bookmarkEnd w:id="280"/>
      <w:r>
        <w:rPr>
          <w:color w:val="auto"/>
          <w:highlight w:val="none"/>
        </w:rPr>
        <w:t>环境保护措施及其可行性论证</w:t>
      </w:r>
      <w:bookmarkEnd w:id="281"/>
    </w:p>
    <w:p w14:paraId="3A493FD4">
      <w:pPr>
        <w:adjustRightInd w:val="0"/>
        <w:ind w:firstLine="480"/>
        <w:rPr>
          <w:rFonts w:cs="Times New Roman"/>
          <w:color w:val="auto"/>
          <w:highlight w:val="none"/>
        </w:rPr>
      </w:pPr>
      <w:r>
        <w:rPr>
          <w:rFonts w:cs="Times New Roman"/>
          <w:color w:val="auto"/>
          <w:highlight w:val="none"/>
        </w:rPr>
        <w:t>本项目运营期产生的固体废物分为一般固废、危险废物，其中一般固废主要为沉淀池沉渣、废滤袋、废布袋、废包装材料</w:t>
      </w:r>
      <w:r>
        <w:rPr>
          <w:rFonts w:hint="eastAsia" w:cs="Times New Roman"/>
          <w:color w:val="auto"/>
          <w:highlight w:val="none"/>
        </w:rPr>
        <w:t>（废聚丙烯酰胺包装袋、废聚合氯化铝包装袋、废捕收剂桶、废碳酸钠包装袋、废氯化镁包装袋）</w:t>
      </w:r>
      <w:r>
        <w:rPr>
          <w:rFonts w:cs="Times New Roman"/>
          <w:color w:val="auto"/>
          <w:highlight w:val="none"/>
        </w:rPr>
        <w:t>、</w:t>
      </w:r>
      <w:r>
        <w:rPr>
          <w:rFonts w:hint="eastAsia" w:cs="Times New Roman"/>
          <w:color w:val="auto"/>
          <w:highlight w:val="none"/>
        </w:rPr>
        <w:t>布袋收尘灰</w:t>
      </w:r>
      <w:r>
        <w:rPr>
          <w:rFonts w:cs="Times New Roman"/>
          <w:color w:val="auto"/>
          <w:highlight w:val="none"/>
        </w:rPr>
        <w:t>、生活垃圾</w:t>
      </w:r>
      <w:r>
        <w:rPr>
          <w:rFonts w:hint="eastAsia" w:cs="Times New Roman"/>
          <w:color w:val="auto"/>
          <w:highlight w:val="none"/>
        </w:rPr>
        <w:t>、餐厨垃圾和隔油池废油</w:t>
      </w:r>
      <w:r>
        <w:rPr>
          <w:rFonts w:cs="Times New Roman"/>
          <w:color w:val="auto"/>
          <w:highlight w:val="none"/>
        </w:rPr>
        <w:t>；危险废物主要为废机油、废机油桶、含油抹布及手套、废氢氧化钠包装袋</w:t>
      </w:r>
      <w:r>
        <w:rPr>
          <w:rFonts w:hint="eastAsia" w:cs="Times New Roman"/>
          <w:color w:val="auto"/>
          <w:highlight w:val="none"/>
        </w:rPr>
        <w:t>。</w:t>
      </w:r>
    </w:p>
    <w:p w14:paraId="27226EAD">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一、一般固废暂存处置</w:t>
      </w:r>
    </w:p>
    <w:p w14:paraId="6EFCB857">
      <w:pPr>
        <w:overflowPunct w:val="0"/>
        <w:adjustRightInd w:val="0"/>
        <w:ind w:firstLine="480"/>
        <w:rPr>
          <w:rFonts w:cs="Times New Roman"/>
          <w:color w:val="auto"/>
          <w:kern w:val="21"/>
          <w:szCs w:val="22"/>
          <w:highlight w:val="none"/>
        </w:rPr>
      </w:pPr>
      <w:r>
        <w:rPr>
          <w:rFonts w:cs="Times New Roman"/>
          <w:color w:val="auto"/>
          <w:kern w:val="21"/>
          <w:szCs w:val="22"/>
          <w:highlight w:val="none"/>
        </w:rPr>
        <w:t>废滤袋、废布袋由供货厂家回收；</w:t>
      </w:r>
      <w:r>
        <w:rPr>
          <w:rFonts w:hint="eastAsia" w:cs="Times New Roman"/>
          <w:color w:val="auto"/>
          <w:kern w:val="21"/>
          <w:szCs w:val="22"/>
          <w:highlight w:val="none"/>
        </w:rPr>
        <w:t>布袋收尘灰</w:t>
      </w:r>
      <w:r>
        <w:rPr>
          <w:rFonts w:cs="Times New Roman"/>
          <w:color w:val="auto"/>
          <w:kern w:val="21"/>
          <w:szCs w:val="22"/>
          <w:highlight w:val="none"/>
        </w:rPr>
        <w:t>回用于生产；沉淀池沉砂暂存于一般固废间，回用于生产；废包装材料</w:t>
      </w:r>
      <w:r>
        <w:rPr>
          <w:rFonts w:hint="eastAsia" w:cs="Times New Roman"/>
          <w:color w:val="auto"/>
          <w:kern w:val="21"/>
          <w:szCs w:val="22"/>
          <w:highlight w:val="none"/>
        </w:rPr>
        <w:t>（废聚丙烯酰胺包装袋、废聚合氯化铝包装袋、废捕收剂桶、废碳酸钠包装袋、废氯化镁包装袋）</w:t>
      </w:r>
      <w:r>
        <w:rPr>
          <w:rFonts w:cs="Times New Roman"/>
          <w:color w:val="auto"/>
          <w:kern w:val="21"/>
          <w:szCs w:val="22"/>
          <w:highlight w:val="none"/>
        </w:rPr>
        <w:t>定期外售废品回收站</w:t>
      </w:r>
      <w:r>
        <w:rPr>
          <w:rFonts w:hint="eastAsia" w:cs="Times New Roman"/>
          <w:color w:val="auto"/>
          <w:kern w:val="21"/>
          <w:szCs w:val="22"/>
          <w:highlight w:val="none"/>
        </w:rPr>
        <w:t>；尾矿、黑砂外售陶瓷生产厂家综合利用；餐厨垃圾和隔油池废油定期交由有资质的单位进行处置。</w:t>
      </w:r>
    </w:p>
    <w:p w14:paraId="7038C51C">
      <w:pPr>
        <w:overflowPunct w:val="0"/>
        <w:adjustRightInd w:val="0"/>
        <w:ind w:firstLine="482"/>
        <w:rPr>
          <w:rFonts w:cs="Times New Roman"/>
          <w:color w:val="auto"/>
          <w:kern w:val="21"/>
          <w:szCs w:val="24"/>
          <w:highlight w:val="none"/>
        </w:rPr>
      </w:pPr>
      <w:r>
        <w:rPr>
          <w:rFonts w:cs="Times New Roman"/>
          <w:b/>
          <w:bCs/>
          <w:color w:val="auto"/>
          <w:kern w:val="21"/>
          <w:szCs w:val="24"/>
          <w:highlight w:val="none"/>
        </w:rPr>
        <w:t>二、危废处置</w:t>
      </w:r>
    </w:p>
    <w:p w14:paraId="4CEEA567">
      <w:pPr>
        <w:overflowPunct w:val="0"/>
        <w:adjustRightInd w:val="0"/>
        <w:ind w:firstLine="480"/>
        <w:rPr>
          <w:rFonts w:cs="Times New Roman"/>
          <w:color w:val="auto"/>
          <w:kern w:val="21"/>
          <w:szCs w:val="22"/>
          <w:highlight w:val="none"/>
        </w:rPr>
      </w:pPr>
      <w:r>
        <w:rPr>
          <w:rFonts w:cs="Times New Roman"/>
          <w:color w:val="auto"/>
          <w:kern w:val="21"/>
          <w:szCs w:val="24"/>
          <w:highlight w:val="none"/>
        </w:rPr>
        <w:t>本项目产生的危险废物（废机油、废机油桶、含油抹布及手套、废氢氧化钠包装袋等）</w:t>
      </w:r>
      <w:r>
        <w:rPr>
          <w:rFonts w:cs="Times New Roman"/>
          <w:color w:val="auto"/>
          <w:kern w:val="21"/>
          <w:szCs w:val="22"/>
          <w:highlight w:val="none"/>
        </w:rPr>
        <w:t>分类收集暂存厂区设置的</w:t>
      </w:r>
      <w:r>
        <w:rPr>
          <w:rFonts w:hint="eastAsia" w:cs="Times New Roman"/>
          <w:color w:val="auto"/>
          <w:kern w:val="21"/>
          <w:szCs w:val="22"/>
          <w:highlight w:val="none"/>
        </w:rPr>
        <w:t>危废暂存间</w:t>
      </w:r>
      <w:r>
        <w:rPr>
          <w:rFonts w:cs="Times New Roman"/>
          <w:color w:val="auto"/>
          <w:kern w:val="21"/>
          <w:szCs w:val="22"/>
          <w:highlight w:val="none"/>
        </w:rPr>
        <w:t>，定期交有资质单位处置。</w:t>
      </w:r>
    </w:p>
    <w:p w14:paraId="5A273EDA">
      <w:pPr>
        <w:overflowPunct w:val="0"/>
        <w:adjustRightInd w:val="0"/>
        <w:ind w:firstLine="480"/>
        <w:rPr>
          <w:rFonts w:cs="Times New Roman"/>
          <w:color w:val="auto"/>
          <w:kern w:val="21"/>
          <w:szCs w:val="22"/>
          <w:highlight w:val="none"/>
        </w:rPr>
      </w:pPr>
      <w:r>
        <w:rPr>
          <w:rFonts w:cs="Times New Roman"/>
          <w:color w:val="auto"/>
          <w:kern w:val="21"/>
          <w:szCs w:val="22"/>
          <w:highlight w:val="none"/>
        </w:rPr>
        <w:t>经采取以上措施，项目建成后，所产生的固废均得到妥善处置，不会带来二次污染，项目固废排放对周围环境影响不明显。</w:t>
      </w:r>
    </w:p>
    <w:p w14:paraId="2EA32569">
      <w:pPr>
        <w:overflowPunct w:val="0"/>
        <w:adjustRightInd w:val="0"/>
        <w:ind w:firstLine="482"/>
        <w:rPr>
          <w:rFonts w:cs="Times New Roman"/>
          <w:b/>
          <w:bCs/>
          <w:color w:val="auto"/>
          <w:kern w:val="21"/>
          <w:szCs w:val="24"/>
          <w:highlight w:val="none"/>
        </w:rPr>
      </w:pPr>
      <w:r>
        <w:rPr>
          <w:rFonts w:hint="eastAsia" w:cs="Times New Roman"/>
          <w:b/>
          <w:bCs/>
          <w:color w:val="auto"/>
          <w:kern w:val="21"/>
          <w:szCs w:val="24"/>
          <w:highlight w:val="none"/>
        </w:rPr>
        <w:t>四</w:t>
      </w:r>
      <w:r>
        <w:rPr>
          <w:rFonts w:cs="Times New Roman"/>
          <w:b/>
          <w:bCs/>
          <w:color w:val="auto"/>
          <w:kern w:val="21"/>
          <w:szCs w:val="24"/>
          <w:highlight w:val="none"/>
        </w:rPr>
        <w:t>、危废暂存区</w:t>
      </w:r>
    </w:p>
    <w:p w14:paraId="43DEFC6B">
      <w:pPr>
        <w:overflowPunct w:val="0"/>
        <w:adjustRightInd w:val="0"/>
        <w:ind w:firstLine="480"/>
        <w:rPr>
          <w:rFonts w:cs="Times New Roman"/>
          <w:color w:val="auto"/>
          <w:kern w:val="21"/>
          <w:szCs w:val="24"/>
          <w:highlight w:val="none"/>
        </w:rPr>
      </w:pPr>
      <w:r>
        <w:rPr>
          <w:rFonts w:cs="Times New Roman"/>
          <w:color w:val="auto"/>
          <w:kern w:val="21"/>
          <w:szCs w:val="24"/>
          <w:highlight w:val="none"/>
        </w:rPr>
        <w:t>项目拟在项目</w:t>
      </w:r>
      <w:r>
        <w:rPr>
          <w:rFonts w:hint="eastAsia" w:cs="Times New Roman"/>
          <w:color w:val="auto"/>
          <w:kern w:val="21"/>
          <w:szCs w:val="24"/>
          <w:highlight w:val="none"/>
        </w:rPr>
        <w:t>中部</w:t>
      </w:r>
      <w:r>
        <w:rPr>
          <w:rFonts w:cs="Times New Roman"/>
          <w:color w:val="auto"/>
          <w:kern w:val="21"/>
          <w:szCs w:val="24"/>
          <w:highlight w:val="none"/>
        </w:rPr>
        <w:t>设置1处占地面积约</w:t>
      </w:r>
      <w:r>
        <w:rPr>
          <w:rFonts w:hint="eastAsia" w:cs="Times New Roman"/>
          <w:color w:val="auto"/>
          <w:kern w:val="21"/>
          <w:szCs w:val="24"/>
          <w:highlight w:val="none"/>
        </w:rPr>
        <w:t>1</w:t>
      </w:r>
      <w:r>
        <w:rPr>
          <w:rFonts w:cs="Times New Roman"/>
          <w:color w:val="auto"/>
          <w:kern w:val="21"/>
          <w:szCs w:val="24"/>
          <w:highlight w:val="none"/>
        </w:rPr>
        <w:t>0m</w:t>
      </w:r>
      <w:r>
        <w:rPr>
          <w:rFonts w:cs="Times New Roman"/>
          <w:color w:val="auto"/>
          <w:kern w:val="21"/>
          <w:szCs w:val="24"/>
          <w:highlight w:val="none"/>
          <w:vertAlign w:val="superscript"/>
        </w:rPr>
        <w:t>2</w:t>
      </w:r>
      <w:r>
        <w:rPr>
          <w:rFonts w:cs="Times New Roman"/>
          <w:color w:val="auto"/>
          <w:kern w:val="21"/>
          <w:szCs w:val="24"/>
          <w:highlight w:val="none"/>
        </w:rPr>
        <w:t>的危险废物暂存间，专门用于分类暂存本项目产生的废机油、废机油桶、含油抹布及手套、废氢氧化钠包装袋等危险废物。</w:t>
      </w:r>
    </w:p>
    <w:p w14:paraId="5C867574">
      <w:pPr>
        <w:overflowPunct w:val="0"/>
        <w:adjustRightInd w:val="0"/>
        <w:ind w:firstLine="482"/>
        <w:rPr>
          <w:rFonts w:cs="Times New Roman"/>
          <w:color w:val="auto"/>
          <w:kern w:val="21"/>
          <w:szCs w:val="24"/>
          <w:highlight w:val="none"/>
        </w:rPr>
      </w:pPr>
      <w:r>
        <w:rPr>
          <w:rFonts w:cs="Times New Roman"/>
          <w:b/>
          <w:bCs/>
          <w:color w:val="auto"/>
          <w:kern w:val="21"/>
          <w:szCs w:val="24"/>
          <w:highlight w:val="none"/>
        </w:rPr>
        <w:t>（1）贮存场所</w:t>
      </w:r>
    </w:p>
    <w:p w14:paraId="2D54C227">
      <w:pPr>
        <w:overflowPunct w:val="0"/>
        <w:adjustRightInd w:val="0"/>
        <w:ind w:firstLine="480"/>
        <w:rPr>
          <w:rFonts w:cs="Times New Roman"/>
          <w:color w:val="auto"/>
          <w:kern w:val="21"/>
          <w:szCs w:val="24"/>
          <w:highlight w:val="none"/>
        </w:rPr>
      </w:pPr>
      <w:r>
        <w:rPr>
          <w:rFonts w:cs="Times New Roman"/>
          <w:color w:val="auto"/>
          <w:kern w:val="21"/>
          <w:szCs w:val="24"/>
          <w:highlight w:val="none"/>
        </w:rPr>
        <w:t>危废暂存场地的设置应按《危险废物贮存污染控制标准》（GB18597-2023）等要求设置，设置标志牌，地面与裙角均采用防渗材料建造。危险暂存区要做到</w:t>
      </w:r>
      <w:r>
        <w:rPr>
          <w:rFonts w:hint="eastAsia" w:cs="Times New Roman"/>
          <w:color w:val="auto"/>
          <w:kern w:val="21"/>
          <w:szCs w:val="24"/>
          <w:highlight w:val="none"/>
        </w:rPr>
        <w:t>“</w:t>
      </w:r>
      <w:r>
        <w:rPr>
          <w:rFonts w:cs="Times New Roman"/>
          <w:color w:val="auto"/>
          <w:kern w:val="21"/>
          <w:szCs w:val="24"/>
          <w:highlight w:val="none"/>
        </w:rPr>
        <w:t>六防</w:t>
      </w:r>
      <w:r>
        <w:rPr>
          <w:rFonts w:hint="eastAsia" w:cs="Times New Roman"/>
          <w:color w:val="auto"/>
          <w:kern w:val="21"/>
          <w:szCs w:val="24"/>
          <w:highlight w:val="none"/>
        </w:rPr>
        <w:t>”</w:t>
      </w:r>
      <w:r>
        <w:rPr>
          <w:rFonts w:cs="Times New Roman"/>
          <w:color w:val="auto"/>
          <w:kern w:val="21"/>
          <w:szCs w:val="24"/>
          <w:highlight w:val="none"/>
        </w:rPr>
        <w:t>（防风、防雨、防晒、防漏、防渗、防腐）。车间内的</w:t>
      </w:r>
      <w:r>
        <w:rPr>
          <w:rFonts w:hint="eastAsia" w:cs="Times New Roman"/>
          <w:color w:val="auto"/>
          <w:kern w:val="21"/>
          <w:szCs w:val="24"/>
          <w:highlight w:val="none"/>
        </w:rPr>
        <w:t>危废暂存间</w:t>
      </w:r>
      <w:r>
        <w:rPr>
          <w:rFonts w:cs="Times New Roman"/>
          <w:color w:val="auto"/>
          <w:kern w:val="21"/>
          <w:szCs w:val="24"/>
          <w:highlight w:val="none"/>
        </w:rPr>
        <w:t>做到以上措施后，危险废物不会对区域环境造成影响。</w:t>
      </w:r>
    </w:p>
    <w:p w14:paraId="27A911EF">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（2）运输</w:t>
      </w:r>
    </w:p>
    <w:p w14:paraId="1C21C768">
      <w:pPr>
        <w:overflowPunct w:val="0"/>
        <w:adjustRightInd w:val="0"/>
        <w:ind w:firstLine="480"/>
        <w:rPr>
          <w:rFonts w:cs="Times New Roman"/>
          <w:color w:val="auto"/>
          <w:kern w:val="21"/>
          <w:szCs w:val="24"/>
          <w:highlight w:val="none"/>
        </w:rPr>
      </w:pPr>
      <w:r>
        <w:rPr>
          <w:rFonts w:cs="Times New Roman"/>
          <w:color w:val="auto"/>
          <w:kern w:val="21"/>
          <w:szCs w:val="24"/>
          <w:highlight w:val="none"/>
        </w:rPr>
        <w:t>危险废物定期用专用运输车辆分类外运至有相关处理资质的处置单位进行处理。危险废物处置公司将委派专人负责，各种废弃物的储存容器都有很好的密封性，安全可靠，不会受到风雨侵蚀，可有效地防止临时存放过程中的二次污染。</w:t>
      </w:r>
    </w:p>
    <w:p w14:paraId="56EBA27E">
      <w:pPr>
        <w:overflowPunct w:val="0"/>
        <w:adjustRightInd w:val="0"/>
        <w:ind w:firstLine="482"/>
        <w:rPr>
          <w:rFonts w:cs="Times New Roman"/>
          <w:color w:val="auto"/>
          <w:kern w:val="21"/>
          <w:szCs w:val="24"/>
          <w:highlight w:val="none"/>
        </w:rPr>
      </w:pPr>
      <w:r>
        <w:rPr>
          <w:rFonts w:cs="Times New Roman"/>
          <w:b/>
          <w:bCs/>
          <w:color w:val="auto"/>
          <w:kern w:val="21"/>
          <w:szCs w:val="24"/>
          <w:highlight w:val="none"/>
        </w:rPr>
        <w:t>（3）日常管理要求</w:t>
      </w:r>
    </w:p>
    <w:p w14:paraId="28C5A114">
      <w:pPr>
        <w:overflowPunct w:val="0"/>
        <w:adjustRightInd w:val="0"/>
        <w:ind w:firstLine="480"/>
        <w:rPr>
          <w:rFonts w:cs="Times New Roman"/>
          <w:color w:val="auto"/>
          <w:kern w:val="21"/>
          <w:szCs w:val="24"/>
          <w:highlight w:val="none"/>
        </w:rPr>
      </w:pPr>
      <w:r>
        <w:rPr>
          <w:rFonts w:cs="Times New Roman"/>
          <w:color w:val="auto"/>
          <w:kern w:val="21"/>
          <w:szCs w:val="24"/>
          <w:highlight w:val="none"/>
        </w:rPr>
        <w:t>A.加强废包装容器的运输及使用，避免</w:t>
      </w:r>
      <w:r>
        <w:rPr>
          <w:rFonts w:hint="eastAsia" w:cs="Times New Roman"/>
          <w:color w:val="auto"/>
          <w:kern w:val="21"/>
          <w:szCs w:val="24"/>
          <w:highlight w:val="none"/>
        </w:rPr>
        <w:t>“</w:t>
      </w:r>
      <w:r>
        <w:rPr>
          <w:rFonts w:cs="Times New Roman"/>
          <w:color w:val="auto"/>
          <w:kern w:val="21"/>
          <w:szCs w:val="24"/>
          <w:highlight w:val="none"/>
        </w:rPr>
        <w:t>跑冒滴漏</w:t>
      </w:r>
      <w:r>
        <w:rPr>
          <w:rFonts w:hint="eastAsia" w:cs="Times New Roman"/>
          <w:color w:val="auto"/>
          <w:kern w:val="21"/>
          <w:szCs w:val="24"/>
          <w:highlight w:val="none"/>
        </w:rPr>
        <w:t>”</w:t>
      </w:r>
      <w:r>
        <w:rPr>
          <w:rFonts w:cs="Times New Roman"/>
          <w:color w:val="auto"/>
          <w:kern w:val="21"/>
          <w:szCs w:val="24"/>
          <w:highlight w:val="none"/>
        </w:rPr>
        <w:t>。制定操作规范，严格管理机制，加</w:t>
      </w:r>
      <w:r>
        <w:rPr>
          <w:rFonts w:hint="eastAsia" w:cs="Times New Roman"/>
          <w:color w:val="auto"/>
          <w:kern w:val="21"/>
          <w:szCs w:val="24"/>
          <w:highlight w:val="none"/>
        </w:rPr>
        <w:t>强对</w:t>
      </w:r>
      <w:r>
        <w:rPr>
          <w:rFonts w:cs="Times New Roman"/>
          <w:color w:val="auto"/>
          <w:kern w:val="21"/>
          <w:szCs w:val="24"/>
          <w:highlight w:val="none"/>
        </w:rPr>
        <w:t>职工的宣传教育。</w:t>
      </w:r>
    </w:p>
    <w:p w14:paraId="40C145EC">
      <w:pPr>
        <w:overflowPunct w:val="0"/>
        <w:adjustRightInd w:val="0"/>
        <w:ind w:firstLine="480"/>
        <w:rPr>
          <w:rFonts w:cs="Times New Roman"/>
          <w:color w:val="auto"/>
          <w:kern w:val="21"/>
          <w:szCs w:val="24"/>
          <w:highlight w:val="none"/>
        </w:rPr>
      </w:pPr>
      <w:r>
        <w:rPr>
          <w:rFonts w:cs="Times New Roman"/>
          <w:color w:val="auto"/>
          <w:kern w:val="21"/>
          <w:szCs w:val="24"/>
          <w:highlight w:val="none"/>
        </w:rPr>
        <w:t>B.危险暂存区要做到</w:t>
      </w:r>
      <w:r>
        <w:rPr>
          <w:rFonts w:hint="eastAsia" w:cs="Times New Roman"/>
          <w:color w:val="auto"/>
          <w:kern w:val="21"/>
          <w:szCs w:val="24"/>
          <w:highlight w:val="none"/>
        </w:rPr>
        <w:t>“</w:t>
      </w:r>
      <w:r>
        <w:rPr>
          <w:rFonts w:cs="Times New Roman"/>
          <w:color w:val="auto"/>
          <w:kern w:val="21"/>
          <w:szCs w:val="24"/>
          <w:highlight w:val="none"/>
        </w:rPr>
        <w:t>六防</w:t>
      </w:r>
      <w:r>
        <w:rPr>
          <w:rFonts w:hint="eastAsia" w:cs="Times New Roman"/>
          <w:color w:val="auto"/>
          <w:kern w:val="21"/>
          <w:szCs w:val="24"/>
          <w:highlight w:val="none"/>
        </w:rPr>
        <w:t>”</w:t>
      </w:r>
      <w:r>
        <w:rPr>
          <w:rFonts w:cs="Times New Roman"/>
          <w:color w:val="auto"/>
          <w:kern w:val="21"/>
          <w:szCs w:val="24"/>
          <w:highlight w:val="none"/>
        </w:rPr>
        <w:t>（防风、防雨、防晒、防漏、防渗、防腐）。收集装于密闭的包装容器，包装容器应选用与装盛物相容的材料制成，容器或包装袋表面应粘贴危险废物标识，禁止将一般工业固体废物和生活垃圾混合其内。</w:t>
      </w:r>
    </w:p>
    <w:p w14:paraId="51A4376A">
      <w:pPr>
        <w:overflowPunct w:val="0"/>
        <w:adjustRightInd w:val="0"/>
        <w:ind w:firstLine="480"/>
        <w:rPr>
          <w:rFonts w:cs="Times New Roman"/>
          <w:color w:val="auto"/>
          <w:kern w:val="21"/>
          <w:szCs w:val="24"/>
          <w:highlight w:val="none"/>
        </w:rPr>
      </w:pPr>
      <w:r>
        <w:rPr>
          <w:rFonts w:cs="Times New Roman"/>
          <w:color w:val="auto"/>
          <w:kern w:val="21"/>
          <w:szCs w:val="24"/>
          <w:highlight w:val="none"/>
        </w:rPr>
        <w:t>C.贮存区地面与裙脚要用坚固、防渗的材料建造，建筑材料必须与危险废物相容，建议采用环氧树脂地坪或玻璃钢。</w:t>
      </w:r>
    </w:p>
    <w:p w14:paraId="23EEBEB1">
      <w:pPr>
        <w:overflowPunct w:val="0"/>
        <w:adjustRightInd w:val="0"/>
        <w:ind w:firstLine="480"/>
        <w:rPr>
          <w:rFonts w:cs="Times New Roman"/>
          <w:color w:val="auto"/>
          <w:kern w:val="21"/>
          <w:szCs w:val="24"/>
          <w:highlight w:val="none"/>
        </w:rPr>
      </w:pPr>
      <w:r>
        <w:rPr>
          <w:rFonts w:cs="Times New Roman"/>
          <w:color w:val="auto"/>
          <w:kern w:val="21"/>
          <w:szCs w:val="24"/>
          <w:highlight w:val="none"/>
        </w:rPr>
        <w:t>D.不相容的危险废物必须分开存放，并设有隔离间隔断。</w:t>
      </w:r>
    </w:p>
    <w:p w14:paraId="19165655">
      <w:pPr>
        <w:overflowPunct w:val="0"/>
        <w:adjustRightInd w:val="0"/>
        <w:ind w:firstLine="480"/>
        <w:rPr>
          <w:rFonts w:cs="Times New Roman"/>
          <w:color w:val="auto"/>
          <w:kern w:val="21"/>
          <w:szCs w:val="24"/>
          <w:highlight w:val="none"/>
        </w:rPr>
      </w:pPr>
      <w:r>
        <w:rPr>
          <w:rFonts w:cs="Times New Roman"/>
          <w:color w:val="auto"/>
          <w:kern w:val="21"/>
          <w:szCs w:val="24"/>
          <w:highlight w:val="none"/>
        </w:rPr>
        <w:t>E.危险废物贮存设施必须按GB15562.2的规定设置警示标志。</w:t>
      </w:r>
    </w:p>
    <w:p w14:paraId="08FAC00B">
      <w:pPr>
        <w:overflowPunct w:val="0"/>
        <w:adjustRightInd w:val="0"/>
        <w:ind w:firstLine="480"/>
        <w:rPr>
          <w:rFonts w:cs="Times New Roman"/>
          <w:color w:val="auto"/>
          <w:kern w:val="21"/>
          <w:szCs w:val="24"/>
          <w:highlight w:val="none"/>
        </w:rPr>
      </w:pPr>
      <w:r>
        <w:rPr>
          <w:rFonts w:cs="Times New Roman"/>
          <w:color w:val="auto"/>
          <w:kern w:val="21"/>
          <w:szCs w:val="24"/>
          <w:highlight w:val="none"/>
        </w:rPr>
        <w:t>F.建立危险废物台账管理，危险废物转移应按照转移联单登记制度进行。</w:t>
      </w:r>
    </w:p>
    <w:p w14:paraId="16A60C36">
      <w:pPr>
        <w:overflowPunct w:val="0"/>
        <w:adjustRightInd w:val="0"/>
        <w:ind w:firstLine="480"/>
        <w:rPr>
          <w:rFonts w:cs="Times New Roman"/>
          <w:bCs/>
          <w:color w:val="auto"/>
          <w:kern w:val="21"/>
          <w:szCs w:val="22"/>
          <w:highlight w:val="none"/>
        </w:rPr>
      </w:pPr>
      <w:r>
        <w:rPr>
          <w:rFonts w:cs="Times New Roman"/>
          <w:color w:val="auto"/>
          <w:kern w:val="21"/>
          <w:szCs w:val="24"/>
          <w:highlight w:val="none"/>
        </w:rPr>
        <w:t>G.根据企业运行情况定期转移危险废物，贮存期限一般不超过1年，超过1年需补办延期转移批复。</w:t>
      </w:r>
    </w:p>
    <w:p w14:paraId="7B2F3F84">
      <w:pPr>
        <w:overflowPunct w:val="0"/>
        <w:adjustRightInd w:val="0"/>
        <w:ind w:firstLine="480"/>
        <w:rPr>
          <w:rFonts w:cs="Times New Roman"/>
          <w:color w:val="auto"/>
          <w:kern w:val="21"/>
          <w:szCs w:val="22"/>
          <w:highlight w:val="none"/>
        </w:rPr>
      </w:pPr>
      <w:r>
        <w:rPr>
          <w:rFonts w:cs="Times New Roman"/>
          <w:bCs/>
          <w:color w:val="auto"/>
          <w:kern w:val="21"/>
          <w:szCs w:val="22"/>
          <w:highlight w:val="none"/>
        </w:rPr>
        <w:t>本项目固体废物均根据不同的性质、种类采取了不同的处置方式，处置去向明确，可有效防止固体废物的逸散和对环境的二次污染，不会对周围环境造成影响。因此，项目固废处置措施技术、经济合理可行</w:t>
      </w:r>
      <w:r>
        <w:rPr>
          <w:rFonts w:cs="Times New Roman"/>
          <w:color w:val="auto"/>
          <w:kern w:val="21"/>
          <w:szCs w:val="22"/>
          <w:highlight w:val="none"/>
        </w:rPr>
        <w:t>。</w:t>
      </w:r>
    </w:p>
    <w:p w14:paraId="5EA4AB3B">
      <w:pPr>
        <w:pStyle w:val="4"/>
        <w:rPr>
          <w:color w:val="auto"/>
          <w:highlight w:val="none"/>
        </w:rPr>
      </w:pPr>
      <w:bookmarkStart w:id="282" w:name="_Toc25128"/>
      <w:bookmarkStart w:id="283" w:name="_Toc260"/>
      <w:bookmarkStart w:id="284" w:name="_Toc27676"/>
      <w:bookmarkStart w:id="285" w:name="_Toc20642"/>
      <w:r>
        <w:rPr>
          <w:color w:val="auto"/>
          <w:highlight w:val="none"/>
        </w:rPr>
        <w:t>土壤环境保护措施及其可行性论证</w:t>
      </w:r>
      <w:bookmarkEnd w:id="282"/>
    </w:p>
    <w:p w14:paraId="6E49CF12">
      <w:pPr>
        <w:adjustRightInd w:val="0"/>
        <w:ind w:firstLine="480"/>
        <w:rPr>
          <w:rFonts w:cs="Times New Roman"/>
          <w:color w:val="auto"/>
          <w:highlight w:val="none"/>
        </w:rPr>
      </w:pPr>
      <w:r>
        <w:rPr>
          <w:rFonts w:cs="Times New Roman"/>
          <w:color w:val="auto"/>
          <w:highlight w:val="none"/>
        </w:rPr>
        <w:t>一、源头控制措施</w:t>
      </w:r>
    </w:p>
    <w:p w14:paraId="2099E12C">
      <w:pPr>
        <w:adjustRightInd w:val="0"/>
        <w:ind w:firstLine="480"/>
        <w:rPr>
          <w:rFonts w:cs="Times New Roman"/>
          <w:color w:val="auto"/>
          <w:highlight w:val="none"/>
        </w:rPr>
      </w:pPr>
      <w:r>
        <w:rPr>
          <w:rFonts w:cs="Times New Roman"/>
          <w:color w:val="auto"/>
          <w:highlight w:val="none"/>
        </w:rPr>
        <w:t>本项目运行过</w:t>
      </w:r>
      <w:r>
        <w:rPr>
          <w:rFonts w:hint="eastAsia" w:cs="Times New Roman"/>
          <w:color w:val="auto"/>
          <w:highlight w:val="none"/>
        </w:rPr>
        <w:t>程中</w:t>
      </w:r>
      <w:r>
        <w:rPr>
          <w:rFonts w:cs="Times New Roman"/>
          <w:color w:val="auto"/>
          <w:highlight w:val="none"/>
        </w:rPr>
        <w:t>加强日常监督管理，对可能泄漏到地面的区域采取防渗措施，阻止其进入土壤中，即从源头到末端全方位采取控制措施，防止项目的建设对土壤造成污染。</w:t>
      </w:r>
    </w:p>
    <w:p w14:paraId="4A6023BC">
      <w:pPr>
        <w:adjustRightInd w:val="0"/>
        <w:ind w:firstLine="480"/>
        <w:rPr>
          <w:rFonts w:cs="Times New Roman"/>
          <w:color w:val="auto"/>
          <w:highlight w:val="none"/>
        </w:rPr>
      </w:pPr>
      <w:r>
        <w:rPr>
          <w:rFonts w:cs="Times New Roman"/>
          <w:color w:val="auto"/>
          <w:highlight w:val="none"/>
        </w:rPr>
        <w:t>从生产过程入手，在工艺、管道、设备、给排水等方面尽可能地采取泄漏控制措施，从源头最大限度降低污染</w:t>
      </w:r>
      <w:r>
        <w:rPr>
          <w:rFonts w:hint="eastAsia" w:cs="Times New Roman"/>
          <w:color w:val="auto"/>
          <w:highlight w:val="none"/>
        </w:rPr>
        <w:t>物</w:t>
      </w:r>
      <w:r>
        <w:rPr>
          <w:rFonts w:cs="Times New Roman"/>
          <w:color w:val="auto"/>
          <w:highlight w:val="none"/>
        </w:rPr>
        <w:t>泄漏的可能性和泄漏量，使项目区污染物对土壤的影响降至最低，一旦出现泄漏等即可由区域内的各种配套措施进行收集、处置，同时经过硬化处理的地面有效阻止污染物的下渗。</w:t>
      </w:r>
    </w:p>
    <w:p w14:paraId="6547B976">
      <w:pPr>
        <w:adjustRightInd w:val="0"/>
        <w:ind w:firstLine="480"/>
        <w:rPr>
          <w:rFonts w:cs="Times New Roman"/>
          <w:color w:val="auto"/>
          <w:highlight w:val="none"/>
        </w:rPr>
      </w:pPr>
      <w:r>
        <w:rPr>
          <w:rFonts w:cs="Times New Roman"/>
          <w:color w:val="auto"/>
          <w:highlight w:val="none"/>
        </w:rPr>
        <w:t>二、过程控制措施</w:t>
      </w:r>
    </w:p>
    <w:p w14:paraId="0BA2DFBA">
      <w:pPr>
        <w:adjustRightInd w:val="0"/>
        <w:ind w:firstLine="480"/>
        <w:rPr>
          <w:rFonts w:cs="Times New Roman"/>
          <w:color w:val="auto"/>
          <w:highlight w:val="none"/>
        </w:rPr>
      </w:pPr>
      <w:r>
        <w:rPr>
          <w:rFonts w:cs="Times New Roman"/>
          <w:color w:val="auto"/>
          <w:highlight w:val="none"/>
        </w:rPr>
        <w:t>从地面漫流、垂直入渗两个途径分别进行控制。</w:t>
      </w:r>
    </w:p>
    <w:p w14:paraId="026D9FB7">
      <w:pPr>
        <w:adjustRightInd w:val="0"/>
        <w:ind w:firstLine="480"/>
        <w:rPr>
          <w:rFonts w:cs="Times New Roman"/>
          <w:color w:val="auto"/>
          <w:highlight w:val="none"/>
        </w:rPr>
      </w:pPr>
      <w:r>
        <w:rPr>
          <w:rFonts w:cs="Times New Roman"/>
          <w:color w:val="auto"/>
          <w:highlight w:val="none"/>
        </w:rPr>
        <w:t>（1）地面漫流</w:t>
      </w:r>
    </w:p>
    <w:p w14:paraId="4294EB59">
      <w:pPr>
        <w:adjustRightInd w:val="0"/>
        <w:ind w:firstLine="480"/>
        <w:rPr>
          <w:rFonts w:cs="Times New Roman"/>
          <w:color w:val="auto"/>
          <w:highlight w:val="none"/>
        </w:rPr>
      </w:pPr>
      <w:r>
        <w:rPr>
          <w:rFonts w:cs="Times New Roman"/>
          <w:color w:val="auto"/>
          <w:highlight w:val="none"/>
        </w:rPr>
        <w:t>对于项目事故状态（物料泄漏和降雨）的废水，必须保证在未经处理满足要求的前提下不得流出厂界。项目必须贯彻</w:t>
      </w:r>
      <w:r>
        <w:rPr>
          <w:rFonts w:hint="eastAsia" w:cs="Times New Roman"/>
          <w:color w:val="auto"/>
          <w:highlight w:val="none"/>
        </w:rPr>
        <w:t>“</w:t>
      </w:r>
      <w:r>
        <w:rPr>
          <w:rFonts w:cs="Times New Roman"/>
          <w:color w:val="auto"/>
          <w:highlight w:val="none"/>
        </w:rPr>
        <w:t>围、追、堵、截</w:t>
      </w:r>
      <w:r>
        <w:rPr>
          <w:rFonts w:hint="eastAsia" w:cs="Times New Roman"/>
          <w:color w:val="auto"/>
          <w:highlight w:val="none"/>
        </w:rPr>
        <w:t>”</w:t>
      </w:r>
      <w:r>
        <w:rPr>
          <w:rFonts w:cs="Times New Roman"/>
          <w:color w:val="auto"/>
          <w:highlight w:val="none"/>
        </w:rPr>
        <w:t>的原则，采取多级防护措施，确保事故废水未经处理不得出厂界。</w:t>
      </w:r>
    </w:p>
    <w:p w14:paraId="66159431">
      <w:pPr>
        <w:adjustRightInd w:val="0"/>
        <w:ind w:firstLine="480"/>
        <w:rPr>
          <w:rFonts w:hint="default" w:eastAsia="宋体" w:cs="Times New Roman"/>
          <w:color w:val="auto"/>
          <w:highlight w:val="none"/>
          <w:lang w:val="en-US" w:eastAsia="zh-CN"/>
        </w:rPr>
      </w:pPr>
      <w:r>
        <w:rPr>
          <w:rFonts w:cs="Times New Roman"/>
          <w:color w:val="auto"/>
          <w:highlight w:val="none"/>
        </w:rPr>
        <w:t>厂区外围应设置截洪沟，减少受污染的雨水量，同时防止厂区污水漫流进入外环境。厂区设置初期雨水收集及导流切换系统，与初期雨水收集池、事故应急池</w:t>
      </w:r>
      <w:r>
        <w:rPr>
          <w:rFonts w:hint="eastAsia" w:cs="Times New Roman"/>
          <w:color w:val="auto"/>
          <w:highlight w:val="none"/>
        </w:rPr>
        <w:t>连通</w:t>
      </w:r>
      <w:r>
        <w:rPr>
          <w:rFonts w:cs="Times New Roman"/>
          <w:color w:val="auto"/>
          <w:highlight w:val="none"/>
        </w:rPr>
        <w:t>；事故池仅是为了应对处置厂区事故废水而设置，</w:t>
      </w:r>
      <w:r>
        <w:rPr>
          <w:color w:val="auto"/>
          <w:highlight w:val="none"/>
        </w:rPr>
        <w:t>故本项目设置事故池，用于收集事故状态下的事故废水、消防废水。</w:t>
      </w:r>
      <w:r>
        <w:rPr>
          <w:rFonts w:hint="eastAsia"/>
          <w:color w:val="auto"/>
          <w:highlight w:val="none"/>
          <w:lang w:val="en-US" w:eastAsia="zh-CN"/>
        </w:rPr>
        <w:t>依托乐山市沙湾区豪沐科技有限公司的初期雨水池收集初期雨水。</w:t>
      </w:r>
    </w:p>
    <w:p w14:paraId="64E30AFE">
      <w:pPr>
        <w:adjustRightInd w:val="0"/>
        <w:ind w:firstLine="480"/>
        <w:rPr>
          <w:rFonts w:cs="Times New Roman"/>
          <w:color w:val="auto"/>
          <w:highlight w:val="none"/>
        </w:rPr>
      </w:pPr>
      <w:r>
        <w:rPr>
          <w:rFonts w:cs="Times New Roman"/>
          <w:color w:val="auto"/>
          <w:highlight w:val="none"/>
        </w:rPr>
        <w:t>此外，一旦发现土壤污染事故，立即启动应急预案、采取应急措施控制土壤污染，并使污染得到治理。</w:t>
      </w:r>
    </w:p>
    <w:p w14:paraId="7529A164">
      <w:pPr>
        <w:adjustRightInd w:val="0"/>
        <w:ind w:firstLine="480"/>
        <w:rPr>
          <w:rFonts w:cs="Times New Roman"/>
          <w:color w:val="auto"/>
          <w:highlight w:val="none"/>
        </w:rPr>
      </w:pPr>
      <w:r>
        <w:rPr>
          <w:rFonts w:cs="Times New Roman"/>
          <w:color w:val="auto"/>
          <w:highlight w:val="none"/>
        </w:rPr>
        <w:t>（2）垂直入渗</w:t>
      </w:r>
    </w:p>
    <w:p w14:paraId="5921617A">
      <w:pPr>
        <w:adjustRightInd w:val="0"/>
        <w:ind w:firstLine="480"/>
        <w:rPr>
          <w:rFonts w:cs="Times New Roman"/>
          <w:color w:val="auto"/>
          <w:highlight w:val="none"/>
        </w:rPr>
      </w:pPr>
      <w:r>
        <w:rPr>
          <w:rFonts w:cs="Times New Roman"/>
          <w:color w:val="auto"/>
          <w:highlight w:val="none"/>
        </w:rPr>
        <w:t>本项目主要土壤环境影响表现在化学品泄漏造成存储区地面漫流影响，以及存储过程入渗途径影响，针对以上可能影响过程，采取裙角围挡，收集边沟等措施避免地面漫流影响。同时，针对入渗途径影响采取相应防渗措施，具体为按照相关要求采取重点防渗处理。</w:t>
      </w:r>
    </w:p>
    <w:p w14:paraId="70A571BD">
      <w:pPr>
        <w:adjustRightInd w:val="0"/>
        <w:ind w:firstLine="480"/>
        <w:rPr>
          <w:rFonts w:cs="Times New Roman"/>
          <w:color w:val="auto"/>
          <w:highlight w:val="none"/>
        </w:rPr>
      </w:pPr>
      <w:r>
        <w:rPr>
          <w:rFonts w:cs="Times New Roman"/>
          <w:color w:val="auto"/>
          <w:highlight w:val="none"/>
        </w:rPr>
        <w:t>本项目根据场地特性和项目特征，制定分区防渗，包括简单防渗区、一般防渗区和重点防渗区。</w:t>
      </w:r>
    </w:p>
    <w:p w14:paraId="1609597F">
      <w:pPr>
        <w:adjustRightInd w:val="0"/>
        <w:ind w:firstLine="480"/>
        <w:rPr>
          <w:rFonts w:cs="Times New Roman"/>
          <w:color w:val="auto"/>
          <w:highlight w:val="none"/>
        </w:rPr>
      </w:pPr>
      <w:r>
        <w:rPr>
          <w:rFonts w:cs="Times New Roman"/>
          <w:color w:val="auto"/>
          <w:highlight w:val="none"/>
        </w:rPr>
        <w:t>重点防渗区：是指位于地下或半地下的生产功能单元，污染地下水环境的物料或污染物泄漏后，不易及时发现和处理的区域。生产废水处理区、</w:t>
      </w:r>
      <w:r>
        <w:rPr>
          <w:rFonts w:hint="eastAsia" w:cs="Times New Roman"/>
          <w:color w:val="auto"/>
          <w:highlight w:val="none"/>
        </w:rPr>
        <w:t>危废暂存间</w:t>
      </w:r>
      <w:r>
        <w:rPr>
          <w:rFonts w:cs="Times New Roman"/>
          <w:color w:val="auto"/>
          <w:highlight w:val="none"/>
        </w:rPr>
        <w:t>、事故应急池、药剂库、初期雨水池</w:t>
      </w:r>
      <w:r>
        <w:rPr>
          <w:rFonts w:hint="eastAsia" w:cs="Times New Roman"/>
          <w:color w:val="auto"/>
          <w:highlight w:val="none"/>
        </w:rPr>
        <w:t>、压滤车间</w:t>
      </w:r>
      <w:r>
        <w:rPr>
          <w:rFonts w:cs="Times New Roman"/>
          <w:color w:val="auto"/>
          <w:highlight w:val="none"/>
        </w:rPr>
        <w:t>进行重点防渗，采用20cm厚的P8抗渗混凝土，</w:t>
      </w:r>
      <w:r>
        <w:rPr>
          <w:rFonts w:hint="eastAsia" w:cs="Times New Roman"/>
          <w:color w:val="auto"/>
          <w:highlight w:val="none"/>
        </w:rPr>
        <w:t>危废暂存间</w:t>
      </w:r>
      <w:r>
        <w:rPr>
          <w:rFonts w:cs="Times New Roman"/>
          <w:color w:val="auto"/>
          <w:highlight w:val="none"/>
        </w:rPr>
        <w:t>和药剂库增设不锈钢金属托盘，Mb≥6.0m、K≤1×10</w:t>
      </w:r>
      <w:r>
        <w:rPr>
          <w:rFonts w:cs="Times New Roman"/>
          <w:color w:val="auto"/>
          <w:highlight w:val="none"/>
          <w:vertAlign w:val="superscript"/>
        </w:rPr>
        <w:t>-7</w:t>
      </w:r>
      <w:r>
        <w:rPr>
          <w:rFonts w:cs="Times New Roman"/>
          <w:color w:val="auto"/>
          <w:highlight w:val="none"/>
        </w:rPr>
        <w:t>cm/s（其中危险废物暂存间渗透系数K≤1×10</w:t>
      </w:r>
      <w:r>
        <w:rPr>
          <w:rFonts w:cs="Times New Roman"/>
          <w:color w:val="auto"/>
          <w:highlight w:val="none"/>
          <w:vertAlign w:val="superscript"/>
        </w:rPr>
        <w:t>-10</w:t>
      </w:r>
      <w:r>
        <w:rPr>
          <w:rFonts w:cs="Times New Roman"/>
          <w:color w:val="auto"/>
          <w:highlight w:val="none"/>
        </w:rPr>
        <w:t>cm/s）的要求；</w:t>
      </w:r>
      <w:r>
        <w:rPr>
          <w:rFonts w:hint="eastAsia" w:cs="Times New Roman"/>
          <w:color w:val="auto"/>
          <w:highlight w:val="none"/>
        </w:rPr>
        <w:t>废</w:t>
      </w:r>
      <w:r>
        <w:rPr>
          <w:rFonts w:cs="Times New Roman"/>
          <w:color w:val="auto"/>
          <w:highlight w:val="none"/>
        </w:rPr>
        <w:t>水输送管道采用高强度防腐材质。</w:t>
      </w:r>
    </w:p>
    <w:p w14:paraId="7FBB1E19">
      <w:pPr>
        <w:adjustRightInd w:val="0"/>
        <w:ind w:firstLine="480"/>
        <w:rPr>
          <w:rFonts w:cs="Times New Roman"/>
          <w:color w:val="auto"/>
          <w:highlight w:val="none"/>
        </w:rPr>
      </w:pPr>
      <w:r>
        <w:rPr>
          <w:rFonts w:cs="Times New Roman"/>
          <w:color w:val="auto"/>
          <w:highlight w:val="none"/>
        </w:rPr>
        <w:t>一般防渗区：是指裸露于地面的生产功能单元，污染地下水环境的物料或污染物泄漏后，可及时发现和处理的区域。碎矿车间、磨矿车间、加工车间、精矿仓库、尾矿仓库、一般固废间、预处理池、洗车区、洗车废水沉淀池、工具间采用20cm厚的P</w:t>
      </w:r>
      <w:r>
        <w:rPr>
          <w:rFonts w:hint="eastAsia" w:cs="Times New Roman"/>
          <w:color w:val="auto"/>
          <w:highlight w:val="none"/>
        </w:rPr>
        <w:t>6</w:t>
      </w:r>
      <w:r>
        <w:rPr>
          <w:rFonts w:cs="Times New Roman"/>
          <w:color w:val="auto"/>
          <w:highlight w:val="none"/>
        </w:rPr>
        <w:t>抗渗混凝土进行防渗，要求等效黏土防渗层Mb≥1.5m，保证渗透系数K≤1×10</w:t>
      </w:r>
      <w:r>
        <w:rPr>
          <w:rFonts w:cs="Times New Roman"/>
          <w:color w:val="auto"/>
          <w:highlight w:val="none"/>
          <w:vertAlign w:val="superscript"/>
        </w:rPr>
        <w:t>-7</w:t>
      </w:r>
      <w:r>
        <w:rPr>
          <w:rFonts w:cs="Times New Roman"/>
          <w:color w:val="auto"/>
          <w:highlight w:val="none"/>
        </w:rPr>
        <w:t>cm/s。</w:t>
      </w:r>
    </w:p>
    <w:p w14:paraId="487E916E">
      <w:pPr>
        <w:adjustRightInd w:val="0"/>
        <w:ind w:firstLine="480"/>
        <w:rPr>
          <w:rFonts w:cs="Times New Roman"/>
          <w:color w:val="auto"/>
          <w:highlight w:val="none"/>
        </w:rPr>
      </w:pPr>
      <w:r>
        <w:rPr>
          <w:rFonts w:cs="Times New Roman"/>
          <w:color w:val="auto"/>
          <w:highlight w:val="none"/>
        </w:rPr>
        <w:t>简单防渗区：指不会对地下水环境造成污染的区域。厂区道路、办公区等场内其他区域采用一般地面硬化。</w:t>
      </w:r>
    </w:p>
    <w:p w14:paraId="3A9DF59D">
      <w:pPr>
        <w:adjustRightInd w:val="0"/>
        <w:ind w:firstLine="480"/>
        <w:rPr>
          <w:rFonts w:cs="Times New Roman"/>
          <w:color w:val="auto"/>
          <w:highlight w:val="none"/>
        </w:rPr>
      </w:pPr>
      <w:r>
        <w:rPr>
          <w:rFonts w:cs="Times New Roman"/>
          <w:color w:val="auto"/>
          <w:highlight w:val="none"/>
        </w:rPr>
        <w:t>因此，在落实本次环评提出的各项废气治理措施、地下水污染防治措施的情况下，本项目的建设运行不会对区域土壤环境质量产生不良影响，项目的建设运行不会改变区域土壤环境质量功能。</w:t>
      </w:r>
    </w:p>
    <w:p w14:paraId="58E45AE8">
      <w:pPr>
        <w:pStyle w:val="4"/>
        <w:adjustRightInd w:val="0"/>
        <w:rPr>
          <w:rFonts w:cs="Times New Roman"/>
          <w:color w:val="auto"/>
          <w:highlight w:val="none"/>
        </w:rPr>
      </w:pPr>
      <w:bookmarkStart w:id="286" w:name="_Toc15035"/>
      <w:r>
        <w:rPr>
          <w:rFonts w:cs="Times New Roman"/>
          <w:color w:val="auto"/>
          <w:highlight w:val="none"/>
        </w:rPr>
        <w:t>地下水</w:t>
      </w:r>
      <w:bookmarkEnd w:id="283"/>
      <w:bookmarkEnd w:id="284"/>
      <w:bookmarkEnd w:id="285"/>
      <w:r>
        <w:rPr>
          <w:color w:val="auto"/>
          <w:highlight w:val="none"/>
        </w:rPr>
        <w:t>环境保护措施及其可行性论证</w:t>
      </w:r>
      <w:bookmarkEnd w:id="286"/>
    </w:p>
    <w:p w14:paraId="4B804C13">
      <w:pPr>
        <w:adjustRightInd w:val="0"/>
        <w:ind w:firstLine="480" w:firstLineChars="0"/>
        <w:rPr>
          <w:rFonts w:cs="Times New Roman"/>
          <w:color w:val="auto"/>
          <w:szCs w:val="24"/>
          <w:highlight w:val="none"/>
        </w:rPr>
      </w:pPr>
      <w:r>
        <w:rPr>
          <w:rFonts w:hint="eastAsia" w:cs="Times New Roman"/>
          <w:color w:val="auto"/>
          <w:szCs w:val="24"/>
          <w:highlight w:val="none"/>
        </w:rPr>
        <w:t>项目所在区域主要地下水类型为</w:t>
      </w:r>
      <w:r>
        <w:rPr>
          <w:rFonts w:cs="Times New Roman"/>
          <w:color w:val="auto"/>
          <w:szCs w:val="24"/>
          <w:highlight w:val="none"/>
        </w:rPr>
        <w:t>第四系松散堆积体孔隙水含水层。</w:t>
      </w:r>
      <w:r>
        <w:rPr>
          <w:rFonts w:hint="eastAsia" w:cs="Times New Roman"/>
          <w:color w:val="auto"/>
          <w:szCs w:val="24"/>
          <w:highlight w:val="none"/>
        </w:rPr>
        <w:t>项目可能涉及的地下水主要特征污染物为锂、耗氧量等，各池体事故状态下发生泄漏，未能及时发现，废水通过包气带进入地下水，进而对地下水水质造成不良影响。本项目实施“源头控制，分区防治，污染监控，应急响应”的防治对策。</w:t>
      </w:r>
    </w:p>
    <w:p w14:paraId="13F34DEC">
      <w:pPr>
        <w:pStyle w:val="5"/>
        <w:adjustRightInd w:val="0"/>
        <w:rPr>
          <w:color w:val="auto"/>
          <w:highlight w:val="none"/>
          <w:lang w:val="zh-CN"/>
        </w:rPr>
      </w:pPr>
      <w:r>
        <w:rPr>
          <w:rFonts w:hint="eastAsia"/>
          <w:color w:val="auto"/>
          <w:highlight w:val="none"/>
          <w:lang w:val="zh-CN"/>
        </w:rPr>
        <w:t>建设项目污染防控对策</w:t>
      </w:r>
    </w:p>
    <w:p w14:paraId="7801021D">
      <w:pPr>
        <w:adjustRightInd w:val="0"/>
        <w:ind w:firstLine="482"/>
        <w:rPr>
          <w:b/>
          <w:bCs/>
          <w:color w:val="auto"/>
          <w:highlight w:val="none"/>
        </w:rPr>
      </w:pPr>
      <w:r>
        <w:rPr>
          <w:rFonts w:hint="eastAsia"/>
          <w:b/>
          <w:bCs/>
          <w:color w:val="auto"/>
          <w:highlight w:val="none"/>
        </w:rPr>
        <w:t>（一）源头控制</w:t>
      </w:r>
    </w:p>
    <w:p w14:paraId="59BB1941">
      <w:pPr>
        <w:adjustRightInd w:val="0"/>
        <w:ind w:firstLine="480" w:firstLineChars="0"/>
        <w:rPr>
          <w:rFonts w:cs="Times New Roman"/>
          <w:color w:val="auto"/>
          <w:kern w:val="0"/>
          <w:szCs w:val="24"/>
          <w:highlight w:val="none"/>
        </w:rPr>
      </w:pPr>
      <w:r>
        <w:rPr>
          <w:rFonts w:cs="Times New Roman"/>
          <w:color w:val="auto"/>
          <w:szCs w:val="24"/>
          <w:highlight w:val="none"/>
        </w:rPr>
        <w:t>①</w:t>
      </w:r>
      <w:r>
        <w:rPr>
          <w:rFonts w:cs="Times New Roman"/>
          <w:color w:val="auto"/>
          <w:kern w:val="0"/>
          <w:szCs w:val="24"/>
          <w:highlight w:val="none"/>
        </w:rPr>
        <w:t>项目须严格按照相关规范要求，对工艺、管道、设备、污水储存及处理构筑物采取措施，防止和降低污染物的跑、冒、滴、漏，将污染物泄漏的环境风险事故降低到最低程度；</w:t>
      </w:r>
    </w:p>
    <w:p w14:paraId="79C4C33A">
      <w:pPr>
        <w:adjustRightInd w:val="0"/>
        <w:ind w:firstLine="480" w:firstLineChars="0"/>
        <w:rPr>
          <w:rFonts w:cs="Times New Roman"/>
          <w:color w:val="auto"/>
          <w:kern w:val="0"/>
          <w:szCs w:val="24"/>
          <w:highlight w:val="none"/>
        </w:rPr>
      </w:pPr>
      <w:r>
        <w:rPr>
          <w:rFonts w:cs="Times New Roman"/>
          <w:color w:val="auto"/>
          <w:kern w:val="0"/>
          <w:szCs w:val="24"/>
          <w:highlight w:val="none"/>
        </w:rPr>
        <w:t>②优化排水系统设计</w:t>
      </w:r>
      <w:r>
        <w:rPr>
          <w:rFonts w:hint="eastAsia" w:cs="Times New Roman"/>
          <w:color w:val="auto"/>
          <w:kern w:val="0"/>
          <w:szCs w:val="24"/>
          <w:highlight w:val="none"/>
        </w:rPr>
        <w:t>，</w:t>
      </w:r>
      <w:r>
        <w:rPr>
          <w:rFonts w:cs="Times New Roman"/>
          <w:color w:val="auto"/>
          <w:kern w:val="0"/>
          <w:szCs w:val="24"/>
          <w:highlight w:val="none"/>
        </w:rPr>
        <w:t>管线敷设尽量采用</w:t>
      </w:r>
      <w:r>
        <w:rPr>
          <w:rFonts w:hint="eastAsia" w:ascii="宋体" w:hAnsi="宋体" w:cs="宋体"/>
          <w:color w:val="auto"/>
          <w:kern w:val="0"/>
          <w:szCs w:val="24"/>
          <w:highlight w:val="none"/>
        </w:rPr>
        <w:t>“可视化”</w:t>
      </w:r>
      <w:r>
        <w:rPr>
          <w:rFonts w:cs="Times New Roman"/>
          <w:color w:val="auto"/>
          <w:kern w:val="0"/>
          <w:szCs w:val="24"/>
          <w:highlight w:val="none"/>
        </w:rPr>
        <w:t>原则，即管道尽可能地上敷设，做到污染物</w:t>
      </w:r>
      <w:r>
        <w:rPr>
          <w:rFonts w:hint="eastAsia" w:cs="Times New Roman"/>
          <w:color w:val="auto"/>
          <w:kern w:val="0"/>
          <w:szCs w:val="24"/>
          <w:highlight w:val="none"/>
        </w:rPr>
        <w:t>“</w:t>
      </w:r>
      <w:r>
        <w:rPr>
          <w:rFonts w:cs="Times New Roman"/>
          <w:color w:val="auto"/>
          <w:kern w:val="0"/>
          <w:szCs w:val="24"/>
          <w:highlight w:val="none"/>
        </w:rPr>
        <w:t>早发现、早处理</w:t>
      </w:r>
      <w:r>
        <w:rPr>
          <w:rFonts w:hint="eastAsia" w:cs="Times New Roman"/>
          <w:color w:val="auto"/>
          <w:kern w:val="0"/>
          <w:szCs w:val="24"/>
          <w:highlight w:val="none"/>
        </w:rPr>
        <w:t>”</w:t>
      </w:r>
      <w:r>
        <w:rPr>
          <w:rFonts w:cs="Times New Roman"/>
          <w:color w:val="auto"/>
          <w:kern w:val="0"/>
          <w:szCs w:val="24"/>
          <w:highlight w:val="none"/>
        </w:rPr>
        <w:t>，以减少由于埋地管道泄漏而可能造成的地下水污染。</w:t>
      </w:r>
    </w:p>
    <w:p w14:paraId="0C828880">
      <w:pPr>
        <w:adjustRightInd w:val="0"/>
        <w:ind w:firstLine="480" w:firstLineChars="0"/>
        <w:rPr>
          <w:rFonts w:cs="Times New Roman"/>
          <w:color w:val="auto"/>
          <w:szCs w:val="24"/>
          <w:highlight w:val="none"/>
        </w:rPr>
      </w:pPr>
      <w:r>
        <w:rPr>
          <w:rFonts w:cs="Times New Roman"/>
          <w:color w:val="auto"/>
          <w:szCs w:val="24"/>
          <w:highlight w:val="none"/>
        </w:rPr>
        <w:t>③实施清洁生产及各类废物循环利用的具体方案，确保废水</w:t>
      </w:r>
      <w:r>
        <w:rPr>
          <w:rFonts w:hint="eastAsia" w:cs="Times New Roman"/>
          <w:color w:val="auto"/>
          <w:szCs w:val="24"/>
          <w:highlight w:val="none"/>
        </w:rPr>
        <w:t>不外排</w:t>
      </w:r>
      <w:r>
        <w:rPr>
          <w:rFonts w:cs="Times New Roman"/>
          <w:color w:val="auto"/>
          <w:szCs w:val="24"/>
          <w:highlight w:val="none"/>
        </w:rPr>
        <w:t>；</w:t>
      </w:r>
    </w:p>
    <w:p w14:paraId="06BB56DE">
      <w:pPr>
        <w:adjustRightInd w:val="0"/>
        <w:ind w:firstLine="480" w:firstLineChars="0"/>
        <w:rPr>
          <w:rFonts w:cs="Times New Roman"/>
          <w:color w:val="auto"/>
          <w:szCs w:val="24"/>
          <w:highlight w:val="none"/>
        </w:rPr>
      </w:pPr>
      <w:r>
        <w:rPr>
          <w:rFonts w:cs="Times New Roman"/>
          <w:color w:val="auto"/>
          <w:szCs w:val="24"/>
          <w:highlight w:val="none"/>
        </w:rPr>
        <w:t>④对厂内</w:t>
      </w:r>
      <w:r>
        <w:rPr>
          <w:rFonts w:hint="eastAsia" w:cs="Times New Roman"/>
          <w:color w:val="auto"/>
          <w:szCs w:val="24"/>
          <w:highlight w:val="none"/>
        </w:rPr>
        <w:t>生产车间、</w:t>
      </w:r>
      <w:r>
        <w:rPr>
          <w:rFonts w:cs="Times New Roman"/>
          <w:color w:val="auto"/>
          <w:szCs w:val="24"/>
          <w:highlight w:val="none"/>
        </w:rPr>
        <w:t>各池体及管道（包括厂外管道）进行</w:t>
      </w:r>
      <w:r>
        <w:rPr>
          <w:rFonts w:hint="eastAsia" w:cs="Times New Roman"/>
          <w:color w:val="auto"/>
          <w:szCs w:val="24"/>
          <w:highlight w:val="none"/>
        </w:rPr>
        <w:t>分区</w:t>
      </w:r>
      <w:r>
        <w:rPr>
          <w:rFonts w:cs="Times New Roman"/>
          <w:color w:val="auto"/>
          <w:szCs w:val="24"/>
          <w:highlight w:val="none"/>
        </w:rPr>
        <w:t>防渗处理；</w:t>
      </w:r>
    </w:p>
    <w:p w14:paraId="5C00373F">
      <w:pPr>
        <w:adjustRightInd w:val="0"/>
        <w:ind w:firstLine="480" w:firstLineChars="0"/>
        <w:rPr>
          <w:rFonts w:cs="Times New Roman"/>
          <w:color w:val="auto"/>
          <w:szCs w:val="24"/>
          <w:highlight w:val="none"/>
        </w:rPr>
      </w:pPr>
      <w:r>
        <w:rPr>
          <w:rFonts w:cs="Times New Roman"/>
          <w:color w:val="auto"/>
          <w:szCs w:val="24"/>
          <w:highlight w:val="none"/>
        </w:rPr>
        <w:t>⑤项目事故水池、排污管沟均</w:t>
      </w:r>
      <w:r>
        <w:rPr>
          <w:rFonts w:hint="eastAsia" w:cs="Times New Roman"/>
          <w:color w:val="auto"/>
          <w:szCs w:val="24"/>
          <w:highlight w:val="none"/>
        </w:rPr>
        <w:t>进行</w:t>
      </w:r>
      <w:r>
        <w:rPr>
          <w:rFonts w:cs="Times New Roman"/>
          <w:color w:val="auto"/>
          <w:szCs w:val="24"/>
          <w:highlight w:val="none"/>
        </w:rPr>
        <w:t>防渗处理；修建雨水沟，雨污分流；</w:t>
      </w:r>
    </w:p>
    <w:p w14:paraId="0F54595C">
      <w:pPr>
        <w:adjustRightInd w:val="0"/>
        <w:ind w:firstLine="480" w:firstLineChars="0"/>
        <w:rPr>
          <w:rFonts w:cs="Times New Roman"/>
          <w:color w:val="auto"/>
          <w:szCs w:val="24"/>
          <w:highlight w:val="none"/>
        </w:rPr>
      </w:pPr>
      <w:r>
        <w:rPr>
          <w:rFonts w:cs="Times New Roman"/>
          <w:color w:val="auto"/>
          <w:szCs w:val="24"/>
          <w:highlight w:val="none"/>
        </w:rPr>
        <w:t>⑥强化管道、水池的转弯、承抽、对接等处的防渗工程，做好隐蔽工程记录；</w:t>
      </w:r>
    </w:p>
    <w:p w14:paraId="31F4E05C">
      <w:pPr>
        <w:adjustRightInd w:val="0"/>
        <w:ind w:firstLine="480" w:firstLineChars="0"/>
        <w:jc w:val="left"/>
        <w:rPr>
          <w:rFonts w:cs="Times New Roman"/>
          <w:color w:val="auto"/>
          <w:szCs w:val="24"/>
          <w:highlight w:val="none"/>
        </w:rPr>
      </w:pPr>
      <w:r>
        <w:rPr>
          <w:rFonts w:cs="Times New Roman"/>
          <w:color w:val="auto"/>
          <w:szCs w:val="24"/>
          <w:highlight w:val="none"/>
        </w:rPr>
        <w:t>⑦专人负责，定期进行管道</w:t>
      </w:r>
      <w:r>
        <w:rPr>
          <w:rFonts w:hint="eastAsia" w:cs="Times New Roman"/>
          <w:color w:val="auto"/>
          <w:szCs w:val="24"/>
          <w:highlight w:val="none"/>
        </w:rPr>
        <w:t>检漏检测</w:t>
      </w:r>
      <w:r>
        <w:rPr>
          <w:rFonts w:cs="Times New Roman"/>
          <w:color w:val="auto"/>
          <w:szCs w:val="24"/>
          <w:highlight w:val="none"/>
        </w:rPr>
        <w:t>。</w:t>
      </w:r>
    </w:p>
    <w:p w14:paraId="1A4FFD45">
      <w:pPr>
        <w:ind w:firstLine="482"/>
        <w:rPr>
          <w:b/>
          <w:bCs/>
          <w:color w:val="auto"/>
          <w:highlight w:val="none"/>
        </w:rPr>
      </w:pPr>
      <w:r>
        <w:rPr>
          <w:rFonts w:hint="eastAsia"/>
          <w:b/>
          <w:bCs/>
          <w:color w:val="auto"/>
          <w:highlight w:val="none"/>
        </w:rPr>
        <w:t>（二）分区防渗</w:t>
      </w:r>
    </w:p>
    <w:p w14:paraId="09B3FD5D">
      <w:pPr>
        <w:adjustRightInd w:val="0"/>
        <w:ind w:firstLine="480" w:firstLineChars="0"/>
        <w:rPr>
          <w:rFonts w:cs="Times New Roman"/>
          <w:color w:val="auto"/>
          <w:szCs w:val="24"/>
          <w:highlight w:val="none"/>
        </w:rPr>
      </w:pPr>
      <w:r>
        <w:rPr>
          <w:rFonts w:hint="eastAsia" w:cs="Times New Roman"/>
          <w:color w:val="auto"/>
          <w:szCs w:val="24"/>
          <w:highlight w:val="none"/>
        </w:rPr>
        <w:t>根据项目各功能单元、各构筑物作用划分污染防治区，提出不同区域的地面防渗方案，防渗材料必须符合防渗标准要求，建立防渗设施的检漏系统。</w:t>
      </w:r>
    </w:p>
    <w:p w14:paraId="590B7C3A">
      <w:pPr>
        <w:adjustRightInd w:val="0"/>
        <w:ind w:firstLine="480" w:firstLineChars="0"/>
        <w:rPr>
          <w:rFonts w:cs="Times New Roman"/>
          <w:color w:val="auto"/>
          <w:szCs w:val="24"/>
          <w:highlight w:val="none"/>
        </w:rPr>
      </w:pPr>
      <w:r>
        <w:rPr>
          <w:rFonts w:hint="eastAsia" w:cs="Times New Roman"/>
          <w:color w:val="auto"/>
          <w:szCs w:val="24"/>
          <w:highlight w:val="none"/>
        </w:rPr>
        <w:t>本项目所在地天然包气带主要为</w:t>
      </w:r>
      <w:r>
        <w:rPr>
          <w:rFonts w:cs="Times New Roman"/>
          <w:snapToGrid w:val="0"/>
          <w:color w:val="auto"/>
          <w:spacing w:val="-2"/>
          <w:szCs w:val="24"/>
          <w:highlight w:val="none"/>
        </w:rPr>
        <w:t>第四系全新统人工填土层</w:t>
      </w:r>
      <w:r>
        <w:rPr>
          <w:rFonts w:cs="Times New Roman"/>
          <w:snapToGrid w:val="0"/>
          <w:color w:val="auto"/>
          <w:spacing w:val="-2"/>
          <w:szCs w:val="22"/>
          <w:highlight w:val="none"/>
        </w:rPr>
        <w:t>素填土</w:t>
      </w:r>
      <w:r>
        <w:rPr>
          <w:rFonts w:cs="Times New Roman"/>
          <w:snapToGrid w:val="0"/>
          <w:color w:val="auto"/>
          <w:spacing w:val="-2"/>
          <w:szCs w:val="24"/>
          <w:highlight w:val="none"/>
        </w:rPr>
        <w:t>（Q</w:t>
      </w:r>
      <w:r>
        <w:rPr>
          <w:rFonts w:cs="Times New Roman"/>
          <w:snapToGrid w:val="0"/>
          <w:color w:val="auto"/>
          <w:spacing w:val="-2"/>
          <w:szCs w:val="24"/>
          <w:highlight w:val="none"/>
          <w:vertAlign w:val="subscript"/>
        </w:rPr>
        <w:t>4</w:t>
      </w:r>
      <w:r>
        <w:rPr>
          <w:rFonts w:cs="Times New Roman"/>
          <w:i/>
          <w:snapToGrid w:val="0"/>
          <w:color w:val="auto"/>
          <w:spacing w:val="-2"/>
          <w:szCs w:val="24"/>
          <w:highlight w:val="none"/>
          <w:vertAlign w:val="superscript"/>
        </w:rPr>
        <w:t>ml</w:t>
      </w:r>
      <w:r>
        <w:rPr>
          <w:rFonts w:cs="Times New Roman"/>
          <w:snapToGrid w:val="0"/>
          <w:color w:val="auto"/>
          <w:spacing w:val="-2"/>
          <w:szCs w:val="24"/>
          <w:highlight w:val="none"/>
        </w:rPr>
        <w:t>），</w:t>
      </w:r>
      <w:r>
        <w:rPr>
          <w:rFonts w:cs="Times New Roman"/>
          <w:color w:val="auto"/>
          <w:szCs w:val="22"/>
          <w:highlight w:val="none"/>
        </w:rPr>
        <w:t>第四系全新统冲洪积堆积层粉质黏土</w:t>
      </w:r>
      <w:r>
        <w:rPr>
          <w:rFonts w:cs="Times New Roman"/>
          <w:color w:val="auto"/>
          <w:szCs w:val="24"/>
          <w:highlight w:val="none"/>
        </w:rPr>
        <w:t>及卵石土（</w:t>
      </w:r>
      <w:r>
        <w:rPr>
          <w:rFonts w:cs="Times New Roman"/>
          <w:color w:val="auto"/>
          <w:kern w:val="10"/>
          <w:szCs w:val="24"/>
          <w:highlight w:val="none"/>
        </w:rPr>
        <w:t>Q</w:t>
      </w:r>
      <w:r>
        <w:rPr>
          <w:rFonts w:cs="Times New Roman"/>
          <w:color w:val="auto"/>
          <w:kern w:val="10"/>
          <w:szCs w:val="24"/>
          <w:highlight w:val="none"/>
          <w:vertAlign w:val="subscript"/>
        </w:rPr>
        <w:t>4</w:t>
      </w:r>
      <w:r>
        <w:rPr>
          <w:rFonts w:cs="Times New Roman"/>
          <w:iCs/>
          <w:color w:val="auto"/>
          <w:kern w:val="10"/>
          <w:szCs w:val="24"/>
          <w:highlight w:val="none"/>
          <w:vertAlign w:val="superscript"/>
        </w:rPr>
        <w:t>al+pl</w:t>
      </w:r>
      <w:r>
        <w:rPr>
          <w:rFonts w:cs="Times New Roman"/>
          <w:color w:val="auto"/>
          <w:szCs w:val="24"/>
          <w:highlight w:val="none"/>
        </w:rPr>
        <w:t>）</w:t>
      </w:r>
      <w:r>
        <w:rPr>
          <w:rFonts w:hint="eastAsia" w:cs="Times New Roman"/>
          <w:color w:val="auto"/>
          <w:szCs w:val="24"/>
          <w:highlight w:val="none"/>
        </w:rPr>
        <w:t>。渗透系数45m/d，防污性能等级为弱。</w:t>
      </w:r>
    </w:p>
    <w:p w14:paraId="28A993B0">
      <w:pPr>
        <w:pStyle w:val="12"/>
        <w:rPr>
          <w:rFonts w:cs="Times New Roman"/>
          <w:color w:val="auto"/>
          <w:kern w:val="0"/>
          <w:sz w:val="20"/>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2</w:t>
      </w:r>
      <w:r>
        <w:rPr>
          <w:color w:val="auto"/>
          <w:highlight w:val="none"/>
        </w:rPr>
        <w:fldChar w:fldCharType="end"/>
      </w:r>
      <w:r>
        <w:rPr>
          <w:rFonts w:cs="Times New Roman"/>
          <w:color w:val="auto"/>
          <w:kern w:val="0"/>
          <w:sz w:val="20"/>
          <w:highlight w:val="none"/>
        </w:rPr>
        <w:t>天然包气带防污性能分级</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5070"/>
        <w:gridCol w:w="3031"/>
      </w:tblGrid>
      <w:tr w14:paraId="1B1C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0C939FE1">
            <w:pPr>
              <w:adjustRightInd w:val="0"/>
              <w:spacing w:before="62" w:beforeLines="20" w:after="62" w:afterLines="20" w:line="240" w:lineRule="auto"/>
              <w:ind w:firstLine="0" w:firstLineChars="0"/>
              <w:jc w:val="center"/>
              <w:rPr>
                <w:rFonts w:cs="Times New Roman"/>
                <w:b/>
                <w:bCs/>
                <w:color w:val="auto"/>
                <w:sz w:val="21"/>
                <w:highlight w:val="none"/>
              </w:rPr>
            </w:pPr>
            <w:r>
              <w:rPr>
                <w:rFonts w:hint="eastAsia" w:cs="Times New Roman"/>
                <w:b/>
                <w:bCs/>
                <w:color w:val="auto"/>
                <w:sz w:val="21"/>
                <w:highlight w:val="none"/>
              </w:rPr>
              <w:t>分级</w:t>
            </w:r>
          </w:p>
        </w:tc>
        <w:tc>
          <w:tcPr>
            <w:tcW w:w="2798" w:type="pct"/>
            <w:vAlign w:val="center"/>
          </w:tcPr>
          <w:p w14:paraId="16694585">
            <w:pPr>
              <w:adjustRightInd w:val="0"/>
              <w:spacing w:before="62" w:beforeLines="20" w:after="62" w:afterLines="20" w:line="240" w:lineRule="auto"/>
              <w:ind w:firstLine="0" w:firstLineChars="0"/>
              <w:jc w:val="center"/>
              <w:rPr>
                <w:rFonts w:cs="Times New Roman"/>
                <w:b/>
                <w:bCs/>
                <w:color w:val="auto"/>
                <w:sz w:val="21"/>
                <w:highlight w:val="none"/>
              </w:rPr>
            </w:pPr>
            <w:r>
              <w:rPr>
                <w:rFonts w:hint="eastAsia" w:cs="Times New Roman"/>
                <w:b/>
                <w:bCs/>
                <w:color w:val="auto"/>
                <w:sz w:val="21"/>
                <w:highlight w:val="none"/>
              </w:rPr>
              <w:t>包气带岩土的渗透性能</w:t>
            </w:r>
          </w:p>
        </w:tc>
        <w:tc>
          <w:tcPr>
            <w:tcW w:w="1673" w:type="pct"/>
            <w:vAlign w:val="center"/>
          </w:tcPr>
          <w:p w14:paraId="5F9CBD6E">
            <w:pPr>
              <w:adjustRightInd w:val="0"/>
              <w:spacing w:before="62" w:beforeLines="20" w:after="62" w:afterLines="20" w:line="240" w:lineRule="auto"/>
              <w:ind w:firstLine="0" w:firstLineChars="0"/>
              <w:jc w:val="center"/>
              <w:rPr>
                <w:rFonts w:cs="Times New Roman"/>
                <w:b/>
                <w:bCs/>
                <w:color w:val="auto"/>
                <w:sz w:val="21"/>
                <w:highlight w:val="none"/>
              </w:rPr>
            </w:pPr>
            <w:r>
              <w:rPr>
                <w:rFonts w:hint="eastAsia" w:cs="Times New Roman"/>
                <w:b/>
                <w:bCs/>
                <w:color w:val="auto"/>
                <w:sz w:val="21"/>
                <w:highlight w:val="none"/>
              </w:rPr>
              <w:t>本项目情况</w:t>
            </w:r>
          </w:p>
        </w:tc>
      </w:tr>
      <w:tr w14:paraId="2E6D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shd w:val="clear" w:color="auto" w:fill="FFFFFF"/>
            <w:vAlign w:val="center"/>
          </w:tcPr>
          <w:p w14:paraId="1F6089BD">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强</w:t>
            </w:r>
          </w:p>
        </w:tc>
        <w:tc>
          <w:tcPr>
            <w:tcW w:w="2798" w:type="pct"/>
            <w:shd w:val="clear" w:color="auto" w:fill="FFFFFF"/>
            <w:vAlign w:val="center"/>
          </w:tcPr>
          <w:p w14:paraId="5590CE5B">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岩（土）层单层厚度Mb</w:t>
            </w:r>
            <w:r>
              <w:rPr>
                <w:rFonts w:hint="eastAsia" w:ascii="宋体" w:hAnsi="宋体" w:cs="Times New Roman"/>
                <w:color w:val="auto"/>
                <w:sz w:val="21"/>
                <w:highlight w:val="none"/>
              </w:rPr>
              <w:t>≥</w:t>
            </w:r>
            <w:r>
              <w:rPr>
                <w:rFonts w:hint="eastAsia" w:cs="Times New Roman"/>
                <w:color w:val="auto"/>
                <w:sz w:val="21"/>
                <w:highlight w:val="none"/>
              </w:rPr>
              <w:t>1.0m</w:t>
            </w:r>
            <w:r>
              <w:rPr>
                <w:rFonts w:hint="eastAsia" w:ascii="宋体" w:hAnsi="宋体" w:cs="Times New Roman"/>
                <w:color w:val="auto"/>
                <w:sz w:val="21"/>
                <w:highlight w:val="none"/>
              </w:rPr>
              <w:t>，渗透系数</w:t>
            </w:r>
            <w:r>
              <w:rPr>
                <w:rFonts w:hint="eastAsia" w:cs="Times New Roman"/>
                <w:color w:val="auto"/>
                <w:sz w:val="21"/>
                <w:highlight w:val="none"/>
              </w:rPr>
              <w:t>K</w:t>
            </w:r>
            <w:r>
              <w:rPr>
                <w:rFonts w:hint="eastAsia" w:ascii="宋体" w:hAnsi="宋体" w:cs="Times New Roman"/>
                <w:color w:val="auto"/>
                <w:sz w:val="21"/>
                <w:highlight w:val="none"/>
              </w:rPr>
              <w:t>≤</w:t>
            </w:r>
            <w:r>
              <w:rPr>
                <w:rFonts w:hint="eastAsia" w:cs="Times New Roman"/>
                <w:color w:val="auto"/>
                <w:sz w:val="21"/>
                <w:highlight w:val="none"/>
              </w:rPr>
              <w:t>1</w:t>
            </w:r>
            <w:r>
              <w:rPr>
                <w:rFonts w:hint="eastAsia" w:ascii="宋体" w:hAnsi="宋体" w:cs="Times New Roman"/>
                <w:color w:val="auto"/>
                <w:sz w:val="21"/>
                <w:highlight w:val="none"/>
              </w:rPr>
              <w:t>×</w:t>
            </w:r>
            <w:r>
              <w:rPr>
                <w:rFonts w:hint="eastAsia" w:cs="Times New Roman"/>
                <w:color w:val="auto"/>
                <w:sz w:val="21"/>
                <w:highlight w:val="none"/>
              </w:rPr>
              <w:t>10</w:t>
            </w:r>
            <w:r>
              <w:rPr>
                <w:rFonts w:hint="eastAsia" w:cs="Times New Roman"/>
                <w:color w:val="auto"/>
                <w:sz w:val="21"/>
                <w:highlight w:val="none"/>
                <w:vertAlign w:val="superscript"/>
              </w:rPr>
              <w:t>-6</w:t>
            </w:r>
            <w:r>
              <w:rPr>
                <w:rFonts w:hint="eastAsia" w:cs="Times New Roman"/>
                <w:color w:val="auto"/>
                <w:sz w:val="21"/>
                <w:highlight w:val="none"/>
              </w:rPr>
              <w:t>cm/s</w:t>
            </w:r>
            <w:r>
              <w:rPr>
                <w:rFonts w:hint="eastAsia" w:ascii="宋体" w:hAnsi="宋体" w:cs="Times New Roman"/>
                <w:color w:val="auto"/>
                <w:sz w:val="21"/>
                <w:highlight w:val="none"/>
              </w:rPr>
              <w:t>，且分布连续、稳定。</w:t>
            </w:r>
          </w:p>
        </w:tc>
        <w:tc>
          <w:tcPr>
            <w:tcW w:w="1673" w:type="pct"/>
            <w:shd w:val="clear" w:color="auto" w:fill="FFFFFF"/>
            <w:vAlign w:val="center"/>
          </w:tcPr>
          <w:p w14:paraId="2F4969D4">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w:t>
            </w:r>
          </w:p>
        </w:tc>
      </w:tr>
      <w:tr w14:paraId="55A2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405F0401">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中</w:t>
            </w:r>
          </w:p>
        </w:tc>
        <w:tc>
          <w:tcPr>
            <w:tcW w:w="2798" w:type="pct"/>
            <w:vAlign w:val="center"/>
          </w:tcPr>
          <w:p w14:paraId="18296824">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岩（土）层单层厚度0.5m</w:t>
            </w:r>
            <w:r>
              <w:rPr>
                <w:rFonts w:hint="eastAsia" w:ascii="宋体" w:hAnsi="宋体" w:cs="Times New Roman"/>
                <w:color w:val="auto"/>
                <w:sz w:val="21"/>
                <w:highlight w:val="none"/>
              </w:rPr>
              <w:t>≤</w:t>
            </w:r>
            <w:r>
              <w:rPr>
                <w:rFonts w:hint="eastAsia" w:cs="Times New Roman"/>
                <w:color w:val="auto"/>
                <w:sz w:val="21"/>
                <w:highlight w:val="none"/>
              </w:rPr>
              <w:t>Mb&lt;1.0m</w:t>
            </w:r>
            <w:r>
              <w:rPr>
                <w:rFonts w:hint="eastAsia" w:ascii="宋体" w:hAnsi="宋体" w:cs="Times New Roman"/>
                <w:color w:val="auto"/>
                <w:sz w:val="21"/>
                <w:highlight w:val="none"/>
              </w:rPr>
              <w:t>，渗透系数</w:t>
            </w:r>
            <w:r>
              <w:rPr>
                <w:rFonts w:hint="eastAsia" w:cs="Times New Roman"/>
                <w:color w:val="auto"/>
                <w:sz w:val="21"/>
                <w:highlight w:val="none"/>
              </w:rPr>
              <w:t>K</w:t>
            </w:r>
            <w:r>
              <w:rPr>
                <w:rFonts w:hint="eastAsia" w:ascii="宋体" w:hAnsi="宋体" w:cs="Times New Roman"/>
                <w:color w:val="auto"/>
                <w:sz w:val="21"/>
                <w:highlight w:val="none"/>
              </w:rPr>
              <w:t>≤</w:t>
            </w:r>
            <w:r>
              <w:rPr>
                <w:rFonts w:hint="eastAsia" w:cs="Times New Roman"/>
                <w:color w:val="auto"/>
                <w:sz w:val="21"/>
                <w:highlight w:val="none"/>
              </w:rPr>
              <w:t>1</w:t>
            </w:r>
            <w:r>
              <w:rPr>
                <w:rFonts w:hint="eastAsia" w:ascii="宋体" w:hAnsi="宋体" w:cs="Times New Roman"/>
                <w:color w:val="auto"/>
                <w:sz w:val="21"/>
                <w:highlight w:val="none"/>
              </w:rPr>
              <w:t>×</w:t>
            </w:r>
            <w:r>
              <w:rPr>
                <w:rFonts w:hint="eastAsia" w:cs="Times New Roman"/>
                <w:color w:val="auto"/>
                <w:sz w:val="21"/>
                <w:highlight w:val="none"/>
              </w:rPr>
              <w:t>10</w:t>
            </w:r>
            <w:r>
              <w:rPr>
                <w:rFonts w:hint="eastAsia" w:cs="Times New Roman"/>
                <w:color w:val="auto"/>
                <w:sz w:val="21"/>
                <w:highlight w:val="none"/>
                <w:vertAlign w:val="superscript"/>
              </w:rPr>
              <w:t>-6</w:t>
            </w:r>
            <w:r>
              <w:rPr>
                <w:rFonts w:hint="eastAsia" w:cs="Times New Roman"/>
                <w:color w:val="auto"/>
                <w:sz w:val="21"/>
                <w:highlight w:val="none"/>
              </w:rPr>
              <w:t>cm/s</w:t>
            </w:r>
            <w:r>
              <w:rPr>
                <w:rFonts w:hint="eastAsia" w:ascii="宋体" w:hAnsi="宋体" w:cs="Times New Roman"/>
                <w:color w:val="auto"/>
                <w:sz w:val="21"/>
                <w:highlight w:val="none"/>
              </w:rPr>
              <w:t>，且分布连续、稳定。</w:t>
            </w:r>
          </w:p>
          <w:p w14:paraId="078CF563">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岩（土）层单层厚度Mb</w:t>
            </w:r>
            <w:r>
              <w:rPr>
                <w:rFonts w:hint="eastAsia" w:ascii="宋体" w:hAnsi="宋体" w:cs="Times New Roman"/>
                <w:color w:val="auto"/>
                <w:sz w:val="21"/>
                <w:highlight w:val="none"/>
              </w:rPr>
              <w:t>≥</w:t>
            </w:r>
            <w:r>
              <w:rPr>
                <w:rFonts w:hint="eastAsia" w:cs="Times New Roman"/>
                <w:color w:val="auto"/>
                <w:sz w:val="21"/>
                <w:highlight w:val="none"/>
              </w:rPr>
              <w:t>1.0m</w:t>
            </w:r>
            <w:r>
              <w:rPr>
                <w:rFonts w:hint="eastAsia" w:ascii="宋体" w:hAnsi="宋体" w:cs="Times New Roman"/>
                <w:color w:val="auto"/>
                <w:sz w:val="21"/>
                <w:highlight w:val="none"/>
              </w:rPr>
              <w:t>，渗透系数</w:t>
            </w:r>
            <w:r>
              <w:rPr>
                <w:rFonts w:hint="eastAsia" w:cs="Times New Roman"/>
                <w:color w:val="auto"/>
                <w:sz w:val="21"/>
                <w:highlight w:val="none"/>
              </w:rPr>
              <w:t>1</w:t>
            </w:r>
            <w:r>
              <w:rPr>
                <w:rFonts w:hint="eastAsia" w:ascii="宋体" w:hAnsi="宋体" w:cs="Times New Roman"/>
                <w:color w:val="auto"/>
                <w:sz w:val="21"/>
                <w:highlight w:val="none"/>
              </w:rPr>
              <w:t>×</w:t>
            </w:r>
            <w:r>
              <w:rPr>
                <w:rFonts w:hint="eastAsia" w:cs="Times New Roman"/>
                <w:color w:val="auto"/>
                <w:sz w:val="21"/>
                <w:highlight w:val="none"/>
              </w:rPr>
              <w:t>10</w:t>
            </w:r>
            <w:r>
              <w:rPr>
                <w:rFonts w:hint="eastAsia" w:cs="Times New Roman"/>
                <w:color w:val="auto"/>
                <w:sz w:val="21"/>
                <w:highlight w:val="none"/>
                <w:vertAlign w:val="superscript"/>
              </w:rPr>
              <w:t>-6</w:t>
            </w:r>
            <w:r>
              <w:rPr>
                <w:rFonts w:hint="eastAsia" w:cs="Times New Roman"/>
                <w:color w:val="auto"/>
                <w:sz w:val="21"/>
                <w:highlight w:val="none"/>
              </w:rPr>
              <w:t>cm/s&lt;K</w:t>
            </w:r>
            <w:r>
              <w:rPr>
                <w:rFonts w:hint="eastAsia" w:ascii="宋体" w:hAnsi="宋体" w:cs="Times New Roman"/>
                <w:color w:val="auto"/>
                <w:sz w:val="21"/>
                <w:highlight w:val="none"/>
              </w:rPr>
              <w:t>≤</w:t>
            </w:r>
            <w:r>
              <w:rPr>
                <w:rFonts w:hint="eastAsia" w:cs="Times New Roman"/>
                <w:color w:val="auto"/>
                <w:sz w:val="21"/>
                <w:highlight w:val="none"/>
              </w:rPr>
              <w:t>1</w:t>
            </w:r>
            <w:r>
              <w:rPr>
                <w:rFonts w:hint="eastAsia" w:ascii="宋体" w:hAnsi="宋体" w:cs="Times New Roman"/>
                <w:color w:val="auto"/>
                <w:sz w:val="21"/>
                <w:highlight w:val="none"/>
              </w:rPr>
              <w:t>×</w:t>
            </w:r>
            <w:r>
              <w:rPr>
                <w:rFonts w:hint="eastAsia" w:cs="Times New Roman"/>
                <w:color w:val="auto"/>
                <w:sz w:val="21"/>
                <w:highlight w:val="none"/>
              </w:rPr>
              <w:t>10</w:t>
            </w:r>
            <w:r>
              <w:rPr>
                <w:rFonts w:hint="eastAsia" w:cs="Times New Roman"/>
                <w:color w:val="auto"/>
                <w:sz w:val="21"/>
                <w:highlight w:val="none"/>
                <w:vertAlign w:val="superscript"/>
              </w:rPr>
              <w:t>-4</w:t>
            </w:r>
            <w:r>
              <w:rPr>
                <w:rFonts w:hint="eastAsia" w:cs="Times New Roman"/>
                <w:color w:val="auto"/>
                <w:sz w:val="21"/>
                <w:highlight w:val="none"/>
              </w:rPr>
              <w:t>cm/s</w:t>
            </w:r>
            <w:r>
              <w:rPr>
                <w:rFonts w:hint="eastAsia" w:ascii="宋体" w:hAnsi="宋体" w:cs="Times New Roman"/>
                <w:color w:val="auto"/>
                <w:sz w:val="21"/>
                <w:highlight w:val="none"/>
              </w:rPr>
              <w:t>，且分布连续、稳定。</w:t>
            </w:r>
          </w:p>
        </w:tc>
        <w:tc>
          <w:tcPr>
            <w:tcW w:w="1673" w:type="pct"/>
            <w:vAlign w:val="center"/>
          </w:tcPr>
          <w:p w14:paraId="45AE954E">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w:t>
            </w:r>
          </w:p>
        </w:tc>
      </w:tr>
      <w:tr w14:paraId="5957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5D45A6BE">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弱</w:t>
            </w:r>
          </w:p>
        </w:tc>
        <w:tc>
          <w:tcPr>
            <w:tcW w:w="2798" w:type="pct"/>
            <w:vAlign w:val="center"/>
          </w:tcPr>
          <w:p w14:paraId="541AA535">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岩（土）层不满足上述“强”和“中”条件。</w:t>
            </w:r>
          </w:p>
        </w:tc>
        <w:tc>
          <w:tcPr>
            <w:tcW w:w="1673" w:type="pct"/>
            <w:vAlign w:val="center"/>
          </w:tcPr>
          <w:p w14:paraId="1D40C875">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45m/d</w:t>
            </w:r>
          </w:p>
        </w:tc>
      </w:tr>
    </w:tbl>
    <w:p w14:paraId="79D033AC">
      <w:pPr>
        <w:adjustRightInd w:val="0"/>
        <w:ind w:firstLine="480" w:firstLineChars="0"/>
        <w:rPr>
          <w:rFonts w:cs="Times New Roman"/>
          <w:color w:val="auto"/>
          <w:szCs w:val="24"/>
          <w:highlight w:val="none"/>
        </w:rPr>
      </w:pPr>
      <w:r>
        <w:rPr>
          <w:rFonts w:hint="eastAsia" w:cs="Times New Roman"/>
          <w:color w:val="auto"/>
          <w:szCs w:val="24"/>
          <w:highlight w:val="none"/>
        </w:rPr>
        <w:t>压滤车间、生产废水处理区、尾矿浓密机、精矿浓密机、备用浓密机、危废暂存间、事故应急池、药剂库、初期雨水池污染控制难易程度为难：</w:t>
      </w:r>
    </w:p>
    <w:p w14:paraId="435B5987">
      <w:pPr>
        <w:pStyle w:val="12"/>
        <w:rPr>
          <w:rFonts w:cs="Times New Roman"/>
          <w:color w:val="auto"/>
          <w:kern w:val="0"/>
          <w:sz w:val="20"/>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3</w:t>
      </w:r>
      <w:r>
        <w:rPr>
          <w:color w:val="auto"/>
          <w:highlight w:val="none"/>
        </w:rPr>
        <w:fldChar w:fldCharType="end"/>
      </w:r>
      <w:r>
        <w:rPr>
          <w:rFonts w:cs="Times New Roman"/>
          <w:color w:val="auto"/>
          <w:kern w:val="0"/>
          <w:sz w:val="20"/>
          <w:highlight w:val="none"/>
        </w:rPr>
        <w:t>污染控制难易程度分级</w:t>
      </w:r>
    </w:p>
    <w:tbl>
      <w:tblPr>
        <w:tblStyle w:val="3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3709"/>
        <w:gridCol w:w="4110"/>
      </w:tblGrid>
      <w:tr w14:paraId="02B1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85" w:type="pct"/>
            <w:vAlign w:val="center"/>
          </w:tcPr>
          <w:p w14:paraId="22865641">
            <w:pPr>
              <w:adjustRightInd w:val="0"/>
              <w:spacing w:before="62" w:beforeLines="20" w:after="62" w:afterLines="20" w:line="240" w:lineRule="auto"/>
              <w:ind w:firstLine="0" w:firstLineChars="0"/>
              <w:jc w:val="center"/>
              <w:rPr>
                <w:rFonts w:cs="Times New Roman"/>
                <w:b/>
                <w:color w:val="auto"/>
                <w:sz w:val="21"/>
                <w:highlight w:val="none"/>
              </w:rPr>
            </w:pPr>
            <w:r>
              <w:rPr>
                <w:rFonts w:hint="eastAsia" w:cs="Times New Roman"/>
                <w:b/>
                <w:color w:val="auto"/>
                <w:sz w:val="21"/>
                <w:highlight w:val="none"/>
              </w:rPr>
              <w:t>污染控制难易程度</w:t>
            </w:r>
          </w:p>
        </w:tc>
        <w:tc>
          <w:tcPr>
            <w:tcW w:w="2047" w:type="pct"/>
            <w:vAlign w:val="center"/>
          </w:tcPr>
          <w:p w14:paraId="16A7B6A9">
            <w:pPr>
              <w:adjustRightInd w:val="0"/>
              <w:spacing w:before="62" w:beforeLines="20" w:after="62" w:afterLines="20" w:line="240" w:lineRule="auto"/>
              <w:ind w:firstLine="0" w:firstLineChars="0"/>
              <w:jc w:val="center"/>
              <w:rPr>
                <w:rFonts w:cs="Times New Roman"/>
                <w:b/>
                <w:color w:val="auto"/>
                <w:sz w:val="21"/>
                <w:highlight w:val="none"/>
              </w:rPr>
            </w:pPr>
            <w:r>
              <w:rPr>
                <w:rFonts w:hint="eastAsia" w:cs="Times New Roman"/>
                <w:b/>
                <w:color w:val="auto"/>
                <w:sz w:val="21"/>
                <w:highlight w:val="none"/>
              </w:rPr>
              <w:t>主要特征</w:t>
            </w:r>
          </w:p>
        </w:tc>
        <w:tc>
          <w:tcPr>
            <w:tcW w:w="2268" w:type="pct"/>
            <w:vAlign w:val="center"/>
          </w:tcPr>
          <w:p w14:paraId="3B1729F7">
            <w:pPr>
              <w:adjustRightInd w:val="0"/>
              <w:spacing w:before="62" w:beforeLines="20" w:after="62" w:afterLines="20" w:line="240" w:lineRule="auto"/>
              <w:ind w:firstLine="0" w:firstLineChars="0"/>
              <w:jc w:val="center"/>
              <w:rPr>
                <w:rFonts w:cs="Times New Roman"/>
                <w:b/>
                <w:color w:val="auto"/>
                <w:sz w:val="21"/>
                <w:highlight w:val="none"/>
              </w:rPr>
            </w:pPr>
            <w:r>
              <w:rPr>
                <w:rFonts w:hint="eastAsia" w:cs="Times New Roman"/>
                <w:b/>
                <w:color w:val="auto"/>
                <w:sz w:val="21"/>
                <w:highlight w:val="none"/>
              </w:rPr>
              <w:t>本项目情况</w:t>
            </w:r>
          </w:p>
        </w:tc>
      </w:tr>
      <w:tr w14:paraId="7E0D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Align w:val="center"/>
          </w:tcPr>
          <w:p w14:paraId="794E4387">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难</w:t>
            </w:r>
          </w:p>
        </w:tc>
        <w:tc>
          <w:tcPr>
            <w:tcW w:w="2047" w:type="pct"/>
            <w:vAlign w:val="center"/>
          </w:tcPr>
          <w:p w14:paraId="4A8179BF">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对地下水环境有污染的物料或污染物泄漏后，不能及时发现和处理。</w:t>
            </w:r>
          </w:p>
        </w:tc>
        <w:tc>
          <w:tcPr>
            <w:tcW w:w="2268" w:type="pct"/>
            <w:vAlign w:val="center"/>
          </w:tcPr>
          <w:p w14:paraId="64286DED">
            <w:pPr>
              <w:adjustRightInd w:val="0"/>
              <w:spacing w:before="20" w:after="20" w:line="240" w:lineRule="auto"/>
              <w:ind w:firstLine="0" w:firstLineChars="0"/>
              <w:jc w:val="center"/>
              <w:rPr>
                <w:rFonts w:cs="Times New Roman"/>
                <w:color w:val="auto"/>
                <w:sz w:val="21"/>
                <w:highlight w:val="none"/>
              </w:rPr>
            </w:pPr>
            <w:r>
              <w:rPr>
                <w:rFonts w:hint="eastAsia" w:cs="Times New Roman"/>
                <w:color w:val="auto"/>
                <w:sz w:val="21"/>
                <w:highlight w:val="none"/>
              </w:rPr>
              <w:t>压滤车间、生产废水处理区、尾矿浓密机、精矿浓密机、备用浓密机、危废暂存间、事故应急池、药剂库、初期雨水池等污染物泄漏不易被及时发现。</w:t>
            </w:r>
          </w:p>
        </w:tc>
      </w:tr>
      <w:tr w14:paraId="39D8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pct"/>
            <w:vAlign w:val="center"/>
          </w:tcPr>
          <w:p w14:paraId="792042D9">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易</w:t>
            </w:r>
          </w:p>
        </w:tc>
        <w:tc>
          <w:tcPr>
            <w:tcW w:w="2047" w:type="pct"/>
            <w:vAlign w:val="center"/>
          </w:tcPr>
          <w:p w14:paraId="65B171FF">
            <w:pPr>
              <w:adjustRightInd w:val="0"/>
              <w:spacing w:before="62" w:beforeLines="20" w:after="62" w:afterLines="20" w:line="240" w:lineRule="auto"/>
              <w:ind w:firstLine="0" w:firstLineChars="0"/>
              <w:jc w:val="center"/>
              <w:rPr>
                <w:rFonts w:cs="Times New Roman"/>
                <w:color w:val="auto"/>
                <w:sz w:val="21"/>
                <w:highlight w:val="none"/>
              </w:rPr>
            </w:pPr>
            <w:r>
              <w:rPr>
                <w:rFonts w:hint="eastAsia" w:cs="Times New Roman"/>
                <w:color w:val="auto"/>
                <w:sz w:val="21"/>
                <w:highlight w:val="none"/>
              </w:rPr>
              <w:t>对地下水环境有污染的物料或污染物泄漏后，可及时发现和处理。</w:t>
            </w:r>
          </w:p>
        </w:tc>
        <w:tc>
          <w:tcPr>
            <w:tcW w:w="2268" w:type="pct"/>
            <w:vAlign w:val="center"/>
          </w:tcPr>
          <w:p w14:paraId="636F2484">
            <w:pPr>
              <w:adjustRightInd w:val="0"/>
              <w:spacing w:before="20" w:after="20" w:line="240" w:lineRule="auto"/>
              <w:ind w:firstLine="0" w:firstLineChars="0"/>
              <w:jc w:val="center"/>
              <w:rPr>
                <w:rFonts w:cs="Times New Roman"/>
                <w:color w:val="auto"/>
                <w:sz w:val="21"/>
                <w:highlight w:val="none"/>
              </w:rPr>
            </w:pPr>
            <w:r>
              <w:rPr>
                <w:rFonts w:hint="eastAsia" w:cs="Times New Roman"/>
                <w:color w:val="auto"/>
                <w:sz w:val="21"/>
                <w:highlight w:val="none"/>
              </w:rPr>
              <w:t>其他区域污染控制难易程度为易。</w:t>
            </w:r>
          </w:p>
        </w:tc>
      </w:tr>
    </w:tbl>
    <w:p w14:paraId="4EB6A562">
      <w:pPr>
        <w:adjustRightInd w:val="0"/>
        <w:spacing w:before="156" w:beforeLines="50"/>
        <w:ind w:firstLine="480" w:firstLineChars="0"/>
        <w:rPr>
          <w:rFonts w:cs="Times New Roman"/>
          <w:color w:val="auto"/>
          <w:szCs w:val="24"/>
          <w:highlight w:val="none"/>
        </w:rPr>
      </w:pPr>
      <w:r>
        <w:rPr>
          <w:rFonts w:hint="eastAsia" w:cs="Times New Roman"/>
          <w:color w:val="auto"/>
          <w:szCs w:val="24"/>
          <w:highlight w:val="none"/>
        </w:rPr>
        <w:t>根据《环境影响评价技术导则-地下水环境》（HJ610-2016），分区防渗结果如下：</w:t>
      </w:r>
    </w:p>
    <w:p w14:paraId="4FF3920B">
      <w:pPr>
        <w:pStyle w:val="12"/>
        <w:rPr>
          <w:rFonts w:cs="Times New Roman"/>
          <w:color w:val="auto"/>
          <w:kern w:val="0"/>
          <w:sz w:val="20"/>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4</w:t>
      </w:r>
      <w:r>
        <w:rPr>
          <w:color w:val="auto"/>
          <w:highlight w:val="none"/>
        </w:rPr>
        <w:fldChar w:fldCharType="end"/>
      </w:r>
      <w:r>
        <w:rPr>
          <w:rFonts w:hint="eastAsia" w:cs="Times New Roman"/>
          <w:color w:val="auto"/>
          <w:kern w:val="0"/>
          <w:sz w:val="20"/>
          <w:highlight w:val="none"/>
        </w:rPr>
        <w:t>地下水分区防渗结果</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35"/>
        <w:gridCol w:w="848"/>
        <w:gridCol w:w="1276"/>
        <w:gridCol w:w="2513"/>
        <w:gridCol w:w="2329"/>
      </w:tblGrid>
      <w:tr w14:paraId="397B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29" w:type="pct"/>
            <w:vAlign w:val="center"/>
          </w:tcPr>
          <w:p w14:paraId="4E3689FC">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防渗分区</w:t>
            </w:r>
          </w:p>
        </w:tc>
        <w:tc>
          <w:tcPr>
            <w:tcW w:w="626" w:type="pct"/>
            <w:vAlign w:val="center"/>
          </w:tcPr>
          <w:p w14:paraId="1D586828">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天然包气带防污性能</w:t>
            </w:r>
          </w:p>
        </w:tc>
        <w:tc>
          <w:tcPr>
            <w:tcW w:w="468" w:type="pct"/>
            <w:vAlign w:val="center"/>
          </w:tcPr>
          <w:p w14:paraId="63A097AD">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污染控制难易程度</w:t>
            </w:r>
          </w:p>
        </w:tc>
        <w:tc>
          <w:tcPr>
            <w:tcW w:w="704" w:type="pct"/>
            <w:vAlign w:val="center"/>
          </w:tcPr>
          <w:p w14:paraId="22E7BD30">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污染物类型</w:t>
            </w:r>
          </w:p>
        </w:tc>
        <w:tc>
          <w:tcPr>
            <w:tcW w:w="1386" w:type="pct"/>
            <w:vAlign w:val="center"/>
          </w:tcPr>
          <w:p w14:paraId="2F519F26">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防渗技术要求</w:t>
            </w:r>
          </w:p>
        </w:tc>
        <w:tc>
          <w:tcPr>
            <w:tcW w:w="1284" w:type="pct"/>
            <w:vAlign w:val="center"/>
          </w:tcPr>
          <w:p w14:paraId="69533DEF">
            <w:pPr>
              <w:adjustRightInd w:val="0"/>
              <w:spacing w:line="240" w:lineRule="auto"/>
              <w:ind w:firstLine="0" w:firstLineChars="0"/>
              <w:jc w:val="center"/>
              <w:rPr>
                <w:rFonts w:cs="Times New Roman"/>
                <w:b/>
                <w:color w:val="auto"/>
                <w:sz w:val="21"/>
                <w:highlight w:val="none"/>
              </w:rPr>
            </w:pPr>
            <w:r>
              <w:rPr>
                <w:rFonts w:cs="Times New Roman"/>
                <w:b/>
                <w:color w:val="auto"/>
                <w:sz w:val="21"/>
                <w:highlight w:val="none"/>
              </w:rPr>
              <w:t>本项目对应区域</w:t>
            </w:r>
          </w:p>
        </w:tc>
      </w:tr>
      <w:tr w14:paraId="7329E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restart"/>
            <w:shd w:val="clear" w:color="auto" w:fill="FFFFFF"/>
            <w:vAlign w:val="center"/>
          </w:tcPr>
          <w:p w14:paraId="6011DFCE">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重点</w:t>
            </w:r>
          </w:p>
          <w:p w14:paraId="28C3CF9C">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防渗区</w:t>
            </w:r>
          </w:p>
        </w:tc>
        <w:tc>
          <w:tcPr>
            <w:tcW w:w="626" w:type="pct"/>
            <w:shd w:val="clear" w:color="auto" w:fill="D7D7D7"/>
            <w:vAlign w:val="center"/>
          </w:tcPr>
          <w:p w14:paraId="7B004B1E">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弱</w:t>
            </w:r>
          </w:p>
        </w:tc>
        <w:tc>
          <w:tcPr>
            <w:tcW w:w="468" w:type="pct"/>
            <w:shd w:val="clear" w:color="auto" w:fill="D7D7D7"/>
            <w:vAlign w:val="center"/>
          </w:tcPr>
          <w:p w14:paraId="554EA79F">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难</w:t>
            </w:r>
          </w:p>
        </w:tc>
        <w:tc>
          <w:tcPr>
            <w:tcW w:w="704" w:type="pct"/>
            <w:vMerge w:val="restart"/>
            <w:shd w:val="clear" w:color="auto" w:fill="D9D9D9"/>
            <w:vAlign w:val="center"/>
          </w:tcPr>
          <w:p w14:paraId="458163FD">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重金属、持久性有机物污染物</w:t>
            </w:r>
          </w:p>
        </w:tc>
        <w:tc>
          <w:tcPr>
            <w:tcW w:w="1386" w:type="pct"/>
            <w:vMerge w:val="restart"/>
            <w:shd w:val="clear" w:color="auto" w:fill="FFFFFF"/>
            <w:vAlign w:val="center"/>
          </w:tcPr>
          <w:p w14:paraId="0FE5C9F6">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等效黏土防渗层Mb≥6.0m，K≤1×10</w:t>
            </w:r>
            <w:r>
              <w:rPr>
                <w:rFonts w:cs="Times New Roman"/>
                <w:color w:val="auto"/>
                <w:sz w:val="21"/>
                <w:highlight w:val="none"/>
                <w:vertAlign w:val="superscript"/>
              </w:rPr>
              <w:t>-7</w:t>
            </w:r>
            <w:r>
              <w:rPr>
                <w:rFonts w:cs="Times New Roman"/>
                <w:color w:val="auto"/>
                <w:sz w:val="21"/>
                <w:highlight w:val="none"/>
              </w:rPr>
              <w:t>cm/s；或参照GB18598执行</w:t>
            </w:r>
          </w:p>
        </w:tc>
        <w:tc>
          <w:tcPr>
            <w:tcW w:w="1284" w:type="pct"/>
            <w:vMerge w:val="restart"/>
            <w:shd w:val="clear" w:color="auto" w:fill="FFFFFF"/>
            <w:vAlign w:val="center"/>
          </w:tcPr>
          <w:p w14:paraId="7D81AF2A">
            <w:pPr>
              <w:pStyle w:val="37"/>
              <w:spacing w:before="62" w:after="62"/>
              <w:rPr>
                <w:color w:val="auto"/>
                <w:kern w:val="0"/>
                <w:highlight w:val="none"/>
              </w:rPr>
            </w:pPr>
            <w:r>
              <w:rPr>
                <w:rFonts w:hint="eastAsia"/>
                <w:color w:val="auto"/>
                <w:kern w:val="0"/>
                <w:highlight w:val="none"/>
              </w:rPr>
              <w:t>生产废水处理区、危废暂存间、事故应急池、药剂库、初期雨水池、压滤车间</w:t>
            </w:r>
          </w:p>
        </w:tc>
      </w:tr>
      <w:tr w14:paraId="2491C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continue"/>
            <w:vAlign w:val="center"/>
          </w:tcPr>
          <w:p w14:paraId="29537A83">
            <w:pPr>
              <w:widowControl/>
              <w:adjustRightInd w:val="0"/>
              <w:spacing w:line="240" w:lineRule="auto"/>
              <w:ind w:firstLine="420" w:firstLineChars="0"/>
              <w:jc w:val="center"/>
              <w:rPr>
                <w:rFonts w:cs="Times New Roman"/>
                <w:color w:val="auto"/>
                <w:sz w:val="21"/>
                <w:highlight w:val="none"/>
              </w:rPr>
            </w:pPr>
          </w:p>
        </w:tc>
        <w:tc>
          <w:tcPr>
            <w:tcW w:w="626" w:type="pct"/>
            <w:vAlign w:val="center"/>
          </w:tcPr>
          <w:p w14:paraId="028FCD6F">
            <w:pPr>
              <w:adjustRightInd w:val="0"/>
              <w:spacing w:line="240" w:lineRule="auto"/>
              <w:ind w:firstLine="199" w:firstLineChars="95"/>
              <w:rPr>
                <w:rFonts w:cs="Times New Roman"/>
                <w:color w:val="auto"/>
                <w:sz w:val="21"/>
                <w:highlight w:val="none"/>
              </w:rPr>
            </w:pPr>
            <w:r>
              <w:rPr>
                <w:rFonts w:cs="Times New Roman"/>
                <w:color w:val="auto"/>
                <w:sz w:val="21"/>
                <w:highlight w:val="none"/>
              </w:rPr>
              <w:t>中-强</w:t>
            </w:r>
          </w:p>
        </w:tc>
        <w:tc>
          <w:tcPr>
            <w:tcW w:w="468" w:type="pct"/>
            <w:vAlign w:val="center"/>
          </w:tcPr>
          <w:p w14:paraId="61C8C6A2">
            <w:pPr>
              <w:adjustRightInd w:val="0"/>
              <w:spacing w:line="240" w:lineRule="auto"/>
              <w:ind w:firstLine="199" w:firstLineChars="95"/>
              <w:rPr>
                <w:rFonts w:cs="Times New Roman"/>
                <w:color w:val="auto"/>
                <w:sz w:val="21"/>
                <w:highlight w:val="none"/>
              </w:rPr>
            </w:pPr>
            <w:r>
              <w:rPr>
                <w:rFonts w:cs="Times New Roman"/>
                <w:color w:val="auto"/>
                <w:sz w:val="21"/>
                <w:highlight w:val="none"/>
              </w:rPr>
              <w:t>难</w:t>
            </w:r>
          </w:p>
        </w:tc>
        <w:tc>
          <w:tcPr>
            <w:tcW w:w="704" w:type="pct"/>
            <w:vMerge w:val="continue"/>
            <w:shd w:val="clear" w:color="auto" w:fill="D9D9D9"/>
            <w:vAlign w:val="center"/>
          </w:tcPr>
          <w:p w14:paraId="6E790E3E">
            <w:pPr>
              <w:widowControl/>
              <w:adjustRightInd w:val="0"/>
              <w:spacing w:line="240" w:lineRule="auto"/>
              <w:ind w:firstLine="420" w:firstLineChars="0"/>
              <w:jc w:val="center"/>
              <w:rPr>
                <w:rFonts w:cs="Times New Roman"/>
                <w:color w:val="auto"/>
                <w:sz w:val="21"/>
                <w:highlight w:val="none"/>
              </w:rPr>
            </w:pPr>
          </w:p>
        </w:tc>
        <w:tc>
          <w:tcPr>
            <w:tcW w:w="1386" w:type="pct"/>
            <w:vMerge w:val="continue"/>
            <w:vAlign w:val="center"/>
          </w:tcPr>
          <w:p w14:paraId="352445C1">
            <w:pPr>
              <w:widowControl/>
              <w:adjustRightInd w:val="0"/>
              <w:spacing w:line="240" w:lineRule="auto"/>
              <w:ind w:firstLine="420" w:firstLineChars="0"/>
              <w:jc w:val="center"/>
              <w:rPr>
                <w:rFonts w:cs="Times New Roman"/>
                <w:color w:val="auto"/>
                <w:sz w:val="21"/>
                <w:highlight w:val="none"/>
              </w:rPr>
            </w:pPr>
          </w:p>
        </w:tc>
        <w:tc>
          <w:tcPr>
            <w:tcW w:w="1284" w:type="pct"/>
            <w:vMerge w:val="continue"/>
            <w:vAlign w:val="center"/>
          </w:tcPr>
          <w:p w14:paraId="4B94BFE0">
            <w:pPr>
              <w:widowControl/>
              <w:adjustRightInd w:val="0"/>
              <w:spacing w:line="240" w:lineRule="auto"/>
              <w:ind w:firstLine="420" w:firstLineChars="0"/>
              <w:jc w:val="center"/>
              <w:rPr>
                <w:rFonts w:cs="Times New Roman"/>
                <w:color w:val="auto"/>
                <w:sz w:val="21"/>
                <w:highlight w:val="none"/>
              </w:rPr>
            </w:pPr>
          </w:p>
        </w:tc>
      </w:tr>
      <w:tr w14:paraId="5FA02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continue"/>
            <w:vAlign w:val="center"/>
          </w:tcPr>
          <w:p w14:paraId="07B81022">
            <w:pPr>
              <w:widowControl/>
              <w:adjustRightInd w:val="0"/>
              <w:spacing w:line="240" w:lineRule="auto"/>
              <w:ind w:firstLine="420" w:firstLineChars="0"/>
              <w:jc w:val="center"/>
              <w:rPr>
                <w:rFonts w:cs="Times New Roman"/>
                <w:color w:val="auto"/>
                <w:sz w:val="21"/>
                <w:highlight w:val="none"/>
              </w:rPr>
            </w:pPr>
          </w:p>
        </w:tc>
        <w:tc>
          <w:tcPr>
            <w:tcW w:w="626" w:type="pct"/>
            <w:vAlign w:val="center"/>
          </w:tcPr>
          <w:p w14:paraId="3B4F8FEA">
            <w:pPr>
              <w:adjustRightInd w:val="0"/>
              <w:spacing w:line="240" w:lineRule="auto"/>
              <w:ind w:firstLine="420" w:firstLineChars="0"/>
              <w:rPr>
                <w:rFonts w:cs="Times New Roman"/>
                <w:color w:val="auto"/>
                <w:sz w:val="21"/>
                <w:highlight w:val="none"/>
              </w:rPr>
            </w:pPr>
            <w:r>
              <w:rPr>
                <w:rFonts w:cs="Times New Roman"/>
                <w:color w:val="auto"/>
                <w:sz w:val="21"/>
                <w:highlight w:val="none"/>
              </w:rPr>
              <w:t>弱</w:t>
            </w:r>
          </w:p>
        </w:tc>
        <w:tc>
          <w:tcPr>
            <w:tcW w:w="468" w:type="pct"/>
            <w:vAlign w:val="center"/>
          </w:tcPr>
          <w:p w14:paraId="7650DA3F">
            <w:pPr>
              <w:adjustRightInd w:val="0"/>
              <w:spacing w:line="240" w:lineRule="auto"/>
              <w:ind w:firstLine="199" w:firstLineChars="95"/>
              <w:rPr>
                <w:rFonts w:cs="Times New Roman"/>
                <w:color w:val="auto"/>
                <w:sz w:val="21"/>
                <w:highlight w:val="none"/>
              </w:rPr>
            </w:pPr>
            <w:r>
              <w:rPr>
                <w:rFonts w:cs="Times New Roman"/>
                <w:color w:val="auto"/>
                <w:sz w:val="21"/>
                <w:highlight w:val="none"/>
              </w:rPr>
              <w:t>易</w:t>
            </w:r>
          </w:p>
        </w:tc>
        <w:tc>
          <w:tcPr>
            <w:tcW w:w="704" w:type="pct"/>
            <w:vMerge w:val="continue"/>
            <w:shd w:val="clear" w:color="auto" w:fill="D9D9D9"/>
            <w:vAlign w:val="center"/>
          </w:tcPr>
          <w:p w14:paraId="16D1A5B7">
            <w:pPr>
              <w:widowControl/>
              <w:adjustRightInd w:val="0"/>
              <w:spacing w:line="240" w:lineRule="auto"/>
              <w:ind w:firstLine="420" w:firstLineChars="0"/>
              <w:jc w:val="center"/>
              <w:rPr>
                <w:rFonts w:cs="Times New Roman"/>
                <w:color w:val="auto"/>
                <w:sz w:val="21"/>
                <w:highlight w:val="none"/>
              </w:rPr>
            </w:pPr>
          </w:p>
        </w:tc>
        <w:tc>
          <w:tcPr>
            <w:tcW w:w="1386" w:type="pct"/>
            <w:vMerge w:val="continue"/>
            <w:vAlign w:val="center"/>
          </w:tcPr>
          <w:p w14:paraId="03CF16A8">
            <w:pPr>
              <w:widowControl/>
              <w:adjustRightInd w:val="0"/>
              <w:spacing w:line="240" w:lineRule="auto"/>
              <w:ind w:firstLine="420" w:firstLineChars="0"/>
              <w:jc w:val="center"/>
              <w:rPr>
                <w:rFonts w:cs="Times New Roman"/>
                <w:color w:val="auto"/>
                <w:sz w:val="21"/>
                <w:highlight w:val="none"/>
              </w:rPr>
            </w:pPr>
          </w:p>
        </w:tc>
        <w:tc>
          <w:tcPr>
            <w:tcW w:w="1284" w:type="pct"/>
            <w:vMerge w:val="continue"/>
            <w:vAlign w:val="center"/>
          </w:tcPr>
          <w:p w14:paraId="3AA4CED9">
            <w:pPr>
              <w:widowControl/>
              <w:adjustRightInd w:val="0"/>
              <w:spacing w:line="240" w:lineRule="auto"/>
              <w:ind w:firstLine="420" w:firstLineChars="0"/>
              <w:jc w:val="center"/>
              <w:rPr>
                <w:rFonts w:cs="Times New Roman"/>
                <w:color w:val="auto"/>
                <w:sz w:val="21"/>
                <w:highlight w:val="none"/>
              </w:rPr>
            </w:pPr>
          </w:p>
        </w:tc>
      </w:tr>
      <w:tr w14:paraId="51603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restart"/>
            <w:vAlign w:val="center"/>
          </w:tcPr>
          <w:p w14:paraId="1F0EC7CC">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一般</w:t>
            </w:r>
          </w:p>
          <w:p w14:paraId="1513A9C4">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防渗区</w:t>
            </w:r>
          </w:p>
        </w:tc>
        <w:tc>
          <w:tcPr>
            <w:tcW w:w="626" w:type="pct"/>
            <w:shd w:val="clear" w:color="auto" w:fill="D7D7D7"/>
            <w:vAlign w:val="center"/>
          </w:tcPr>
          <w:p w14:paraId="2E6470B6">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弱</w:t>
            </w:r>
          </w:p>
        </w:tc>
        <w:tc>
          <w:tcPr>
            <w:tcW w:w="468" w:type="pct"/>
            <w:shd w:val="clear" w:color="auto" w:fill="D7D7D7"/>
            <w:vAlign w:val="center"/>
          </w:tcPr>
          <w:p w14:paraId="5E44CBE9">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易-难</w:t>
            </w:r>
          </w:p>
        </w:tc>
        <w:tc>
          <w:tcPr>
            <w:tcW w:w="704" w:type="pct"/>
            <w:vMerge w:val="restart"/>
            <w:vAlign w:val="center"/>
          </w:tcPr>
          <w:p w14:paraId="104F82AA">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其他类型</w:t>
            </w:r>
          </w:p>
        </w:tc>
        <w:tc>
          <w:tcPr>
            <w:tcW w:w="1386" w:type="pct"/>
            <w:vMerge w:val="restart"/>
            <w:vAlign w:val="center"/>
          </w:tcPr>
          <w:p w14:paraId="55545F24">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等效黏土防渗层Mb≥1.5m，K≤1×10</w:t>
            </w:r>
            <w:r>
              <w:rPr>
                <w:rFonts w:cs="Times New Roman"/>
                <w:color w:val="auto"/>
                <w:sz w:val="21"/>
                <w:highlight w:val="none"/>
                <w:vertAlign w:val="superscript"/>
              </w:rPr>
              <w:t>-7</w:t>
            </w:r>
            <w:r>
              <w:rPr>
                <w:rFonts w:cs="Times New Roman"/>
                <w:color w:val="auto"/>
                <w:sz w:val="21"/>
                <w:highlight w:val="none"/>
              </w:rPr>
              <w:t>cm/s；或参照GB16889执行</w:t>
            </w:r>
          </w:p>
        </w:tc>
        <w:tc>
          <w:tcPr>
            <w:tcW w:w="1284" w:type="pct"/>
            <w:vMerge w:val="restart"/>
            <w:vAlign w:val="center"/>
          </w:tcPr>
          <w:p w14:paraId="20D2C870">
            <w:pPr>
              <w:pStyle w:val="37"/>
              <w:spacing w:before="62" w:after="62"/>
              <w:rPr>
                <w:color w:val="auto"/>
                <w:highlight w:val="none"/>
              </w:rPr>
            </w:pPr>
            <w:r>
              <w:rPr>
                <w:rFonts w:hint="eastAsia"/>
                <w:color w:val="auto"/>
                <w:highlight w:val="none"/>
              </w:rPr>
              <w:t>碎矿车间、磨矿车间、加工车间、精矿仓库、尾矿仓库、一般固废间、预处理池、洗车区、洗车废水沉淀池、工具间</w:t>
            </w:r>
          </w:p>
        </w:tc>
      </w:tr>
      <w:tr w14:paraId="141A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continue"/>
            <w:vAlign w:val="center"/>
          </w:tcPr>
          <w:p w14:paraId="73BC49DF">
            <w:pPr>
              <w:adjustRightInd w:val="0"/>
              <w:spacing w:line="240" w:lineRule="auto"/>
              <w:ind w:firstLine="0" w:firstLineChars="0"/>
              <w:jc w:val="center"/>
              <w:rPr>
                <w:rFonts w:cs="Times New Roman"/>
                <w:color w:val="auto"/>
                <w:sz w:val="21"/>
                <w:highlight w:val="none"/>
              </w:rPr>
            </w:pPr>
          </w:p>
        </w:tc>
        <w:tc>
          <w:tcPr>
            <w:tcW w:w="626" w:type="pct"/>
            <w:vAlign w:val="center"/>
          </w:tcPr>
          <w:p w14:paraId="196ADED5">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中-强</w:t>
            </w:r>
          </w:p>
        </w:tc>
        <w:tc>
          <w:tcPr>
            <w:tcW w:w="468" w:type="pct"/>
            <w:vAlign w:val="center"/>
          </w:tcPr>
          <w:p w14:paraId="33F35DBB">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难</w:t>
            </w:r>
          </w:p>
        </w:tc>
        <w:tc>
          <w:tcPr>
            <w:tcW w:w="704" w:type="pct"/>
            <w:vMerge w:val="continue"/>
            <w:vAlign w:val="center"/>
          </w:tcPr>
          <w:p w14:paraId="1A5FAC4C">
            <w:pPr>
              <w:adjustRightInd w:val="0"/>
              <w:spacing w:line="240" w:lineRule="auto"/>
              <w:ind w:firstLine="0" w:firstLineChars="0"/>
              <w:jc w:val="center"/>
              <w:rPr>
                <w:rFonts w:cs="Times New Roman"/>
                <w:color w:val="auto"/>
                <w:sz w:val="21"/>
                <w:highlight w:val="none"/>
              </w:rPr>
            </w:pPr>
          </w:p>
        </w:tc>
        <w:tc>
          <w:tcPr>
            <w:tcW w:w="1386" w:type="pct"/>
            <w:vMerge w:val="continue"/>
            <w:vAlign w:val="center"/>
          </w:tcPr>
          <w:p w14:paraId="63619F85">
            <w:pPr>
              <w:adjustRightInd w:val="0"/>
              <w:spacing w:line="240" w:lineRule="auto"/>
              <w:ind w:firstLine="0" w:firstLineChars="0"/>
              <w:jc w:val="center"/>
              <w:rPr>
                <w:rFonts w:cs="Times New Roman"/>
                <w:color w:val="auto"/>
                <w:sz w:val="21"/>
                <w:highlight w:val="none"/>
              </w:rPr>
            </w:pPr>
          </w:p>
        </w:tc>
        <w:tc>
          <w:tcPr>
            <w:tcW w:w="1284" w:type="pct"/>
            <w:vMerge w:val="continue"/>
            <w:vAlign w:val="center"/>
          </w:tcPr>
          <w:p w14:paraId="3331AF32">
            <w:pPr>
              <w:adjustRightInd w:val="0"/>
              <w:spacing w:line="240" w:lineRule="auto"/>
              <w:ind w:firstLine="0" w:firstLineChars="0"/>
              <w:jc w:val="center"/>
              <w:rPr>
                <w:rFonts w:cs="Times New Roman"/>
                <w:color w:val="auto"/>
                <w:sz w:val="21"/>
                <w:highlight w:val="none"/>
              </w:rPr>
            </w:pPr>
          </w:p>
        </w:tc>
      </w:tr>
      <w:tr w14:paraId="6D10C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continue"/>
            <w:vAlign w:val="center"/>
          </w:tcPr>
          <w:p w14:paraId="689C4CB0">
            <w:pPr>
              <w:adjustRightInd w:val="0"/>
              <w:spacing w:line="240" w:lineRule="auto"/>
              <w:ind w:firstLine="0" w:firstLineChars="0"/>
              <w:jc w:val="center"/>
              <w:rPr>
                <w:rFonts w:cs="Times New Roman"/>
                <w:color w:val="auto"/>
                <w:sz w:val="21"/>
                <w:highlight w:val="none"/>
              </w:rPr>
            </w:pPr>
          </w:p>
        </w:tc>
        <w:tc>
          <w:tcPr>
            <w:tcW w:w="626" w:type="pct"/>
            <w:shd w:val="clear" w:color="auto" w:fill="FFFFFF"/>
            <w:vAlign w:val="center"/>
          </w:tcPr>
          <w:p w14:paraId="4F36E4E9">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中</w:t>
            </w:r>
          </w:p>
        </w:tc>
        <w:tc>
          <w:tcPr>
            <w:tcW w:w="468" w:type="pct"/>
            <w:shd w:val="clear" w:color="auto" w:fill="FFFFFF"/>
            <w:vAlign w:val="center"/>
          </w:tcPr>
          <w:p w14:paraId="07F8AAD8">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易</w:t>
            </w:r>
          </w:p>
        </w:tc>
        <w:tc>
          <w:tcPr>
            <w:tcW w:w="704" w:type="pct"/>
            <w:vMerge w:val="restart"/>
            <w:vAlign w:val="center"/>
          </w:tcPr>
          <w:p w14:paraId="69BEDF08">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重金属、持久性有机物污染物</w:t>
            </w:r>
          </w:p>
        </w:tc>
        <w:tc>
          <w:tcPr>
            <w:tcW w:w="1386" w:type="pct"/>
            <w:vMerge w:val="continue"/>
            <w:vAlign w:val="center"/>
          </w:tcPr>
          <w:p w14:paraId="5A7F2972">
            <w:pPr>
              <w:adjustRightInd w:val="0"/>
              <w:spacing w:line="240" w:lineRule="auto"/>
              <w:ind w:firstLine="0" w:firstLineChars="0"/>
              <w:jc w:val="center"/>
              <w:rPr>
                <w:rFonts w:cs="Times New Roman"/>
                <w:color w:val="auto"/>
                <w:sz w:val="21"/>
                <w:highlight w:val="none"/>
              </w:rPr>
            </w:pPr>
          </w:p>
        </w:tc>
        <w:tc>
          <w:tcPr>
            <w:tcW w:w="1284" w:type="pct"/>
            <w:vMerge w:val="continue"/>
            <w:vAlign w:val="center"/>
          </w:tcPr>
          <w:p w14:paraId="5B65D7B3">
            <w:pPr>
              <w:adjustRightInd w:val="0"/>
              <w:spacing w:line="240" w:lineRule="auto"/>
              <w:ind w:firstLine="0" w:firstLineChars="0"/>
              <w:jc w:val="center"/>
              <w:rPr>
                <w:rFonts w:cs="Times New Roman"/>
                <w:color w:val="auto"/>
                <w:sz w:val="21"/>
                <w:highlight w:val="none"/>
              </w:rPr>
            </w:pPr>
          </w:p>
        </w:tc>
      </w:tr>
      <w:tr w14:paraId="26DC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Merge w:val="continue"/>
            <w:vAlign w:val="center"/>
          </w:tcPr>
          <w:p w14:paraId="38A237E1">
            <w:pPr>
              <w:adjustRightInd w:val="0"/>
              <w:spacing w:line="240" w:lineRule="auto"/>
              <w:ind w:firstLine="0" w:firstLineChars="0"/>
              <w:jc w:val="center"/>
              <w:rPr>
                <w:rFonts w:cs="Times New Roman"/>
                <w:color w:val="auto"/>
                <w:sz w:val="21"/>
                <w:highlight w:val="none"/>
              </w:rPr>
            </w:pPr>
          </w:p>
        </w:tc>
        <w:tc>
          <w:tcPr>
            <w:tcW w:w="626" w:type="pct"/>
            <w:vAlign w:val="center"/>
          </w:tcPr>
          <w:p w14:paraId="42469246">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强</w:t>
            </w:r>
          </w:p>
        </w:tc>
        <w:tc>
          <w:tcPr>
            <w:tcW w:w="468" w:type="pct"/>
            <w:vAlign w:val="center"/>
          </w:tcPr>
          <w:p w14:paraId="2866519C">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易</w:t>
            </w:r>
          </w:p>
        </w:tc>
        <w:tc>
          <w:tcPr>
            <w:tcW w:w="704" w:type="pct"/>
            <w:vMerge w:val="continue"/>
            <w:vAlign w:val="center"/>
          </w:tcPr>
          <w:p w14:paraId="7855A0C4">
            <w:pPr>
              <w:adjustRightInd w:val="0"/>
              <w:spacing w:line="240" w:lineRule="auto"/>
              <w:ind w:firstLine="0" w:firstLineChars="0"/>
              <w:jc w:val="center"/>
              <w:rPr>
                <w:rFonts w:cs="Times New Roman"/>
                <w:color w:val="auto"/>
                <w:sz w:val="21"/>
                <w:highlight w:val="none"/>
              </w:rPr>
            </w:pPr>
          </w:p>
        </w:tc>
        <w:tc>
          <w:tcPr>
            <w:tcW w:w="1386" w:type="pct"/>
            <w:vMerge w:val="continue"/>
            <w:vAlign w:val="center"/>
          </w:tcPr>
          <w:p w14:paraId="080569E8">
            <w:pPr>
              <w:adjustRightInd w:val="0"/>
              <w:spacing w:line="240" w:lineRule="auto"/>
              <w:ind w:firstLine="0" w:firstLineChars="0"/>
              <w:jc w:val="center"/>
              <w:rPr>
                <w:rFonts w:cs="Times New Roman"/>
                <w:color w:val="auto"/>
                <w:sz w:val="21"/>
                <w:highlight w:val="none"/>
              </w:rPr>
            </w:pPr>
          </w:p>
        </w:tc>
        <w:tc>
          <w:tcPr>
            <w:tcW w:w="1284" w:type="pct"/>
            <w:vMerge w:val="continue"/>
            <w:vAlign w:val="center"/>
          </w:tcPr>
          <w:p w14:paraId="52BC8F92">
            <w:pPr>
              <w:adjustRightInd w:val="0"/>
              <w:spacing w:line="240" w:lineRule="auto"/>
              <w:ind w:firstLine="0" w:firstLineChars="0"/>
              <w:jc w:val="center"/>
              <w:rPr>
                <w:rFonts w:cs="Times New Roman"/>
                <w:color w:val="auto"/>
                <w:sz w:val="21"/>
                <w:highlight w:val="none"/>
              </w:rPr>
            </w:pPr>
          </w:p>
        </w:tc>
      </w:tr>
      <w:tr w14:paraId="6BBB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9" w:type="pct"/>
            <w:vAlign w:val="center"/>
          </w:tcPr>
          <w:p w14:paraId="79FC0E6F">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简单</w:t>
            </w:r>
          </w:p>
          <w:p w14:paraId="55C2B7B4">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防渗区</w:t>
            </w:r>
          </w:p>
        </w:tc>
        <w:tc>
          <w:tcPr>
            <w:tcW w:w="626" w:type="pct"/>
            <w:vAlign w:val="center"/>
          </w:tcPr>
          <w:p w14:paraId="2A0E4624">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中-强</w:t>
            </w:r>
          </w:p>
        </w:tc>
        <w:tc>
          <w:tcPr>
            <w:tcW w:w="468" w:type="pct"/>
            <w:vAlign w:val="center"/>
          </w:tcPr>
          <w:p w14:paraId="00A58D14">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易</w:t>
            </w:r>
          </w:p>
        </w:tc>
        <w:tc>
          <w:tcPr>
            <w:tcW w:w="704" w:type="pct"/>
            <w:vAlign w:val="center"/>
          </w:tcPr>
          <w:p w14:paraId="6A21DC01">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其他类型</w:t>
            </w:r>
          </w:p>
        </w:tc>
        <w:tc>
          <w:tcPr>
            <w:tcW w:w="1386" w:type="pct"/>
            <w:vAlign w:val="center"/>
          </w:tcPr>
          <w:p w14:paraId="300204DB">
            <w:pPr>
              <w:adjustRightInd w:val="0"/>
              <w:spacing w:line="240" w:lineRule="auto"/>
              <w:ind w:firstLine="0" w:firstLineChars="0"/>
              <w:jc w:val="center"/>
              <w:rPr>
                <w:rFonts w:cs="Times New Roman"/>
                <w:color w:val="auto"/>
                <w:sz w:val="21"/>
                <w:highlight w:val="none"/>
              </w:rPr>
            </w:pPr>
            <w:r>
              <w:rPr>
                <w:rFonts w:cs="Times New Roman"/>
                <w:color w:val="auto"/>
                <w:sz w:val="21"/>
                <w:highlight w:val="none"/>
              </w:rPr>
              <w:t>一般地面硬化</w:t>
            </w:r>
          </w:p>
        </w:tc>
        <w:tc>
          <w:tcPr>
            <w:tcW w:w="1284" w:type="pct"/>
            <w:vAlign w:val="center"/>
          </w:tcPr>
          <w:p w14:paraId="5881197A">
            <w:pPr>
              <w:pStyle w:val="37"/>
              <w:spacing w:before="62" w:after="62"/>
              <w:rPr>
                <w:color w:val="auto"/>
                <w:kern w:val="0"/>
                <w:highlight w:val="none"/>
              </w:rPr>
            </w:pPr>
            <w:r>
              <w:rPr>
                <w:rFonts w:hint="eastAsia"/>
                <w:color w:val="auto"/>
                <w:highlight w:val="none"/>
              </w:rPr>
              <w:t>厂区道路、办公区等其他区域</w:t>
            </w:r>
          </w:p>
        </w:tc>
      </w:tr>
    </w:tbl>
    <w:p w14:paraId="0AC3D49A">
      <w:pPr>
        <w:adjustRightInd w:val="0"/>
        <w:ind w:firstLine="480"/>
        <w:jc w:val="left"/>
        <w:rPr>
          <w:rFonts w:cs="Times New Roman"/>
          <w:color w:val="auto"/>
          <w:kern w:val="0"/>
          <w:szCs w:val="24"/>
          <w:highlight w:val="none"/>
        </w:rPr>
      </w:pPr>
      <w:r>
        <w:rPr>
          <w:rFonts w:cs="Times New Roman"/>
          <w:color w:val="auto"/>
          <w:kern w:val="0"/>
          <w:szCs w:val="24"/>
          <w:highlight w:val="none"/>
        </w:rPr>
        <w:t>综上，根据《环境影响评价技术导则-地下水环境》（HJ610-2016）</w:t>
      </w:r>
      <w:r>
        <w:rPr>
          <w:rFonts w:hint="eastAsia" w:cs="Times New Roman"/>
          <w:color w:val="auto"/>
          <w:kern w:val="0"/>
          <w:szCs w:val="24"/>
          <w:highlight w:val="none"/>
        </w:rPr>
        <w:t>，</w:t>
      </w:r>
      <w:r>
        <w:rPr>
          <w:rFonts w:cs="Times New Roman"/>
          <w:color w:val="auto"/>
          <w:kern w:val="0"/>
          <w:szCs w:val="24"/>
          <w:highlight w:val="none"/>
        </w:rPr>
        <w:t>确定本项目地下水防渗分区结果</w:t>
      </w:r>
      <w:r>
        <w:rPr>
          <w:rFonts w:hint="eastAsia" w:cs="Times New Roman"/>
          <w:color w:val="auto"/>
          <w:kern w:val="0"/>
          <w:szCs w:val="24"/>
          <w:highlight w:val="none"/>
        </w:rPr>
        <w:t>如下：</w:t>
      </w:r>
    </w:p>
    <w:p w14:paraId="15BFC8BA">
      <w:pPr>
        <w:pStyle w:val="12"/>
        <w:rPr>
          <w:color w:val="auto"/>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5</w:t>
      </w:r>
      <w:r>
        <w:rPr>
          <w:color w:val="auto"/>
          <w:highlight w:val="none"/>
        </w:rPr>
        <w:fldChar w:fldCharType="end"/>
      </w:r>
      <w:r>
        <w:rPr>
          <w:rFonts w:hint="eastAsia"/>
          <w:color w:val="auto"/>
          <w:highlight w:val="none"/>
        </w:rPr>
        <w:t>本项目地下水防渗分区划分一览表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8"/>
        <w:gridCol w:w="2487"/>
        <w:gridCol w:w="2114"/>
        <w:gridCol w:w="3281"/>
      </w:tblGrid>
      <w:tr w14:paraId="489B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0" w:type="pct"/>
            <w:tcBorders>
              <w:top w:val="single" w:color="auto" w:sz="4" w:space="0"/>
              <w:left w:val="single" w:color="auto" w:sz="4" w:space="0"/>
              <w:bottom w:val="single" w:color="auto" w:sz="4" w:space="0"/>
              <w:right w:val="single" w:color="auto" w:sz="4" w:space="0"/>
            </w:tcBorders>
            <w:vAlign w:val="center"/>
          </w:tcPr>
          <w:p w14:paraId="7984448F">
            <w:pPr>
              <w:pStyle w:val="37"/>
              <w:spacing w:before="62" w:after="62"/>
              <w:rPr>
                <w:b/>
                <w:bCs/>
                <w:color w:val="auto"/>
                <w:highlight w:val="none"/>
              </w:rPr>
            </w:pPr>
            <w:r>
              <w:rPr>
                <w:rFonts w:hint="eastAsia"/>
                <w:b/>
                <w:bCs/>
                <w:color w:val="auto"/>
                <w:highlight w:val="none"/>
              </w:rPr>
              <w:t>分区类别</w:t>
            </w:r>
          </w:p>
        </w:tc>
        <w:tc>
          <w:tcPr>
            <w:tcW w:w="1372" w:type="pct"/>
            <w:tcBorders>
              <w:top w:val="single" w:color="auto" w:sz="4" w:space="0"/>
              <w:left w:val="single" w:color="auto" w:sz="4" w:space="0"/>
              <w:bottom w:val="single" w:color="auto" w:sz="4" w:space="0"/>
              <w:right w:val="single" w:color="auto" w:sz="4" w:space="0"/>
            </w:tcBorders>
            <w:vAlign w:val="center"/>
          </w:tcPr>
          <w:p w14:paraId="62471C9B">
            <w:pPr>
              <w:pStyle w:val="37"/>
              <w:spacing w:before="62" w:after="62"/>
              <w:rPr>
                <w:b/>
                <w:bCs/>
                <w:color w:val="auto"/>
                <w:highlight w:val="none"/>
              </w:rPr>
            </w:pPr>
            <w:r>
              <w:rPr>
                <w:rFonts w:hint="eastAsia"/>
                <w:b/>
                <w:bCs/>
                <w:color w:val="auto"/>
                <w:highlight w:val="none"/>
              </w:rPr>
              <w:t>区域</w:t>
            </w:r>
          </w:p>
        </w:tc>
        <w:tc>
          <w:tcPr>
            <w:tcW w:w="1166" w:type="pct"/>
            <w:tcBorders>
              <w:top w:val="single" w:color="auto" w:sz="4" w:space="0"/>
              <w:left w:val="single" w:color="auto" w:sz="4" w:space="0"/>
              <w:bottom w:val="single" w:color="auto" w:sz="4" w:space="0"/>
              <w:right w:val="single" w:color="auto" w:sz="4" w:space="0"/>
            </w:tcBorders>
            <w:vAlign w:val="center"/>
          </w:tcPr>
          <w:p w14:paraId="5D214D7C">
            <w:pPr>
              <w:pStyle w:val="37"/>
              <w:spacing w:before="62" w:after="62"/>
              <w:rPr>
                <w:b/>
                <w:bCs/>
                <w:color w:val="auto"/>
                <w:highlight w:val="none"/>
              </w:rPr>
            </w:pPr>
            <w:r>
              <w:rPr>
                <w:rFonts w:hint="eastAsia"/>
                <w:b/>
                <w:bCs/>
                <w:color w:val="auto"/>
                <w:highlight w:val="none"/>
              </w:rPr>
              <w:t>防渗要求</w:t>
            </w:r>
          </w:p>
        </w:tc>
        <w:tc>
          <w:tcPr>
            <w:tcW w:w="1810" w:type="pct"/>
            <w:tcBorders>
              <w:top w:val="single" w:color="auto" w:sz="4" w:space="0"/>
              <w:left w:val="single" w:color="auto" w:sz="4" w:space="0"/>
              <w:bottom w:val="single" w:color="auto" w:sz="4" w:space="0"/>
              <w:right w:val="single" w:color="auto" w:sz="4" w:space="0"/>
            </w:tcBorders>
            <w:vAlign w:val="center"/>
          </w:tcPr>
          <w:p w14:paraId="61A66C74">
            <w:pPr>
              <w:pStyle w:val="37"/>
              <w:spacing w:before="62" w:after="62"/>
              <w:rPr>
                <w:b/>
                <w:bCs/>
                <w:color w:val="auto"/>
                <w:highlight w:val="none"/>
              </w:rPr>
            </w:pPr>
            <w:r>
              <w:rPr>
                <w:rFonts w:hint="eastAsia"/>
                <w:b/>
                <w:bCs/>
                <w:color w:val="auto"/>
                <w:highlight w:val="none"/>
              </w:rPr>
              <w:t>防渗措施</w:t>
            </w:r>
          </w:p>
        </w:tc>
      </w:tr>
      <w:tr w14:paraId="1A5C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650" w:type="pct"/>
            <w:tcBorders>
              <w:top w:val="single" w:color="auto" w:sz="4" w:space="0"/>
              <w:left w:val="single" w:color="auto" w:sz="4" w:space="0"/>
              <w:bottom w:val="single" w:color="auto" w:sz="4" w:space="0"/>
              <w:right w:val="single" w:color="auto" w:sz="4" w:space="0"/>
            </w:tcBorders>
            <w:vAlign w:val="center"/>
          </w:tcPr>
          <w:p w14:paraId="1452F070">
            <w:pPr>
              <w:pStyle w:val="37"/>
              <w:spacing w:before="62" w:after="62"/>
              <w:rPr>
                <w:color w:val="auto"/>
                <w:highlight w:val="none"/>
              </w:rPr>
            </w:pPr>
            <w:r>
              <w:rPr>
                <w:rFonts w:hint="eastAsia"/>
                <w:color w:val="auto"/>
                <w:highlight w:val="none"/>
              </w:rPr>
              <w:t>重点防渗区</w:t>
            </w:r>
          </w:p>
        </w:tc>
        <w:tc>
          <w:tcPr>
            <w:tcW w:w="1372" w:type="pct"/>
            <w:tcBorders>
              <w:top w:val="single" w:color="auto" w:sz="4" w:space="0"/>
              <w:left w:val="single" w:color="auto" w:sz="4" w:space="0"/>
              <w:right w:val="single" w:color="auto" w:sz="4" w:space="0"/>
            </w:tcBorders>
            <w:vAlign w:val="center"/>
          </w:tcPr>
          <w:p w14:paraId="4CDEB767">
            <w:pPr>
              <w:pStyle w:val="37"/>
              <w:spacing w:before="62" w:after="62"/>
              <w:rPr>
                <w:color w:val="auto"/>
                <w:highlight w:val="none"/>
              </w:rPr>
            </w:pPr>
            <w:r>
              <w:rPr>
                <w:rFonts w:hint="eastAsia"/>
                <w:color w:val="auto"/>
                <w:highlight w:val="none"/>
              </w:rPr>
              <w:t>生产废水处理区、危废暂存间、事故应急池、药剂库、初期雨水池、压滤车间等</w:t>
            </w:r>
          </w:p>
        </w:tc>
        <w:tc>
          <w:tcPr>
            <w:tcW w:w="1166" w:type="pct"/>
            <w:tcBorders>
              <w:top w:val="single" w:color="auto" w:sz="4" w:space="0"/>
              <w:left w:val="single" w:color="auto" w:sz="4" w:space="0"/>
              <w:bottom w:val="single" w:color="auto" w:sz="4" w:space="0"/>
              <w:right w:val="single" w:color="auto" w:sz="4" w:space="0"/>
            </w:tcBorders>
            <w:vAlign w:val="center"/>
          </w:tcPr>
          <w:p w14:paraId="172EC589">
            <w:pPr>
              <w:pStyle w:val="37"/>
              <w:spacing w:before="62" w:after="62"/>
              <w:rPr>
                <w:color w:val="auto"/>
                <w:highlight w:val="none"/>
              </w:rPr>
            </w:pPr>
            <w:r>
              <w:rPr>
                <w:rFonts w:hint="eastAsia"/>
                <w:color w:val="auto"/>
                <w:highlight w:val="none"/>
              </w:rPr>
              <w:t>等效黏土防渗层</w:t>
            </w:r>
            <w:r>
              <w:rPr>
                <w:color w:val="auto"/>
                <w:highlight w:val="none"/>
              </w:rPr>
              <w:t>Mb≥6.0m</w:t>
            </w:r>
            <w:r>
              <w:rPr>
                <w:rFonts w:hint="eastAsia"/>
                <w:color w:val="auto"/>
                <w:highlight w:val="none"/>
              </w:rPr>
              <w:t>，</w:t>
            </w:r>
            <w:r>
              <w:rPr>
                <w:color w:val="auto"/>
                <w:highlight w:val="none"/>
              </w:rPr>
              <w:t>K≤1×10</w:t>
            </w:r>
            <w:r>
              <w:rPr>
                <w:color w:val="auto"/>
                <w:highlight w:val="none"/>
                <w:vertAlign w:val="superscript"/>
              </w:rPr>
              <w:t>-7</w:t>
            </w:r>
            <w:r>
              <w:rPr>
                <w:color w:val="auto"/>
                <w:highlight w:val="none"/>
              </w:rPr>
              <w:t>cm/s</w:t>
            </w:r>
            <w:r>
              <w:rPr>
                <w:rFonts w:hint="eastAsia"/>
                <w:color w:val="auto"/>
                <w:highlight w:val="none"/>
              </w:rPr>
              <w:t>；或参照</w:t>
            </w:r>
            <w:r>
              <w:rPr>
                <w:color w:val="auto"/>
                <w:highlight w:val="none"/>
              </w:rPr>
              <w:t>GB18597</w:t>
            </w:r>
            <w:r>
              <w:rPr>
                <w:rFonts w:hint="eastAsia"/>
                <w:color w:val="auto"/>
                <w:highlight w:val="none"/>
              </w:rPr>
              <w:t>执行</w:t>
            </w:r>
          </w:p>
        </w:tc>
        <w:tc>
          <w:tcPr>
            <w:tcW w:w="1810" w:type="pct"/>
            <w:tcBorders>
              <w:top w:val="single" w:color="auto" w:sz="4" w:space="0"/>
              <w:left w:val="single" w:color="auto" w:sz="4" w:space="0"/>
              <w:bottom w:val="single" w:color="auto" w:sz="4" w:space="0"/>
              <w:right w:val="single" w:color="auto" w:sz="4" w:space="0"/>
            </w:tcBorders>
            <w:vAlign w:val="center"/>
          </w:tcPr>
          <w:p w14:paraId="785CC772">
            <w:pPr>
              <w:pStyle w:val="37"/>
              <w:spacing w:before="62" w:after="62"/>
              <w:rPr>
                <w:color w:val="auto"/>
                <w:highlight w:val="none"/>
                <w:lang w:val="zh-CN"/>
              </w:rPr>
            </w:pPr>
            <w:r>
              <w:rPr>
                <w:rFonts w:hint="eastAsia"/>
                <w:color w:val="auto"/>
                <w:highlight w:val="none"/>
              </w:rPr>
              <w:t>采用20cm厚的P8抗渗混凝土；危废暂存间和药剂库增设不锈钢金属托盘；污水输送管道采用高强度防腐材质。</w:t>
            </w:r>
          </w:p>
        </w:tc>
      </w:tr>
      <w:tr w14:paraId="6BA2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50" w:type="pct"/>
            <w:tcBorders>
              <w:top w:val="single" w:color="auto" w:sz="4" w:space="0"/>
              <w:left w:val="single" w:color="auto" w:sz="4" w:space="0"/>
              <w:bottom w:val="single" w:color="auto" w:sz="4" w:space="0"/>
              <w:right w:val="single" w:color="auto" w:sz="4" w:space="0"/>
            </w:tcBorders>
            <w:vAlign w:val="center"/>
          </w:tcPr>
          <w:p w14:paraId="65E1F47C">
            <w:pPr>
              <w:pStyle w:val="37"/>
              <w:spacing w:before="62" w:after="62"/>
              <w:rPr>
                <w:color w:val="auto"/>
                <w:highlight w:val="none"/>
              </w:rPr>
            </w:pPr>
            <w:r>
              <w:rPr>
                <w:rFonts w:hint="eastAsia"/>
                <w:color w:val="auto"/>
                <w:highlight w:val="none"/>
              </w:rPr>
              <w:t>一般防渗区</w:t>
            </w:r>
          </w:p>
        </w:tc>
        <w:tc>
          <w:tcPr>
            <w:tcW w:w="1372" w:type="pct"/>
            <w:tcBorders>
              <w:top w:val="single" w:color="auto" w:sz="4" w:space="0"/>
              <w:left w:val="single" w:color="auto" w:sz="4" w:space="0"/>
              <w:right w:val="single" w:color="auto" w:sz="4" w:space="0"/>
            </w:tcBorders>
            <w:vAlign w:val="center"/>
          </w:tcPr>
          <w:p w14:paraId="286D2399">
            <w:pPr>
              <w:pStyle w:val="37"/>
              <w:spacing w:before="62" w:after="62"/>
              <w:rPr>
                <w:color w:val="auto"/>
                <w:highlight w:val="none"/>
              </w:rPr>
            </w:pPr>
            <w:r>
              <w:rPr>
                <w:rFonts w:hint="eastAsia"/>
                <w:color w:val="auto"/>
                <w:highlight w:val="none"/>
              </w:rPr>
              <w:t>碎矿车间、磨矿车间、加工车间、压滤车间、精矿仓库、尾矿仓库、一般固废间、预处理池、洗车区、洗车废水沉淀池、工具间</w:t>
            </w:r>
          </w:p>
        </w:tc>
        <w:tc>
          <w:tcPr>
            <w:tcW w:w="1166" w:type="pct"/>
            <w:tcBorders>
              <w:top w:val="single" w:color="auto" w:sz="4" w:space="0"/>
              <w:left w:val="single" w:color="auto" w:sz="4" w:space="0"/>
              <w:bottom w:val="single" w:color="auto" w:sz="4" w:space="0"/>
              <w:right w:val="single" w:color="auto" w:sz="4" w:space="0"/>
            </w:tcBorders>
            <w:vAlign w:val="center"/>
          </w:tcPr>
          <w:p w14:paraId="7DFB634B">
            <w:pPr>
              <w:pStyle w:val="37"/>
              <w:spacing w:before="62" w:after="62"/>
              <w:rPr>
                <w:color w:val="auto"/>
                <w:highlight w:val="none"/>
              </w:rPr>
            </w:pPr>
            <w:r>
              <w:rPr>
                <w:rFonts w:hint="eastAsia"/>
                <w:color w:val="auto"/>
                <w:highlight w:val="none"/>
              </w:rPr>
              <w:t>等效黏土防渗层</w:t>
            </w:r>
            <w:r>
              <w:rPr>
                <w:color w:val="auto"/>
                <w:highlight w:val="none"/>
              </w:rPr>
              <w:t>Mb≥1.5m</w:t>
            </w:r>
            <w:r>
              <w:rPr>
                <w:rFonts w:hint="eastAsia"/>
                <w:color w:val="auto"/>
                <w:highlight w:val="none"/>
              </w:rPr>
              <w:t>，</w:t>
            </w:r>
            <w:r>
              <w:rPr>
                <w:color w:val="auto"/>
                <w:highlight w:val="none"/>
              </w:rPr>
              <w:t>K≤1×10</w:t>
            </w:r>
            <w:r>
              <w:rPr>
                <w:color w:val="auto"/>
                <w:highlight w:val="none"/>
                <w:vertAlign w:val="superscript"/>
              </w:rPr>
              <w:t>-7</w:t>
            </w:r>
            <w:r>
              <w:rPr>
                <w:color w:val="auto"/>
                <w:highlight w:val="none"/>
              </w:rPr>
              <w:t>cm/s</w:t>
            </w:r>
            <w:r>
              <w:rPr>
                <w:rFonts w:hint="eastAsia"/>
                <w:color w:val="auto"/>
                <w:highlight w:val="none"/>
              </w:rPr>
              <w:t>；或参照</w:t>
            </w:r>
            <w:r>
              <w:rPr>
                <w:color w:val="auto"/>
                <w:highlight w:val="none"/>
              </w:rPr>
              <w:t>GB16889</w:t>
            </w:r>
            <w:r>
              <w:rPr>
                <w:rFonts w:hint="eastAsia"/>
                <w:color w:val="auto"/>
                <w:highlight w:val="none"/>
              </w:rPr>
              <w:t>执行</w:t>
            </w:r>
          </w:p>
        </w:tc>
        <w:tc>
          <w:tcPr>
            <w:tcW w:w="1810" w:type="pct"/>
            <w:tcBorders>
              <w:top w:val="single" w:color="auto" w:sz="4" w:space="0"/>
              <w:left w:val="single" w:color="auto" w:sz="4" w:space="0"/>
              <w:bottom w:val="single" w:color="auto" w:sz="4" w:space="0"/>
              <w:right w:val="single" w:color="auto" w:sz="4" w:space="0"/>
            </w:tcBorders>
            <w:vAlign w:val="center"/>
          </w:tcPr>
          <w:p w14:paraId="301D35B9">
            <w:pPr>
              <w:pStyle w:val="37"/>
              <w:spacing w:before="62" w:after="62"/>
              <w:rPr>
                <w:color w:val="auto"/>
                <w:highlight w:val="none"/>
                <w:lang w:val="zh-CN"/>
              </w:rPr>
            </w:pPr>
            <w:r>
              <w:rPr>
                <w:rFonts w:hint="eastAsia"/>
                <w:color w:val="auto"/>
                <w:highlight w:val="none"/>
              </w:rPr>
              <w:t>采用20cm厚的P6抗渗混凝土</w:t>
            </w:r>
          </w:p>
        </w:tc>
      </w:tr>
      <w:tr w14:paraId="3008B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0" w:type="pct"/>
            <w:tcBorders>
              <w:top w:val="single" w:color="auto" w:sz="4" w:space="0"/>
              <w:left w:val="single" w:color="auto" w:sz="4" w:space="0"/>
              <w:bottom w:val="single" w:color="auto" w:sz="4" w:space="0"/>
              <w:right w:val="single" w:color="auto" w:sz="4" w:space="0"/>
            </w:tcBorders>
            <w:vAlign w:val="center"/>
          </w:tcPr>
          <w:p w14:paraId="5FF5AA4E">
            <w:pPr>
              <w:pStyle w:val="37"/>
              <w:spacing w:before="62" w:after="62"/>
              <w:rPr>
                <w:color w:val="auto"/>
                <w:highlight w:val="none"/>
              </w:rPr>
            </w:pPr>
            <w:r>
              <w:rPr>
                <w:rFonts w:hint="eastAsia"/>
                <w:color w:val="auto"/>
                <w:highlight w:val="none"/>
              </w:rPr>
              <w:t>简单防渗区</w:t>
            </w:r>
          </w:p>
        </w:tc>
        <w:tc>
          <w:tcPr>
            <w:tcW w:w="1372" w:type="pct"/>
            <w:tcBorders>
              <w:top w:val="single" w:color="auto" w:sz="4" w:space="0"/>
              <w:left w:val="single" w:color="auto" w:sz="4" w:space="0"/>
              <w:bottom w:val="single" w:color="auto" w:sz="4" w:space="0"/>
              <w:right w:val="single" w:color="auto" w:sz="4" w:space="0"/>
            </w:tcBorders>
            <w:vAlign w:val="center"/>
          </w:tcPr>
          <w:p w14:paraId="6E936D71">
            <w:pPr>
              <w:pStyle w:val="37"/>
              <w:spacing w:before="62" w:after="62"/>
              <w:rPr>
                <w:color w:val="auto"/>
                <w:highlight w:val="none"/>
              </w:rPr>
            </w:pPr>
            <w:r>
              <w:rPr>
                <w:rFonts w:hint="eastAsia"/>
                <w:color w:val="auto"/>
                <w:highlight w:val="none"/>
              </w:rPr>
              <w:t>厂区道路、办公区等其他区域</w:t>
            </w:r>
          </w:p>
        </w:tc>
        <w:tc>
          <w:tcPr>
            <w:tcW w:w="1166" w:type="pct"/>
            <w:tcBorders>
              <w:top w:val="single" w:color="auto" w:sz="4" w:space="0"/>
              <w:left w:val="single" w:color="auto" w:sz="4" w:space="0"/>
              <w:bottom w:val="single" w:color="auto" w:sz="4" w:space="0"/>
              <w:right w:val="single" w:color="auto" w:sz="4" w:space="0"/>
            </w:tcBorders>
            <w:vAlign w:val="center"/>
          </w:tcPr>
          <w:p w14:paraId="28DA729A">
            <w:pPr>
              <w:pStyle w:val="37"/>
              <w:spacing w:before="62" w:after="62"/>
              <w:rPr>
                <w:color w:val="auto"/>
                <w:highlight w:val="none"/>
              </w:rPr>
            </w:pPr>
            <w:r>
              <w:rPr>
                <w:rFonts w:hint="eastAsia"/>
                <w:color w:val="auto"/>
                <w:highlight w:val="none"/>
              </w:rPr>
              <w:t>一般硬化</w:t>
            </w:r>
          </w:p>
        </w:tc>
        <w:tc>
          <w:tcPr>
            <w:tcW w:w="1810" w:type="pct"/>
            <w:tcBorders>
              <w:top w:val="single" w:color="auto" w:sz="4" w:space="0"/>
              <w:left w:val="single" w:color="auto" w:sz="4" w:space="0"/>
              <w:bottom w:val="single" w:color="auto" w:sz="4" w:space="0"/>
              <w:right w:val="single" w:color="auto" w:sz="4" w:space="0"/>
            </w:tcBorders>
            <w:vAlign w:val="center"/>
          </w:tcPr>
          <w:p w14:paraId="5F6B3CCF">
            <w:pPr>
              <w:pStyle w:val="37"/>
              <w:spacing w:before="62" w:after="62"/>
              <w:rPr>
                <w:color w:val="auto"/>
                <w:highlight w:val="none"/>
              </w:rPr>
            </w:pPr>
            <w:r>
              <w:rPr>
                <w:color w:val="auto"/>
                <w:highlight w:val="none"/>
              </w:rPr>
              <w:t>一般</w:t>
            </w:r>
            <w:r>
              <w:rPr>
                <w:rFonts w:hint="eastAsia"/>
                <w:color w:val="auto"/>
                <w:highlight w:val="none"/>
              </w:rPr>
              <w:t>地面</w:t>
            </w:r>
            <w:r>
              <w:rPr>
                <w:color w:val="auto"/>
                <w:highlight w:val="none"/>
              </w:rPr>
              <w:t>硬化</w:t>
            </w:r>
          </w:p>
        </w:tc>
      </w:tr>
    </w:tbl>
    <w:p w14:paraId="59DDF60D">
      <w:pPr>
        <w:pStyle w:val="5"/>
        <w:rPr>
          <w:color w:val="auto"/>
          <w:highlight w:val="none"/>
          <w:lang w:val="zh-CN"/>
        </w:rPr>
      </w:pPr>
      <w:r>
        <w:rPr>
          <w:rFonts w:hint="eastAsia"/>
          <w:color w:val="auto"/>
          <w:highlight w:val="none"/>
          <w:lang w:val="zh-CN"/>
        </w:rPr>
        <w:t>防治措施可行性论证</w:t>
      </w:r>
    </w:p>
    <w:p w14:paraId="33353188">
      <w:pPr>
        <w:ind w:firstLine="482"/>
        <w:rPr>
          <w:b/>
          <w:bCs/>
          <w:color w:val="auto"/>
          <w:highlight w:val="none"/>
        </w:rPr>
      </w:pPr>
      <w:r>
        <w:rPr>
          <w:rFonts w:hint="eastAsia"/>
          <w:b/>
          <w:bCs/>
          <w:color w:val="auto"/>
          <w:highlight w:val="none"/>
        </w:rPr>
        <w:t>（一）源头控制可行性论证</w:t>
      </w:r>
    </w:p>
    <w:p w14:paraId="1AB9FBF6">
      <w:pPr>
        <w:adjustRightInd w:val="0"/>
        <w:ind w:firstLine="480" w:firstLineChars="0"/>
        <w:rPr>
          <w:rFonts w:cs="Times New Roman"/>
          <w:color w:val="auto"/>
          <w:szCs w:val="24"/>
          <w:highlight w:val="none"/>
        </w:rPr>
      </w:pPr>
      <w:r>
        <w:rPr>
          <w:rFonts w:hint="eastAsia" w:cs="Times New Roman"/>
          <w:color w:val="auto"/>
          <w:szCs w:val="24"/>
          <w:highlight w:val="none"/>
        </w:rPr>
        <w:t>类比现有工程，</w:t>
      </w:r>
      <w:r>
        <w:rPr>
          <w:rFonts w:cs="Times New Roman"/>
          <w:color w:val="auto"/>
          <w:szCs w:val="24"/>
          <w:highlight w:val="none"/>
        </w:rPr>
        <w:t>污水处理构筑物、管网地下水污染防治措施严格按照GB16889、GB18597、GB18598、GB18599、GB/T50934等相关规范要求进行设计建设</w:t>
      </w:r>
      <w:r>
        <w:rPr>
          <w:rFonts w:hint="eastAsia" w:cs="Times New Roman"/>
          <w:color w:val="auto"/>
          <w:szCs w:val="24"/>
          <w:highlight w:val="none"/>
        </w:rPr>
        <w:t>，</w:t>
      </w:r>
      <w:r>
        <w:rPr>
          <w:rFonts w:cs="Times New Roman"/>
          <w:color w:val="auto"/>
          <w:szCs w:val="24"/>
          <w:highlight w:val="none"/>
        </w:rPr>
        <w:t>凡是与污水接触的部件均采用不锈钢、PVC、ABS等防腐材质</w:t>
      </w:r>
      <w:r>
        <w:rPr>
          <w:rFonts w:hint="eastAsia" w:cs="Times New Roman"/>
          <w:color w:val="auto"/>
          <w:szCs w:val="24"/>
          <w:highlight w:val="none"/>
        </w:rPr>
        <w:t>；</w:t>
      </w:r>
      <w:r>
        <w:rPr>
          <w:rFonts w:cs="Times New Roman"/>
          <w:color w:val="auto"/>
          <w:szCs w:val="24"/>
          <w:highlight w:val="none"/>
        </w:rPr>
        <w:t>所有阀体（空气管道除外），包括自动阀、切换阀、球阀等均为PVC、衬胶等防腐材质</w:t>
      </w:r>
      <w:r>
        <w:rPr>
          <w:rFonts w:hint="eastAsia" w:cs="Times New Roman"/>
          <w:color w:val="auto"/>
          <w:szCs w:val="24"/>
          <w:highlight w:val="none"/>
        </w:rPr>
        <w:t>；</w:t>
      </w:r>
      <w:r>
        <w:rPr>
          <w:rFonts w:cs="Times New Roman"/>
          <w:color w:val="auto"/>
          <w:szCs w:val="24"/>
          <w:highlight w:val="none"/>
        </w:rPr>
        <w:t>定期进行</w:t>
      </w:r>
      <w:r>
        <w:rPr>
          <w:rFonts w:hint="eastAsia" w:cs="Times New Roman"/>
          <w:color w:val="auto"/>
          <w:szCs w:val="24"/>
          <w:highlight w:val="none"/>
        </w:rPr>
        <w:t>检漏检测</w:t>
      </w:r>
      <w:r>
        <w:rPr>
          <w:rFonts w:cs="Times New Roman"/>
          <w:color w:val="auto"/>
          <w:szCs w:val="24"/>
          <w:highlight w:val="none"/>
        </w:rPr>
        <w:t>及检修</w:t>
      </w:r>
      <w:r>
        <w:rPr>
          <w:rFonts w:hint="eastAsia" w:cs="Times New Roman"/>
          <w:color w:val="auto"/>
          <w:szCs w:val="24"/>
          <w:highlight w:val="none"/>
        </w:rPr>
        <w:t>；</w:t>
      </w:r>
      <w:r>
        <w:rPr>
          <w:rFonts w:cs="Times New Roman"/>
          <w:color w:val="auto"/>
          <w:szCs w:val="24"/>
          <w:highlight w:val="none"/>
        </w:rPr>
        <w:t>强化各相关工程的转弯、承插、对接等处的防渗，</w:t>
      </w:r>
      <w:r>
        <w:rPr>
          <w:rFonts w:hint="eastAsia" w:cs="Times New Roman"/>
          <w:color w:val="auto"/>
          <w:szCs w:val="24"/>
          <w:highlight w:val="none"/>
        </w:rPr>
        <w:t>做好</w:t>
      </w:r>
      <w:r>
        <w:rPr>
          <w:rFonts w:cs="Times New Roman"/>
          <w:color w:val="auto"/>
          <w:szCs w:val="24"/>
          <w:highlight w:val="none"/>
        </w:rPr>
        <w:t>隐蔽工程记录，强化防渗工程的环境管理。</w:t>
      </w:r>
    </w:p>
    <w:p w14:paraId="6C03BFC4">
      <w:pPr>
        <w:adjustRightInd w:val="0"/>
        <w:ind w:firstLine="480" w:firstLineChars="0"/>
        <w:rPr>
          <w:rFonts w:cs="Times New Roman"/>
          <w:color w:val="auto"/>
          <w:szCs w:val="24"/>
          <w:highlight w:val="none"/>
        </w:rPr>
      </w:pPr>
      <w:r>
        <w:rPr>
          <w:rFonts w:cs="Times New Roman"/>
          <w:color w:val="auto"/>
          <w:szCs w:val="24"/>
          <w:highlight w:val="none"/>
        </w:rPr>
        <w:t>采取上述措施后，可有效地避免污染物</w:t>
      </w:r>
      <w:r>
        <w:rPr>
          <w:rFonts w:hint="eastAsia" w:cs="Times New Roman"/>
          <w:color w:val="auto"/>
          <w:szCs w:val="24"/>
          <w:highlight w:val="none"/>
        </w:rPr>
        <w:t>跑冒滴漏，从源头上减少了对地下水的不良影响，源头控制措施可行。</w:t>
      </w:r>
    </w:p>
    <w:p w14:paraId="66E0B345">
      <w:pPr>
        <w:ind w:firstLine="482"/>
        <w:rPr>
          <w:b/>
          <w:bCs/>
          <w:color w:val="auto"/>
          <w:highlight w:val="none"/>
        </w:rPr>
      </w:pPr>
      <w:r>
        <w:rPr>
          <w:rFonts w:hint="eastAsia"/>
          <w:b/>
          <w:bCs/>
          <w:color w:val="auto"/>
          <w:highlight w:val="none"/>
        </w:rPr>
        <w:t>（二）分区防渗可行性论证</w:t>
      </w:r>
    </w:p>
    <w:p w14:paraId="554A3BA7">
      <w:pPr>
        <w:adjustRightInd w:val="0"/>
        <w:ind w:firstLine="480" w:firstLineChars="0"/>
        <w:rPr>
          <w:rFonts w:cs="Times New Roman"/>
          <w:color w:val="auto"/>
          <w:szCs w:val="24"/>
          <w:highlight w:val="none"/>
        </w:rPr>
      </w:pPr>
      <w:r>
        <w:rPr>
          <w:rFonts w:cs="Times New Roman"/>
          <w:color w:val="auto"/>
          <w:szCs w:val="24"/>
          <w:highlight w:val="none"/>
        </w:rPr>
        <w:t>本项目</w:t>
      </w:r>
      <w:r>
        <w:rPr>
          <w:rFonts w:hint="eastAsia" w:cs="Times New Roman"/>
          <w:color w:val="auto"/>
          <w:szCs w:val="24"/>
          <w:highlight w:val="none"/>
        </w:rPr>
        <w:t>重点防渗区在现有天然防渗层的基础上，</w:t>
      </w:r>
      <w:r>
        <w:rPr>
          <w:rFonts w:cs="Times New Roman"/>
          <w:color w:val="auto"/>
          <w:szCs w:val="24"/>
          <w:highlight w:val="none"/>
        </w:rPr>
        <w:t>采取</w:t>
      </w:r>
      <w:r>
        <w:rPr>
          <w:rFonts w:hint="eastAsia" w:cs="Times New Roman"/>
          <w:color w:val="auto"/>
          <w:szCs w:val="24"/>
          <w:highlight w:val="none"/>
        </w:rPr>
        <w:t>抗渗混凝土；危废暂存间和药剂库增设不锈钢金属托盘；污水输送管道采用高强度防腐材质，其性能和特点如下：</w:t>
      </w:r>
    </w:p>
    <w:p w14:paraId="1BDF4A7D">
      <w:pPr>
        <w:adjustRightInd w:val="0"/>
        <w:ind w:firstLine="480" w:firstLineChars="0"/>
        <w:rPr>
          <w:rFonts w:cs="Times New Roman"/>
          <w:color w:val="auto"/>
          <w:szCs w:val="24"/>
          <w:highlight w:val="none"/>
        </w:rPr>
      </w:pPr>
      <w:r>
        <w:rPr>
          <w:rFonts w:hint="eastAsia" w:cs="Times New Roman"/>
          <w:color w:val="auto"/>
          <w:szCs w:val="24"/>
          <w:highlight w:val="none"/>
        </w:rPr>
        <w:t>抗渗混凝土</w:t>
      </w:r>
      <w:r>
        <w:rPr>
          <w:rFonts w:cs="Times New Roman"/>
          <w:color w:val="auto"/>
          <w:szCs w:val="24"/>
          <w:highlight w:val="none"/>
        </w:rPr>
        <w:t>主要特点如下</w:t>
      </w:r>
      <w:r>
        <w:rPr>
          <w:rFonts w:hint="eastAsia" w:cs="Times New Roman"/>
          <w:color w:val="auto"/>
          <w:szCs w:val="24"/>
          <w:highlight w:val="none"/>
        </w:rPr>
        <w:t>：</w:t>
      </w:r>
    </w:p>
    <w:p w14:paraId="60396890">
      <w:pPr>
        <w:numPr>
          <w:ilvl w:val="0"/>
          <w:numId w:val="11"/>
        </w:numPr>
        <w:adjustRightInd w:val="0"/>
        <w:ind w:firstLine="480" w:firstLineChars="0"/>
        <w:rPr>
          <w:rFonts w:cs="Times New Roman"/>
          <w:color w:val="auto"/>
          <w:szCs w:val="24"/>
          <w:highlight w:val="none"/>
        </w:rPr>
      </w:pPr>
      <w:r>
        <w:rPr>
          <w:rFonts w:hint="eastAsia" w:cs="Times New Roman"/>
          <w:color w:val="auto"/>
          <w:szCs w:val="24"/>
          <w:highlight w:val="none"/>
        </w:rPr>
        <w:t>P8抗渗混凝土的核心防渗能力是能抵御0.8Mpa水压，构建致密内部结构，阻断渗水通道，通过优化配合比（降低水胶比、掺和粉煤灰/矿粉等矿物掺和料、添加高效减水剂），减少内部毛细孔隙、封闭连通空隙，同时抑制裂缝产生，让水分难以渗透，防渗能力可以达到等效黏土防渗层</w:t>
      </w:r>
      <w:r>
        <w:rPr>
          <w:rFonts w:cs="Times New Roman"/>
          <w:color w:val="auto"/>
          <w:szCs w:val="24"/>
          <w:highlight w:val="none"/>
        </w:rPr>
        <w:t>Mb≥6.0m</w:t>
      </w:r>
      <w:r>
        <w:rPr>
          <w:rFonts w:hint="eastAsia" w:cs="Times New Roman"/>
          <w:color w:val="auto"/>
          <w:szCs w:val="24"/>
          <w:highlight w:val="none"/>
        </w:rPr>
        <w:t>，</w:t>
      </w:r>
      <w:r>
        <w:rPr>
          <w:rFonts w:cs="Times New Roman"/>
          <w:color w:val="auto"/>
          <w:szCs w:val="24"/>
          <w:highlight w:val="none"/>
        </w:rPr>
        <w:t>K≤1×10</w:t>
      </w:r>
      <w:r>
        <w:rPr>
          <w:rFonts w:cs="Times New Roman"/>
          <w:color w:val="auto"/>
          <w:szCs w:val="24"/>
          <w:highlight w:val="none"/>
          <w:vertAlign w:val="superscript"/>
        </w:rPr>
        <w:t>-7</w:t>
      </w:r>
      <w:r>
        <w:rPr>
          <w:rFonts w:cs="Times New Roman"/>
          <w:color w:val="auto"/>
          <w:szCs w:val="24"/>
          <w:highlight w:val="none"/>
        </w:rPr>
        <w:t>cm/s</w:t>
      </w:r>
      <w:r>
        <w:rPr>
          <w:rFonts w:hint="eastAsia" w:cs="Times New Roman"/>
          <w:color w:val="auto"/>
          <w:szCs w:val="24"/>
          <w:highlight w:val="none"/>
        </w:rPr>
        <w:t>。</w:t>
      </w:r>
    </w:p>
    <w:p w14:paraId="156D3D46">
      <w:pPr>
        <w:numPr>
          <w:ilvl w:val="0"/>
          <w:numId w:val="11"/>
        </w:numPr>
        <w:adjustRightInd w:val="0"/>
        <w:ind w:firstLine="480" w:firstLineChars="0"/>
        <w:rPr>
          <w:rFonts w:cs="Times New Roman"/>
          <w:color w:val="auto"/>
          <w:szCs w:val="24"/>
          <w:highlight w:val="none"/>
        </w:rPr>
      </w:pPr>
      <w:r>
        <w:rPr>
          <w:rFonts w:hint="eastAsia" w:cs="Times New Roman"/>
          <w:color w:val="auto"/>
          <w:szCs w:val="24"/>
          <w:highlight w:val="none"/>
        </w:rPr>
        <w:t>危废暂存间和药剂库增设不锈钢金属托盘，可有效收集泄漏的其液态物质。</w:t>
      </w:r>
    </w:p>
    <w:p w14:paraId="1AD45B8E">
      <w:pPr>
        <w:adjustRightInd w:val="0"/>
        <w:ind w:firstLine="480" w:firstLineChars="0"/>
        <w:rPr>
          <w:rFonts w:cs="Times New Roman"/>
          <w:color w:val="auto"/>
          <w:szCs w:val="24"/>
          <w:highlight w:val="none"/>
        </w:rPr>
      </w:pPr>
      <w:r>
        <w:rPr>
          <w:rFonts w:hint="eastAsia" w:cs="Times New Roman"/>
          <w:color w:val="auto"/>
          <w:szCs w:val="24"/>
          <w:highlight w:val="none"/>
        </w:rPr>
        <w:t>综上</w:t>
      </w:r>
      <w:r>
        <w:rPr>
          <w:rFonts w:cs="Times New Roman"/>
          <w:color w:val="auto"/>
          <w:szCs w:val="24"/>
          <w:highlight w:val="none"/>
        </w:rPr>
        <w:t>，本项目</w:t>
      </w:r>
      <w:r>
        <w:rPr>
          <w:rFonts w:hint="eastAsia" w:cs="Times New Roman"/>
          <w:color w:val="auto"/>
          <w:szCs w:val="24"/>
          <w:highlight w:val="none"/>
        </w:rPr>
        <w:t>地下水污染防治</w:t>
      </w:r>
      <w:r>
        <w:rPr>
          <w:rFonts w:cs="Times New Roman"/>
          <w:color w:val="auto"/>
          <w:szCs w:val="24"/>
          <w:highlight w:val="none"/>
        </w:rPr>
        <w:t>措施可行。</w:t>
      </w:r>
    </w:p>
    <w:p w14:paraId="5FC9281B">
      <w:pPr>
        <w:adjustRightInd w:val="0"/>
        <w:ind w:firstLine="480"/>
        <w:rPr>
          <w:rFonts w:cs="Times New Roman"/>
          <w:color w:val="auto"/>
          <w:highlight w:val="none"/>
        </w:rPr>
      </w:pPr>
      <w:r>
        <w:rPr>
          <w:rFonts w:cs="Times New Roman"/>
          <w:color w:val="auto"/>
          <w:highlight w:val="none"/>
        </w:rPr>
        <w:t>此外，为预防地下水体污染，应建立地下水污染预警系统，在本项目厂区内设置监控井，定期对地下水进行监测，防止本项目对地下水产生不利影响。</w:t>
      </w:r>
    </w:p>
    <w:p w14:paraId="431485A0">
      <w:pPr>
        <w:adjustRightInd w:val="0"/>
        <w:ind w:firstLine="480"/>
        <w:rPr>
          <w:rFonts w:cs="Times New Roman"/>
          <w:color w:val="auto"/>
          <w:highlight w:val="none"/>
        </w:rPr>
      </w:pPr>
      <w:r>
        <w:rPr>
          <w:rFonts w:cs="Times New Roman"/>
          <w:color w:val="auto"/>
          <w:highlight w:val="none"/>
        </w:rPr>
        <w:t>采取上述措施后，可有效防止地下水污染，不会对区域地下水造成明显影响。项目地下水污染防治措施有效，经济技术可行。</w:t>
      </w:r>
    </w:p>
    <w:p w14:paraId="05572199">
      <w:pPr>
        <w:pStyle w:val="3"/>
        <w:adjustRightInd w:val="0"/>
        <w:rPr>
          <w:rFonts w:cs="Times New Roman"/>
          <w:color w:val="auto"/>
          <w:highlight w:val="none"/>
        </w:rPr>
      </w:pPr>
      <w:bookmarkStart w:id="287" w:name="_Toc88579308"/>
      <w:bookmarkStart w:id="288" w:name="_Toc13131"/>
      <w:bookmarkStart w:id="289" w:name="_Toc24465"/>
      <w:bookmarkStart w:id="290" w:name="_Toc26909"/>
      <w:r>
        <w:rPr>
          <w:rFonts w:cs="Times New Roman"/>
          <w:color w:val="auto"/>
          <w:highlight w:val="none"/>
        </w:rPr>
        <w:t>环保投资</w:t>
      </w:r>
      <w:bookmarkEnd w:id="287"/>
      <w:bookmarkEnd w:id="288"/>
      <w:bookmarkEnd w:id="289"/>
      <w:bookmarkEnd w:id="290"/>
    </w:p>
    <w:p w14:paraId="7AB08F38">
      <w:pPr>
        <w:adjustRightInd w:val="0"/>
        <w:ind w:firstLine="480"/>
        <w:rPr>
          <w:rFonts w:cs="Times New Roman"/>
          <w:color w:val="auto"/>
          <w:highlight w:val="none"/>
        </w:rPr>
      </w:pPr>
      <w:r>
        <w:rPr>
          <w:rFonts w:cs="Times New Roman"/>
          <w:color w:val="auto"/>
          <w:highlight w:val="none"/>
        </w:rPr>
        <w:t>本项目总投资1</w:t>
      </w:r>
      <w:r>
        <w:rPr>
          <w:rFonts w:hint="eastAsia" w:cs="Times New Roman"/>
          <w:color w:val="auto"/>
          <w:highlight w:val="none"/>
        </w:rPr>
        <w:t>1</w:t>
      </w:r>
      <w:r>
        <w:rPr>
          <w:rFonts w:cs="Times New Roman"/>
          <w:color w:val="auto"/>
          <w:highlight w:val="none"/>
        </w:rPr>
        <w:t>000万元，其中环保措施投资为</w:t>
      </w:r>
      <w:r>
        <w:rPr>
          <w:rFonts w:hint="eastAsia" w:cs="Times New Roman"/>
          <w:color w:val="auto"/>
          <w:highlight w:val="none"/>
        </w:rPr>
        <w:t>819</w:t>
      </w:r>
      <w:r>
        <w:rPr>
          <w:rFonts w:cs="Times New Roman"/>
          <w:color w:val="auto"/>
          <w:highlight w:val="none"/>
        </w:rPr>
        <w:t>万元，占总投资的</w:t>
      </w:r>
      <w:r>
        <w:rPr>
          <w:rFonts w:hint="eastAsia" w:cs="Times New Roman"/>
          <w:color w:val="auto"/>
          <w:highlight w:val="none"/>
        </w:rPr>
        <w:t>7.45</w:t>
      </w:r>
      <w:r>
        <w:rPr>
          <w:rFonts w:cs="Times New Roman"/>
          <w:color w:val="auto"/>
          <w:highlight w:val="none"/>
        </w:rPr>
        <w:t>%，环保措施投资估算见下表。</w:t>
      </w:r>
    </w:p>
    <w:p w14:paraId="627350BA">
      <w:pPr>
        <w:pStyle w:val="12"/>
        <w:rPr>
          <w:rFonts w:cs="Times New Roman"/>
          <w:color w:val="auto"/>
          <w:kern w:val="21"/>
          <w:szCs w:val="22"/>
          <w:highlight w:val="none"/>
        </w:rPr>
      </w:pPr>
      <w:r>
        <w:rPr>
          <w:color w:val="auto"/>
          <w:highlight w:val="none"/>
        </w:rPr>
        <w:t>表</w:t>
      </w:r>
      <w:r>
        <w:rPr>
          <w:color w:val="auto"/>
          <w:highlight w:val="none"/>
        </w:rPr>
        <w:fldChar w:fldCharType="begin"/>
      </w:r>
      <w:r>
        <w:rPr>
          <w:color w:val="auto"/>
          <w:highlight w:val="none"/>
        </w:rPr>
        <w:instrText xml:space="preserve"> STYLEREF 1 \s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t>-</w:t>
      </w:r>
      <w:r>
        <w:rPr>
          <w:color w:val="auto"/>
          <w:highlight w:val="none"/>
        </w:rPr>
        <w:fldChar w:fldCharType="begin"/>
      </w:r>
      <w:r>
        <w:rPr>
          <w:color w:val="auto"/>
          <w:highlight w:val="none"/>
        </w:rPr>
        <w:instrText xml:space="preserve"> SEQ 表 \* ARABIC \s 1 </w:instrText>
      </w:r>
      <w:r>
        <w:rPr>
          <w:color w:val="auto"/>
          <w:highlight w:val="none"/>
        </w:rPr>
        <w:fldChar w:fldCharType="separate"/>
      </w:r>
      <w:r>
        <w:rPr>
          <w:color w:val="auto"/>
          <w:highlight w:val="none"/>
        </w:rPr>
        <w:t>6</w:t>
      </w:r>
      <w:r>
        <w:rPr>
          <w:color w:val="auto"/>
          <w:highlight w:val="none"/>
        </w:rPr>
        <w:fldChar w:fldCharType="end"/>
      </w:r>
      <w:r>
        <w:rPr>
          <w:rFonts w:cs="Times New Roman"/>
          <w:bCs/>
          <w:color w:val="auto"/>
          <w:kern w:val="21"/>
          <w:highlight w:val="none"/>
        </w:rPr>
        <w:t>环境保护措施投资估算表</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0"/>
        <w:gridCol w:w="1115"/>
        <w:gridCol w:w="1736"/>
        <w:gridCol w:w="3067"/>
        <w:gridCol w:w="1182"/>
        <w:gridCol w:w="870"/>
      </w:tblGrid>
      <w:tr w14:paraId="5232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2" w:type="pct"/>
            <w:vAlign w:val="center"/>
          </w:tcPr>
          <w:p w14:paraId="7CECD34C">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类别</w:t>
            </w:r>
          </w:p>
        </w:tc>
        <w:tc>
          <w:tcPr>
            <w:tcW w:w="615" w:type="pct"/>
            <w:vAlign w:val="center"/>
          </w:tcPr>
          <w:p w14:paraId="247301BF">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项目</w:t>
            </w:r>
          </w:p>
        </w:tc>
        <w:tc>
          <w:tcPr>
            <w:tcW w:w="2649" w:type="pct"/>
            <w:gridSpan w:val="2"/>
            <w:vAlign w:val="center"/>
          </w:tcPr>
          <w:p w14:paraId="6B16CF08">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内容</w:t>
            </w:r>
          </w:p>
        </w:tc>
        <w:tc>
          <w:tcPr>
            <w:tcW w:w="652" w:type="pct"/>
            <w:vAlign w:val="center"/>
          </w:tcPr>
          <w:p w14:paraId="65114D28">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color w:val="auto"/>
                <w:kern w:val="21"/>
                <w:sz w:val="21"/>
                <w:highlight w:val="none"/>
              </w:rPr>
              <w:t>投资估算</w:t>
            </w:r>
            <w:r>
              <w:rPr>
                <w:rFonts w:cs="Times New Roman"/>
                <w:b/>
                <w:bCs/>
                <w:color w:val="auto"/>
                <w:kern w:val="21"/>
                <w:sz w:val="21"/>
                <w:highlight w:val="none"/>
              </w:rPr>
              <w:t>（万元）</w:t>
            </w:r>
          </w:p>
        </w:tc>
        <w:tc>
          <w:tcPr>
            <w:tcW w:w="480" w:type="pct"/>
            <w:vAlign w:val="center"/>
          </w:tcPr>
          <w:p w14:paraId="63C9DD0F">
            <w:pPr>
              <w:overflowPunct w:val="0"/>
              <w:adjustRightInd w:val="0"/>
              <w:spacing w:before="62" w:beforeLines="20" w:after="62"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备注</w:t>
            </w:r>
          </w:p>
        </w:tc>
      </w:tr>
      <w:tr w14:paraId="636E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restart"/>
            <w:vAlign w:val="center"/>
          </w:tcPr>
          <w:p w14:paraId="72A69A6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施工期</w:t>
            </w:r>
          </w:p>
        </w:tc>
        <w:tc>
          <w:tcPr>
            <w:tcW w:w="615" w:type="pct"/>
            <w:vAlign w:val="center"/>
          </w:tcPr>
          <w:p w14:paraId="7C7E6A1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废水治理</w:t>
            </w:r>
          </w:p>
        </w:tc>
        <w:tc>
          <w:tcPr>
            <w:tcW w:w="2649" w:type="pct"/>
            <w:gridSpan w:val="2"/>
            <w:vAlign w:val="center"/>
          </w:tcPr>
          <w:p w14:paraId="18B8B3D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本项目施工期生活污水依托项目周围居民房化粪池处理后用于农田施肥。</w:t>
            </w:r>
          </w:p>
        </w:tc>
        <w:tc>
          <w:tcPr>
            <w:tcW w:w="652" w:type="pct"/>
            <w:vAlign w:val="center"/>
          </w:tcPr>
          <w:p w14:paraId="00D7537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w:t>
            </w:r>
          </w:p>
        </w:tc>
        <w:tc>
          <w:tcPr>
            <w:tcW w:w="480" w:type="pct"/>
            <w:vAlign w:val="center"/>
          </w:tcPr>
          <w:p w14:paraId="5FA8A27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新建</w:t>
            </w:r>
          </w:p>
        </w:tc>
      </w:tr>
      <w:tr w14:paraId="2DB0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1F8EFD4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Align w:val="center"/>
          </w:tcPr>
          <w:p w14:paraId="4B9835C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废气治理</w:t>
            </w:r>
          </w:p>
        </w:tc>
        <w:tc>
          <w:tcPr>
            <w:tcW w:w="2649" w:type="pct"/>
            <w:gridSpan w:val="2"/>
            <w:vAlign w:val="center"/>
          </w:tcPr>
          <w:p w14:paraId="295520F0">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洒水降尘，及时清扫路面尘土、硬化道路、保持路面清洁、控制车速等。</w:t>
            </w:r>
          </w:p>
        </w:tc>
        <w:tc>
          <w:tcPr>
            <w:tcW w:w="652" w:type="pct"/>
            <w:vAlign w:val="center"/>
          </w:tcPr>
          <w:p w14:paraId="41DD6FC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w:t>
            </w:r>
          </w:p>
        </w:tc>
        <w:tc>
          <w:tcPr>
            <w:tcW w:w="480" w:type="pct"/>
            <w:vAlign w:val="center"/>
          </w:tcPr>
          <w:p w14:paraId="67150D6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37F0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6481954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Align w:val="center"/>
          </w:tcPr>
          <w:p w14:paraId="5A49192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固体废物</w:t>
            </w:r>
          </w:p>
        </w:tc>
        <w:tc>
          <w:tcPr>
            <w:tcW w:w="2649" w:type="pct"/>
            <w:gridSpan w:val="2"/>
            <w:vAlign w:val="center"/>
          </w:tcPr>
          <w:p w14:paraId="41564B1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施工场地设置垃圾桶，生活垃圾收集后统一清运，建筑垃圾及时外运。</w:t>
            </w:r>
          </w:p>
        </w:tc>
        <w:tc>
          <w:tcPr>
            <w:tcW w:w="652" w:type="pct"/>
            <w:vAlign w:val="center"/>
          </w:tcPr>
          <w:p w14:paraId="268AFF4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1</w:t>
            </w:r>
          </w:p>
        </w:tc>
        <w:tc>
          <w:tcPr>
            <w:tcW w:w="480" w:type="pct"/>
            <w:vAlign w:val="center"/>
          </w:tcPr>
          <w:p w14:paraId="3D71204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新建</w:t>
            </w:r>
          </w:p>
        </w:tc>
      </w:tr>
      <w:tr w14:paraId="2E21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204F190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Align w:val="center"/>
          </w:tcPr>
          <w:p w14:paraId="157F629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噪声控制</w:t>
            </w:r>
          </w:p>
        </w:tc>
        <w:tc>
          <w:tcPr>
            <w:tcW w:w="2649" w:type="pct"/>
            <w:gridSpan w:val="2"/>
            <w:vAlign w:val="center"/>
          </w:tcPr>
          <w:p w14:paraId="52F697F8">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选用低噪声设备，合理布局，合理安排施工时间，高噪设备设置隔声棚。</w:t>
            </w:r>
          </w:p>
        </w:tc>
        <w:tc>
          <w:tcPr>
            <w:tcW w:w="652" w:type="pct"/>
            <w:vAlign w:val="center"/>
          </w:tcPr>
          <w:p w14:paraId="5930DFC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w:t>
            </w:r>
          </w:p>
        </w:tc>
        <w:tc>
          <w:tcPr>
            <w:tcW w:w="480" w:type="pct"/>
            <w:vAlign w:val="center"/>
          </w:tcPr>
          <w:p w14:paraId="4304E71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新建</w:t>
            </w:r>
          </w:p>
        </w:tc>
      </w:tr>
      <w:tr w14:paraId="3FF58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restart"/>
            <w:vAlign w:val="center"/>
          </w:tcPr>
          <w:p w14:paraId="5990C07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运营期</w:t>
            </w:r>
          </w:p>
        </w:tc>
        <w:tc>
          <w:tcPr>
            <w:tcW w:w="615" w:type="pct"/>
            <w:vMerge w:val="restart"/>
            <w:vAlign w:val="center"/>
          </w:tcPr>
          <w:p w14:paraId="2135B9E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废气治理</w:t>
            </w:r>
          </w:p>
        </w:tc>
        <w:tc>
          <w:tcPr>
            <w:tcW w:w="2649" w:type="pct"/>
            <w:gridSpan w:val="2"/>
            <w:vAlign w:val="center"/>
          </w:tcPr>
          <w:p w14:paraId="37500E67">
            <w:pPr>
              <w:adjustRightInd w:val="0"/>
              <w:snapToGrid w:val="0"/>
              <w:spacing w:before="65" w:beforeLines="20" w:after="65" w:afterLines="20"/>
              <w:jc w:val="both"/>
              <w:rPr>
                <w:rFonts w:ascii="Times New Roman" w:hAnsi="Times New Roman" w:eastAsia="宋体" w:cs="Times New Roman"/>
                <w:b/>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给料粉尘：</w:t>
            </w:r>
            <w:r>
              <w:rPr>
                <w:rFonts w:ascii="Times New Roman" w:hAnsi="Times New Roman" w:eastAsia="宋体" w:cs="Times New Roman"/>
                <w:bCs w:val="0"/>
                <w:color w:val="auto"/>
                <w:kern w:val="2"/>
                <w:sz w:val="21"/>
                <w:szCs w:val="22"/>
                <w:highlight w:val="none"/>
                <w:lang w:val="en-US" w:eastAsia="zh-CN" w:bidi="ar-SA"/>
              </w:rPr>
              <w:t>经1套</w:t>
            </w:r>
            <w:r>
              <w:rPr>
                <w:rFonts w:hint="eastAsia" w:ascii="Times New Roman" w:hAnsi="Times New Roman" w:eastAsia="宋体" w:cs="Times New Roman"/>
                <w:bCs w:val="0"/>
                <w:color w:val="auto"/>
                <w:kern w:val="2"/>
                <w:sz w:val="21"/>
                <w:szCs w:val="22"/>
                <w:highlight w:val="none"/>
                <w:lang w:val="en-US" w:eastAsia="zh-CN" w:bidi="ar-SA"/>
              </w:rPr>
              <w:t>“</w:t>
            </w:r>
            <w:r>
              <w:rPr>
                <w:rFonts w:ascii="Times New Roman" w:hAnsi="Times New Roman" w:eastAsia="宋体" w:cs="Times New Roman"/>
                <w:bCs w:val="0"/>
                <w:color w:val="auto"/>
                <w:kern w:val="2"/>
                <w:sz w:val="21"/>
                <w:szCs w:val="22"/>
                <w:highlight w:val="none"/>
                <w:lang w:val="en-US" w:eastAsia="zh-CN" w:bidi="ar-SA"/>
              </w:rPr>
              <w:t>集气罩+布袋除尘器（TA001）+15m排气筒（DA001）</w:t>
            </w:r>
            <w:r>
              <w:rPr>
                <w:rFonts w:hint="eastAsia" w:ascii="Times New Roman" w:hAnsi="Times New Roman" w:eastAsia="宋体" w:cs="Times New Roman"/>
                <w:bCs w:val="0"/>
                <w:color w:val="auto"/>
                <w:kern w:val="2"/>
                <w:sz w:val="21"/>
                <w:szCs w:val="22"/>
                <w:highlight w:val="none"/>
                <w:lang w:val="en-US" w:eastAsia="zh-CN" w:bidi="ar-SA"/>
              </w:rPr>
              <w:t>”</w:t>
            </w:r>
            <w:r>
              <w:rPr>
                <w:rFonts w:ascii="Times New Roman" w:hAnsi="Times New Roman" w:eastAsia="宋体" w:cs="Times New Roman"/>
                <w:bCs w:val="0"/>
                <w:color w:val="auto"/>
                <w:kern w:val="2"/>
                <w:sz w:val="21"/>
                <w:szCs w:val="22"/>
                <w:highlight w:val="none"/>
                <w:lang w:val="en-US" w:eastAsia="zh-CN" w:bidi="ar-SA"/>
              </w:rPr>
              <w:t>处理后达标外排；</w:t>
            </w:r>
          </w:p>
          <w:p w14:paraId="3C1B79B0">
            <w:pPr>
              <w:adjustRightInd w:val="0"/>
              <w:snapToGrid w:val="0"/>
              <w:spacing w:before="65" w:beforeLines="20" w:after="65" w:afterLines="20"/>
              <w:jc w:val="both"/>
              <w:rPr>
                <w:rFonts w:ascii="Times New Roman" w:hAnsi="Times New Roman" w:eastAsia="宋体" w:cs="Times New Roman"/>
                <w:bCs/>
                <w:color w:val="auto"/>
                <w:kern w:val="2"/>
                <w:sz w:val="21"/>
                <w:szCs w:val="22"/>
                <w:highlight w:val="none"/>
                <w:lang w:val="en-US" w:eastAsia="zh-CN" w:bidi="ar-SA"/>
              </w:rPr>
            </w:pPr>
            <w:r>
              <w:rPr>
                <w:rFonts w:ascii="Times New Roman" w:hAnsi="Times New Roman" w:eastAsia="宋体" w:cs="Times New Roman"/>
                <w:b/>
                <w:bCs/>
                <w:color w:val="auto"/>
                <w:kern w:val="2"/>
                <w:sz w:val="21"/>
                <w:szCs w:val="22"/>
                <w:highlight w:val="none"/>
                <w:lang w:val="en-US" w:eastAsia="zh-CN" w:bidi="ar-SA"/>
              </w:rPr>
              <w:t>破碎粉尘：</w:t>
            </w:r>
            <w:r>
              <w:rPr>
                <w:rFonts w:ascii="Times New Roman" w:hAnsi="Times New Roman" w:eastAsia="宋体" w:cs="Times New Roman"/>
                <w:bCs/>
                <w:color w:val="auto"/>
                <w:kern w:val="2"/>
                <w:sz w:val="21"/>
                <w:szCs w:val="22"/>
                <w:highlight w:val="none"/>
                <w:lang w:val="en-US" w:eastAsia="zh-CN" w:bidi="ar-SA"/>
              </w:rPr>
              <w:t>经1套</w:t>
            </w:r>
            <w:r>
              <w:rPr>
                <w:rFonts w:hint="eastAsia" w:ascii="Times New Roman" w:hAnsi="Times New Roman" w:eastAsia="宋体" w:cs="Times New Roman"/>
                <w:bCs/>
                <w:color w:val="auto"/>
                <w:kern w:val="2"/>
                <w:sz w:val="21"/>
                <w:szCs w:val="22"/>
                <w:highlight w:val="none"/>
                <w:lang w:val="en-US" w:eastAsia="zh-CN" w:bidi="ar-SA"/>
              </w:rPr>
              <w:t>“</w:t>
            </w:r>
            <w:r>
              <w:rPr>
                <w:rFonts w:ascii="Times New Roman" w:hAnsi="Times New Roman" w:eastAsia="宋体" w:cs="Times New Roman"/>
                <w:bCs/>
                <w:color w:val="auto"/>
                <w:kern w:val="2"/>
                <w:sz w:val="21"/>
                <w:szCs w:val="22"/>
                <w:highlight w:val="none"/>
                <w:lang w:val="en-US" w:eastAsia="zh-CN" w:bidi="ar-SA"/>
              </w:rPr>
              <w:t>集气罩+布袋除尘器（TA001）+15m排气筒（DA001）（共用）</w:t>
            </w:r>
            <w:r>
              <w:rPr>
                <w:rFonts w:hint="eastAsia" w:ascii="Times New Roman" w:hAnsi="Times New Roman" w:eastAsia="宋体" w:cs="Times New Roman"/>
                <w:bCs/>
                <w:color w:val="auto"/>
                <w:kern w:val="2"/>
                <w:sz w:val="21"/>
                <w:szCs w:val="22"/>
                <w:highlight w:val="none"/>
                <w:lang w:val="en-US" w:eastAsia="zh-CN" w:bidi="ar-SA"/>
              </w:rPr>
              <w:t>”</w:t>
            </w:r>
            <w:r>
              <w:rPr>
                <w:rFonts w:ascii="Times New Roman" w:hAnsi="Times New Roman" w:eastAsia="宋体" w:cs="Times New Roman"/>
                <w:bCs/>
                <w:color w:val="auto"/>
                <w:kern w:val="2"/>
                <w:sz w:val="21"/>
                <w:szCs w:val="22"/>
                <w:highlight w:val="none"/>
                <w:lang w:val="en-US" w:eastAsia="zh-CN" w:bidi="ar-SA"/>
              </w:rPr>
              <w:t>处理后达标外排；</w:t>
            </w:r>
          </w:p>
          <w:p w14:paraId="2528BC3D">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ascii="Times New Roman" w:hAnsi="Times New Roman" w:eastAsia="宋体" w:cs="Times New Roman"/>
                <w:b/>
                <w:bCs/>
                <w:color w:val="auto"/>
                <w:kern w:val="2"/>
                <w:sz w:val="21"/>
                <w:szCs w:val="22"/>
                <w:highlight w:val="none"/>
                <w:lang w:val="en-US" w:eastAsia="zh-CN" w:bidi="ar-SA"/>
              </w:rPr>
              <w:t>筛分粉尘：</w:t>
            </w:r>
            <w:r>
              <w:rPr>
                <w:rFonts w:ascii="Times New Roman" w:hAnsi="Times New Roman" w:eastAsia="宋体" w:cs="Times New Roman"/>
                <w:bCs/>
                <w:color w:val="auto"/>
                <w:kern w:val="2"/>
                <w:sz w:val="21"/>
                <w:szCs w:val="22"/>
                <w:highlight w:val="none"/>
                <w:lang w:val="en-US" w:eastAsia="zh-CN" w:bidi="ar-SA"/>
              </w:rPr>
              <w:t>经1套</w:t>
            </w:r>
            <w:r>
              <w:rPr>
                <w:rFonts w:hint="eastAsia" w:ascii="Times New Roman" w:hAnsi="Times New Roman" w:eastAsia="宋体" w:cs="Times New Roman"/>
                <w:bCs/>
                <w:color w:val="auto"/>
                <w:kern w:val="2"/>
                <w:sz w:val="21"/>
                <w:szCs w:val="22"/>
                <w:highlight w:val="none"/>
                <w:lang w:val="en-US" w:eastAsia="zh-CN" w:bidi="ar-SA"/>
              </w:rPr>
              <w:t>“</w:t>
            </w:r>
            <w:r>
              <w:rPr>
                <w:rFonts w:ascii="Times New Roman" w:hAnsi="Times New Roman" w:eastAsia="宋体" w:cs="Times New Roman"/>
                <w:bCs/>
                <w:color w:val="auto"/>
                <w:kern w:val="2"/>
                <w:sz w:val="21"/>
                <w:szCs w:val="22"/>
                <w:highlight w:val="none"/>
                <w:lang w:val="en-US" w:eastAsia="zh-CN" w:bidi="ar-SA"/>
              </w:rPr>
              <w:t>集气罩+布袋除尘器（TA00</w:t>
            </w:r>
            <w:r>
              <w:rPr>
                <w:rFonts w:hint="eastAsia" w:ascii="Times New Roman" w:hAnsi="Times New Roman" w:eastAsia="宋体" w:cs="Times New Roman"/>
                <w:bCs/>
                <w:color w:val="auto"/>
                <w:kern w:val="2"/>
                <w:sz w:val="21"/>
                <w:szCs w:val="22"/>
                <w:highlight w:val="none"/>
                <w:lang w:val="en-US" w:eastAsia="zh-CN" w:bidi="ar-SA"/>
              </w:rPr>
              <w:t>2</w:t>
            </w:r>
            <w:r>
              <w:rPr>
                <w:rFonts w:ascii="Times New Roman" w:hAnsi="Times New Roman" w:eastAsia="宋体" w:cs="Times New Roman"/>
                <w:bCs/>
                <w:color w:val="auto"/>
                <w:kern w:val="2"/>
                <w:sz w:val="21"/>
                <w:szCs w:val="22"/>
                <w:highlight w:val="none"/>
                <w:lang w:val="en-US" w:eastAsia="zh-CN" w:bidi="ar-SA"/>
              </w:rPr>
              <w:t>）+15m排气筒（DA001）（共用）</w:t>
            </w:r>
            <w:r>
              <w:rPr>
                <w:rFonts w:hint="eastAsia" w:ascii="Times New Roman" w:hAnsi="Times New Roman" w:eastAsia="宋体" w:cs="Times New Roman"/>
                <w:bCs/>
                <w:color w:val="auto"/>
                <w:kern w:val="2"/>
                <w:sz w:val="21"/>
                <w:szCs w:val="22"/>
                <w:highlight w:val="none"/>
                <w:lang w:val="en-US" w:eastAsia="zh-CN" w:bidi="ar-SA"/>
              </w:rPr>
              <w:t>”</w:t>
            </w:r>
            <w:r>
              <w:rPr>
                <w:rFonts w:ascii="Times New Roman" w:hAnsi="Times New Roman" w:eastAsia="宋体" w:cs="Times New Roman"/>
                <w:bCs/>
                <w:color w:val="auto"/>
                <w:kern w:val="2"/>
                <w:sz w:val="21"/>
                <w:szCs w:val="22"/>
                <w:highlight w:val="none"/>
                <w:lang w:val="en-US" w:eastAsia="zh-CN" w:bidi="ar-SA"/>
              </w:rPr>
              <w:t>处理后达标外排</w:t>
            </w:r>
            <w:r>
              <w:rPr>
                <w:rFonts w:hint="eastAsia" w:cs="Times New Roman"/>
                <w:bCs/>
                <w:color w:val="auto"/>
                <w:kern w:val="2"/>
                <w:sz w:val="21"/>
                <w:szCs w:val="22"/>
                <w:highlight w:val="none"/>
                <w:lang w:val="en-US" w:eastAsia="zh-CN" w:bidi="ar-SA"/>
              </w:rPr>
              <w:t>。</w:t>
            </w:r>
          </w:p>
        </w:tc>
        <w:tc>
          <w:tcPr>
            <w:tcW w:w="652" w:type="pct"/>
            <w:vAlign w:val="center"/>
          </w:tcPr>
          <w:p w14:paraId="26CA3F4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34</w:t>
            </w:r>
          </w:p>
        </w:tc>
        <w:tc>
          <w:tcPr>
            <w:tcW w:w="480" w:type="pct"/>
            <w:vAlign w:val="center"/>
          </w:tcPr>
          <w:p w14:paraId="37EAA62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新建</w:t>
            </w:r>
          </w:p>
        </w:tc>
      </w:tr>
      <w:tr w14:paraId="1FCEF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484FE09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3B686AE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2FDB176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
                <w:bCs/>
                <w:color w:val="auto"/>
                <w:kern w:val="21"/>
                <w:sz w:val="21"/>
                <w:highlight w:val="none"/>
              </w:rPr>
              <w:t>装卸及堆场粉尘：</w:t>
            </w:r>
            <w:r>
              <w:rPr>
                <w:rFonts w:hint="eastAsia" w:cs="Times New Roman"/>
                <w:color w:val="auto"/>
                <w:kern w:val="21"/>
                <w:sz w:val="21"/>
                <w:highlight w:val="none"/>
              </w:rPr>
              <w:t>原矿仓库、粉矿仓库、精矿仓库、尾矿仓库设置为封闭厂房，在原矿仓库上方设置喷雾降尘装置进行喷雾除尘，粉矿仓库、精矿仓库、尾矿仓库采取雾炮机进行喷雾除尘</w:t>
            </w:r>
            <w:r>
              <w:rPr>
                <w:rFonts w:cs="Times New Roman"/>
                <w:color w:val="auto"/>
                <w:kern w:val="21"/>
                <w:sz w:val="21"/>
                <w:highlight w:val="none"/>
              </w:rPr>
              <w:t>。</w:t>
            </w:r>
          </w:p>
        </w:tc>
        <w:tc>
          <w:tcPr>
            <w:tcW w:w="652" w:type="pct"/>
            <w:vMerge w:val="restart"/>
            <w:vAlign w:val="center"/>
          </w:tcPr>
          <w:p w14:paraId="031CEC2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30</w:t>
            </w:r>
          </w:p>
        </w:tc>
        <w:tc>
          <w:tcPr>
            <w:tcW w:w="480" w:type="pct"/>
            <w:vAlign w:val="center"/>
          </w:tcPr>
          <w:p w14:paraId="079CA76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7462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610D55A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579D094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3E79E420">
            <w:pPr>
              <w:overflowPunct w:val="0"/>
              <w:adjustRightInd w:val="0"/>
              <w:spacing w:before="62" w:beforeLines="20" w:after="62"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车辆运输扬尘：</w:t>
            </w:r>
            <w:r>
              <w:rPr>
                <w:rFonts w:cs="Times New Roman"/>
                <w:color w:val="auto"/>
                <w:kern w:val="21"/>
                <w:sz w:val="21"/>
                <w:highlight w:val="none"/>
              </w:rPr>
              <w:t>加强车辆管理，设置洗车池、运输车辆车轮清洗，降低车速，洒水车定期洒水降尘，加盖</w:t>
            </w:r>
            <w:r>
              <w:rPr>
                <w:rFonts w:hint="eastAsia" w:cs="Times New Roman"/>
                <w:color w:val="auto"/>
                <w:kern w:val="21"/>
                <w:sz w:val="21"/>
                <w:highlight w:val="none"/>
              </w:rPr>
              <w:t>篷布</w:t>
            </w:r>
            <w:r>
              <w:rPr>
                <w:rFonts w:cs="Times New Roman"/>
                <w:color w:val="auto"/>
                <w:kern w:val="21"/>
                <w:sz w:val="21"/>
                <w:highlight w:val="none"/>
              </w:rPr>
              <w:t>，密闭运输</w:t>
            </w:r>
            <w:r>
              <w:rPr>
                <w:rFonts w:hint="eastAsia" w:cs="Times New Roman"/>
                <w:color w:val="auto"/>
                <w:kern w:val="21"/>
                <w:sz w:val="21"/>
                <w:highlight w:val="none"/>
              </w:rPr>
              <w:t>，厂区围墙、主要运输道路两侧加装喷雾装置。</w:t>
            </w:r>
          </w:p>
        </w:tc>
        <w:tc>
          <w:tcPr>
            <w:tcW w:w="652" w:type="pct"/>
            <w:vMerge w:val="continue"/>
            <w:vAlign w:val="center"/>
          </w:tcPr>
          <w:p w14:paraId="653178B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480" w:type="pct"/>
            <w:vAlign w:val="center"/>
          </w:tcPr>
          <w:p w14:paraId="35F0DD3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6A311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072370E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75AEF04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5345EED9">
            <w:pPr>
              <w:overflowPunct w:val="0"/>
              <w:adjustRightInd w:val="0"/>
              <w:spacing w:before="62" w:beforeLines="20" w:after="62" w:afterLines="20" w:line="240" w:lineRule="auto"/>
              <w:ind w:firstLine="0" w:firstLineChars="0"/>
              <w:rPr>
                <w:rFonts w:cs="Times New Roman"/>
                <w:b/>
                <w:bCs/>
                <w:color w:val="auto"/>
                <w:kern w:val="21"/>
                <w:sz w:val="21"/>
                <w:highlight w:val="none"/>
              </w:rPr>
            </w:pPr>
            <w:r>
              <w:rPr>
                <w:rFonts w:hint="eastAsia" w:cs="Times New Roman"/>
                <w:b/>
                <w:bCs/>
                <w:color w:val="auto"/>
                <w:kern w:val="21"/>
                <w:sz w:val="21"/>
                <w:highlight w:val="none"/>
              </w:rPr>
              <w:t>食堂油烟：</w:t>
            </w:r>
            <w:r>
              <w:rPr>
                <w:rFonts w:hint="eastAsia" w:cs="Times New Roman"/>
                <w:color w:val="auto"/>
                <w:kern w:val="21"/>
                <w:sz w:val="21"/>
                <w:highlight w:val="none"/>
              </w:rPr>
              <w:t>通过设置一套效率不低于75%的油烟收集净化系统收集治理后通过专用烟道引至楼顶达标排放</w:t>
            </w:r>
          </w:p>
        </w:tc>
        <w:tc>
          <w:tcPr>
            <w:tcW w:w="652" w:type="pct"/>
            <w:vMerge w:val="continue"/>
            <w:vAlign w:val="center"/>
          </w:tcPr>
          <w:p w14:paraId="3CE8E74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480" w:type="pct"/>
            <w:vAlign w:val="center"/>
          </w:tcPr>
          <w:p w14:paraId="4DFC7C1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7F46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602" w:type="pct"/>
            <w:vMerge w:val="continue"/>
            <w:vAlign w:val="center"/>
          </w:tcPr>
          <w:p w14:paraId="7891753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restart"/>
            <w:vAlign w:val="center"/>
          </w:tcPr>
          <w:p w14:paraId="7F4BC6A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废水治理</w:t>
            </w:r>
          </w:p>
        </w:tc>
        <w:tc>
          <w:tcPr>
            <w:tcW w:w="2649" w:type="pct"/>
            <w:gridSpan w:val="2"/>
            <w:vAlign w:val="center"/>
          </w:tcPr>
          <w:p w14:paraId="190FF91D">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
                <w:bCs/>
                <w:color w:val="auto"/>
                <w:kern w:val="21"/>
                <w:sz w:val="21"/>
                <w:highlight w:val="none"/>
              </w:rPr>
              <w:t>生活污水</w:t>
            </w:r>
            <w:r>
              <w:rPr>
                <w:rFonts w:hint="eastAsia" w:cs="Times New Roman"/>
                <w:b/>
                <w:bCs/>
                <w:color w:val="auto"/>
                <w:kern w:val="21"/>
                <w:sz w:val="21"/>
                <w:highlight w:val="none"/>
              </w:rPr>
              <w:t>（含食堂废水）</w:t>
            </w:r>
            <w:r>
              <w:rPr>
                <w:rFonts w:cs="Times New Roman"/>
                <w:b/>
                <w:bCs/>
                <w:color w:val="auto"/>
                <w:kern w:val="21"/>
                <w:sz w:val="21"/>
                <w:highlight w:val="none"/>
              </w:rPr>
              <w:t>：</w:t>
            </w:r>
            <w:r>
              <w:rPr>
                <w:rFonts w:hint="eastAsia" w:cs="Times New Roman"/>
                <w:color w:val="auto"/>
                <w:kern w:val="21"/>
                <w:sz w:val="21"/>
                <w:highlight w:val="none"/>
              </w:rPr>
              <w:t>食堂废水经隔油池（1m</w:t>
            </w:r>
            <w:r>
              <w:rPr>
                <w:rFonts w:hint="eastAsia" w:cs="Times New Roman"/>
                <w:color w:val="auto"/>
                <w:kern w:val="21"/>
                <w:sz w:val="21"/>
                <w:highlight w:val="none"/>
                <w:vertAlign w:val="superscript"/>
              </w:rPr>
              <w:t>3</w:t>
            </w:r>
            <w:r>
              <w:rPr>
                <w:rFonts w:hint="eastAsia" w:cs="Times New Roman"/>
                <w:color w:val="auto"/>
                <w:kern w:val="21"/>
                <w:sz w:val="21"/>
                <w:highlight w:val="none"/>
              </w:rPr>
              <w:t>）处理后与生活污水一同经依托的乐山市沙湾区豪沐科技有限公司</w:t>
            </w:r>
            <w:r>
              <w:rPr>
                <w:rFonts w:cs="Times New Roman"/>
                <w:color w:val="auto"/>
                <w:kern w:val="21"/>
                <w:sz w:val="21"/>
                <w:highlight w:val="none"/>
              </w:rPr>
              <w:t>预处理池（</w:t>
            </w:r>
            <w:r>
              <w:rPr>
                <w:rFonts w:hint="eastAsia" w:cs="Times New Roman"/>
                <w:color w:val="auto"/>
                <w:kern w:val="21"/>
                <w:sz w:val="21"/>
                <w:highlight w:val="none"/>
              </w:rPr>
              <w:t>2</w:t>
            </w:r>
            <w:r>
              <w:rPr>
                <w:rFonts w:cs="Times New Roman"/>
                <w:color w:val="auto"/>
                <w:kern w:val="21"/>
                <w:sz w:val="21"/>
                <w:highlight w:val="none"/>
              </w:rPr>
              <w:t>0m</w:t>
            </w:r>
            <w:r>
              <w:rPr>
                <w:rFonts w:cs="Times New Roman"/>
                <w:color w:val="auto"/>
                <w:kern w:val="21"/>
                <w:sz w:val="21"/>
                <w:highlight w:val="none"/>
                <w:vertAlign w:val="superscript"/>
              </w:rPr>
              <w:t>3</w:t>
            </w:r>
            <w:r>
              <w:rPr>
                <w:rFonts w:cs="Times New Roman"/>
                <w:color w:val="auto"/>
                <w:kern w:val="21"/>
                <w:sz w:val="21"/>
                <w:highlight w:val="none"/>
              </w:rPr>
              <w:t>）处理后通过园区污水管网进入乐山沙湾经济开发区污水处理厂进一步处理。</w:t>
            </w:r>
          </w:p>
        </w:tc>
        <w:tc>
          <w:tcPr>
            <w:tcW w:w="652" w:type="pct"/>
            <w:vAlign w:val="center"/>
          </w:tcPr>
          <w:p w14:paraId="14D4934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4</w:t>
            </w:r>
          </w:p>
        </w:tc>
        <w:tc>
          <w:tcPr>
            <w:tcW w:w="480" w:type="pct"/>
            <w:vAlign w:val="center"/>
          </w:tcPr>
          <w:p w14:paraId="3A23823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依托</w:t>
            </w:r>
          </w:p>
        </w:tc>
      </w:tr>
      <w:tr w14:paraId="4420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02" w:type="pct"/>
            <w:vMerge w:val="continue"/>
            <w:vAlign w:val="center"/>
          </w:tcPr>
          <w:p w14:paraId="61538A2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5CE71D2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29575DF5">
            <w:pPr>
              <w:overflowPunct w:val="0"/>
              <w:adjustRightInd w:val="0"/>
              <w:spacing w:before="62" w:beforeLines="20" w:after="62"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选矿废水：</w:t>
            </w:r>
            <w:r>
              <w:rPr>
                <w:rFonts w:cs="Times New Roman"/>
                <w:color w:val="auto"/>
                <w:kern w:val="21"/>
                <w:sz w:val="21"/>
                <w:highlight w:val="none"/>
              </w:rPr>
              <w:t>经1套废水处理设施（处理能力</w:t>
            </w:r>
            <w:r>
              <w:rPr>
                <w:rFonts w:hint="eastAsia" w:cs="Times New Roman"/>
                <w:color w:val="auto"/>
                <w:kern w:val="21"/>
                <w:sz w:val="21"/>
                <w:highlight w:val="none"/>
                <w:lang w:val="en-US" w:eastAsia="zh-CN"/>
              </w:rPr>
              <w:t>306</w:t>
            </w:r>
            <w:r>
              <w:rPr>
                <w:rFonts w:cs="Times New Roman"/>
                <w:color w:val="auto"/>
                <w:kern w:val="21"/>
                <w:sz w:val="21"/>
                <w:highlight w:val="none"/>
              </w:rPr>
              <w:t>m</w:t>
            </w:r>
            <w:r>
              <w:rPr>
                <w:rFonts w:cs="Times New Roman"/>
                <w:color w:val="auto"/>
                <w:kern w:val="21"/>
                <w:sz w:val="21"/>
                <w:highlight w:val="none"/>
                <w:vertAlign w:val="superscript"/>
              </w:rPr>
              <w:t>3</w:t>
            </w:r>
            <w:r>
              <w:rPr>
                <w:rFonts w:cs="Times New Roman"/>
                <w:color w:val="auto"/>
                <w:kern w:val="21"/>
                <w:sz w:val="21"/>
                <w:highlight w:val="none"/>
              </w:rPr>
              <w:t>/h）絮凝沉淀处理后回用于</w:t>
            </w:r>
            <w:r>
              <w:rPr>
                <w:rFonts w:hint="eastAsia" w:cs="Times New Roman"/>
                <w:color w:val="auto"/>
                <w:kern w:val="21"/>
                <w:sz w:val="21"/>
                <w:highlight w:val="none"/>
              </w:rPr>
              <w:t>湿式磨矿、浮选等工序</w:t>
            </w:r>
          </w:p>
        </w:tc>
        <w:tc>
          <w:tcPr>
            <w:tcW w:w="652" w:type="pct"/>
            <w:vAlign w:val="center"/>
          </w:tcPr>
          <w:p w14:paraId="17BC373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600</w:t>
            </w:r>
          </w:p>
        </w:tc>
        <w:tc>
          <w:tcPr>
            <w:tcW w:w="480" w:type="pct"/>
            <w:vAlign w:val="center"/>
          </w:tcPr>
          <w:p w14:paraId="2A9F80E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33BE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602" w:type="pct"/>
            <w:vMerge w:val="continue"/>
            <w:vAlign w:val="center"/>
          </w:tcPr>
          <w:p w14:paraId="2C5AFF2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39FAE39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68F90332">
            <w:pPr>
              <w:overflowPunct w:val="0"/>
              <w:adjustRightInd w:val="0"/>
              <w:spacing w:before="62" w:beforeLines="20" w:after="62"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初期雨水：</w:t>
            </w:r>
            <w:r>
              <w:rPr>
                <w:rFonts w:cs="Times New Roman"/>
                <w:color w:val="auto"/>
                <w:kern w:val="21"/>
                <w:sz w:val="21"/>
                <w:highlight w:val="none"/>
              </w:rPr>
              <w:t>经雨水管道收集后汇入</w:t>
            </w:r>
            <w:r>
              <w:rPr>
                <w:rFonts w:hint="eastAsia" w:cs="Times New Roman"/>
                <w:color w:val="auto"/>
                <w:kern w:val="21"/>
                <w:sz w:val="21"/>
                <w:highlight w:val="none"/>
              </w:rPr>
              <w:t>依托的乐山市沙湾区豪沐科技有限公司</w:t>
            </w:r>
            <w:r>
              <w:rPr>
                <w:rFonts w:cs="Times New Roman"/>
                <w:color w:val="auto"/>
                <w:kern w:val="21"/>
                <w:sz w:val="21"/>
                <w:highlight w:val="none"/>
              </w:rPr>
              <w:t>初期雨水池（600m</w:t>
            </w:r>
            <w:r>
              <w:rPr>
                <w:rFonts w:cs="Times New Roman"/>
                <w:color w:val="auto"/>
                <w:kern w:val="21"/>
                <w:sz w:val="21"/>
                <w:highlight w:val="none"/>
                <w:vertAlign w:val="superscript"/>
              </w:rPr>
              <w:t>3</w:t>
            </w:r>
            <w:r>
              <w:rPr>
                <w:rFonts w:cs="Times New Roman"/>
                <w:color w:val="auto"/>
                <w:kern w:val="21"/>
                <w:sz w:val="21"/>
                <w:highlight w:val="none"/>
              </w:rPr>
              <w:t>），经沉淀处理后回用于喷雾降尘，不外排。</w:t>
            </w:r>
          </w:p>
        </w:tc>
        <w:tc>
          <w:tcPr>
            <w:tcW w:w="652" w:type="pct"/>
            <w:vAlign w:val="center"/>
          </w:tcPr>
          <w:p w14:paraId="33FC86F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15</w:t>
            </w:r>
          </w:p>
        </w:tc>
        <w:tc>
          <w:tcPr>
            <w:tcW w:w="480" w:type="pct"/>
            <w:vAlign w:val="center"/>
          </w:tcPr>
          <w:p w14:paraId="79D321A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依托</w:t>
            </w:r>
          </w:p>
        </w:tc>
      </w:tr>
      <w:tr w14:paraId="1053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3A0B6F9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63C46B7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015B80E3">
            <w:pPr>
              <w:overflowPunct w:val="0"/>
              <w:adjustRightInd w:val="0"/>
              <w:spacing w:before="62" w:beforeLines="20" w:after="62" w:afterLines="20" w:line="240" w:lineRule="auto"/>
              <w:ind w:firstLine="0" w:firstLineChars="0"/>
              <w:rPr>
                <w:rFonts w:cs="Times New Roman"/>
                <w:b/>
                <w:bCs/>
                <w:color w:val="auto"/>
                <w:kern w:val="21"/>
                <w:sz w:val="21"/>
                <w:highlight w:val="none"/>
              </w:rPr>
            </w:pPr>
            <w:r>
              <w:rPr>
                <w:rFonts w:cs="Times New Roman"/>
                <w:b/>
                <w:bCs/>
                <w:color w:val="auto"/>
                <w:kern w:val="21"/>
                <w:sz w:val="21"/>
                <w:highlight w:val="none"/>
              </w:rPr>
              <w:t>车辆冲洗废水：</w:t>
            </w:r>
            <w:r>
              <w:rPr>
                <w:rFonts w:cs="Times New Roman"/>
                <w:color w:val="auto"/>
                <w:kern w:val="21"/>
                <w:sz w:val="21"/>
                <w:highlight w:val="none"/>
              </w:rPr>
              <w:t>经</w:t>
            </w:r>
            <w:r>
              <w:rPr>
                <w:rFonts w:hint="eastAsia" w:cs="Times New Roman"/>
                <w:color w:val="auto"/>
                <w:kern w:val="21"/>
                <w:sz w:val="21"/>
                <w:highlight w:val="none"/>
              </w:rPr>
              <w:t>依托的乐山市沙湾区豪沐科技有限公司</w:t>
            </w:r>
            <w:r>
              <w:rPr>
                <w:rFonts w:cs="Times New Roman"/>
                <w:color w:val="auto"/>
                <w:kern w:val="21"/>
                <w:sz w:val="21"/>
                <w:highlight w:val="none"/>
              </w:rPr>
              <w:t>沉淀池（5</w:t>
            </w:r>
            <w:r>
              <w:rPr>
                <w:rFonts w:hint="eastAsia" w:cs="Times New Roman"/>
                <w:color w:val="auto"/>
                <w:kern w:val="21"/>
                <w:sz w:val="21"/>
                <w:highlight w:val="none"/>
              </w:rPr>
              <w:t>0</w:t>
            </w:r>
            <w:r>
              <w:rPr>
                <w:rFonts w:cs="Times New Roman"/>
                <w:color w:val="auto"/>
                <w:kern w:val="21"/>
                <w:sz w:val="21"/>
                <w:highlight w:val="none"/>
              </w:rPr>
              <w:t>m</w:t>
            </w:r>
            <w:r>
              <w:rPr>
                <w:rFonts w:cs="Times New Roman"/>
                <w:color w:val="auto"/>
                <w:kern w:val="21"/>
                <w:sz w:val="21"/>
                <w:highlight w:val="none"/>
                <w:vertAlign w:val="superscript"/>
              </w:rPr>
              <w:t>3</w:t>
            </w:r>
            <w:r>
              <w:rPr>
                <w:rFonts w:cs="Times New Roman"/>
                <w:color w:val="auto"/>
                <w:kern w:val="21"/>
                <w:sz w:val="21"/>
                <w:highlight w:val="none"/>
              </w:rPr>
              <w:t>）处理后回用于车辆冲洗，不外排。</w:t>
            </w:r>
          </w:p>
        </w:tc>
        <w:tc>
          <w:tcPr>
            <w:tcW w:w="652" w:type="pct"/>
            <w:vAlign w:val="center"/>
          </w:tcPr>
          <w:p w14:paraId="2E6C30F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2</w:t>
            </w:r>
          </w:p>
        </w:tc>
        <w:tc>
          <w:tcPr>
            <w:tcW w:w="480" w:type="pct"/>
            <w:vAlign w:val="center"/>
          </w:tcPr>
          <w:p w14:paraId="079F964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依托</w:t>
            </w:r>
          </w:p>
        </w:tc>
      </w:tr>
      <w:tr w14:paraId="2383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00A1B49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Align w:val="center"/>
          </w:tcPr>
          <w:p w14:paraId="569A325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噪声控制</w:t>
            </w:r>
          </w:p>
        </w:tc>
        <w:tc>
          <w:tcPr>
            <w:tcW w:w="2649" w:type="pct"/>
            <w:gridSpan w:val="2"/>
            <w:vAlign w:val="center"/>
          </w:tcPr>
          <w:p w14:paraId="748A83F1">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项目采用合理布局、低噪声设备、基础减震、柔性连接、风机消声、厂房隔声等减震降噪措施。</w:t>
            </w:r>
          </w:p>
        </w:tc>
        <w:tc>
          <w:tcPr>
            <w:tcW w:w="652" w:type="pct"/>
            <w:vAlign w:val="center"/>
          </w:tcPr>
          <w:p w14:paraId="00F4AF1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5</w:t>
            </w:r>
          </w:p>
        </w:tc>
        <w:tc>
          <w:tcPr>
            <w:tcW w:w="480" w:type="pct"/>
            <w:vAlign w:val="center"/>
          </w:tcPr>
          <w:p w14:paraId="45ECABB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37DD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02DD315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restart"/>
            <w:vAlign w:val="center"/>
          </w:tcPr>
          <w:p w14:paraId="7AB9B3A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固废处置</w:t>
            </w:r>
          </w:p>
        </w:tc>
        <w:tc>
          <w:tcPr>
            <w:tcW w:w="2649" w:type="pct"/>
            <w:gridSpan w:val="2"/>
            <w:vAlign w:val="center"/>
          </w:tcPr>
          <w:p w14:paraId="412D4B6F">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Cs/>
                <w:color w:val="auto"/>
                <w:kern w:val="21"/>
                <w:sz w:val="21"/>
                <w:highlight w:val="none"/>
              </w:rPr>
              <w:t>废滤袋、废布袋由供货厂家回收；</w:t>
            </w:r>
            <w:r>
              <w:rPr>
                <w:rFonts w:hint="eastAsia" w:cs="Times New Roman"/>
                <w:bCs/>
                <w:color w:val="auto"/>
                <w:kern w:val="21"/>
                <w:sz w:val="21"/>
                <w:highlight w:val="none"/>
              </w:rPr>
              <w:t>布袋收尘灰</w:t>
            </w:r>
            <w:r>
              <w:rPr>
                <w:rFonts w:cs="Times New Roman"/>
                <w:bCs/>
                <w:color w:val="auto"/>
                <w:kern w:val="21"/>
                <w:sz w:val="21"/>
                <w:highlight w:val="none"/>
              </w:rPr>
              <w:t>回用于生产；沉淀池沉砂暂存于一般固废间，回用于生产；废包装材料</w:t>
            </w:r>
            <w:r>
              <w:rPr>
                <w:rFonts w:hint="eastAsia" w:cs="Times New Roman"/>
                <w:bCs/>
                <w:color w:val="auto"/>
                <w:kern w:val="21"/>
                <w:sz w:val="21"/>
                <w:highlight w:val="none"/>
              </w:rPr>
              <w:t>（废聚丙烯酰胺包装袋、废聚合氯化铝包装袋、废捕收剂桶、废碳酸钠包装袋、废氯化镁包装袋）</w:t>
            </w:r>
            <w:r>
              <w:rPr>
                <w:rFonts w:cs="Times New Roman"/>
                <w:bCs/>
                <w:color w:val="auto"/>
                <w:kern w:val="21"/>
                <w:sz w:val="21"/>
                <w:highlight w:val="none"/>
              </w:rPr>
              <w:t>定期外售</w:t>
            </w:r>
            <w:r>
              <w:rPr>
                <w:rFonts w:cs="Times New Roman"/>
                <w:color w:val="auto"/>
                <w:kern w:val="21"/>
                <w:sz w:val="21"/>
                <w:highlight w:val="none"/>
              </w:rPr>
              <w:t>废品回收站</w:t>
            </w:r>
            <w:r>
              <w:rPr>
                <w:rFonts w:hint="eastAsia" w:cs="Times New Roman"/>
                <w:color w:val="auto"/>
                <w:kern w:val="21"/>
                <w:sz w:val="21"/>
                <w:szCs w:val="22"/>
                <w:highlight w:val="none"/>
              </w:rPr>
              <w:t>；餐厨垃圾和隔油池废油定期交由有资质的单位进行处置。</w:t>
            </w:r>
          </w:p>
        </w:tc>
        <w:tc>
          <w:tcPr>
            <w:tcW w:w="652" w:type="pct"/>
            <w:vAlign w:val="center"/>
          </w:tcPr>
          <w:p w14:paraId="01B3BC5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5</w:t>
            </w:r>
          </w:p>
        </w:tc>
        <w:tc>
          <w:tcPr>
            <w:tcW w:w="480" w:type="pct"/>
            <w:vAlign w:val="center"/>
          </w:tcPr>
          <w:p w14:paraId="674E09D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2609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394BCDA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2C1DF030">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13943DD4">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废氢氧化钠包装袋、废机油、废机油桶、含油抹布及手套暂存于</w:t>
            </w:r>
            <w:r>
              <w:rPr>
                <w:rFonts w:hint="eastAsia" w:cs="Times New Roman"/>
                <w:color w:val="auto"/>
                <w:kern w:val="21"/>
                <w:sz w:val="21"/>
                <w:highlight w:val="none"/>
              </w:rPr>
              <w:t>危废暂存间</w:t>
            </w:r>
            <w:r>
              <w:rPr>
                <w:rFonts w:cs="Times New Roman"/>
                <w:color w:val="auto"/>
                <w:kern w:val="21"/>
                <w:sz w:val="21"/>
                <w:highlight w:val="none"/>
              </w:rPr>
              <w:t>（</w:t>
            </w:r>
            <w:r>
              <w:rPr>
                <w:rFonts w:hint="eastAsia" w:cs="Times New Roman"/>
                <w:color w:val="auto"/>
                <w:kern w:val="21"/>
                <w:sz w:val="21"/>
                <w:highlight w:val="none"/>
              </w:rPr>
              <w:t>1</w:t>
            </w:r>
            <w:r>
              <w:rPr>
                <w:rFonts w:cs="Times New Roman"/>
                <w:color w:val="auto"/>
                <w:kern w:val="21"/>
                <w:sz w:val="21"/>
                <w:highlight w:val="none"/>
              </w:rPr>
              <w:t>0m</w:t>
            </w:r>
            <w:r>
              <w:rPr>
                <w:rFonts w:cs="Times New Roman"/>
                <w:color w:val="auto"/>
                <w:kern w:val="21"/>
                <w:sz w:val="21"/>
                <w:highlight w:val="none"/>
                <w:vertAlign w:val="superscript"/>
              </w:rPr>
              <w:t>2</w:t>
            </w:r>
            <w:r>
              <w:rPr>
                <w:rFonts w:cs="Times New Roman"/>
                <w:color w:val="auto"/>
                <w:kern w:val="21"/>
                <w:sz w:val="21"/>
                <w:highlight w:val="none"/>
              </w:rPr>
              <w:t>），定期交由有危废</w:t>
            </w:r>
            <w:r>
              <w:rPr>
                <w:rFonts w:hint="eastAsia" w:cs="Times New Roman"/>
                <w:color w:val="auto"/>
                <w:kern w:val="21"/>
                <w:sz w:val="21"/>
                <w:highlight w:val="none"/>
              </w:rPr>
              <w:t>资质</w:t>
            </w:r>
            <w:r>
              <w:rPr>
                <w:rFonts w:cs="Times New Roman"/>
                <w:color w:val="auto"/>
                <w:kern w:val="21"/>
                <w:sz w:val="21"/>
                <w:highlight w:val="none"/>
              </w:rPr>
              <w:t>的单位进行处置。</w:t>
            </w:r>
          </w:p>
        </w:tc>
        <w:tc>
          <w:tcPr>
            <w:tcW w:w="652" w:type="pct"/>
            <w:vAlign w:val="center"/>
          </w:tcPr>
          <w:p w14:paraId="3914A01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w:t>
            </w:r>
            <w:r>
              <w:rPr>
                <w:rFonts w:hint="eastAsia" w:cs="Times New Roman"/>
                <w:color w:val="auto"/>
                <w:kern w:val="21"/>
                <w:sz w:val="21"/>
                <w:highlight w:val="none"/>
              </w:rPr>
              <w:t>0</w:t>
            </w:r>
          </w:p>
        </w:tc>
        <w:tc>
          <w:tcPr>
            <w:tcW w:w="480" w:type="pct"/>
            <w:vAlign w:val="center"/>
          </w:tcPr>
          <w:p w14:paraId="674D92E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542F9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55EEDF3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47F5DC8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2649" w:type="pct"/>
            <w:gridSpan w:val="2"/>
            <w:vAlign w:val="center"/>
          </w:tcPr>
          <w:p w14:paraId="3E1B076E">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生活垃圾经厂区内垃圾桶统一收集后委托环卫部门清运处置。</w:t>
            </w:r>
          </w:p>
        </w:tc>
        <w:tc>
          <w:tcPr>
            <w:tcW w:w="652" w:type="pct"/>
            <w:vAlign w:val="center"/>
          </w:tcPr>
          <w:p w14:paraId="2DF8EA9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w:t>
            </w:r>
          </w:p>
        </w:tc>
        <w:tc>
          <w:tcPr>
            <w:tcW w:w="480" w:type="pct"/>
            <w:vAlign w:val="center"/>
          </w:tcPr>
          <w:p w14:paraId="414D793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0C8B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40ADD22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Align w:val="center"/>
          </w:tcPr>
          <w:p w14:paraId="6764866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地下水及土壤</w:t>
            </w:r>
          </w:p>
        </w:tc>
        <w:tc>
          <w:tcPr>
            <w:tcW w:w="2649" w:type="pct"/>
            <w:gridSpan w:val="2"/>
            <w:vAlign w:val="center"/>
          </w:tcPr>
          <w:p w14:paraId="1684DB89">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
                <w:color w:val="auto"/>
                <w:kern w:val="21"/>
                <w:sz w:val="21"/>
                <w:highlight w:val="none"/>
              </w:rPr>
              <w:t>重点防渗区：</w:t>
            </w:r>
            <w:r>
              <w:rPr>
                <w:rFonts w:cs="Times New Roman"/>
                <w:color w:val="auto"/>
                <w:kern w:val="21"/>
                <w:sz w:val="21"/>
                <w:highlight w:val="none"/>
              </w:rPr>
              <w:t>生产废水处理区、</w:t>
            </w:r>
            <w:r>
              <w:rPr>
                <w:rFonts w:hint="eastAsia" w:cs="Times New Roman"/>
                <w:color w:val="auto"/>
                <w:kern w:val="21"/>
                <w:sz w:val="21"/>
                <w:highlight w:val="none"/>
              </w:rPr>
              <w:t>危废暂存间</w:t>
            </w:r>
            <w:r>
              <w:rPr>
                <w:rFonts w:cs="Times New Roman"/>
                <w:color w:val="auto"/>
                <w:kern w:val="21"/>
                <w:sz w:val="21"/>
                <w:highlight w:val="none"/>
              </w:rPr>
              <w:t>、事故应急池、药剂库、初期雨水池、压滤车间进行重点防渗，采用20cm厚的P8防渗混凝土进行防渗，</w:t>
            </w:r>
            <w:r>
              <w:rPr>
                <w:rFonts w:hint="eastAsia" w:cs="Times New Roman"/>
                <w:color w:val="auto"/>
                <w:kern w:val="21"/>
                <w:sz w:val="21"/>
                <w:highlight w:val="none"/>
              </w:rPr>
              <w:t>危废暂存间</w:t>
            </w:r>
            <w:r>
              <w:rPr>
                <w:rFonts w:cs="Times New Roman"/>
                <w:color w:val="auto"/>
                <w:kern w:val="21"/>
                <w:sz w:val="21"/>
                <w:highlight w:val="none"/>
              </w:rPr>
              <w:t>和药剂库增设不锈钢金属托盘，Mb≥6.0m、K≤1×10</w:t>
            </w:r>
            <w:r>
              <w:rPr>
                <w:rFonts w:cs="Times New Roman"/>
                <w:color w:val="auto"/>
                <w:kern w:val="21"/>
                <w:sz w:val="21"/>
                <w:highlight w:val="none"/>
                <w:vertAlign w:val="superscript"/>
              </w:rPr>
              <w:t>-7</w:t>
            </w:r>
            <w:r>
              <w:rPr>
                <w:rFonts w:cs="Times New Roman"/>
                <w:color w:val="auto"/>
                <w:kern w:val="21"/>
                <w:sz w:val="21"/>
                <w:highlight w:val="none"/>
              </w:rPr>
              <w:t>cm/s（其中危险废物暂存间渗透系数K≤1×10</w:t>
            </w:r>
            <w:r>
              <w:rPr>
                <w:rFonts w:cs="Times New Roman"/>
                <w:color w:val="auto"/>
                <w:kern w:val="21"/>
                <w:sz w:val="21"/>
                <w:highlight w:val="none"/>
                <w:vertAlign w:val="superscript"/>
              </w:rPr>
              <w:t>-10</w:t>
            </w:r>
            <w:r>
              <w:rPr>
                <w:rFonts w:cs="Times New Roman"/>
                <w:color w:val="auto"/>
                <w:kern w:val="21"/>
                <w:sz w:val="21"/>
                <w:highlight w:val="none"/>
              </w:rPr>
              <w:t>cm/s）的要求；废水输送管道采用高强度防腐材质。</w:t>
            </w:r>
          </w:p>
          <w:p w14:paraId="01E6E081">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
                <w:color w:val="auto"/>
                <w:kern w:val="21"/>
                <w:sz w:val="21"/>
                <w:highlight w:val="none"/>
              </w:rPr>
              <w:t>一般防渗区：</w:t>
            </w:r>
            <w:r>
              <w:rPr>
                <w:rFonts w:cs="Times New Roman"/>
                <w:color w:val="auto"/>
                <w:kern w:val="21"/>
                <w:sz w:val="21"/>
                <w:highlight w:val="none"/>
              </w:rPr>
              <w:t>碎矿车间、磨矿车间、加工车间、压滤车间、精矿仓库</w:t>
            </w:r>
            <w:r>
              <w:rPr>
                <w:rFonts w:hint="eastAsia" w:cs="Times New Roman"/>
                <w:color w:val="auto"/>
                <w:kern w:val="21"/>
                <w:sz w:val="21"/>
                <w:highlight w:val="none"/>
              </w:rPr>
              <w:t>、尾矿仓库</w:t>
            </w:r>
            <w:r>
              <w:rPr>
                <w:rFonts w:cs="Times New Roman"/>
                <w:color w:val="auto"/>
                <w:kern w:val="21"/>
                <w:sz w:val="21"/>
                <w:highlight w:val="none"/>
              </w:rPr>
              <w:t>、一般固废间、预处理池、</w:t>
            </w:r>
            <w:r>
              <w:rPr>
                <w:rFonts w:hint="eastAsia" w:cs="Times New Roman"/>
                <w:color w:val="auto"/>
                <w:kern w:val="21"/>
                <w:sz w:val="21"/>
                <w:highlight w:val="none"/>
              </w:rPr>
              <w:t>洗车区、洗车废水沉淀池、工具间</w:t>
            </w:r>
            <w:r>
              <w:rPr>
                <w:rFonts w:cs="Times New Roman"/>
                <w:color w:val="auto"/>
                <w:kern w:val="21"/>
                <w:sz w:val="21"/>
                <w:highlight w:val="none"/>
              </w:rPr>
              <w:t>采用20cm厚的P</w:t>
            </w:r>
            <w:r>
              <w:rPr>
                <w:rFonts w:hint="eastAsia" w:cs="Times New Roman"/>
                <w:color w:val="auto"/>
                <w:kern w:val="21"/>
                <w:sz w:val="21"/>
                <w:highlight w:val="none"/>
              </w:rPr>
              <w:t>6</w:t>
            </w:r>
            <w:r>
              <w:rPr>
                <w:rFonts w:cs="Times New Roman"/>
                <w:color w:val="auto"/>
                <w:kern w:val="21"/>
                <w:sz w:val="21"/>
                <w:highlight w:val="none"/>
              </w:rPr>
              <w:t>抗渗混凝土进行防渗，要求等效黏土防渗层Mb≥1.5m，渗透系数K≤1×10</w:t>
            </w:r>
            <w:r>
              <w:rPr>
                <w:rFonts w:cs="Times New Roman"/>
                <w:color w:val="auto"/>
                <w:kern w:val="21"/>
                <w:sz w:val="21"/>
                <w:highlight w:val="none"/>
                <w:vertAlign w:val="superscript"/>
              </w:rPr>
              <w:t>-7</w:t>
            </w:r>
            <w:r>
              <w:rPr>
                <w:rFonts w:cs="Times New Roman"/>
                <w:color w:val="auto"/>
                <w:kern w:val="21"/>
                <w:sz w:val="21"/>
                <w:highlight w:val="none"/>
              </w:rPr>
              <w:t>cm/s。</w:t>
            </w:r>
          </w:p>
          <w:p w14:paraId="113F5E27">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b/>
                <w:color w:val="auto"/>
                <w:kern w:val="21"/>
                <w:sz w:val="21"/>
                <w:highlight w:val="none"/>
              </w:rPr>
              <w:t>简单防渗区：</w:t>
            </w:r>
            <w:r>
              <w:rPr>
                <w:rFonts w:cs="Times New Roman"/>
                <w:color w:val="auto"/>
                <w:kern w:val="21"/>
                <w:sz w:val="21"/>
                <w:highlight w:val="none"/>
              </w:rPr>
              <w:t>厂区道路、办公区等场内其他区域采用一般地面硬化。</w:t>
            </w:r>
          </w:p>
        </w:tc>
        <w:tc>
          <w:tcPr>
            <w:tcW w:w="652" w:type="pct"/>
            <w:vAlign w:val="center"/>
          </w:tcPr>
          <w:p w14:paraId="470BB4D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100</w:t>
            </w:r>
          </w:p>
        </w:tc>
        <w:tc>
          <w:tcPr>
            <w:tcW w:w="480" w:type="pct"/>
            <w:vAlign w:val="center"/>
          </w:tcPr>
          <w:p w14:paraId="27268A0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16BE6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4F7210F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restart"/>
            <w:vAlign w:val="center"/>
          </w:tcPr>
          <w:p w14:paraId="6602148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风险防范措施</w:t>
            </w:r>
          </w:p>
        </w:tc>
        <w:tc>
          <w:tcPr>
            <w:tcW w:w="958" w:type="pct"/>
            <w:vAlign w:val="center"/>
          </w:tcPr>
          <w:p w14:paraId="78DA1A0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消防器材</w:t>
            </w:r>
          </w:p>
        </w:tc>
        <w:tc>
          <w:tcPr>
            <w:tcW w:w="1691" w:type="pct"/>
            <w:vAlign w:val="center"/>
          </w:tcPr>
          <w:p w14:paraId="6224F447">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场区设置消防灭火系统</w:t>
            </w:r>
          </w:p>
        </w:tc>
        <w:tc>
          <w:tcPr>
            <w:tcW w:w="652" w:type="pct"/>
            <w:vAlign w:val="center"/>
          </w:tcPr>
          <w:p w14:paraId="3EBC262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w:t>
            </w:r>
          </w:p>
        </w:tc>
        <w:tc>
          <w:tcPr>
            <w:tcW w:w="480" w:type="pct"/>
            <w:vAlign w:val="center"/>
          </w:tcPr>
          <w:p w14:paraId="530F8DC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28ECD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2" w:type="pct"/>
            <w:vMerge w:val="continue"/>
            <w:vAlign w:val="center"/>
          </w:tcPr>
          <w:p w14:paraId="20893FE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4C666C1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958" w:type="pct"/>
            <w:vAlign w:val="center"/>
          </w:tcPr>
          <w:p w14:paraId="104DBE5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风险管理措施</w:t>
            </w:r>
          </w:p>
        </w:tc>
        <w:tc>
          <w:tcPr>
            <w:tcW w:w="1691" w:type="pct"/>
            <w:vAlign w:val="center"/>
          </w:tcPr>
          <w:p w14:paraId="118CFA5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编制应急预案，加强操作人员的技术培训和岗位责任制教育</w:t>
            </w:r>
          </w:p>
        </w:tc>
        <w:tc>
          <w:tcPr>
            <w:tcW w:w="652" w:type="pct"/>
            <w:vAlign w:val="center"/>
          </w:tcPr>
          <w:p w14:paraId="686C751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w:t>
            </w:r>
          </w:p>
        </w:tc>
        <w:tc>
          <w:tcPr>
            <w:tcW w:w="480" w:type="pct"/>
            <w:vAlign w:val="center"/>
          </w:tcPr>
          <w:p w14:paraId="23D4772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2B19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2" w:type="pct"/>
            <w:vMerge w:val="continue"/>
            <w:vAlign w:val="center"/>
          </w:tcPr>
          <w:p w14:paraId="21F2B8A7">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615" w:type="pct"/>
            <w:vMerge w:val="continue"/>
            <w:vAlign w:val="center"/>
          </w:tcPr>
          <w:p w14:paraId="77A2A4C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p>
        </w:tc>
        <w:tc>
          <w:tcPr>
            <w:tcW w:w="958" w:type="pct"/>
            <w:vAlign w:val="center"/>
          </w:tcPr>
          <w:p w14:paraId="359926E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环境管理及监测</w:t>
            </w:r>
          </w:p>
        </w:tc>
        <w:tc>
          <w:tcPr>
            <w:tcW w:w="1691" w:type="pct"/>
            <w:vAlign w:val="center"/>
          </w:tcPr>
          <w:p w14:paraId="4F769BC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定期开展环境监测工作，加强环境保护管理工作</w:t>
            </w:r>
          </w:p>
        </w:tc>
        <w:tc>
          <w:tcPr>
            <w:tcW w:w="652" w:type="pct"/>
            <w:vAlign w:val="center"/>
          </w:tcPr>
          <w:p w14:paraId="1442E0A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5</w:t>
            </w:r>
          </w:p>
        </w:tc>
        <w:tc>
          <w:tcPr>
            <w:tcW w:w="480" w:type="pct"/>
            <w:vAlign w:val="center"/>
          </w:tcPr>
          <w:p w14:paraId="64B266A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olor w:val="auto"/>
                <w:highlight w:val="none"/>
              </w:rPr>
              <w:t>新建</w:t>
            </w:r>
          </w:p>
        </w:tc>
      </w:tr>
      <w:tr w14:paraId="6B763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67" w:type="pct"/>
            <w:gridSpan w:val="4"/>
            <w:vAlign w:val="center"/>
          </w:tcPr>
          <w:p w14:paraId="187A1BB1">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合计</w:t>
            </w:r>
          </w:p>
        </w:tc>
        <w:tc>
          <w:tcPr>
            <w:tcW w:w="652" w:type="pct"/>
            <w:vAlign w:val="center"/>
          </w:tcPr>
          <w:p w14:paraId="1F850A3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819</w:t>
            </w:r>
          </w:p>
        </w:tc>
        <w:tc>
          <w:tcPr>
            <w:tcW w:w="480" w:type="pct"/>
            <w:vAlign w:val="center"/>
          </w:tcPr>
          <w:p w14:paraId="4DE5298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w:t>
            </w:r>
          </w:p>
        </w:tc>
      </w:tr>
    </w:tbl>
    <w:p w14:paraId="3150D357">
      <w:pPr>
        <w:pStyle w:val="3"/>
        <w:rPr>
          <w:color w:val="auto"/>
          <w:highlight w:val="none"/>
        </w:rPr>
      </w:pPr>
      <w:bookmarkStart w:id="291" w:name="_Toc29595"/>
      <w:bookmarkStart w:id="292" w:name="_Toc3599"/>
      <w:bookmarkStart w:id="293" w:name="_Toc31228"/>
      <w:bookmarkStart w:id="294" w:name="_Toc15792"/>
      <w:r>
        <w:rPr>
          <w:color w:val="auto"/>
          <w:highlight w:val="none"/>
        </w:rPr>
        <w:t>环保治理措施技术、经济评述结论</w:t>
      </w:r>
      <w:bookmarkEnd w:id="291"/>
      <w:bookmarkEnd w:id="292"/>
      <w:bookmarkEnd w:id="293"/>
      <w:bookmarkEnd w:id="294"/>
    </w:p>
    <w:p w14:paraId="04C88641">
      <w:pPr>
        <w:adjustRightInd w:val="0"/>
        <w:ind w:firstLine="480"/>
        <w:rPr>
          <w:rFonts w:cs="Times New Roman"/>
          <w:color w:val="auto"/>
          <w:highlight w:val="none"/>
        </w:rPr>
      </w:pPr>
      <w:r>
        <w:rPr>
          <w:rFonts w:cs="Times New Roman"/>
          <w:color w:val="auto"/>
          <w:highlight w:val="none"/>
        </w:rPr>
        <w:t>在经过对建设单位提出的三废治理措施进行技术经济分析之后，建设单位提出的三废治理措施总体上是可行的。</w:t>
      </w:r>
    </w:p>
    <w:p w14:paraId="1BD31055">
      <w:pPr>
        <w:adjustRightInd w:val="0"/>
        <w:ind w:firstLine="480"/>
        <w:rPr>
          <w:rFonts w:cs="Times New Roman"/>
          <w:color w:val="auto"/>
          <w:highlight w:val="none"/>
        </w:rPr>
      </w:pPr>
      <w:r>
        <w:rPr>
          <w:rFonts w:cs="Times New Roman"/>
          <w:color w:val="auto"/>
          <w:highlight w:val="none"/>
        </w:rPr>
        <w:t>环保治理设施的总建设费用为</w:t>
      </w:r>
      <w:r>
        <w:rPr>
          <w:rFonts w:hint="eastAsia" w:cs="Times New Roman"/>
          <w:color w:val="auto"/>
          <w:highlight w:val="none"/>
        </w:rPr>
        <w:t>819</w:t>
      </w:r>
      <w:r>
        <w:rPr>
          <w:rFonts w:cs="Times New Roman"/>
          <w:color w:val="auto"/>
          <w:highlight w:val="none"/>
        </w:rPr>
        <w:t>万元人民币，占项目总投资的</w:t>
      </w:r>
      <w:r>
        <w:rPr>
          <w:rFonts w:hint="eastAsia" w:cs="Times New Roman"/>
          <w:color w:val="auto"/>
          <w:highlight w:val="none"/>
        </w:rPr>
        <w:t>7.45</w:t>
      </w:r>
      <w:r>
        <w:rPr>
          <w:rFonts w:cs="Times New Roman"/>
          <w:color w:val="auto"/>
          <w:highlight w:val="none"/>
        </w:rPr>
        <w:t>%，在经济上是可行的。</w:t>
      </w:r>
    </w:p>
    <w:p w14:paraId="0B264082">
      <w:pPr>
        <w:adjustRightInd w:val="0"/>
        <w:ind w:firstLine="480"/>
        <w:rPr>
          <w:rFonts w:cs="Times New Roman"/>
          <w:color w:val="auto"/>
          <w:highlight w:val="none"/>
        </w:rPr>
      </w:pPr>
      <w:r>
        <w:rPr>
          <w:rFonts w:cs="Times New Roman"/>
          <w:color w:val="auto"/>
          <w:highlight w:val="none"/>
        </w:rPr>
        <w:t>总结前面各章节的分析结果，可以认为，本项目所采取的</w:t>
      </w:r>
      <w:r>
        <w:rPr>
          <w:rFonts w:hint="eastAsia" w:cs="Times New Roman"/>
          <w:color w:val="auto"/>
          <w:highlight w:val="none"/>
        </w:rPr>
        <w:t>“</w:t>
      </w:r>
      <w:r>
        <w:rPr>
          <w:rFonts w:cs="Times New Roman"/>
          <w:color w:val="auto"/>
          <w:highlight w:val="none"/>
        </w:rPr>
        <w:t>三废</w:t>
      </w:r>
      <w:r>
        <w:rPr>
          <w:rFonts w:hint="eastAsia" w:cs="Times New Roman"/>
          <w:color w:val="auto"/>
          <w:highlight w:val="none"/>
        </w:rPr>
        <w:t>”</w:t>
      </w:r>
      <w:r>
        <w:rPr>
          <w:rFonts w:cs="Times New Roman"/>
          <w:color w:val="auto"/>
          <w:highlight w:val="none"/>
        </w:rPr>
        <w:t>污染源治理措施，从同类型污水处理厂的长期运行效果看，其</w:t>
      </w:r>
      <w:r>
        <w:rPr>
          <w:rFonts w:hint="eastAsia" w:cs="Times New Roman"/>
          <w:color w:val="auto"/>
          <w:highlight w:val="none"/>
        </w:rPr>
        <w:t>“</w:t>
      </w:r>
      <w:r>
        <w:rPr>
          <w:rFonts w:cs="Times New Roman"/>
          <w:color w:val="auto"/>
          <w:highlight w:val="none"/>
        </w:rPr>
        <w:t>三废</w:t>
      </w:r>
      <w:r>
        <w:rPr>
          <w:rFonts w:hint="eastAsia" w:cs="Times New Roman"/>
          <w:color w:val="auto"/>
          <w:highlight w:val="none"/>
        </w:rPr>
        <w:t>”</w:t>
      </w:r>
      <w:r>
        <w:rPr>
          <w:rFonts w:cs="Times New Roman"/>
          <w:color w:val="auto"/>
          <w:highlight w:val="none"/>
        </w:rPr>
        <w:t>治理措施技术是先进的，治理效果是好的，操作管理和维护维修是方便的，运行费用低廉，所获得的环境效益和经济效益较好。只要建设单位在今后的运行过程中，强化环境保护管理工作，尤其是做好废水、废气和废渣治理设施的管理工作，本项目所采取的环境保护措施经济合理，它既能达到发展生产的目的，又能达到设计要求做到达标排放和保护好环境的目的。</w:t>
      </w:r>
    </w:p>
    <w:p w14:paraId="55857479">
      <w:pPr>
        <w:adjustRightInd w:val="0"/>
        <w:ind w:firstLine="480"/>
        <w:rPr>
          <w:rFonts w:cs="Times New Roman"/>
          <w:color w:val="auto"/>
          <w:highlight w:val="none"/>
        </w:rPr>
        <w:sectPr>
          <w:pgSz w:w="11906" w:h="16838"/>
          <w:pgMar w:top="1134" w:right="1531" w:bottom="1134" w:left="1531" w:header="851" w:footer="907" w:gutter="0"/>
          <w:cols w:space="425" w:num="1"/>
          <w:docGrid w:type="lines" w:linePitch="312" w:charSpace="0"/>
        </w:sectPr>
      </w:pPr>
    </w:p>
    <w:p w14:paraId="7BD2171A">
      <w:pPr>
        <w:pStyle w:val="2"/>
        <w:rPr>
          <w:color w:val="auto"/>
          <w:highlight w:val="none"/>
        </w:rPr>
      </w:pPr>
      <w:bookmarkStart w:id="295" w:name="_Toc32576"/>
      <w:r>
        <w:rPr>
          <w:color w:val="auto"/>
          <w:highlight w:val="none"/>
        </w:rPr>
        <w:t>环境影响经济损益分析</w:t>
      </w:r>
      <w:bookmarkEnd w:id="295"/>
    </w:p>
    <w:p w14:paraId="45CD35C8">
      <w:pPr>
        <w:adjustRightInd w:val="0"/>
        <w:ind w:firstLine="480"/>
        <w:rPr>
          <w:rFonts w:cs="Times New Roman"/>
          <w:color w:val="auto"/>
          <w:highlight w:val="none"/>
        </w:rPr>
      </w:pPr>
      <w:r>
        <w:rPr>
          <w:rFonts w:cs="Times New Roman"/>
          <w:color w:val="auto"/>
          <w:highlight w:val="none"/>
        </w:rPr>
        <w:t>环境影响经济损益分析主要是衡量项目的环保投资所能收到的环境效益和经济效益，建设项目应力争达到社会效益、环境效益、经济效益的统一，这样才能符合可持续发展的要求，实现经济的持续发展和环境质量的不断改善。该项目建设在一定程度上给周围环境质量带来一些负面影响，特别是对生态环境所造成的影响，因此有必要进行经济效益、社会效益、环境效益的综合分析，使项目的建设论证更加充分可靠，工程的设计和实施更加完善，以实现社会的良性发展、经济的持续增长和环境质量的保持与改善。</w:t>
      </w:r>
    </w:p>
    <w:p w14:paraId="6C9524E0">
      <w:pPr>
        <w:pStyle w:val="3"/>
        <w:adjustRightInd w:val="0"/>
        <w:rPr>
          <w:rFonts w:cs="Times New Roman"/>
          <w:color w:val="auto"/>
          <w:highlight w:val="none"/>
        </w:rPr>
      </w:pPr>
      <w:bookmarkStart w:id="296" w:name="_Toc27113"/>
      <w:bookmarkStart w:id="297" w:name="_Toc14862"/>
      <w:bookmarkStart w:id="298" w:name="_Toc15159"/>
      <w:r>
        <w:rPr>
          <w:rFonts w:cs="Times New Roman"/>
          <w:color w:val="auto"/>
          <w:highlight w:val="none"/>
        </w:rPr>
        <w:t>经济效益</w:t>
      </w:r>
      <w:bookmarkEnd w:id="296"/>
      <w:bookmarkEnd w:id="297"/>
      <w:bookmarkEnd w:id="298"/>
    </w:p>
    <w:p w14:paraId="30B4A2CE">
      <w:pPr>
        <w:overflowPunct w:val="0"/>
        <w:adjustRightInd w:val="0"/>
        <w:ind w:firstLine="480"/>
        <w:rPr>
          <w:rFonts w:cs="Times New Roman"/>
          <w:color w:val="auto"/>
          <w:kern w:val="21"/>
          <w:szCs w:val="22"/>
          <w:highlight w:val="none"/>
        </w:rPr>
      </w:pPr>
      <w:r>
        <w:rPr>
          <w:rFonts w:cs="Times New Roman"/>
          <w:color w:val="auto"/>
          <w:kern w:val="21"/>
          <w:szCs w:val="22"/>
          <w:highlight w:val="none"/>
        </w:rPr>
        <w:t>项目计划总投资1</w:t>
      </w:r>
      <w:r>
        <w:rPr>
          <w:rFonts w:hint="eastAsia" w:cs="Times New Roman"/>
          <w:color w:val="auto"/>
          <w:kern w:val="21"/>
          <w:szCs w:val="22"/>
          <w:highlight w:val="none"/>
        </w:rPr>
        <w:t>1</w:t>
      </w:r>
      <w:r>
        <w:rPr>
          <w:rFonts w:cs="Times New Roman"/>
          <w:color w:val="auto"/>
          <w:kern w:val="21"/>
          <w:szCs w:val="22"/>
          <w:highlight w:val="none"/>
        </w:rPr>
        <w:t>000万元，资金来</w:t>
      </w:r>
      <w:r>
        <w:rPr>
          <w:rFonts w:hint="eastAsia" w:cs="Times New Roman"/>
          <w:color w:val="auto"/>
          <w:kern w:val="21"/>
          <w:szCs w:val="22"/>
          <w:highlight w:val="none"/>
        </w:rPr>
        <w:t>源由</w:t>
      </w:r>
      <w:r>
        <w:rPr>
          <w:rFonts w:cs="Times New Roman"/>
          <w:color w:val="auto"/>
          <w:kern w:val="21"/>
          <w:szCs w:val="22"/>
          <w:highlight w:val="none"/>
        </w:rPr>
        <w:t>企业自筹解决，根据项目建议书中财务分析结论，本项目具有较强的盈利能力、债务清偿能力和抗风险能力，具有明显的投资优势</w:t>
      </w:r>
      <w:r>
        <w:rPr>
          <w:rFonts w:hint="eastAsia" w:cs="Times New Roman"/>
          <w:color w:val="auto"/>
          <w:kern w:val="21"/>
          <w:szCs w:val="22"/>
          <w:highlight w:val="none"/>
        </w:rPr>
        <w:t>，具</w:t>
      </w:r>
      <w:r>
        <w:rPr>
          <w:rFonts w:cs="Times New Roman"/>
          <w:color w:val="auto"/>
          <w:kern w:val="21"/>
          <w:szCs w:val="22"/>
          <w:highlight w:val="none"/>
        </w:rPr>
        <w:t>有一定的经济效益。</w:t>
      </w:r>
    </w:p>
    <w:p w14:paraId="1CD69560">
      <w:pPr>
        <w:pStyle w:val="3"/>
        <w:adjustRightInd w:val="0"/>
        <w:rPr>
          <w:rFonts w:cs="Times New Roman"/>
          <w:color w:val="auto"/>
          <w:highlight w:val="none"/>
        </w:rPr>
      </w:pPr>
      <w:bookmarkStart w:id="299" w:name="_Toc1317"/>
      <w:bookmarkStart w:id="300" w:name="_Toc10671"/>
      <w:bookmarkStart w:id="301" w:name="_Toc13391"/>
      <w:r>
        <w:rPr>
          <w:rFonts w:cs="Times New Roman"/>
          <w:color w:val="auto"/>
          <w:highlight w:val="none"/>
        </w:rPr>
        <w:t>社会效益分析</w:t>
      </w:r>
      <w:bookmarkEnd w:id="299"/>
      <w:bookmarkEnd w:id="300"/>
      <w:bookmarkEnd w:id="301"/>
    </w:p>
    <w:p w14:paraId="6F2D43DC">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的建设不仅能增加地方财政收入，为社会提供一定的就业机会，而且还将带动项目所在地区的建筑、建材、电力、机械、运输及服务等相关行业的发展，促进项目所在地区的经济发展和社会进步，增加附近居民的就业机会，提高居民个人收入。由此可见，本项目具有良好的社会效益。</w:t>
      </w:r>
    </w:p>
    <w:p w14:paraId="369153C5">
      <w:pPr>
        <w:pStyle w:val="3"/>
        <w:adjustRightInd w:val="0"/>
        <w:rPr>
          <w:rFonts w:cs="Times New Roman"/>
          <w:color w:val="auto"/>
          <w:highlight w:val="none"/>
        </w:rPr>
      </w:pPr>
      <w:bookmarkStart w:id="302" w:name="_Toc31680"/>
      <w:bookmarkStart w:id="303" w:name="_Toc30346"/>
      <w:bookmarkStart w:id="304" w:name="_Toc9475"/>
      <w:r>
        <w:rPr>
          <w:rFonts w:cs="Times New Roman"/>
          <w:color w:val="auto"/>
          <w:highlight w:val="none"/>
        </w:rPr>
        <w:t>环境经济效益分析</w:t>
      </w:r>
      <w:bookmarkEnd w:id="302"/>
      <w:bookmarkEnd w:id="303"/>
      <w:bookmarkEnd w:id="304"/>
    </w:p>
    <w:p w14:paraId="0047885C">
      <w:pPr>
        <w:pStyle w:val="4"/>
        <w:adjustRightInd w:val="0"/>
        <w:rPr>
          <w:rFonts w:cs="Times New Roman"/>
          <w:color w:val="auto"/>
          <w:highlight w:val="none"/>
        </w:rPr>
      </w:pPr>
      <w:bookmarkStart w:id="305" w:name="_Toc31631"/>
      <w:bookmarkStart w:id="306" w:name="_Toc4365"/>
      <w:bookmarkStart w:id="307" w:name="_Toc22049"/>
      <w:r>
        <w:rPr>
          <w:rFonts w:cs="Times New Roman"/>
          <w:color w:val="auto"/>
          <w:highlight w:val="none"/>
        </w:rPr>
        <w:t>环境保护费用</w:t>
      </w:r>
      <w:bookmarkEnd w:id="305"/>
      <w:bookmarkEnd w:id="306"/>
      <w:bookmarkEnd w:id="307"/>
    </w:p>
    <w:p w14:paraId="5346D217">
      <w:pPr>
        <w:overflowPunct w:val="0"/>
        <w:adjustRightInd w:val="0"/>
        <w:ind w:firstLine="480"/>
        <w:rPr>
          <w:rFonts w:cs="Times New Roman"/>
          <w:color w:val="auto"/>
          <w:kern w:val="21"/>
          <w:szCs w:val="22"/>
          <w:highlight w:val="none"/>
        </w:rPr>
      </w:pPr>
      <w:r>
        <w:rPr>
          <w:rFonts w:cs="Times New Roman"/>
          <w:color w:val="auto"/>
          <w:kern w:val="21"/>
          <w:szCs w:val="22"/>
          <w:highlight w:val="none"/>
        </w:rPr>
        <w:t>环保设施费用主要包括：环保设施折旧费、环保设施消耗费和环保管理费，计算公式为：</w:t>
      </w:r>
    </w:p>
    <w:p w14:paraId="5EF69DB0">
      <w:pPr>
        <w:overflowPunct w:val="0"/>
        <w:adjustRightInd w:val="0"/>
        <w:ind w:firstLine="480" w:firstLineChars="0"/>
        <w:jc w:val="center"/>
        <w:rPr>
          <w:rFonts w:cs="Times New Roman"/>
          <w:color w:val="auto"/>
          <w:kern w:val="21"/>
          <w:szCs w:val="22"/>
          <w:highlight w:val="none"/>
        </w:rPr>
      </w:pPr>
      <w:r>
        <w:rPr>
          <w:rFonts w:cs="Times New Roman"/>
          <w:color w:val="auto"/>
          <w:kern w:val="21"/>
          <w:szCs w:val="22"/>
          <w:highlight w:val="none"/>
        </w:rPr>
        <w:drawing>
          <wp:inline distT="0" distB="0" distL="0" distR="0">
            <wp:extent cx="1212215" cy="224155"/>
            <wp:effectExtent l="0" t="0" r="6985"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6"/>
                    <a:stretch>
                      <a:fillRect/>
                    </a:stretch>
                  </pic:blipFill>
                  <pic:spPr>
                    <a:xfrm>
                      <a:off x="0" y="0"/>
                      <a:ext cx="1222360" cy="226086"/>
                    </a:xfrm>
                    <a:prstGeom prst="rect">
                      <a:avLst/>
                    </a:prstGeom>
                  </pic:spPr>
                </pic:pic>
              </a:graphicData>
            </a:graphic>
          </wp:inline>
        </w:drawing>
      </w:r>
    </w:p>
    <w:p w14:paraId="360C4F4A">
      <w:pPr>
        <w:overflowPunct w:val="0"/>
        <w:adjustRightInd w:val="0"/>
        <w:ind w:firstLine="480"/>
        <w:rPr>
          <w:rFonts w:cs="Times New Roman"/>
          <w:color w:val="auto"/>
          <w:kern w:val="21"/>
          <w:szCs w:val="22"/>
          <w:highlight w:val="none"/>
        </w:rPr>
      </w:pPr>
      <w:r>
        <w:rPr>
          <w:rFonts w:cs="Times New Roman"/>
          <w:color w:val="auto"/>
          <w:kern w:val="21"/>
          <w:szCs w:val="22"/>
          <w:highlight w:val="none"/>
        </w:rPr>
        <w:t>式中：</w:t>
      </w:r>
    </w:p>
    <w:p w14:paraId="114AA85F">
      <w:pPr>
        <w:overflowPunct w:val="0"/>
        <w:adjustRightInd w:val="0"/>
        <w:ind w:firstLine="480"/>
        <w:rPr>
          <w:rFonts w:cs="Times New Roman"/>
          <w:color w:val="auto"/>
          <w:kern w:val="21"/>
          <w:szCs w:val="22"/>
          <w:highlight w:val="none"/>
        </w:rPr>
      </w:pPr>
      <w:r>
        <w:rPr>
          <w:rFonts w:cs="Times New Roman"/>
          <w:iCs/>
          <w:color w:val="auto"/>
          <w:kern w:val="21"/>
          <w:szCs w:val="22"/>
          <w:highlight w:val="none"/>
        </w:rPr>
        <w:t>C</w:t>
      </w:r>
      <w:r>
        <w:rPr>
          <w:rFonts w:cs="Times New Roman"/>
          <w:color w:val="auto"/>
          <w:kern w:val="21"/>
          <w:szCs w:val="22"/>
          <w:highlight w:val="none"/>
        </w:rPr>
        <w:t>——环保设施费用，万元/a；</w:t>
      </w:r>
    </w:p>
    <w:p w14:paraId="7829F9DC">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1</w:t>
      </w:r>
      <w:r>
        <w:rPr>
          <w:rFonts w:cs="Times New Roman"/>
          <w:color w:val="auto"/>
          <w:kern w:val="21"/>
          <w:szCs w:val="22"/>
          <w:highlight w:val="none"/>
        </w:rPr>
        <w:t>——环保设施折旧费，万元/a；</w:t>
      </w:r>
    </w:p>
    <w:p w14:paraId="7D635358">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2</w:t>
      </w:r>
      <w:r>
        <w:rPr>
          <w:rFonts w:cs="Times New Roman"/>
          <w:color w:val="auto"/>
          <w:kern w:val="21"/>
          <w:szCs w:val="22"/>
          <w:highlight w:val="none"/>
        </w:rPr>
        <w:t>——环保设施消耗费，万元/a；</w:t>
      </w:r>
    </w:p>
    <w:p w14:paraId="668162DC">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3</w:t>
      </w:r>
      <w:r>
        <w:rPr>
          <w:rFonts w:cs="Times New Roman"/>
          <w:color w:val="auto"/>
          <w:kern w:val="21"/>
          <w:szCs w:val="22"/>
          <w:highlight w:val="none"/>
        </w:rPr>
        <w:t>——环保管理费，万元/a。</w:t>
      </w:r>
    </w:p>
    <w:p w14:paraId="0CBA708F">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（1）环保设施折旧费</w:t>
      </w:r>
    </w:p>
    <w:p w14:paraId="677CE13C">
      <w:pPr>
        <w:overflowPunct w:val="0"/>
        <w:adjustRightInd w:val="0"/>
        <w:ind w:firstLine="480"/>
        <w:rPr>
          <w:rFonts w:cs="Times New Roman"/>
          <w:color w:val="auto"/>
          <w:kern w:val="21"/>
          <w:szCs w:val="22"/>
          <w:highlight w:val="none"/>
        </w:rPr>
      </w:pPr>
      <w:r>
        <w:rPr>
          <w:rFonts w:cs="Times New Roman"/>
          <w:color w:val="auto"/>
          <w:kern w:val="21"/>
          <w:szCs w:val="22"/>
          <w:highlight w:val="none"/>
        </w:rPr>
        <w:t>环保设施折旧费计算公式为：</w:t>
      </w:r>
    </w:p>
    <w:p w14:paraId="3CD998FB">
      <w:pPr>
        <w:overflowPunct w:val="0"/>
        <w:adjustRightInd w:val="0"/>
        <w:ind w:firstLine="480" w:firstLineChars="0"/>
        <w:jc w:val="center"/>
        <w:rPr>
          <w:rFonts w:cs="Times New Roman"/>
          <w:color w:val="auto"/>
          <w:kern w:val="21"/>
          <w:szCs w:val="22"/>
          <w:highlight w:val="none"/>
        </w:rPr>
      </w:pPr>
      <w:r>
        <w:rPr>
          <w:rFonts w:cs="Times New Roman"/>
          <w:color w:val="auto"/>
          <w:kern w:val="21"/>
          <w:szCs w:val="22"/>
          <w:highlight w:val="none"/>
        </w:rPr>
        <w:drawing>
          <wp:inline distT="0" distB="0" distL="0" distR="0">
            <wp:extent cx="774700" cy="320040"/>
            <wp:effectExtent l="0" t="0" r="635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7"/>
                    <a:stretch>
                      <a:fillRect/>
                    </a:stretch>
                  </pic:blipFill>
                  <pic:spPr>
                    <a:xfrm>
                      <a:off x="0" y="0"/>
                      <a:ext cx="774700" cy="320040"/>
                    </a:xfrm>
                    <a:prstGeom prst="rect">
                      <a:avLst/>
                    </a:prstGeom>
                  </pic:spPr>
                </pic:pic>
              </a:graphicData>
            </a:graphic>
          </wp:inline>
        </w:drawing>
      </w:r>
    </w:p>
    <w:p w14:paraId="02CEBB64">
      <w:pPr>
        <w:overflowPunct w:val="0"/>
        <w:adjustRightInd w:val="0"/>
        <w:ind w:firstLine="480"/>
        <w:rPr>
          <w:rFonts w:cs="Times New Roman"/>
          <w:color w:val="auto"/>
          <w:kern w:val="21"/>
          <w:szCs w:val="22"/>
          <w:highlight w:val="none"/>
        </w:rPr>
      </w:pPr>
      <w:r>
        <w:rPr>
          <w:rFonts w:cs="Times New Roman"/>
          <w:color w:val="auto"/>
          <w:kern w:val="21"/>
          <w:szCs w:val="22"/>
          <w:highlight w:val="none"/>
        </w:rPr>
        <w:t>式中：</w:t>
      </w:r>
    </w:p>
    <w:p w14:paraId="4FF79583">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1</w:t>
      </w:r>
      <w:r>
        <w:rPr>
          <w:rFonts w:cs="Times New Roman"/>
          <w:color w:val="auto"/>
          <w:kern w:val="21"/>
          <w:szCs w:val="22"/>
          <w:highlight w:val="none"/>
        </w:rPr>
        <w:t>——环保设施折旧费，万元/a；</w:t>
      </w:r>
    </w:p>
    <w:p w14:paraId="682FA68B">
      <w:pPr>
        <w:overflowPunct w:val="0"/>
        <w:adjustRightInd w:val="0"/>
        <w:ind w:firstLine="480"/>
        <w:rPr>
          <w:rFonts w:cs="Times New Roman"/>
          <w:color w:val="auto"/>
          <w:kern w:val="21"/>
          <w:szCs w:val="22"/>
          <w:highlight w:val="none"/>
        </w:rPr>
      </w:pPr>
      <w:r>
        <w:rPr>
          <w:rFonts w:cs="Times New Roman"/>
          <w:color w:val="auto"/>
          <w:kern w:val="21"/>
          <w:szCs w:val="22"/>
          <w:highlight w:val="none"/>
        </w:rPr>
        <w:t>a——固定资产形成率，取90%；</w:t>
      </w:r>
    </w:p>
    <w:p w14:paraId="07151F2E">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0</w:t>
      </w:r>
      <w:r>
        <w:rPr>
          <w:rFonts w:cs="Times New Roman"/>
          <w:color w:val="auto"/>
          <w:kern w:val="21"/>
          <w:szCs w:val="22"/>
          <w:highlight w:val="none"/>
        </w:rPr>
        <w:t>——环保投资，万元；</w:t>
      </w:r>
    </w:p>
    <w:p w14:paraId="5059E4C7">
      <w:pPr>
        <w:overflowPunct w:val="0"/>
        <w:adjustRightInd w:val="0"/>
        <w:ind w:firstLine="480"/>
        <w:rPr>
          <w:rFonts w:cs="Times New Roman"/>
          <w:color w:val="auto"/>
          <w:kern w:val="21"/>
          <w:szCs w:val="22"/>
          <w:highlight w:val="none"/>
        </w:rPr>
      </w:pPr>
      <w:r>
        <w:rPr>
          <w:rFonts w:cs="Times New Roman"/>
          <w:color w:val="auto"/>
          <w:kern w:val="21"/>
          <w:szCs w:val="22"/>
          <w:highlight w:val="none"/>
        </w:rPr>
        <w:t>n——环保设备折旧年限，取5年。</w:t>
      </w:r>
    </w:p>
    <w:p w14:paraId="23AA818F">
      <w:pPr>
        <w:overflowPunct w:val="0"/>
        <w:adjustRightInd w:val="0"/>
        <w:ind w:firstLine="480"/>
        <w:rPr>
          <w:rFonts w:cs="Times New Roman"/>
          <w:color w:val="auto"/>
          <w:kern w:val="21"/>
          <w:szCs w:val="22"/>
          <w:highlight w:val="none"/>
        </w:rPr>
      </w:pPr>
      <w:r>
        <w:rPr>
          <w:rFonts w:cs="Times New Roman"/>
          <w:color w:val="auto"/>
          <w:kern w:val="21"/>
          <w:szCs w:val="22"/>
          <w:highlight w:val="none"/>
        </w:rPr>
        <w:t>经计算，该项目环保设施折旧费用为</w:t>
      </w:r>
      <w:r>
        <w:rPr>
          <w:rFonts w:hint="eastAsia" w:cs="Times New Roman"/>
          <w:color w:val="auto"/>
          <w:kern w:val="21"/>
          <w:szCs w:val="22"/>
          <w:highlight w:val="none"/>
        </w:rPr>
        <w:t>147.42</w:t>
      </w:r>
      <w:r>
        <w:rPr>
          <w:rFonts w:cs="Times New Roman"/>
          <w:color w:val="auto"/>
          <w:kern w:val="21"/>
          <w:szCs w:val="22"/>
          <w:highlight w:val="none"/>
        </w:rPr>
        <w:t>万元/a。</w:t>
      </w:r>
    </w:p>
    <w:p w14:paraId="5F390791">
      <w:pPr>
        <w:overflowPunct w:val="0"/>
        <w:adjustRightInd w:val="0"/>
        <w:ind w:firstLine="480" w:firstLineChars="0"/>
        <w:rPr>
          <w:rFonts w:cs="Times New Roman"/>
          <w:b/>
          <w:bCs/>
          <w:color w:val="auto"/>
          <w:kern w:val="21"/>
          <w:szCs w:val="22"/>
          <w:highlight w:val="none"/>
        </w:rPr>
      </w:pPr>
      <w:r>
        <w:rPr>
          <w:rFonts w:cs="Times New Roman"/>
          <w:b/>
          <w:bCs/>
          <w:color w:val="auto"/>
          <w:kern w:val="21"/>
          <w:szCs w:val="22"/>
          <w:highlight w:val="none"/>
        </w:rPr>
        <w:t>（2）环保设施消耗费</w:t>
      </w:r>
    </w:p>
    <w:p w14:paraId="29E41D7E">
      <w:pPr>
        <w:overflowPunct w:val="0"/>
        <w:adjustRightInd w:val="0"/>
        <w:ind w:firstLine="480"/>
        <w:rPr>
          <w:rFonts w:cs="Times New Roman"/>
          <w:color w:val="auto"/>
          <w:kern w:val="21"/>
          <w:szCs w:val="22"/>
          <w:highlight w:val="none"/>
        </w:rPr>
      </w:pPr>
      <w:r>
        <w:rPr>
          <w:rFonts w:cs="Times New Roman"/>
          <w:color w:val="auto"/>
          <w:kern w:val="21"/>
          <w:szCs w:val="22"/>
          <w:highlight w:val="none"/>
        </w:rPr>
        <w:t>环保设施消耗费主要包括：能源消耗、设备维修、环保设施操作及维修人员人工费等，按环保投资的10%计算，计算公式为：</w:t>
      </w:r>
    </w:p>
    <w:p w14:paraId="2F4C401E">
      <w:pPr>
        <w:overflowPunct w:val="0"/>
        <w:adjustRightInd w:val="0"/>
        <w:ind w:firstLine="3600" w:firstLineChars="150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2</w:t>
      </w:r>
      <w:r>
        <w:rPr>
          <w:rFonts w:cs="Times New Roman"/>
          <w:color w:val="auto"/>
          <w:kern w:val="21"/>
          <w:szCs w:val="22"/>
          <w:highlight w:val="none"/>
        </w:rPr>
        <w:t>=C</w:t>
      </w:r>
      <w:r>
        <w:rPr>
          <w:rFonts w:cs="Times New Roman"/>
          <w:color w:val="auto"/>
          <w:kern w:val="21"/>
          <w:szCs w:val="22"/>
          <w:highlight w:val="none"/>
          <w:vertAlign w:val="subscript"/>
        </w:rPr>
        <w:t>0</w:t>
      </w:r>
      <w:r>
        <w:rPr>
          <w:rFonts w:cs="Times New Roman"/>
          <w:color w:val="auto"/>
          <w:kern w:val="21"/>
          <w:szCs w:val="22"/>
          <w:highlight w:val="none"/>
        </w:rPr>
        <w:t>×10%</w:t>
      </w:r>
    </w:p>
    <w:p w14:paraId="1B449478">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式中：</w:t>
      </w:r>
    </w:p>
    <w:p w14:paraId="310083B4">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2</w:t>
      </w:r>
      <w:r>
        <w:rPr>
          <w:rFonts w:cs="Times New Roman"/>
          <w:color w:val="auto"/>
          <w:kern w:val="21"/>
          <w:szCs w:val="22"/>
          <w:highlight w:val="none"/>
        </w:rPr>
        <w:t>——环保设施消耗费，万元/a；</w:t>
      </w:r>
    </w:p>
    <w:p w14:paraId="7BC96E7F">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0</w:t>
      </w:r>
      <w:r>
        <w:rPr>
          <w:rFonts w:cs="Times New Roman"/>
          <w:color w:val="auto"/>
          <w:kern w:val="21"/>
          <w:szCs w:val="22"/>
          <w:highlight w:val="none"/>
        </w:rPr>
        <w:t>——环保总投资，万元。</w:t>
      </w:r>
    </w:p>
    <w:p w14:paraId="79A103BB">
      <w:pPr>
        <w:overflowPunct w:val="0"/>
        <w:adjustRightInd w:val="0"/>
        <w:ind w:firstLine="480"/>
        <w:rPr>
          <w:rFonts w:cs="Times New Roman"/>
          <w:color w:val="auto"/>
          <w:kern w:val="21"/>
          <w:szCs w:val="22"/>
          <w:highlight w:val="none"/>
        </w:rPr>
      </w:pPr>
      <w:r>
        <w:rPr>
          <w:rFonts w:cs="Times New Roman"/>
          <w:color w:val="auto"/>
          <w:kern w:val="21"/>
          <w:szCs w:val="22"/>
          <w:highlight w:val="none"/>
        </w:rPr>
        <w:t>经计算，该项目环保设施消耗费为</w:t>
      </w:r>
      <w:r>
        <w:rPr>
          <w:rFonts w:hint="eastAsia" w:cs="Times New Roman"/>
          <w:color w:val="auto"/>
          <w:kern w:val="21"/>
          <w:szCs w:val="22"/>
          <w:highlight w:val="none"/>
        </w:rPr>
        <w:t>81.9</w:t>
      </w:r>
      <w:r>
        <w:rPr>
          <w:rFonts w:cs="Times New Roman"/>
          <w:color w:val="auto"/>
          <w:kern w:val="21"/>
          <w:szCs w:val="22"/>
          <w:highlight w:val="none"/>
        </w:rPr>
        <w:t>万元/a。</w:t>
      </w:r>
    </w:p>
    <w:p w14:paraId="3119180B">
      <w:pPr>
        <w:overflowPunct w:val="0"/>
        <w:adjustRightInd w:val="0"/>
        <w:ind w:firstLine="480" w:firstLineChars="0"/>
        <w:rPr>
          <w:rFonts w:cs="Times New Roman"/>
          <w:b/>
          <w:bCs/>
          <w:color w:val="auto"/>
          <w:kern w:val="21"/>
          <w:szCs w:val="22"/>
          <w:highlight w:val="none"/>
        </w:rPr>
      </w:pPr>
      <w:r>
        <w:rPr>
          <w:rFonts w:cs="Times New Roman"/>
          <w:b/>
          <w:bCs/>
          <w:color w:val="auto"/>
          <w:kern w:val="21"/>
          <w:szCs w:val="22"/>
          <w:highlight w:val="none"/>
        </w:rPr>
        <w:t>（3）环保管理费</w:t>
      </w:r>
    </w:p>
    <w:p w14:paraId="2ABC2242">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环保管理费包括管理部门、监测部门的人工费、办公费、检测费和技术咨询费等费用，按环保投资的2%计算，计算公式为：</w:t>
      </w:r>
    </w:p>
    <w:p w14:paraId="0E7B03AA">
      <w:pPr>
        <w:overflowPunct w:val="0"/>
        <w:adjustRightInd w:val="0"/>
        <w:ind w:firstLine="480"/>
        <w:jc w:val="center"/>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3</w:t>
      </w:r>
      <w:r>
        <w:rPr>
          <w:rFonts w:cs="Times New Roman"/>
          <w:color w:val="auto"/>
          <w:kern w:val="21"/>
          <w:szCs w:val="22"/>
          <w:highlight w:val="none"/>
        </w:rPr>
        <w:t>=C</w:t>
      </w:r>
      <w:r>
        <w:rPr>
          <w:rFonts w:cs="Times New Roman"/>
          <w:color w:val="auto"/>
          <w:kern w:val="21"/>
          <w:szCs w:val="22"/>
          <w:highlight w:val="none"/>
          <w:vertAlign w:val="subscript"/>
        </w:rPr>
        <w:t>0</w:t>
      </w:r>
      <w:r>
        <w:rPr>
          <w:rFonts w:cs="Times New Roman"/>
          <w:color w:val="auto"/>
          <w:kern w:val="21"/>
          <w:szCs w:val="22"/>
          <w:highlight w:val="none"/>
        </w:rPr>
        <w:t>×2%</w:t>
      </w:r>
    </w:p>
    <w:p w14:paraId="20484163">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式中：</w:t>
      </w:r>
    </w:p>
    <w:p w14:paraId="0F014863">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3</w:t>
      </w:r>
      <w:r>
        <w:rPr>
          <w:rFonts w:cs="Times New Roman"/>
          <w:color w:val="auto"/>
          <w:kern w:val="21"/>
          <w:szCs w:val="22"/>
          <w:highlight w:val="none"/>
        </w:rPr>
        <w:t>——环保管理费，万元/a；</w:t>
      </w:r>
    </w:p>
    <w:p w14:paraId="3F42B423">
      <w:pPr>
        <w:overflowPunct w:val="0"/>
        <w:adjustRightInd w:val="0"/>
        <w:ind w:firstLine="480"/>
        <w:rPr>
          <w:rFonts w:cs="Times New Roman"/>
          <w:color w:val="auto"/>
          <w:kern w:val="21"/>
          <w:szCs w:val="22"/>
          <w:highlight w:val="none"/>
        </w:rPr>
      </w:pPr>
      <w:r>
        <w:rPr>
          <w:rFonts w:cs="Times New Roman"/>
          <w:color w:val="auto"/>
          <w:kern w:val="21"/>
          <w:szCs w:val="22"/>
          <w:highlight w:val="none"/>
        </w:rPr>
        <w:t>C</w:t>
      </w:r>
      <w:r>
        <w:rPr>
          <w:rFonts w:cs="Times New Roman"/>
          <w:color w:val="auto"/>
          <w:kern w:val="21"/>
          <w:szCs w:val="22"/>
          <w:highlight w:val="none"/>
          <w:vertAlign w:val="subscript"/>
        </w:rPr>
        <w:t>0</w:t>
      </w:r>
      <w:r>
        <w:rPr>
          <w:rFonts w:cs="Times New Roman"/>
          <w:color w:val="auto"/>
          <w:kern w:val="21"/>
          <w:szCs w:val="22"/>
          <w:highlight w:val="none"/>
        </w:rPr>
        <w:t>——环保总投资，万元。</w:t>
      </w:r>
    </w:p>
    <w:p w14:paraId="7D058910">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经计算，该项目的环保管理费为</w:t>
      </w:r>
      <w:r>
        <w:rPr>
          <w:rFonts w:hint="eastAsia" w:cs="Times New Roman"/>
          <w:color w:val="auto"/>
          <w:kern w:val="21"/>
          <w:szCs w:val="22"/>
          <w:highlight w:val="none"/>
        </w:rPr>
        <w:t>16.38</w:t>
      </w:r>
      <w:r>
        <w:rPr>
          <w:rFonts w:cs="Times New Roman"/>
          <w:color w:val="auto"/>
          <w:kern w:val="21"/>
          <w:szCs w:val="22"/>
          <w:highlight w:val="none"/>
        </w:rPr>
        <w:t>万元/a。</w:t>
      </w:r>
    </w:p>
    <w:p w14:paraId="58682FA9">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综上，该项目环保设施费用合计为</w:t>
      </w:r>
      <w:r>
        <w:rPr>
          <w:rFonts w:hint="eastAsia" w:cs="Times New Roman"/>
          <w:color w:val="auto"/>
          <w:kern w:val="21"/>
          <w:szCs w:val="22"/>
          <w:highlight w:val="none"/>
        </w:rPr>
        <w:t>245.7</w:t>
      </w:r>
      <w:r>
        <w:rPr>
          <w:rFonts w:cs="Times New Roman"/>
          <w:color w:val="auto"/>
          <w:kern w:val="21"/>
          <w:szCs w:val="22"/>
          <w:highlight w:val="none"/>
        </w:rPr>
        <w:t>万元/a。</w:t>
      </w:r>
    </w:p>
    <w:p w14:paraId="2FF9422F">
      <w:pPr>
        <w:pStyle w:val="4"/>
        <w:adjustRightInd w:val="0"/>
        <w:rPr>
          <w:rFonts w:cs="Times New Roman"/>
          <w:color w:val="auto"/>
          <w:highlight w:val="none"/>
        </w:rPr>
      </w:pPr>
      <w:bookmarkStart w:id="308" w:name="_Toc350"/>
      <w:bookmarkStart w:id="309" w:name="_Toc23438"/>
      <w:bookmarkStart w:id="310" w:name="_Toc13187"/>
      <w:r>
        <w:rPr>
          <w:rFonts w:cs="Times New Roman"/>
          <w:color w:val="auto"/>
          <w:highlight w:val="none"/>
        </w:rPr>
        <w:t>环保设施效益</w:t>
      </w:r>
      <w:bookmarkEnd w:id="308"/>
      <w:bookmarkEnd w:id="309"/>
      <w:bookmarkEnd w:id="310"/>
    </w:p>
    <w:p w14:paraId="086CCC1C">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（1）直接经济效益</w:t>
      </w:r>
    </w:p>
    <w:p w14:paraId="50DF0924">
      <w:pPr>
        <w:overflowPunct w:val="0"/>
        <w:adjustRightInd w:val="0"/>
        <w:ind w:firstLine="480"/>
        <w:rPr>
          <w:rFonts w:cs="Times New Roman"/>
          <w:color w:val="auto"/>
          <w:kern w:val="21"/>
          <w:szCs w:val="22"/>
          <w:highlight w:val="none"/>
        </w:rPr>
      </w:pPr>
      <w:r>
        <w:rPr>
          <w:rFonts w:cs="Times New Roman"/>
          <w:color w:val="auto"/>
          <w:kern w:val="21"/>
          <w:szCs w:val="22"/>
          <w:highlight w:val="none"/>
        </w:rPr>
        <w:t>环保设施投入使用后，除了可减少污染物的排放外，还可回收部分可利用资源、节约用水，因此具有一定的经济效益，本项目回收利用的主要为选矿用水、</w:t>
      </w:r>
      <w:r>
        <w:rPr>
          <w:rFonts w:hint="eastAsia" w:cs="Times New Roman"/>
          <w:color w:val="auto"/>
          <w:kern w:val="21"/>
          <w:szCs w:val="22"/>
          <w:highlight w:val="none"/>
        </w:rPr>
        <w:t>布袋收尘灰</w:t>
      </w:r>
      <w:r>
        <w:rPr>
          <w:rFonts w:cs="Times New Roman"/>
          <w:color w:val="auto"/>
          <w:kern w:val="21"/>
          <w:szCs w:val="22"/>
          <w:highlight w:val="none"/>
        </w:rPr>
        <w:t>、沉淀池泥渣等，产生的经济效益约为600万元/a。</w:t>
      </w:r>
    </w:p>
    <w:p w14:paraId="176E820C">
      <w:pPr>
        <w:overflowPunct w:val="0"/>
        <w:adjustRightInd w:val="0"/>
        <w:ind w:firstLine="480" w:firstLineChars="0"/>
        <w:rPr>
          <w:rFonts w:cs="Times New Roman"/>
          <w:b/>
          <w:bCs/>
          <w:color w:val="auto"/>
          <w:kern w:val="21"/>
          <w:szCs w:val="22"/>
          <w:highlight w:val="none"/>
        </w:rPr>
      </w:pPr>
      <w:r>
        <w:rPr>
          <w:rFonts w:cs="Times New Roman"/>
          <w:b/>
          <w:bCs/>
          <w:color w:val="auto"/>
          <w:kern w:val="21"/>
          <w:szCs w:val="22"/>
          <w:highlight w:val="none"/>
        </w:rPr>
        <w:t>（2）间接效益</w:t>
      </w:r>
    </w:p>
    <w:p w14:paraId="057FC348">
      <w:pPr>
        <w:overflowPunct w:val="0"/>
        <w:adjustRightInd w:val="0"/>
        <w:ind w:firstLine="480"/>
        <w:rPr>
          <w:rFonts w:cs="Times New Roman"/>
          <w:color w:val="auto"/>
          <w:kern w:val="21"/>
          <w:szCs w:val="22"/>
          <w:highlight w:val="none"/>
        </w:rPr>
      </w:pPr>
      <w:r>
        <w:rPr>
          <w:rFonts w:cs="Times New Roman"/>
          <w:color w:val="auto"/>
          <w:kern w:val="21"/>
          <w:szCs w:val="22"/>
          <w:highlight w:val="none"/>
        </w:rPr>
        <w:t>间接效益主要指该项目环保设施带来的社会效益，包括环境污染损失的减少，人体</w:t>
      </w:r>
      <w:r>
        <w:rPr>
          <w:rFonts w:hint="eastAsia" w:cs="Times New Roman"/>
          <w:color w:val="auto"/>
          <w:kern w:val="21"/>
          <w:szCs w:val="22"/>
          <w:highlight w:val="none"/>
        </w:rPr>
        <w:t>健康</w:t>
      </w:r>
      <w:r>
        <w:rPr>
          <w:rFonts w:cs="Times New Roman"/>
          <w:color w:val="auto"/>
          <w:kern w:val="21"/>
          <w:szCs w:val="22"/>
          <w:highlight w:val="none"/>
        </w:rPr>
        <w:t>保护费用的减少等。间接效益很难用货币衡量，因此本评价暂不计算该部分经济效益。</w:t>
      </w:r>
    </w:p>
    <w:p w14:paraId="1173481F">
      <w:pPr>
        <w:pStyle w:val="4"/>
        <w:adjustRightInd w:val="0"/>
        <w:rPr>
          <w:rFonts w:cs="Times New Roman"/>
          <w:color w:val="auto"/>
          <w:highlight w:val="none"/>
        </w:rPr>
      </w:pPr>
      <w:bookmarkStart w:id="311" w:name="_Toc3342"/>
      <w:bookmarkStart w:id="312" w:name="_Toc5457"/>
      <w:bookmarkStart w:id="313" w:name="_Toc6617"/>
      <w:r>
        <w:rPr>
          <w:rFonts w:cs="Times New Roman"/>
          <w:color w:val="auto"/>
          <w:highlight w:val="none"/>
        </w:rPr>
        <w:t>环境经济效益评价</w:t>
      </w:r>
      <w:bookmarkEnd w:id="311"/>
      <w:bookmarkEnd w:id="312"/>
      <w:bookmarkEnd w:id="313"/>
    </w:p>
    <w:p w14:paraId="0EA29220">
      <w:pPr>
        <w:overflowPunct w:val="0"/>
        <w:adjustRightInd w:val="0"/>
        <w:ind w:firstLine="480" w:firstLineChars="0"/>
        <w:rPr>
          <w:rFonts w:cs="Times New Roman"/>
          <w:b/>
          <w:bCs/>
          <w:color w:val="auto"/>
          <w:kern w:val="21"/>
          <w:szCs w:val="22"/>
          <w:highlight w:val="none"/>
        </w:rPr>
      </w:pPr>
      <w:r>
        <w:rPr>
          <w:rFonts w:cs="Times New Roman"/>
          <w:b/>
          <w:bCs/>
          <w:color w:val="auto"/>
          <w:kern w:val="21"/>
          <w:szCs w:val="22"/>
          <w:highlight w:val="none"/>
        </w:rPr>
        <w:t>（1）年净效益</w:t>
      </w:r>
    </w:p>
    <w:p w14:paraId="0DCC8655">
      <w:pPr>
        <w:overflowPunct w:val="0"/>
        <w:adjustRightInd w:val="0"/>
        <w:ind w:firstLine="480"/>
        <w:rPr>
          <w:rFonts w:cs="Times New Roman"/>
          <w:color w:val="auto"/>
          <w:kern w:val="21"/>
          <w:szCs w:val="22"/>
          <w:highlight w:val="none"/>
        </w:rPr>
      </w:pPr>
      <w:r>
        <w:rPr>
          <w:rFonts w:cs="Times New Roman"/>
          <w:color w:val="auto"/>
          <w:kern w:val="21"/>
          <w:szCs w:val="22"/>
          <w:highlight w:val="none"/>
        </w:rPr>
        <w:t>年净效益指项目达产</w:t>
      </w:r>
      <w:bookmarkStart w:id="314" w:name="OLE_LINK48"/>
      <w:r>
        <w:rPr>
          <w:rFonts w:cs="Times New Roman"/>
          <w:color w:val="auto"/>
          <w:kern w:val="21"/>
          <w:szCs w:val="22"/>
          <w:highlight w:val="none"/>
        </w:rPr>
        <w:t>年环境保护措施产生的经济效益扣除采取这些措施的费用后的效益。在扣除污染治理投入的费用后</w:t>
      </w:r>
      <w:bookmarkEnd w:id="314"/>
      <w:r>
        <w:rPr>
          <w:rFonts w:cs="Times New Roman"/>
          <w:color w:val="auto"/>
          <w:kern w:val="21"/>
          <w:szCs w:val="22"/>
          <w:highlight w:val="none"/>
        </w:rPr>
        <w:t>，项目环境保护措施取得的年净效益约330万元。</w:t>
      </w:r>
    </w:p>
    <w:p w14:paraId="7A4A20E6">
      <w:pPr>
        <w:overflowPunct w:val="0"/>
        <w:adjustRightInd w:val="0"/>
        <w:ind w:firstLine="480" w:firstLineChars="0"/>
        <w:rPr>
          <w:rFonts w:cs="Times New Roman"/>
          <w:b/>
          <w:bCs/>
          <w:color w:val="auto"/>
          <w:kern w:val="21"/>
          <w:szCs w:val="22"/>
          <w:highlight w:val="none"/>
        </w:rPr>
      </w:pPr>
      <w:r>
        <w:rPr>
          <w:rFonts w:cs="Times New Roman"/>
          <w:b/>
          <w:bCs/>
          <w:color w:val="auto"/>
          <w:kern w:val="21"/>
          <w:szCs w:val="22"/>
          <w:highlight w:val="none"/>
        </w:rPr>
        <w:t>（2）环保设施经济效益</w:t>
      </w:r>
    </w:p>
    <w:p w14:paraId="08DD1656">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环保设施经济效益是指环保设施获得的经济效益与环保设施费用的比值。采用下式计算：</w:t>
      </w:r>
    </w:p>
    <w:p w14:paraId="24AEA19C">
      <w:pPr>
        <w:overflowPunct w:val="0"/>
        <w:adjustRightInd w:val="0"/>
        <w:ind w:firstLine="480"/>
        <w:rPr>
          <w:rFonts w:cs="Times New Roman"/>
          <w:color w:val="auto"/>
          <w:kern w:val="21"/>
          <w:szCs w:val="22"/>
          <w:highlight w:val="none"/>
        </w:rPr>
      </w:pPr>
      <w:r>
        <w:rPr>
          <w:rFonts w:cs="Times New Roman"/>
          <w:color w:val="auto"/>
          <w:kern w:val="21"/>
          <w:szCs w:val="22"/>
          <w:highlight w:val="none"/>
        </w:rPr>
        <w:t>环保费用经济效益=效益/费用</w:t>
      </w:r>
    </w:p>
    <w:p w14:paraId="5A7A9245">
      <w:pPr>
        <w:overflowPunct w:val="0"/>
        <w:adjustRightInd w:val="0"/>
        <w:ind w:firstLine="480"/>
        <w:rPr>
          <w:rFonts w:cs="Times New Roman"/>
          <w:color w:val="auto"/>
          <w:kern w:val="21"/>
          <w:szCs w:val="22"/>
          <w:highlight w:val="none"/>
        </w:rPr>
      </w:pPr>
      <w:r>
        <w:rPr>
          <w:rFonts w:cs="Times New Roman"/>
          <w:color w:val="auto"/>
          <w:kern w:val="21"/>
          <w:szCs w:val="22"/>
          <w:highlight w:val="none"/>
        </w:rPr>
        <w:t>经计算，本项目环保设施的经济效益约为</w:t>
      </w:r>
      <w:r>
        <w:rPr>
          <w:rFonts w:hint="eastAsia" w:cs="Times New Roman"/>
          <w:color w:val="auto"/>
          <w:kern w:val="21"/>
          <w:szCs w:val="22"/>
          <w:highlight w:val="none"/>
        </w:rPr>
        <w:t>2.44</w:t>
      </w:r>
      <w:r>
        <w:rPr>
          <w:rFonts w:cs="Times New Roman"/>
          <w:color w:val="auto"/>
          <w:kern w:val="21"/>
          <w:szCs w:val="22"/>
          <w:highlight w:val="none"/>
        </w:rPr>
        <w:t>，即环保设施费用每投入1元，可产生</w:t>
      </w:r>
      <w:r>
        <w:rPr>
          <w:rFonts w:hint="eastAsia" w:cs="Times New Roman"/>
          <w:color w:val="auto"/>
          <w:kern w:val="21"/>
          <w:szCs w:val="22"/>
          <w:highlight w:val="none"/>
        </w:rPr>
        <w:t>2.42</w:t>
      </w:r>
      <w:r>
        <w:rPr>
          <w:rFonts w:cs="Times New Roman"/>
          <w:color w:val="auto"/>
          <w:kern w:val="21"/>
          <w:szCs w:val="22"/>
          <w:highlight w:val="none"/>
        </w:rPr>
        <w:t>元的经济效益，项目具有一定的环境效益。</w:t>
      </w:r>
    </w:p>
    <w:p w14:paraId="2B4A4E8A">
      <w:pPr>
        <w:pStyle w:val="3"/>
        <w:adjustRightInd w:val="0"/>
        <w:rPr>
          <w:rFonts w:cs="Times New Roman"/>
          <w:color w:val="auto"/>
          <w:highlight w:val="none"/>
        </w:rPr>
      </w:pPr>
      <w:bookmarkStart w:id="315" w:name="_Toc23454"/>
      <w:bookmarkStart w:id="316" w:name="_Toc16257"/>
      <w:bookmarkStart w:id="317" w:name="_Toc14678"/>
      <w:r>
        <w:rPr>
          <w:rFonts w:cs="Times New Roman"/>
          <w:color w:val="auto"/>
          <w:highlight w:val="none"/>
        </w:rPr>
        <w:t>小结</w:t>
      </w:r>
      <w:bookmarkEnd w:id="315"/>
      <w:bookmarkEnd w:id="316"/>
      <w:bookmarkEnd w:id="317"/>
    </w:p>
    <w:p w14:paraId="5CB3C611">
      <w:pPr>
        <w:overflowPunct w:val="0"/>
        <w:adjustRightInd w:val="0"/>
        <w:ind w:firstLine="480"/>
        <w:rPr>
          <w:rFonts w:cs="Times New Roman"/>
          <w:color w:val="auto"/>
          <w:kern w:val="21"/>
          <w:szCs w:val="22"/>
          <w:highlight w:val="none"/>
        </w:rPr>
        <w:sectPr>
          <w:pgSz w:w="11906" w:h="16838"/>
          <w:pgMar w:top="1134" w:right="1531" w:bottom="1134" w:left="1531" w:header="851" w:footer="907" w:gutter="0"/>
          <w:cols w:space="425" w:num="1"/>
          <w:docGrid w:type="lines" w:linePitch="312" w:charSpace="0"/>
        </w:sectPr>
      </w:pPr>
      <w:r>
        <w:rPr>
          <w:rFonts w:cs="Times New Roman"/>
          <w:color w:val="auto"/>
          <w:kern w:val="21"/>
          <w:szCs w:val="22"/>
          <w:highlight w:val="none"/>
        </w:rPr>
        <w:t>综上所述，由于本项目在建设时认真贯彻执行清洁生产和循环经济、污染物达标排放、污染物总量控制等环保政策，尽可能减少污染物的产生量和排放量，该项目建成投产后，可取得较好的项目经济效益、社会效益和环境效益，可以达到三者协调发展的目的。</w:t>
      </w:r>
    </w:p>
    <w:p w14:paraId="77C27461">
      <w:pPr>
        <w:pStyle w:val="2"/>
        <w:adjustRightInd w:val="0"/>
        <w:rPr>
          <w:rFonts w:cs="Times New Roman"/>
          <w:color w:val="auto"/>
          <w:highlight w:val="none"/>
        </w:rPr>
      </w:pPr>
      <w:bookmarkStart w:id="318" w:name="_Toc14735"/>
      <w:bookmarkStart w:id="319" w:name="_Toc2912"/>
      <w:bookmarkStart w:id="320" w:name="_Toc17256"/>
      <w:r>
        <w:rPr>
          <w:rFonts w:cs="Times New Roman"/>
          <w:color w:val="auto"/>
          <w:highlight w:val="none"/>
        </w:rPr>
        <w:t>环境管理与监测计划</w:t>
      </w:r>
      <w:bookmarkEnd w:id="318"/>
      <w:bookmarkEnd w:id="319"/>
      <w:bookmarkEnd w:id="320"/>
    </w:p>
    <w:p w14:paraId="79F7B741">
      <w:pPr>
        <w:pStyle w:val="3"/>
        <w:adjustRightInd w:val="0"/>
        <w:rPr>
          <w:rFonts w:cs="Times New Roman"/>
          <w:color w:val="auto"/>
          <w:highlight w:val="none"/>
        </w:rPr>
      </w:pPr>
      <w:bookmarkStart w:id="321" w:name="_Toc5838"/>
      <w:bookmarkStart w:id="322" w:name="_Toc26055"/>
      <w:bookmarkStart w:id="323" w:name="_Toc23108"/>
      <w:r>
        <w:rPr>
          <w:rFonts w:cs="Times New Roman"/>
          <w:color w:val="auto"/>
          <w:highlight w:val="none"/>
        </w:rPr>
        <w:t>环境管理的目的和意义</w:t>
      </w:r>
      <w:bookmarkEnd w:id="321"/>
      <w:bookmarkEnd w:id="322"/>
      <w:bookmarkEnd w:id="323"/>
    </w:p>
    <w:p w14:paraId="2F3E28EF">
      <w:pPr>
        <w:overflowPunct w:val="0"/>
        <w:adjustRightInd w:val="0"/>
        <w:ind w:firstLine="480"/>
        <w:rPr>
          <w:rFonts w:cs="Times New Roman"/>
          <w:color w:val="auto"/>
          <w:kern w:val="21"/>
          <w:szCs w:val="22"/>
          <w:highlight w:val="none"/>
        </w:rPr>
      </w:pPr>
      <w:r>
        <w:rPr>
          <w:rFonts w:cs="Times New Roman"/>
          <w:color w:val="auto"/>
          <w:kern w:val="21"/>
          <w:szCs w:val="22"/>
          <w:highlight w:val="none"/>
        </w:rPr>
        <w:t>环境管理的目的是对损坏环境质量的人为活动施加影响，以协调经济与环境的关系，既达到发展经济满足人类的需要，又不超出环境容量的限制。拟建工程对环境的影响主要来自施工期、运行期的各种作业活动及运行期的风险事故。无论是各种作业活动，还是事故事件，都将会给自然环境和人们的生产生活带来较大的影响，为最大限度地减轻施工作业及生产过程中对环境的影响，确保生产过程环境安全和高效生产，建立科学有效的环境管理体制，落实各项环保和安全措施显得尤为重要。通过建立环境管理体系，</w:t>
      </w:r>
      <w:r>
        <w:rPr>
          <w:rFonts w:hint="eastAsia" w:cs="Times New Roman"/>
          <w:color w:val="auto"/>
          <w:kern w:val="21"/>
          <w:szCs w:val="22"/>
          <w:highlight w:val="none"/>
        </w:rPr>
        <w:t>增强</w:t>
      </w:r>
      <w:r>
        <w:rPr>
          <w:rFonts w:cs="Times New Roman"/>
          <w:color w:val="auto"/>
          <w:kern w:val="21"/>
          <w:szCs w:val="22"/>
          <w:highlight w:val="none"/>
        </w:rPr>
        <w:t>员工环保意识、规范企业管理、推行清洁生产，实现污染预防，以实现环境效益、社会效益、经济效益的统一。</w:t>
      </w:r>
    </w:p>
    <w:p w14:paraId="7EB51716">
      <w:pPr>
        <w:pStyle w:val="3"/>
        <w:adjustRightInd w:val="0"/>
        <w:rPr>
          <w:rFonts w:cs="Times New Roman"/>
          <w:color w:val="auto"/>
          <w:highlight w:val="none"/>
        </w:rPr>
      </w:pPr>
      <w:bookmarkStart w:id="324" w:name="_Toc1813"/>
      <w:bookmarkStart w:id="325" w:name="_Toc31828"/>
      <w:bookmarkStart w:id="326" w:name="_Toc7099"/>
      <w:bookmarkStart w:id="327" w:name="_Toc498877053"/>
      <w:bookmarkStart w:id="328" w:name="_Toc480895143"/>
      <w:bookmarkStart w:id="329" w:name="_Toc485748368"/>
      <w:bookmarkStart w:id="330" w:name="_Toc485857008"/>
      <w:r>
        <w:rPr>
          <w:rFonts w:cs="Times New Roman"/>
          <w:color w:val="auto"/>
          <w:highlight w:val="none"/>
        </w:rPr>
        <w:t>环境管理机构及职责</w:t>
      </w:r>
      <w:bookmarkEnd w:id="324"/>
      <w:bookmarkEnd w:id="325"/>
      <w:bookmarkEnd w:id="326"/>
    </w:p>
    <w:bookmarkEnd w:id="327"/>
    <w:bookmarkEnd w:id="328"/>
    <w:bookmarkEnd w:id="329"/>
    <w:bookmarkEnd w:id="330"/>
    <w:p w14:paraId="0443A507">
      <w:pPr>
        <w:pStyle w:val="4"/>
        <w:adjustRightInd w:val="0"/>
        <w:rPr>
          <w:rFonts w:cs="Times New Roman"/>
          <w:color w:val="auto"/>
          <w:highlight w:val="none"/>
        </w:rPr>
      </w:pPr>
      <w:bookmarkStart w:id="331" w:name="_Toc27778"/>
      <w:bookmarkStart w:id="332" w:name="_Toc20125"/>
      <w:bookmarkStart w:id="333" w:name="_Toc5507"/>
      <w:r>
        <w:rPr>
          <w:rFonts w:cs="Times New Roman"/>
          <w:color w:val="auto"/>
          <w:highlight w:val="none"/>
        </w:rPr>
        <w:t>环境管理机构</w:t>
      </w:r>
      <w:bookmarkEnd w:id="331"/>
      <w:bookmarkEnd w:id="332"/>
      <w:bookmarkEnd w:id="333"/>
    </w:p>
    <w:p w14:paraId="321E9EBD">
      <w:pPr>
        <w:overflowPunct w:val="0"/>
        <w:adjustRightInd w:val="0"/>
        <w:ind w:firstLine="480"/>
        <w:rPr>
          <w:rFonts w:cs="Times New Roman"/>
          <w:color w:val="auto"/>
          <w:kern w:val="21"/>
          <w:szCs w:val="22"/>
          <w:highlight w:val="none"/>
        </w:rPr>
      </w:pPr>
      <w:r>
        <w:rPr>
          <w:rFonts w:cs="Times New Roman"/>
          <w:color w:val="auto"/>
          <w:kern w:val="21"/>
          <w:szCs w:val="22"/>
          <w:highlight w:val="none"/>
        </w:rPr>
        <w:t>环境管理机构分为企业外部环境管理机构和企业内部环境管理机构。企业外部环境管理机构指政府性环境管理机构，主要有四川省生态环境厅、乐山市生态环境局等；企业内部环境管理机构是指工程投资建设方所建立的环境保护专门机构。</w:t>
      </w:r>
    </w:p>
    <w:p w14:paraId="5BBC7E0B">
      <w:pPr>
        <w:overflowPunct w:val="0"/>
        <w:adjustRightInd w:val="0"/>
        <w:ind w:firstLine="480"/>
        <w:rPr>
          <w:rFonts w:cs="Times New Roman"/>
          <w:color w:val="auto"/>
          <w:kern w:val="21"/>
          <w:szCs w:val="22"/>
          <w:highlight w:val="none"/>
        </w:rPr>
      </w:pPr>
      <w:r>
        <w:rPr>
          <w:rFonts w:cs="Times New Roman"/>
          <w:color w:val="auto"/>
          <w:kern w:val="21"/>
          <w:szCs w:val="22"/>
          <w:highlight w:val="none"/>
        </w:rPr>
        <w:t>企业内部环境管理机构作为企业管理体系中的一部分，应与之相协调统一。实行企业总经理领导下的</w:t>
      </w:r>
      <w:r>
        <w:rPr>
          <w:rFonts w:hint="eastAsia" w:cs="Times New Roman"/>
          <w:color w:val="auto"/>
          <w:kern w:val="21"/>
          <w:szCs w:val="22"/>
          <w:highlight w:val="none"/>
        </w:rPr>
        <w:t>“</w:t>
      </w:r>
      <w:r>
        <w:rPr>
          <w:rFonts w:cs="Times New Roman"/>
          <w:color w:val="auto"/>
          <w:kern w:val="21"/>
          <w:szCs w:val="22"/>
          <w:highlight w:val="none"/>
        </w:rPr>
        <w:t>一人主管，分工负责；职能部门，各负其责；落实基层，监督考核</w:t>
      </w:r>
      <w:r>
        <w:rPr>
          <w:rFonts w:hint="eastAsia" w:cs="Times New Roman"/>
          <w:color w:val="auto"/>
          <w:kern w:val="21"/>
          <w:szCs w:val="22"/>
          <w:highlight w:val="none"/>
        </w:rPr>
        <w:t>”</w:t>
      </w:r>
      <w:r>
        <w:rPr>
          <w:rFonts w:cs="Times New Roman"/>
          <w:color w:val="auto"/>
          <w:kern w:val="21"/>
          <w:szCs w:val="22"/>
          <w:highlight w:val="none"/>
        </w:rPr>
        <w:t>的原则，建立以企业领导为核心，安全环保部为基础的全员责任制的环境管理体系。使环境管理贯穿于企业管理的整个过程，并落实到企业的各个层次，分解到生产的各个环节，把企业管理与环境管理紧密地结合起来，不但要建立完善的企业管理体系和各种规章制度，也要建立完善的环境管理体系和各种规章制度，使企业的环境管理工作真正落到实处。</w:t>
      </w:r>
    </w:p>
    <w:p w14:paraId="693C4D7A">
      <w:pPr>
        <w:pStyle w:val="4"/>
        <w:adjustRightInd w:val="0"/>
        <w:rPr>
          <w:rFonts w:cs="Times New Roman"/>
          <w:color w:val="auto"/>
          <w:highlight w:val="none"/>
        </w:rPr>
      </w:pPr>
      <w:bookmarkStart w:id="334" w:name="_Toc26521"/>
      <w:bookmarkStart w:id="335" w:name="_Toc20777"/>
      <w:bookmarkStart w:id="336" w:name="_Toc13004"/>
      <w:r>
        <w:rPr>
          <w:rFonts w:cs="Times New Roman"/>
          <w:color w:val="auto"/>
          <w:highlight w:val="none"/>
        </w:rPr>
        <w:t>环境管理机构职责</w:t>
      </w:r>
      <w:bookmarkEnd w:id="334"/>
      <w:bookmarkEnd w:id="335"/>
      <w:bookmarkEnd w:id="336"/>
    </w:p>
    <w:p w14:paraId="49752739">
      <w:pPr>
        <w:overflowPunct w:val="0"/>
        <w:adjustRightInd w:val="0"/>
        <w:ind w:firstLine="480"/>
        <w:rPr>
          <w:rFonts w:cs="Times New Roman"/>
          <w:color w:val="auto"/>
          <w:kern w:val="21"/>
          <w:szCs w:val="22"/>
          <w:highlight w:val="none"/>
        </w:rPr>
      </w:pPr>
      <w:r>
        <w:rPr>
          <w:rFonts w:cs="Times New Roman"/>
          <w:color w:val="auto"/>
          <w:kern w:val="21"/>
          <w:szCs w:val="22"/>
          <w:highlight w:val="none"/>
        </w:rPr>
        <w:t>（1）贯彻执行国家和自治区的环境保护方针、政策、法律、法规和有关环境标准的实施。</w:t>
      </w:r>
    </w:p>
    <w:p w14:paraId="2E6E90BF">
      <w:pPr>
        <w:overflowPunct w:val="0"/>
        <w:adjustRightInd w:val="0"/>
        <w:ind w:firstLine="480"/>
        <w:rPr>
          <w:rFonts w:cs="Times New Roman"/>
          <w:color w:val="auto"/>
          <w:kern w:val="21"/>
          <w:szCs w:val="22"/>
          <w:highlight w:val="none"/>
        </w:rPr>
      </w:pPr>
      <w:r>
        <w:rPr>
          <w:rFonts w:cs="Times New Roman"/>
          <w:color w:val="auto"/>
          <w:kern w:val="21"/>
          <w:szCs w:val="22"/>
          <w:highlight w:val="none"/>
        </w:rPr>
        <w:t>（2）</w:t>
      </w:r>
      <w:r>
        <w:rPr>
          <w:rFonts w:hint="eastAsia" w:cs="Times New Roman"/>
          <w:color w:val="auto"/>
          <w:kern w:val="21"/>
          <w:szCs w:val="22"/>
          <w:highlight w:val="none"/>
        </w:rPr>
        <w:t>制定</w:t>
      </w:r>
      <w:r>
        <w:rPr>
          <w:rFonts w:cs="Times New Roman"/>
          <w:color w:val="auto"/>
          <w:kern w:val="21"/>
          <w:szCs w:val="22"/>
          <w:highlight w:val="none"/>
        </w:rPr>
        <w:t>和修改全厂环保管理的规章制度，并监督和检查执行情况。</w:t>
      </w:r>
    </w:p>
    <w:p w14:paraId="62B3BD76">
      <w:pPr>
        <w:overflowPunct w:val="0"/>
        <w:adjustRightInd w:val="0"/>
        <w:ind w:firstLine="480"/>
        <w:rPr>
          <w:rFonts w:cs="Times New Roman"/>
          <w:color w:val="auto"/>
          <w:kern w:val="21"/>
          <w:szCs w:val="22"/>
          <w:highlight w:val="none"/>
        </w:rPr>
      </w:pPr>
      <w:r>
        <w:rPr>
          <w:rFonts w:cs="Times New Roman"/>
          <w:color w:val="auto"/>
          <w:kern w:val="21"/>
          <w:szCs w:val="22"/>
          <w:highlight w:val="none"/>
        </w:rPr>
        <w:t>（3）制订并组织实施全厂的环境保护规划和年度计划以及科研与监测计划。</w:t>
      </w:r>
    </w:p>
    <w:p w14:paraId="24783C0C">
      <w:pPr>
        <w:overflowPunct w:val="0"/>
        <w:adjustRightInd w:val="0"/>
        <w:ind w:firstLine="480"/>
        <w:rPr>
          <w:rFonts w:cs="Times New Roman"/>
          <w:color w:val="auto"/>
          <w:kern w:val="21"/>
          <w:szCs w:val="22"/>
          <w:highlight w:val="none"/>
        </w:rPr>
      </w:pPr>
      <w:r>
        <w:rPr>
          <w:rFonts w:cs="Times New Roman"/>
          <w:color w:val="auto"/>
          <w:kern w:val="21"/>
          <w:szCs w:val="22"/>
          <w:highlight w:val="none"/>
        </w:rPr>
        <w:t>（4）监督并定期检查各车间环保设施的管理和运行情况，发现问题及时会同有关部门解决，保证全厂环保设施处于完好状态。</w:t>
      </w:r>
    </w:p>
    <w:p w14:paraId="33A46C94">
      <w:pPr>
        <w:overflowPunct w:val="0"/>
        <w:adjustRightInd w:val="0"/>
        <w:ind w:firstLine="480"/>
        <w:rPr>
          <w:rFonts w:cs="Times New Roman"/>
          <w:color w:val="auto"/>
          <w:kern w:val="21"/>
          <w:szCs w:val="22"/>
          <w:highlight w:val="none"/>
        </w:rPr>
      </w:pPr>
      <w:r>
        <w:rPr>
          <w:rFonts w:cs="Times New Roman"/>
          <w:color w:val="auto"/>
          <w:kern w:val="21"/>
          <w:szCs w:val="22"/>
          <w:highlight w:val="none"/>
        </w:rPr>
        <w:t>（5）负责组织环保事故的及时处理工作。</w:t>
      </w:r>
    </w:p>
    <w:p w14:paraId="45E649E6">
      <w:pPr>
        <w:overflowPunct w:val="0"/>
        <w:adjustRightInd w:val="0"/>
        <w:ind w:firstLine="480"/>
        <w:rPr>
          <w:rFonts w:cs="Times New Roman"/>
          <w:color w:val="auto"/>
          <w:kern w:val="21"/>
          <w:szCs w:val="22"/>
          <w:highlight w:val="none"/>
        </w:rPr>
      </w:pPr>
      <w:r>
        <w:rPr>
          <w:rFonts w:cs="Times New Roman"/>
          <w:color w:val="auto"/>
          <w:kern w:val="21"/>
          <w:szCs w:val="22"/>
          <w:highlight w:val="none"/>
        </w:rPr>
        <w:t>（6）检查指导环保监测站的监测工作。</w:t>
      </w:r>
    </w:p>
    <w:p w14:paraId="2EADD81E">
      <w:pPr>
        <w:overflowPunct w:val="0"/>
        <w:adjustRightInd w:val="0"/>
        <w:ind w:firstLine="480"/>
        <w:rPr>
          <w:rFonts w:cs="Times New Roman"/>
          <w:color w:val="auto"/>
          <w:kern w:val="21"/>
          <w:szCs w:val="22"/>
          <w:highlight w:val="none"/>
        </w:rPr>
      </w:pPr>
      <w:r>
        <w:rPr>
          <w:rFonts w:cs="Times New Roman"/>
          <w:color w:val="auto"/>
          <w:kern w:val="21"/>
          <w:szCs w:val="22"/>
          <w:highlight w:val="none"/>
        </w:rPr>
        <w:t>（7）推广应用环保先进技术与经验。</w:t>
      </w:r>
    </w:p>
    <w:p w14:paraId="5E48CF63">
      <w:pPr>
        <w:overflowPunct w:val="0"/>
        <w:adjustRightInd w:val="0"/>
        <w:ind w:firstLine="480"/>
        <w:rPr>
          <w:rFonts w:cs="Times New Roman"/>
          <w:color w:val="auto"/>
          <w:kern w:val="21"/>
          <w:szCs w:val="22"/>
          <w:highlight w:val="none"/>
        </w:rPr>
      </w:pPr>
      <w:r>
        <w:rPr>
          <w:rFonts w:cs="Times New Roman"/>
          <w:color w:val="auto"/>
          <w:kern w:val="21"/>
          <w:szCs w:val="22"/>
          <w:highlight w:val="none"/>
        </w:rPr>
        <w:t>（8）组织和推广实施清洁生产工作。</w:t>
      </w:r>
    </w:p>
    <w:p w14:paraId="2A48F6A9">
      <w:pPr>
        <w:overflowPunct w:val="0"/>
        <w:adjustRightInd w:val="0"/>
        <w:ind w:firstLine="480"/>
        <w:rPr>
          <w:rFonts w:cs="Times New Roman"/>
          <w:color w:val="auto"/>
          <w:kern w:val="21"/>
          <w:szCs w:val="22"/>
          <w:highlight w:val="none"/>
        </w:rPr>
      </w:pPr>
      <w:r>
        <w:rPr>
          <w:rFonts w:cs="Times New Roman"/>
          <w:color w:val="auto"/>
          <w:kern w:val="21"/>
          <w:szCs w:val="22"/>
          <w:highlight w:val="none"/>
        </w:rPr>
        <w:t>（9）组织全厂环保工作人员和环保岗位工人的日常业务技术学习、专业进修和业务技术培训。</w:t>
      </w:r>
    </w:p>
    <w:p w14:paraId="4C2B883C">
      <w:pPr>
        <w:overflowPunct w:val="0"/>
        <w:adjustRightInd w:val="0"/>
        <w:ind w:firstLine="480"/>
        <w:rPr>
          <w:rFonts w:cs="Times New Roman"/>
          <w:color w:val="auto"/>
          <w:kern w:val="21"/>
          <w:szCs w:val="22"/>
          <w:highlight w:val="none"/>
        </w:rPr>
      </w:pPr>
      <w:r>
        <w:rPr>
          <w:rFonts w:cs="Times New Roman"/>
          <w:color w:val="auto"/>
          <w:kern w:val="21"/>
          <w:szCs w:val="22"/>
          <w:highlight w:val="none"/>
        </w:rPr>
        <w:t>（10）组织对全体职工进行环保宣传教育工作，增强全体职工的环保意识。</w:t>
      </w:r>
    </w:p>
    <w:p w14:paraId="3D1653A4">
      <w:pPr>
        <w:overflowPunct w:val="0"/>
        <w:adjustRightInd w:val="0"/>
        <w:ind w:firstLine="480"/>
        <w:rPr>
          <w:rFonts w:cs="Times New Roman"/>
          <w:color w:val="auto"/>
          <w:kern w:val="21"/>
          <w:szCs w:val="22"/>
          <w:highlight w:val="none"/>
        </w:rPr>
      </w:pPr>
      <w:r>
        <w:rPr>
          <w:rFonts w:cs="Times New Roman"/>
          <w:color w:val="auto"/>
          <w:kern w:val="21"/>
          <w:szCs w:val="22"/>
          <w:highlight w:val="none"/>
        </w:rPr>
        <w:t>（11）组织全厂的环保评比考核，严格执行环保奖惩制度。</w:t>
      </w:r>
    </w:p>
    <w:p w14:paraId="1C939F5C">
      <w:pPr>
        <w:overflowPunct w:val="0"/>
        <w:adjustRightInd w:val="0"/>
        <w:ind w:firstLine="480"/>
        <w:rPr>
          <w:rFonts w:cs="Times New Roman"/>
          <w:color w:val="auto"/>
          <w:kern w:val="21"/>
          <w:szCs w:val="22"/>
          <w:highlight w:val="none"/>
        </w:rPr>
      </w:pPr>
      <w:r>
        <w:rPr>
          <w:rFonts w:cs="Times New Roman"/>
          <w:color w:val="auto"/>
          <w:kern w:val="21"/>
          <w:szCs w:val="22"/>
          <w:highlight w:val="none"/>
        </w:rPr>
        <w:t>（12）负责环保技术资料的日常管理和归档工作。</w:t>
      </w:r>
    </w:p>
    <w:p w14:paraId="66554BA9">
      <w:pPr>
        <w:pStyle w:val="4"/>
        <w:adjustRightInd w:val="0"/>
        <w:rPr>
          <w:rFonts w:cs="Times New Roman"/>
          <w:color w:val="auto"/>
          <w:highlight w:val="none"/>
        </w:rPr>
      </w:pPr>
      <w:bookmarkStart w:id="337" w:name="_Toc9213"/>
      <w:bookmarkStart w:id="338" w:name="_Toc32076"/>
      <w:bookmarkStart w:id="339" w:name="_Toc14360"/>
      <w:bookmarkStart w:id="340" w:name="_Toc11133"/>
      <w:r>
        <w:rPr>
          <w:rFonts w:cs="Times New Roman"/>
          <w:color w:val="auto"/>
          <w:highlight w:val="none"/>
        </w:rPr>
        <w:t>执行机构工作内容</w:t>
      </w:r>
      <w:bookmarkEnd w:id="337"/>
      <w:bookmarkEnd w:id="338"/>
      <w:bookmarkEnd w:id="339"/>
      <w:bookmarkEnd w:id="340"/>
    </w:p>
    <w:p w14:paraId="714477EB">
      <w:pPr>
        <w:overflowPunct w:val="0"/>
        <w:adjustRightInd w:val="0"/>
        <w:ind w:firstLine="480"/>
        <w:rPr>
          <w:rFonts w:cs="Times New Roman"/>
          <w:color w:val="auto"/>
          <w:kern w:val="21"/>
          <w:szCs w:val="22"/>
          <w:highlight w:val="none"/>
        </w:rPr>
      </w:pPr>
      <w:r>
        <w:rPr>
          <w:rFonts w:cs="Times New Roman"/>
          <w:color w:val="auto"/>
          <w:kern w:val="21"/>
          <w:szCs w:val="24"/>
          <w:highlight w:val="none"/>
        </w:rPr>
        <w:t>接受各级生态环境局的工作指导、管理和环保机构的监督；执行环保法律法规，落实环境影响评价、设计与环保工作计划中的每一项环保措施；保证环保设施的正常运转，设立环保管理机构和监督机构、人员，对项目排污进行自我监测，建立污染源档案并定期报告当地生态环境部门；承担污染源复查和抽查费用。</w:t>
      </w:r>
    </w:p>
    <w:p w14:paraId="6AB9774B">
      <w:pPr>
        <w:pStyle w:val="3"/>
        <w:adjustRightInd w:val="0"/>
        <w:rPr>
          <w:rFonts w:cs="Times New Roman"/>
          <w:color w:val="auto"/>
          <w:highlight w:val="none"/>
        </w:rPr>
      </w:pPr>
      <w:bookmarkStart w:id="341" w:name="_Toc15757"/>
      <w:bookmarkStart w:id="342" w:name="_Toc30135"/>
      <w:bookmarkStart w:id="343" w:name="_Toc15991"/>
      <w:r>
        <w:rPr>
          <w:rFonts w:cs="Times New Roman"/>
          <w:color w:val="auto"/>
          <w:highlight w:val="none"/>
        </w:rPr>
        <w:t>环境管理</w:t>
      </w:r>
      <w:bookmarkEnd w:id="341"/>
      <w:bookmarkEnd w:id="342"/>
      <w:bookmarkEnd w:id="343"/>
    </w:p>
    <w:p w14:paraId="68225B13">
      <w:pPr>
        <w:pStyle w:val="4"/>
        <w:adjustRightInd w:val="0"/>
        <w:rPr>
          <w:rFonts w:cs="Times New Roman"/>
          <w:color w:val="auto"/>
          <w:highlight w:val="none"/>
        </w:rPr>
      </w:pPr>
      <w:bookmarkStart w:id="344" w:name="_Toc30208"/>
      <w:bookmarkStart w:id="345" w:name="_Toc10627"/>
      <w:bookmarkStart w:id="346" w:name="_Toc27449"/>
      <w:bookmarkStart w:id="347" w:name="_Toc598"/>
      <w:r>
        <w:rPr>
          <w:rFonts w:cs="Times New Roman"/>
          <w:color w:val="auto"/>
          <w:highlight w:val="none"/>
        </w:rPr>
        <w:t>环境管理总体规划</w:t>
      </w:r>
      <w:bookmarkEnd w:id="344"/>
      <w:bookmarkEnd w:id="345"/>
      <w:bookmarkEnd w:id="346"/>
      <w:bookmarkEnd w:id="347"/>
    </w:p>
    <w:p w14:paraId="090CD826">
      <w:pPr>
        <w:adjustRightInd w:val="0"/>
        <w:ind w:firstLine="480"/>
        <w:rPr>
          <w:rFonts w:cs="Times New Roman"/>
          <w:color w:val="auto"/>
          <w:highlight w:val="none"/>
        </w:rPr>
      </w:pPr>
      <w:r>
        <w:rPr>
          <w:rFonts w:cs="Times New Roman"/>
          <w:color w:val="auto"/>
          <w:highlight w:val="none"/>
        </w:rPr>
        <w:t>环境管理应该贯穿于建设项目从立项到运行的整个过程，并对建设项目的不同阶段制定相应的环保条例，规定不同阶段的环保内容，明确不同部门的工作职责，具体见下表所示。</w:t>
      </w:r>
    </w:p>
    <w:p w14:paraId="4CCCE107">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建设项目环境管理工作职责表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4"/>
        <w:gridCol w:w="7286"/>
      </w:tblGrid>
      <w:tr w14:paraId="4A4D7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79" w:type="pct"/>
            <w:vAlign w:val="center"/>
          </w:tcPr>
          <w:p w14:paraId="6AE19E5C">
            <w:pPr>
              <w:pStyle w:val="69"/>
              <w:spacing w:before="62" w:after="62"/>
              <w:rPr>
                <w:rFonts w:cs="Times New Roman"/>
                <w:b/>
                <w:bCs w:val="0"/>
                <w:color w:val="auto"/>
                <w:highlight w:val="none"/>
              </w:rPr>
            </w:pPr>
            <w:r>
              <w:rPr>
                <w:rFonts w:cs="Times New Roman"/>
                <w:b/>
                <w:bCs w:val="0"/>
                <w:color w:val="auto"/>
                <w:highlight w:val="none"/>
              </w:rPr>
              <w:t>阶段</w:t>
            </w:r>
          </w:p>
        </w:tc>
        <w:tc>
          <w:tcPr>
            <w:tcW w:w="4020" w:type="pct"/>
            <w:vAlign w:val="center"/>
          </w:tcPr>
          <w:p w14:paraId="6C8520F0">
            <w:pPr>
              <w:pStyle w:val="69"/>
              <w:spacing w:before="62" w:after="62"/>
              <w:rPr>
                <w:rFonts w:cs="Times New Roman"/>
                <w:b/>
                <w:bCs w:val="0"/>
                <w:color w:val="auto"/>
                <w:highlight w:val="none"/>
              </w:rPr>
            </w:pPr>
            <w:r>
              <w:rPr>
                <w:rFonts w:cs="Times New Roman"/>
                <w:b/>
                <w:bCs w:val="0"/>
                <w:color w:val="auto"/>
                <w:highlight w:val="none"/>
              </w:rPr>
              <w:t>工作职责</w:t>
            </w:r>
          </w:p>
        </w:tc>
      </w:tr>
      <w:tr w14:paraId="71A76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79" w:type="pct"/>
            <w:vMerge w:val="restart"/>
            <w:vAlign w:val="center"/>
          </w:tcPr>
          <w:p w14:paraId="1909DEE1">
            <w:pPr>
              <w:pStyle w:val="69"/>
              <w:spacing w:before="62" w:after="62"/>
              <w:rPr>
                <w:rFonts w:cs="Times New Roman"/>
                <w:color w:val="auto"/>
                <w:highlight w:val="none"/>
              </w:rPr>
            </w:pPr>
            <w:r>
              <w:rPr>
                <w:rFonts w:cs="Times New Roman"/>
                <w:color w:val="auto"/>
                <w:highlight w:val="none"/>
              </w:rPr>
              <w:t>建设、调试阶段</w:t>
            </w:r>
          </w:p>
        </w:tc>
        <w:tc>
          <w:tcPr>
            <w:tcW w:w="4020" w:type="pct"/>
            <w:vAlign w:val="center"/>
          </w:tcPr>
          <w:p w14:paraId="2AB80BBF">
            <w:pPr>
              <w:pStyle w:val="69"/>
              <w:spacing w:before="62" w:after="62"/>
              <w:rPr>
                <w:rFonts w:cs="Times New Roman"/>
                <w:color w:val="auto"/>
                <w:highlight w:val="none"/>
              </w:rPr>
            </w:pPr>
            <w:r>
              <w:rPr>
                <w:rFonts w:cs="Times New Roman"/>
                <w:color w:val="auto"/>
                <w:highlight w:val="none"/>
              </w:rPr>
              <w:t>完善准备、最大限度减少事故发生</w:t>
            </w:r>
          </w:p>
        </w:tc>
      </w:tr>
      <w:tr w14:paraId="160A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79" w:type="pct"/>
            <w:vMerge w:val="continue"/>
            <w:vAlign w:val="center"/>
          </w:tcPr>
          <w:p w14:paraId="3E047A0A">
            <w:pPr>
              <w:pStyle w:val="69"/>
              <w:spacing w:before="62" w:after="62"/>
              <w:rPr>
                <w:rFonts w:cs="Times New Roman"/>
                <w:color w:val="auto"/>
                <w:highlight w:val="none"/>
              </w:rPr>
            </w:pPr>
          </w:p>
        </w:tc>
        <w:tc>
          <w:tcPr>
            <w:tcW w:w="4020" w:type="pct"/>
            <w:vAlign w:val="center"/>
          </w:tcPr>
          <w:p w14:paraId="4CCAAADF">
            <w:pPr>
              <w:pStyle w:val="69"/>
              <w:spacing w:before="62" w:after="62"/>
              <w:rPr>
                <w:rFonts w:cs="Times New Roman"/>
                <w:color w:val="auto"/>
                <w:highlight w:val="none"/>
              </w:rPr>
            </w:pPr>
            <w:r>
              <w:rPr>
                <w:rFonts w:cs="Times New Roman"/>
                <w:color w:val="auto"/>
                <w:highlight w:val="none"/>
              </w:rPr>
              <w:t>严格施工设计监理，保证工程质量；检查环保措施的执行；加强环保设备运行检查，力求达标；避免超标排污；</w:t>
            </w:r>
          </w:p>
        </w:tc>
      </w:tr>
      <w:tr w14:paraId="2B61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79" w:type="pct"/>
            <w:vMerge w:val="restart"/>
            <w:vAlign w:val="center"/>
          </w:tcPr>
          <w:p w14:paraId="1BA134C1">
            <w:pPr>
              <w:pStyle w:val="69"/>
              <w:spacing w:before="62" w:after="62"/>
              <w:rPr>
                <w:rFonts w:cs="Times New Roman"/>
                <w:color w:val="auto"/>
                <w:highlight w:val="none"/>
              </w:rPr>
            </w:pPr>
            <w:r>
              <w:rPr>
                <w:rFonts w:cs="Times New Roman"/>
                <w:color w:val="auto"/>
                <w:highlight w:val="none"/>
              </w:rPr>
              <w:t>信息反馈和群众监督</w:t>
            </w:r>
          </w:p>
        </w:tc>
        <w:tc>
          <w:tcPr>
            <w:tcW w:w="4020" w:type="pct"/>
            <w:vAlign w:val="center"/>
          </w:tcPr>
          <w:p w14:paraId="12719B58">
            <w:pPr>
              <w:pStyle w:val="69"/>
              <w:spacing w:before="62" w:after="62"/>
              <w:rPr>
                <w:rFonts w:cs="Times New Roman"/>
                <w:color w:val="auto"/>
                <w:highlight w:val="none"/>
              </w:rPr>
            </w:pPr>
            <w:r>
              <w:rPr>
                <w:rFonts w:cs="Times New Roman"/>
                <w:color w:val="auto"/>
                <w:highlight w:val="none"/>
              </w:rPr>
              <w:t>反馈监督数据，加强群众监督，改进污染治理工作</w:t>
            </w:r>
          </w:p>
        </w:tc>
      </w:tr>
      <w:tr w14:paraId="767D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79" w:type="pct"/>
            <w:vMerge w:val="continue"/>
            <w:vAlign w:val="center"/>
          </w:tcPr>
          <w:p w14:paraId="4CF578C6">
            <w:pPr>
              <w:pStyle w:val="69"/>
              <w:spacing w:before="62" w:after="62"/>
              <w:rPr>
                <w:rFonts w:cs="Times New Roman"/>
                <w:color w:val="auto"/>
                <w:highlight w:val="none"/>
              </w:rPr>
            </w:pPr>
          </w:p>
        </w:tc>
        <w:tc>
          <w:tcPr>
            <w:tcW w:w="4020" w:type="pct"/>
            <w:vAlign w:val="center"/>
          </w:tcPr>
          <w:p w14:paraId="002715D5">
            <w:pPr>
              <w:pStyle w:val="69"/>
              <w:spacing w:before="62" w:after="62"/>
              <w:rPr>
                <w:rFonts w:cs="Times New Roman"/>
                <w:color w:val="auto"/>
                <w:highlight w:val="none"/>
              </w:rPr>
            </w:pPr>
            <w:r>
              <w:rPr>
                <w:rFonts w:cs="Times New Roman"/>
                <w:color w:val="auto"/>
                <w:highlight w:val="none"/>
              </w:rPr>
              <w:t>建立奖惩制度确保环保设施正常运转；整理监测数据，技术部据此研究并改进环保治理措施；收集附近居民意见并选举代表作为监督员</w:t>
            </w:r>
          </w:p>
        </w:tc>
      </w:tr>
    </w:tbl>
    <w:p w14:paraId="3B588524">
      <w:pPr>
        <w:pStyle w:val="4"/>
        <w:adjustRightInd w:val="0"/>
        <w:rPr>
          <w:rFonts w:cs="Times New Roman"/>
          <w:color w:val="auto"/>
          <w:highlight w:val="none"/>
        </w:rPr>
      </w:pPr>
      <w:bookmarkStart w:id="348" w:name="_Toc19313"/>
      <w:bookmarkStart w:id="349" w:name="_Toc3206"/>
      <w:bookmarkStart w:id="350" w:name="_Toc21507"/>
      <w:bookmarkStart w:id="351" w:name="_Toc9350"/>
      <w:r>
        <w:rPr>
          <w:rFonts w:cs="Times New Roman"/>
          <w:color w:val="auto"/>
          <w:highlight w:val="none"/>
        </w:rPr>
        <w:t>环境管理指标体系</w:t>
      </w:r>
      <w:bookmarkEnd w:id="348"/>
      <w:bookmarkEnd w:id="349"/>
      <w:bookmarkEnd w:id="350"/>
      <w:bookmarkEnd w:id="351"/>
    </w:p>
    <w:p w14:paraId="4DF8916A">
      <w:pPr>
        <w:adjustRightInd w:val="0"/>
        <w:ind w:firstLine="480"/>
        <w:rPr>
          <w:rFonts w:cs="Times New Roman"/>
          <w:color w:val="auto"/>
          <w:highlight w:val="none"/>
        </w:rPr>
      </w:pPr>
      <w:r>
        <w:rPr>
          <w:rFonts w:cs="Times New Roman"/>
          <w:color w:val="auto"/>
          <w:highlight w:val="none"/>
        </w:rPr>
        <w:t>为了提高企业环境管理水平，优化环境治理方案，要求建立企业环境管理指标体系，通过指标体系的完成情况，调整环保工作重点，做到全面落实，逐步提高。企业环境管理指标体系见下图。</w:t>
      </w:r>
    </w:p>
    <w:p w14:paraId="53EF797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mc:AlternateContent>
          <mc:Choice Requires="wpg">
            <w:drawing>
              <wp:inline distT="0" distB="0" distL="114300" distR="114300">
                <wp:extent cx="5200015" cy="2242185"/>
                <wp:effectExtent l="4445" t="5080" r="15240" b="19685"/>
                <wp:docPr id="148" name="组合 148"/>
                <wp:cNvGraphicFramePr/>
                <a:graphic xmlns:a="http://schemas.openxmlformats.org/drawingml/2006/main">
                  <a:graphicData uri="http://schemas.microsoft.com/office/word/2010/wordprocessingGroup">
                    <wpg:wgp>
                      <wpg:cNvGrpSpPr/>
                      <wpg:grpSpPr>
                        <a:xfrm>
                          <a:off x="0" y="0"/>
                          <a:ext cx="5200015" cy="2242140"/>
                          <a:chOff x="1753" y="11232"/>
                          <a:chExt cx="7992" cy="3331"/>
                        </a:xfrm>
                      </wpg:grpSpPr>
                      <wps:wsp>
                        <wps:cNvPr id="90" name="文本框 90"/>
                        <wps:cNvSpPr txBox="1"/>
                        <wps:spPr>
                          <a:xfrm>
                            <a:off x="4023" y="11232"/>
                            <a:ext cx="2971" cy="36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F61445">
                              <w:pPr>
                                <w:snapToGrid/>
                                <w:spacing w:line="240" w:lineRule="atLeast"/>
                                <w:ind w:firstLine="0" w:firstLineChars="0"/>
                                <w:jc w:val="center"/>
                                <w:rPr>
                                  <w:rFonts w:cs="Times New Roman"/>
                                  <w:sz w:val="21"/>
                                  <w:szCs w:val="22"/>
                                </w:rPr>
                              </w:pPr>
                              <w:r>
                                <w:rPr>
                                  <w:rFonts w:hint="eastAsia" w:cs="Times New Roman"/>
                                  <w:sz w:val="21"/>
                                  <w:szCs w:val="22"/>
                                </w:rPr>
                                <w:t>环境管理指标体系</w:t>
                              </w:r>
                            </w:p>
                          </w:txbxContent>
                        </wps:txbx>
                        <wps:bodyPr lIns="10800" tIns="10800" rIns="10800" bIns="10800" upright="1"/>
                      </wps:wsp>
                      <wps:wsp>
                        <wps:cNvPr id="91" name="文本框 91"/>
                        <wps:cNvSpPr txBox="1"/>
                        <wps:spPr>
                          <a:xfrm>
                            <a:off x="3515" y="11936"/>
                            <a:ext cx="1415" cy="36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8DA745">
                              <w:pPr>
                                <w:snapToGrid/>
                                <w:spacing w:line="240" w:lineRule="atLeast"/>
                                <w:ind w:firstLine="0" w:firstLineChars="0"/>
                                <w:jc w:val="center"/>
                                <w:rPr>
                                  <w:rFonts w:cs="Times New Roman"/>
                                  <w:sz w:val="21"/>
                                  <w:szCs w:val="22"/>
                                </w:rPr>
                              </w:pPr>
                              <w:r>
                                <w:rPr>
                                  <w:rFonts w:hint="eastAsia" w:cs="Times New Roman"/>
                                  <w:sz w:val="21"/>
                                  <w:szCs w:val="22"/>
                                </w:rPr>
                                <w:t>直接指标</w:t>
                              </w:r>
                            </w:p>
                          </w:txbxContent>
                        </wps:txbx>
                        <wps:bodyPr lIns="10800" tIns="10800" rIns="10800" bIns="10800" upright="1"/>
                      </wps:wsp>
                      <wps:wsp>
                        <wps:cNvPr id="96" name="文本框 96"/>
                        <wps:cNvSpPr txBox="1"/>
                        <wps:spPr>
                          <a:xfrm>
                            <a:off x="6320" y="11936"/>
                            <a:ext cx="1594" cy="36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4C7F65">
                              <w:pPr>
                                <w:snapToGrid/>
                                <w:spacing w:line="240" w:lineRule="atLeast"/>
                                <w:ind w:firstLine="0" w:firstLineChars="0"/>
                                <w:jc w:val="center"/>
                                <w:rPr>
                                  <w:rFonts w:cs="Times New Roman"/>
                                  <w:sz w:val="21"/>
                                  <w:szCs w:val="22"/>
                                </w:rPr>
                              </w:pPr>
                              <w:r>
                                <w:rPr>
                                  <w:rFonts w:hint="eastAsia" w:cs="Times New Roman"/>
                                  <w:sz w:val="21"/>
                                  <w:szCs w:val="22"/>
                                </w:rPr>
                                <w:t>间接指标</w:t>
                              </w:r>
                            </w:p>
                          </w:txbxContent>
                        </wps:txbx>
                        <wps:bodyPr lIns="10800" tIns="10800" rIns="10800" bIns="10800" upright="1"/>
                      </wps:wsp>
                      <wpg:grpSp>
                        <wpg:cNvPr id="103" name="组合 103"/>
                        <wpg:cNvGrpSpPr/>
                        <wpg:grpSpPr>
                          <a:xfrm>
                            <a:off x="1753" y="12761"/>
                            <a:ext cx="7882" cy="363"/>
                            <a:chOff x="0" y="0"/>
                            <a:chExt cx="8595" cy="393"/>
                          </a:xfrm>
                        </wpg:grpSpPr>
                        <wps:wsp>
                          <wps:cNvPr id="97" name="文本框 97"/>
                          <wps:cNvSpPr txBox="1"/>
                          <wps:spPr>
                            <a:xfrm>
                              <a:off x="0" y="0"/>
                              <a:ext cx="120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51E7834">
                                <w:pPr>
                                  <w:snapToGrid/>
                                  <w:spacing w:line="180" w:lineRule="atLeast"/>
                                  <w:ind w:firstLine="0" w:firstLineChars="0"/>
                                  <w:rPr>
                                    <w:rFonts w:cs="Times New Roman"/>
                                    <w:sz w:val="18"/>
                                    <w:szCs w:val="22"/>
                                  </w:rPr>
                                </w:pPr>
                                <w:r>
                                  <w:rPr>
                                    <w:rFonts w:hint="eastAsia" w:cs="Times New Roman"/>
                                    <w:sz w:val="18"/>
                                    <w:szCs w:val="22"/>
                                  </w:rPr>
                                  <w:t>监督管理</w:t>
                                </w:r>
                              </w:p>
                            </w:txbxContent>
                          </wps:txbx>
                          <wps:bodyPr lIns="91440" tIns="10800" rIns="91440" bIns="10800" upright="1"/>
                        </wps:wsp>
                        <wps:wsp>
                          <wps:cNvPr id="98" name="文本框 98"/>
                          <wps:cNvSpPr txBox="1"/>
                          <wps:spPr>
                            <a:xfrm>
                              <a:off x="1290" y="0"/>
                              <a:ext cx="162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847818">
                                <w:pPr>
                                  <w:snapToGrid/>
                                  <w:spacing w:line="180" w:lineRule="atLeast"/>
                                  <w:ind w:firstLine="0" w:firstLineChars="0"/>
                                  <w:rPr>
                                    <w:rFonts w:cs="Times New Roman"/>
                                    <w:sz w:val="18"/>
                                    <w:szCs w:val="22"/>
                                  </w:rPr>
                                </w:pPr>
                                <w:r>
                                  <w:rPr>
                                    <w:rFonts w:hint="eastAsia" w:cs="Times New Roman"/>
                                    <w:sz w:val="18"/>
                                    <w:szCs w:val="22"/>
                                  </w:rPr>
                                  <w:t>环境质量指标</w:t>
                                </w:r>
                              </w:p>
                            </w:txbxContent>
                          </wps:txbx>
                          <wps:bodyPr lIns="91440" tIns="10800" rIns="91440" bIns="10800" upright="1"/>
                        </wps:wsp>
                        <wps:wsp>
                          <wps:cNvPr id="99" name="文本框 99"/>
                          <wps:cNvSpPr txBox="1"/>
                          <wps:spPr>
                            <a:xfrm>
                              <a:off x="3030" y="0"/>
                              <a:ext cx="162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176572">
                                <w:pPr>
                                  <w:snapToGrid/>
                                  <w:spacing w:line="180" w:lineRule="atLeast"/>
                                  <w:ind w:firstLine="0" w:firstLineChars="0"/>
                                  <w:rPr>
                                    <w:rFonts w:cs="Times New Roman"/>
                                    <w:sz w:val="18"/>
                                    <w:szCs w:val="22"/>
                                  </w:rPr>
                                </w:pPr>
                                <w:r>
                                  <w:rPr>
                                    <w:rFonts w:hint="eastAsia" w:cs="Times New Roman"/>
                                    <w:sz w:val="18"/>
                                    <w:szCs w:val="22"/>
                                  </w:rPr>
                                  <w:t>总量控制指标</w:t>
                                </w:r>
                              </w:p>
                            </w:txbxContent>
                          </wps:txbx>
                          <wps:bodyPr lIns="91440" tIns="10800" rIns="91440" bIns="10800" upright="1"/>
                        </wps:wsp>
                        <wps:wsp>
                          <wps:cNvPr id="100" name="文本框 100"/>
                          <wps:cNvSpPr txBox="1"/>
                          <wps:spPr>
                            <a:xfrm>
                              <a:off x="4890" y="0"/>
                              <a:ext cx="117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227888">
                                <w:pPr>
                                  <w:snapToGrid/>
                                  <w:spacing w:line="180" w:lineRule="atLeast"/>
                                  <w:ind w:firstLine="0" w:firstLineChars="0"/>
                                  <w:rPr>
                                    <w:rFonts w:cs="Times New Roman"/>
                                    <w:sz w:val="18"/>
                                    <w:szCs w:val="22"/>
                                  </w:rPr>
                                </w:pPr>
                                <w:r>
                                  <w:rPr>
                                    <w:rFonts w:hint="eastAsia" w:cs="Times New Roman"/>
                                    <w:sz w:val="18"/>
                                    <w:szCs w:val="22"/>
                                  </w:rPr>
                                  <w:t>经济指标</w:t>
                                </w:r>
                              </w:p>
                            </w:txbxContent>
                          </wps:txbx>
                          <wps:bodyPr lIns="91440" tIns="10800" rIns="91440" bIns="10800" upright="1"/>
                        </wps:wsp>
                        <wps:wsp>
                          <wps:cNvPr id="101" name="文本框 101"/>
                          <wps:cNvSpPr txBox="1"/>
                          <wps:spPr>
                            <a:xfrm>
                              <a:off x="6150" y="0"/>
                              <a:ext cx="1170"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A864BB">
                                <w:pPr>
                                  <w:snapToGrid/>
                                  <w:spacing w:line="240" w:lineRule="atLeast"/>
                                  <w:ind w:firstLine="0" w:firstLineChars="0"/>
                                  <w:rPr>
                                    <w:rFonts w:cs="Times New Roman"/>
                                    <w:sz w:val="18"/>
                                    <w:szCs w:val="22"/>
                                  </w:rPr>
                                </w:pPr>
                                <w:r>
                                  <w:rPr>
                                    <w:rFonts w:hint="eastAsia" w:cs="Times New Roman"/>
                                    <w:sz w:val="18"/>
                                    <w:szCs w:val="22"/>
                                  </w:rPr>
                                  <w:t>社会指标</w:t>
                                </w:r>
                              </w:p>
                            </w:txbxContent>
                          </wps:txbx>
                          <wps:bodyPr lIns="91440" tIns="10800" rIns="91440" bIns="10800" upright="1"/>
                        </wps:wsp>
                        <wps:wsp>
                          <wps:cNvPr id="102" name="文本框 102"/>
                          <wps:cNvSpPr txBox="1"/>
                          <wps:spPr>
                            <a:xfrm>
                              <a:off x="7440" y="0"/>
                              <a:ext cx="1155" cy="39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4CB4E1">
                                <w:pPr>
                                  <w:snapToGrid/>
                                  <w:spacing w:line="240" w:lineRule="atLeast"/>
                                  <w:ind w:firstLine="0" w:firstLineChars="0"/>
                                  <w:rPr>
                                    <w:rFonts w:cs="Times New Roman"/>
                                    <w:sz w:val="18"/>
                                    <w:szCs w:val="22"/>
                                  </w:rPr>
                                </w:pPr>
                                <w:r>
                                  <w:rPr>
                                    <w:rFonts w:hint="eastAsia" w:cs="Times New Roman"/>
                                    <w:sz w:val="18"/>
                                    <w:szCs w:val="22"/>
                                  </w:rPr>
                                  <w:t>生态指标</w:t>
                                </w:r>
                              </w:p>
                            </w:txbxContent>
                          </wps:txbx>
                          <wps:bodyPr lIns="91440" tIns="10800" rIns="91440" bIns="10800" upright="1"/>
                        </wps:wsp>
                      </wpg:grpSp>
                      <wps:wsp>
                        <wps:cNvPr id="104" name="文本框 104"/>
                        <wps:cNvSpPr txBox="1"/>
                        <wps:spPr>
                          <a:xfrm>
                            <a:off x="1767" y="13581"/>
                            <a:ext cx="486" cy="98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B66929">
                              <w:pPr>
                                <w:snapToGrid/>
                                <w:spacing w:line="240" w:lineRule="atLeast"/>
                                <w:ind w:firstLine="0" w:firstLineChars="0"/>
                                <w:jc w:val="center"/>
                                <w:rPr>
                                  <w:rFonts w:cs="Times New Roman"/>
                                  <w:sz w:val="18"/>
                                  <w:szCs w:val="22"/>
                                </w:rPr>
                              </w:pPr>
                              <w:r>
                                <w:rPr>
                                  <w:rFonts w:hint="eastAsia" w:cs="Times New Roman"/>
                                  <w:sz w:val="18"/>
                                  <w:szCs w:val="22"/>
                                </w:rPr>
                                <w:t>三同时指标</w:t>
                              </w:r>
                            </w:p>
                          </w:txbxContent>
                        </wps:txbx>
                        <wps:bodyPr lIns="10800" tIns="10800" rIns="10800" bIns="10800" upright="1"/>
                      </wps:wsp>
                      <wps:wsp>
                        <wps:cNvPr id="105" name="文本框 105"/>
                        <wps:cNvSpPr txBox="1"/>
                        <wps:spPr>
                          <a:xfrm>
                            <a:off x="2386" y="13581"/>
                            <a:ext cx="495" cy="982"/>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86CBBB">
                              <w:pPr>
                                <w:snapToGrid/>
                                <w:spacing w:line="240" w:lineRule="atLeast"/>
                                <w:ind w:firstLine="0" w:firstLineChars="0"/>
                                <w:jc w:val="center"/>
                                <w:rPr>
                                  <w:rFonts w:cs="Times New Roman"/>
                                  <w:sz w:val="18"/>
                                  <w:szCs w:val="22"/>
                                </w:rPr>
                              </w:pPr>
                              <w:r>
                                <w:rPr>
                                  <w:rFonts w:hint="eastAsia" w:cs="Times New Roman"/>
                                  <w:sz w:val="18"/>
                                  <w:szCs w:val="22"/>
                                </w:rPr>
                                <w:t>法规情况指标</w:t>
                              </w:r>
                            </w:p>
                          </w:txbxContent>
                        </wps:txbx>
                        <wps:bodyPr lIns="10800" tIns="10800" rIns="10800" bIns="10800" upright="1"/>
                      </wps:wsp>
                      <wps:wsp>
                        <wps:cNvPr id="106" name="文本框 106"/>
                        <wps:cNvSpPr txBox="1"/>
                        <wps:spPr>
                          <a:xfrm>
                            <a:off x="3266" y="13573"/>
                            <a:ext cx="495" cy="9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36AA96">
                              <w:pPr>
                                <w:snapToGrid/>
                                <w:spacing w:line="240" w:lineRule="atLeast"/>
                                <w:ind w:firstLine="0" w:firstLineChars="0"/>
                                <w:jc w:val="center"/>
                                <w:rPr>
                                  <w:rFonts w:cs="Times New Roman"/>
                                  <w:sz w:val="18"/>
                                  <w:szCs w:val="22"/>
                                </w:rPr>
                              </w:pPr>
                              <w:r>
                                <w:rPr>
                                  <w:rFonts w:hint="eastAsia" w:cs="Times New Roman"/>
                                  <w:sz w:val="18"/>
                                  <w:szCs w:val="22"/>
                                </w:rPr>
                                <w:t>废气及环境空气指标</w:t>
                              </w:r>
                            </w:p>
                          </w:txbxContent>
                        </wps:txbx>
                        <wps:bodyPr lIns="10800" tIns="10800" rIns="10800" bIns="10800" upright="1"/>
                      </wps:wsp>
                      <wps:wsp>
                        <wps:cNvPr id="107" name="文本框 107"/>
                        <wps:cNvSpPr txBox="1"/>
                        <wps:spPr>
                          <a:xfrm>
                            <a:off x="4119" y="13587"/>
                            <a:ext cx="495" cy="97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9E1A84">
                              <w:pPr>
                                <w:snapToGrid/>
                                <w:spacing w:line="240" w:lineRule="atLeast"/>
                                <w:ind w:firstLine="0" w:firstLineChars="0"/>
                                <w:jc w:val="center"/>
                                <w:rPr>
                                  <w:rFonts w:cs="Times New Roman"/>
                                  <w:sz w:val="18"/>
                                  <w:szCs w:val="22"/>
                                </w:rPr>
                              </w:pPr>
                              <w:r>
                                <w:rPr>
                                  <w:rFonts w:hint="eastAsia" w:cs="Times New Roman"/>
                                  <w:sz w:val="18"/>
                                  <w:szCs w:val="22"/>
                                </w:rPr>
                                <w:t>废水及水环境指标</w:t>
                              </w:r>
                            </w:p>
                          </w:txbxContent>
                        </wps:txbx>
                        <wps:bodyPr lIns="10800" tIns="10800" rIns="10800" bIns="10800" upright="1"/>
                      </wps:wsp>
                      <wps:wsp>
                        <wps:cNvPr id="108" name="文本框 108"/>
                        <wps:cNvSpPr txBox="1"/>
                        <wps:spPr>
                          <a:xfrm>
                            <a:off x="4766" y="13584"/>
                            <a:ext cx="495" cy="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A9FD1B">
                              <w:pPr>
                                <w:snapToGrid/>
                                <w:spacing w:line="240" w:lineRule="atLeast"/>
                                <w:ind w:firstLine="0" w:firstLineChars="0"/>
                                <w:jc w:val="center"/>
                                <w:rPr>
                                  <w:rFonts w:cs="Times New Roman"/>
                                  <w:sz w:val="18"/>
                                  <w:szCs w:val="22"/>
                                </w:rPr>
                              </w:pPr>
                              <w:r>
                                <w:rPr>
                                  <w:rFonts w:hint="eastAsia" w:cs="Times New Roman"/>
                                  <w:sz w:val="18"/>
                                  <w:szCs w:val="22"/>
                                </w:rPr>
                                <w:t>噪声指标</w:t>
                              </w:r>
                            </w:p>
                          </w:txbxContent>
                        </wps:txbx>
                        <wps:bodyPr lIns="10800" tIns="10800" rIns="10800" bIns="10800" upright="1"/>
                      </wps:wsp>
                      <wps:wsp>
                        <wps:cNvPr id="117" name="文本框 117"/>
                        <wps:cNvSpPr txBox="1"/>
                        <wps:spPr>
                          <a:xfrm>
                            <a:off x="5412" y="13584"/>
                            <a:ext cx="495" cy="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B633F3">
                              <w:pPr>
                                <w:snapToGrid/>
                                <w:spacing w:line="240" w:lineRule="atLeast"/>
                                <w:ind w:firstLine="0" w:firstLineChars="0"/>
                                <w:jc w:val="center"/>
                                <w:rPr>
                                  <w:rFonts w:cs="Times New Roman"/>
                                  <w:sz w:val="18"/>
                                  <w:szCs w:val="22"/>
                                </w:rPr>
                              </w:pPr>
                              <w:r>
                                <w:rPr>
                                  <w:rFonts w:hint="eastAsia" w:cs="Times New Roman"/>
                                  <w:sz w:val="18"/>
                                  <w:szCs w:val="22"/>
                                </w:rPr>
                                <w:t>固废指标</w:t>
                              </w:r>
                            </w:p>
                          </w:txbxContent>
                        </wps:txbx>
                        <wps:bodyPr lIns="10800" tIns="10800" rIns="10800" bIns="10800" upright="1"/>
                      </wps:wsp>
                      <wps:wsp>
                        <wps:cNvPr id="118" name="文本框 118"/>
                        <wps:cNvSpPr txBox="1"/>
                        <wps:spPr>
                          <a:xfrm>
                            <a:off x="6251" y="13589"/>
                            <a:ext cx="495" cy="9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5FB2FA5">
                              <w:pPr>
                                <w:snapToGrid/>
                                <w:spacing w:line="240" w:lineRule="atLeast"/>
                                <w:ind w:firstLine="0" w:firstLineChars="0"/>
                                <w:jc w:val="center"/>
                                <w:rPr>
                                  <w:rFonts w:cs="Times New Roman"/>
                                  <w:sz w:val="18"/>
                                  <w:szCs w:val="22"/>
                                </w:rPr>
                              </w:pPr>
                              <w:r>
                                <w:rPr>
                                  <w:rFonts w:hint="eastAsia" w:cs="Times New Roman"/>
                                  <w:sz w:val="18"/>
                                  <w:szCs w:val="22"/>
                                </w:rPr>
                                <w:t>产值指标</w:t>
                              </w:r>
                            </w:p>
                          </w:txbxContent>
                        </wps:txbx>
                        <wps:bodyPr lIns="10800" tIns="10800" rIns="10800" bIns="10800" upright="1"/>
                      </wps:wsp>
                      <wps:wsp>
                        <wps:cNvPr id="119" name="文本框 119"/>
                        <wps:cNvSpPr txBox="1"/>
                        <wps:spPr>
                          <a:xfrm>
                            <a:off x="6828" y="13589"/>
                            <a:ext cx="496" cy="9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E71B0A4">
                              <w:pPr>
                                <w:snapToGrid/>
                                <w:spacing w:line="240" w:lineRule="atLeast"/>
                                <w:ind w:firstLine="0" w:firstLineChars="0"/>
                                <w:jc w:val="center"/>
                                <w:rPr>
                                  <w:rFonts w:cs="Times New Roman"/>
                                  <w:sz w:val="18"/>
                                  <w:szCs w:val="22"/>
                                </w:rPr>
                              </w:pPr>
                              <w:r>
                                <w:rPr>
                                  <w:rFonts w:hint="eastAsia" w:cs="Times New Roman"/>
                                  <w:sz w:val="18"/>
                                  <w:szCs w:val="22"/>
                                </w:rPr>
                                <w:t>资源指标</w:t>
                              </w:r>
                            </w:p>
                          </w:txbxContent>
                        </wps:txbx>
                        <wps:bodyPr lIns="10800" tIns="10800" rIns="10800" bIns="10800" upright="1"/>
                      </wps:wsp>
                      <wps:wsp>
                        <wps:cNvPr id="120" name="文本框 120"/>
                        <wps:cNvSpPr txBox="1"/>
                        <wps:spPr>
                          <a:xfrm>
                            <a:off x="8630" y="13574"/>
                            <a:ext cx="496" cy="974"/>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24D763">
                              <w:pPr>
                                <w:snapToGrid/>
                                <w:spacing w:line="240" w:lineRule="atLeast"/>
                                <w:ind w:firstLine="0" w:firstLineChars="0"/>
                                <w:jc w:val="center"/>
                                <w:rPr>
                                  <w:rFonts w:cs="Times New Roman"/>
                                  <w:sz w:val="18"/>
                                  <w:szCs w:val="22"/>
                                </w:rPr>
                              </w:pPr>
                              <w:r>
                                <w:rPr>
                                  <w:rFonts w:hint="eastAsia" w:cs="Times New Roman"/>
                                  <w:sz w:val="18"/>
                                  <w:szCs w:val="22"/>
                                </w:rPr>
                                <w:t>自然指标</w:t>
                              </w:r>
                            </w:p>
                          </w:txbxContent>
                        </wps:txbx>
                        <wps:bodyPr lIns="10800" tIns="10800" rIns="10800" bIns="10800" upright="1"/>
                      </wps:wsp>
                      <wps:wsp>
                        <wps:cNvPr id="121" name="文本框 121"/>
                        <wps:cNvSpPr txBox="1"/>
                        <wps:spPr>
                          <a:xfrm>
                            <a:off x="9250" y="13566"/>
                            <a:ext cx="495" cy="9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3B19C0">
                              <w:pPr>
                                <w:snapToGrid/>
                                <w:spacing w:line="240" w:lineRule="atLeast"/>
                                <w:ind w:firstLine="0" w:firstLineChars="0"/>
                                <w:jc w:val="center"/>
                                <w:rPr>
                                  <w:rFonts w:cs="Times New Roman"/>
                                  <w:sz w:val="18"/>
                                  <w:szCs w:val="22"/>
                                </w:rPr>
                              </w:pPr>
                              <w:r>
                                <w:rPr>
                                  <w:rFonts w:hint="eastAsia" w:cs="Times New Roman"/>
                                  <w:sz w:val="18"/>
                                  <w:szCs w:val="22"/>
                                </w:rPr>
                                <w:t>景观指标</w:t>
                              </w:r>
                            </w:p>
                          </w:txbxContent>
                        </wps:txbx>
                        <wps:bodyPr lIns="10800" tIns="10800" rIns="10800" bIns="10800" upright="1"/>
                      </wps:wsp>
                      <wps:wsp>
                        <wps:cNvPr id="122" name="直接连接符 122"/>
                        <wps:cNvCnPr/>
                        <wps:spPr>
                          <a:xfrm>
                            <a:off x="4504" y="11618"/>
                            <a:ext cx="1" cy="288"/>
                          </a:xfrm>
                          <a:prstGeom prst="line">
                            <a:avLst/>
                          </a:prstGeom>
                          <a:ln w="9525" cap="flat" cmpd="sng">
                            <a:solidFill>
                              <a:srgbClr val="000000"/>
                            </a:solidFill>
                            <a:prstDash val="solid"/>
                            <a:headEnd type="none" w="med" len="med"/>
                            <a:tailEnd type="none" w="med" len="med"/>
                          </a:ln>
                        </wps:spPr>
                        <wps:bodyPr/>
                      </wps:wsp>
                      <wps:wsp>
                        <wps:cNvPr id="123" name="直接连接符 123"/>
                        <wps:cNvCnPr/>
                        <wps:spPr>
                          <a:xfrm>
                            <a:off x="6485" y="11618"/>
                            <a:ext cx="1" cy="288"/>
                          </a:xfrm>
                          <a:prstGeom prst="line">
                            <a:avLst/>
                          </a:prstGeom>
                          <a:ln w="9525" cap="flat" cmpd="sng">
                            <a:solidFill>
                              <a:srgbClr val="000000"/>
                            </a:solidFill>
                            <a:prstDash val="solid"/>
                            <a:headEnd type="none" w="med" len="med"/>
                            <a:tailEnd type="none" w="med" len="med"/>
                          </a:ln>
                        </wps:spPr>
                        <wps:bodyPr/>
                      </wps:wsp>
                      <wps:wsp>
                        <wps:cNvPr id="124" name="直接连接符 124"/>
                        <wps:cNvCnPr/>
                        <wps:spPr>
                          <a:xfrm>
                            <a:off x="2193" y="12514"/>
                            <a:ext cx="3136" cy="1"/>
                          </a:xfrm>
                          <a:prstGeom prst="line">
                            <a:avLst/>
                          </a:prstGeom>
                          <a:ln w="9525" cap="flat" cmpd="sng">
                            <a:solidFill>
                              <a:srgbClr val="000000"/>
                            </a:solidFill>
                            <a:prstDash val="solid"/>
                            <a:headEnd type="none" w="med" len="med"/>
                            <a:tailEnd type="none" w="med" len="med"/>
                          </a:ln>
                        </wps:spPr>
                        <wps:bodyPr/>
                      </wps:wsp>
                      <wps:wsp>
                        <wps:cNvPr id="125" name="直接连接符 125"/>
                        <wps:cNvCnPr/>
                        <wps:spPr>
                          <a:xfrm>
                            <a:off x="4009" y="12298"/>
                            <a:ext cx="1" cy="230"/>
                          </a:xfrm>
                          <a:prstGeom prst="line">
                            <a:avLst/>
                          </a:prstGeom>
                          <a:ln w="9525" cap="flat" cmpd="sng">
                            <a:solidFill>
                              <a:srgbClr val="000000"/>
                            </a:solidFill>
                            <a:prstDash val="solid"/>
                            <a:headEnd type="none" w="med" len="med"/>
                            <a:tailEnd type="none" w="med" len="med"/>
                          </a:ln>
                        </wps:spPr>
                        <wps:bodyPr/>
                      </wps:wsp>
                      <wps:wsp>
                        <wps:cNvPr id="126" name="直接连接符 126"/>
                        <wps:cNvCnPr/>
                        <wps:spPr>
                          <a:xfrm>
                            <a:off x="2193" y="12533"/>
                            <a:ext cx="1" cy="231"/>
                          </a:xfrm>
                          <a:prstGeom prst="line">
                            <a:avLst/>
                          </a:prstGeom>
                          <a:ln w="9525" cap="flat" cmpd="sng">
                            <a:solidFill>
                              <a:srgbClr val="000000"/>
                            </a:solidFill>
                            <a:prstDash val="solid"/>
                            <a:headEnd type="none" w="med" len="med"/>
                            <a:tailEnd type="none" w="med" len="med"/>
                          </a:ln>
                        </wps:spPr>
                        <wps:bodyPr/>
                      </wps:wsp>
                      <wps:wsp>
                        <wps:cNvPr id="127" name="直接连接符 127"/>
                        <wps:cNvCnPr/>
                        <wps:spPr>
                          <a:xfrm>
                            <a:off x="3665" y="12514"/>
                            <a:ext cx="1" cy="230"/>
                          </a:xfrm>
                          <a:prstGeom prst="line">
                            <a:avLst/>
                          </a:prstGeom>
                          <a:ln w="9525" cap="flat" cmpd="sng">
                            <a:solidFill>
                              <a:srgbClr val="000000"/>
                            </a:solidFill>
                            <a:prstDash val="solid"/>
                            <a:headEnd type="none" w="med" len="med"/>
                            <a:tailEnd type="none" w="med" len="med"/>
                          </a:ln>
                        </wps:spPr>
                        <wps:bodyPr/>
                      </wps:wsp>
                      <wps:wsp>
                        <wps:cNvPr id="128" name="直接连接符 128"/>
                        <wps:cNvCnPr/>
                        <wps:spPr>
                          <a:xfrm>
                            <a:off x="5329" y="12514"/>
                            <a:ext cx="1" cy="230"/>
                          </a:xfrm>
                          <a:prstGeom prst="line">
                            <a:avLst/>
                          </a:prstGeom>
                          <a:ln w="9525" cap="flat" cmpd="sng">
                            <a:solidFill>
                              <a:srgbClr val="000000"/>
                            </a:solidFill>
                            <a:prstDash val="solid"/>
                            <a:headEnd type="none" w="med" len="med"/>
                            <a:tailEnd type="none" w="med" len="med"/>
                          </a:ln>
                        </wps:spPr>
                        <wps:bodyPr/>
                      </wps:wsp>
                      <wps:wsp>
                        <wps:cNvPr id="129" name="直接连接符 129"/>
                        <wps:cNvCnPr/>
                        <wps:spPr>
                          <a:xfrm>
                            <a:off x="6650" y="12514"/>
                            <a:ext cx="2476" cy="1"/>
                          </a:xfrm>
                          <a:prstGeom prst="line">
                            <a:avLst/>
                          </a:prstGeom>
                          <a:ln w="9525" cap="flat" cmpd="sng">
                            <a:solidFill>
                              <a:srgbClr val="000000"/>
                            </a:solidFill>
                            <a:prstDash val="solid"/>
                            <a:headEnd type="none" w="med" len="med"/>
                            <a:tailEnd type="none" w="med" len="med"/>
                          </a:ln>
                        </wps:spPr>
                        <wps:bodyPr/>
                      </wps:wsp>
                      <wps:wsp>
                        <wps:cNvPr id="130" name="直接连接符 130"/>
                        <wps:cNvCnPr/>
                        <wps:spPr>
                          <a:xfrm>
                            <a:off x="7338" y="12309"/>
                            <a:ext cx="1" cy="229"/>
                          </a:xfrm>
                          <a:prstGeom prst="line">
                            <a:avLst/>
                          </a:prstGeom>
                          <a:ln w="9525" cap="flat" cmpd="sng">
                            <a:solidFill>
                              <a:srgbClr val="000000"/>
                            </a:solidFill>
                            <a:prstDash val="solid"/>
                            <a:headEnd type="none" w="med" len="med"/>
                            <a:tailEnd type="none" w="med" len="med"/>
                          </a:ln>
                        </wps:spPr>
                        <wps:bodyPr/>
                      </wps:wsp>
                      <wps:wsp>
                        <wps:cNvPr id="131" name="直接连接符 131"/>
                        <wps:cNvCnPr/>
                        <wps:spPr>
                          <a:xfrm>
                            <a:off x="6650" y="12514"/>
                            <a:ext cx="1" cy="230"/>
                          </a:xfrm>
                          <a:prstGeom prst="line">
                            <a:avLst/>
                          </a:prstGeom>
                          <a:ln w="9525" cap="flat" cmpd="sng">
                            <a:solidFill>
                              <a:srgbClr val="000000"/>
                            </a:solidFill>
                            <a:prstDash val="solid"/>
                            <a:headEnd type="none" w="med" len="med"/>
                            <a:tailEnd type="none" w="med" len="med"/>
                          </a:ln>
                        </wps:spPr>
                        <wps:bodyPr/>
                      </wps:wsp>
                      <wps:wsp>
                        <wps:cNvPr id="132" name="直接连接符 132"/>
                        <wps:cNvCnPr/>
                        <wps:spPr>
                          <a:xfrm>
                            <a:off x="7929" y="12514"/>
                            <a:ext cx="1" cy="230"/>
                          </a:xfrm>
                          <a:prstGeom prst="line">
                            <a:avLst/>
                          </a:prstGeom>
                          <a:ln w="9525" cap="flat" cmpd="sng">
                            <a:solidFill>
                              <a:srgbClr val="000000"/>
                            </a:solidFill>
                            <a:prstDash val="solid"/>
                            <a:headEnd type="none" w="med" len="med"/>
                            <a:tailEnd type="none" w="med" len="med"/>
                          </a:ln>
                        </wps:spPr>
                        <wps:bodyPr/>
                      </wps:wsp>
                      <wps:wsp>
                        <wps:cNvPr id="133" name="直接连接符 133"/>
                        <wps:cNvCnPr/>
                        <wps:spPr>
                          <a:xfrm>
                            <a:off x="9126" y="12514"/>
                            <a:ext cx="1" cy="230"/>
                          </a:xfrm>
                          <a:prstGeom prst="line">
                            <a:avLst/>
                          </a:prstGeom>
                          <a:ln w="9525" cap="flat" cmpd="sng">
                            <a:solidFill>
                              <a:srgbClr val="000000"/>
                            </a:solidFill>
                            <a:prstDash val="solid"/>
                            <a:headEnd type="none" w="med" len="med"/>
                            <a:tailEnd type="none" w="med" len="med"/>
                          </a:ln>
                        </wps:spPr>
                        <wps:bodyPr/>
                      </wps:wsp>
                      <wps:wsp>
                        <wps:cNvPr id="134" name="直接连接符 134"/>
                        <wps:cNvCnPr/>
                        <wps:spPr>
                          <a:xfrm>
                            <a:off x="3679" y="13134"/>
                            <a:ext cx="1" cy="230"/>
                          </a:xfrm>
                          <a:prstGeom prst="line">
                            <a:avLst/>
                          </a:prstGeom>
                          <a:ln w="9525" cap="flat" cmpd="sng">
                            <a:solidFill>
                              <a:srgbClr val="000000"/>
                            </a:solidFill>
                            <a:prstDash val="solid"/>
                            <a:headEnd type="none" w="med" len="med"/>
                            <a:tailEnd type="none" w="med" len="med"/>
                          </a:ln>
                        </wps:spPr>
                        <wps:bodyPr/>
                      </wps:wsp>
                      <wps:wsp>
                        <wps:cNvPr id="135" name="直接连接符 135"/>
                        <wps:cNvCnPr/>
                        <wps:spPr>
                          <a:xfrm>
                            <a:off x="5329" y="13134"/>
                            <a:ext cx="1" cy="230"/>
                          </a:xfrm>
                          <a:prstGeom prst="line">
                            <a:avLst/>
                          </a:prstGeom>
                          <a:ln w="9525" cap="flat" cmpd="sng">
                            <a:solidFill>
                              <a:srgbClr val="000000"/>
                            </a:solidFill>
                            <a:prstDash val="solid"/>
                            <a:headEnd type="none" w="med" len="med"/>
                            <a:tailEnd type="none" w="med" len="med"/>
                          </a:ln>
                        </wps:spPr>
                        <wps:bodyPr/>
                      </wps:wsp>
                      <wps:wsp>
                        <wps:cNvPr id="136" name="直接连接符 136"/>
                        <wps:cNvCnPr/>
                        <wps:spPr>
                          <a:xfrm>
                            <a:off x="3513" y="13349"/>
                            <a:ext cx="2146" cy="1"/>
                          </a:xfrm>
                          <a:prstGeom prst="line">
                            <a:avLst/>
                          </a:prstGeom>
                          <a:ln w="9525" cap="flat" cmpd="sng">
                            <a:solidFill>
                              <a:srgbClr val="000000"/>
                            </a:solidFill>
                            <a:prstDash val="solid"/>
                            <a:headEnd type="none" w="med" len="med"/>
                            <a:tailEnd type="none" w="med" len="med"/>
                          </a:ln>
                        </wps:spPr>
                        <wps:bodyPr/>
                      </wps:wsp>
                      <wps:wsp>
                        <wps:cNvPr id="137" name="直接连接符 137"/>
                        <wps:cNvCnPr/>
                        <wps:spPr>
                          <a:xfrm>
                            <a:off x="5659" y="13368"/>
                            <a:ext cx="1" cy="231"/>
                          </a:xfrm>
                          <a:prstGeom prst="line">
                            <a:avLst/>
                          </a:prstGeom>
                          <a:ln w="9525" cap="flat" cmpd="sng">
                            <a:solidFill>
                              <a:srgbClr val="000000"/>
                            </a:solidFill>
                            <a:prstDash val="solid"/>
                            <a:headEnd type="none" w="med" len="med"/>
                            <a:tailEnd type="none" w="med" len="med"/>
                          </a:ln>
                        </wps:spPr>
                        <wps:bodyPr/>
                      </wps:wsp>
                      <wps:wsp>
                        <wps:cNvPr id="138" name="直接连接符 138"/>
                        <wps:cNvCnPr/>
                        <wps:spPr>
                          <a:xfrm>
                            <a:off x="3513" y="13355"/>
                            <a:ext cx="1" cy="230"/>
                          </a:xfrm>
                          <a:prstGeom prst="line">
                            <a:avLst/>
                          </a:prstGeom>
                          <a:ln w="9525" cap="flat" cmpd="sng">
                            <a:solidFill>
                              <a:srgbClr val="000000"/>
                            </a:solidFill>
                            <a:prstDash val="solid"/>
                            <a:headEnd type="none" w="med" len="med"/>
                            <a:tailEnd type="none" w="med" len="med"/>
                          </a:ln>
                        </wps:spPr>
                        <wps:bodyPr/>
                      </wps:wsp>
                      <wps:wsp>
                        <wps:cNvPr id="139" name="直接连接符 139"/>
                        <wps:cNvCnPr/>
                        <wps:spPr>
                          <a:xfrm>
                            <a:off x="5000" y="13349"/>
                            <a:ext cx="1" cy="230"/>
                          </a:xfrm>
                          <a:prstGeom prst="line">
                            <a:avLst/>
                          </a:prstGeom>
                          <a:ln w="9525" cap="flat" cmpd="sng">
                            <a:solidFill>
                              <a:srgbClr val="000000"/>
                            </a:solidFill>
                            <a:prstDash val="solid"/>
                            <a:headEnd type="none" w="med" len="med"/>
                            <a:tailEnd type="none" w="med" len="med"/>
                          </a:ln>
                        </wps:spPr>
                        <wps:bodyPr/>
                      </wps:wsp>
                      <wps:wsp>
                        <wps:cNvPr id="140" name="直接连接符 140"/>
                        <wps:cNvCnPr/>
                        <wps:spPr>
                          <a:xfrm>
                            <a:off x="4366" y="13349"/>
                            <a:ext cx="1" cy="230"/>
                          </a:xfrm>
                          <a:prstGeom prst="line">
                            <a:avLst/>
                          </a:prstGeom>
                          <a:ln w="9525" cap="flat" cmpd="sng">
                            <a:solidFill>
                              <a:srgbClr val="000000"/>
                            </a:solidFill>
                            <a:prstDash val="solid"/>
                            <a:headEnd type="none" w="med" len="med"/>
                            <a:tailEnd type="none" w="med" len="med"/>
                          </a:ln>
                        </wps:spPr>
                        <wps:bodyPr/>
                      </wps:wsp>
                      <wps:wsp>
                        <wps:cNvPr id="141" name="直接连接符 141"/>
                        <wps:cNvCnPr/>
                        <wps:spPr>
                          <a:xfrm>
                            <a:off x="6485" y="13114"/>
                            <a:ext cx="1" cy="500"/>
                          </a:xfrm>
                          <a:prstGeom prst="line">
                            <a:avLst/>
                          </a:prstGeom>
                          <a:ln w="9525" cap="flat" cmpd="sng">
                            <a:solidFill>
                              <a:srgbClr val="000000"/>
                            </a:solidFill>
                            <a:prstDash val="solid"/>
                            <a:headEnd type="none" w="med" len="med"/>
                            <a:tailEnd type="none" w="med" len="med"/>
                          </a:ln>
                        </wps:spPr>
                        <wps:bodyPr/>
                      </wps:wsp>
                      <wps:wsp>
                        <wps:cNvPr id="142" name="直接连接符 142"/>
                        <wps:cNvCnPr/>
                        <wps:spPr>
                          <a:xfrm>
                            <a:off x="7076" y="13131"/>
                            <a:ext cx="1" cy="501"/>
                          </a:xfrm>
                          <a:prstGeom prst="line">
                            <a:avLst/>
                          </a:prstGeom>
                          <a:ln w="9525" cap="flat" cmpd="sng">
                            <a:solidFill>
                              <a:srgbClr val="000000"/>
                            </a:solidFill>
                            <a:prstDash val="solid"/>
                            <a:headEnd type="none" w="med" len="med"/>
                            <a:tailEnd type="none" w="med" len="med"/>
                          </a:ln>
                        </wps:spPr>
                        <wps:bodyPr/>
                      </wps:wsp>
                      <wps:wsp>
                        <wps:cNvPr id="143" name="直接连接符 143"/>
                        <wps:cNvCnPr/>
                        <wps:spPr>
                          <a:xfrm>
                            <a:off x="8878" y="13111"/>
                            <a:ext cx="1" cy="500"/>
                          </a:xfrm>
                          <a:prstGeom prst="line">
                            <a:avLst/>
                          </a:prstGeom>
                          <a:ln w="9525" cap="flat" cmpd="sng">
                            <a:solidFill>
                              <a:srgbClr val="000000"/>
                            </a:solidFill>
                            <a:prstDash val="solid"/>
                            <a:headEnd type="none" w="med" len="med"/>
                            <a:tailEnd type="none" w="med" len="med"/>
                          </a:ln>
                        </wps:spPr>
                        <wps:bodyPr/>
                      </wps:wsp>
                      <wps:wsp>
                        <wps:cNvPr id="144" name="直接连接符 144"/>
                        <wps:cNvCnPr/>
                        <wps:spPr>
                          <a:xfrm>
                            <a:off x="9483" y="13104"/>
                            <a:ext cx="1" cy="499"/>
                          </a:xfrm>
                          <a:prstGeom prst="line">
                            <a:avLst/>
                          </a:prstGeom>
                          <a:ln w="9525" cap="flat" cmpd="sng">
                            <a:solidFill>
                              <a:srgbClr val="000000"/>
                            </a:solidFill>
                            <a:prstDash val="solid"/>
                            <a:headEnd type="none" w="med" len="med"/>
                            <a:tailEnd type="none" w="med" len="med"/>
                          </a:ln>
                        </wps:spPr>
                        <wps:bodyPr/>
                      </wps:wsp>
                      <wps:wsp>
                        <wps:cNvPr id="145" name="直接连接符 145"/>
                        <wps:cNvCnPr/>
                        <wps:spPr>
                          <a:xfrm>
                            <a:off x="2634" y="13117"/>
                            <a:ext cx="1" cy="501"/>
                          </a:xfrm>
                          <a:prstGeom prst="line">
                            <a:avLst/>
                          </a:prstGeom>
                          <a:ln w="9525" cap="flat" cmpd="sng">
                            <a:solidFill>
                              <a:srgbClr val="000000"/>
                            </a:solidFill>
                            <a:prstDash val="solid"/>
                            <a:headEnd type="none" w="med" len="med"/>
                            <a:tailEnd type="none" w="med" len="med"/>
                          </a:ln>
                        </wps:spPr>
                        <wps:bodyPr/>
                      </wps:wsp>
                      <wps:wsp>
                        <wps:cNvPr id="146" name="直接连接符 146"/>
                        <wps:cNvCnPr/>
                        <wps:spPr>
                          <a:xfrm>
                            <a:off x="2001" y="13111"/>
                            <a:ext cx="1" cy="500"/>
                          </a:xfrm>
                          <a:prstGeom prst="line">
                            <a:avLst/>
                          </a:prstGeom>
                          <a:ln w="9525" cap="flat" cmpd="sng">
                            <a:solidFill>
                              <a:srgbClr val="000000"/>
                            </a:solidFill>
                            <a:prstDash val="solid"/>
                            <a:headEnd type="none" w="med" len="med"/>
                            <a:tailEnd type="none" w="med" len="med"/>
                          </a:ln>
                        </wps:spPr>
                        <wps:bodyPr/>
                      </wps:wsp>
                    </wpg:wgp>
                  </a:graphicData>
                </a:graphic>
              </wp:inline>
            </w:drawing>
          </mc:Choice>
          <mc:Fallback>
            <w:pict>
              <v:group id="_x0000_s1026" o:spid="_x0000_s1026" o:spt="203" style="height:176.55pt;width:409.45pt;" coordorigin="1753,11232" coordsize="7992,3331" o:gfxdata="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">
                <o:lock v:ext="edit" aspectratio="f"/>
                <v:shape id="_x0000_s1026" o:spid="_x0000_s1026" o:spt="202" type="#_x0000_t202" style="position:absolute;left:4023;top:11232;height:364;width:2971;" fillcolor="#FFFFFF" filled="t" stroked="t" coordsize="21600,21600" o:gfxdata="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TT5g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0.3mm,0.3mm,0.3mm,0.3mm">
                    <w:txbxContent>
                      <w:p w14:paraId="4EF61445">
                        <w:pPr>
                          <w:snapToGrid/>
                          <w:spacing w:line="240" w:lineRule="atLeast"/>
                          <w:ind w:firstLine="0" w:firstLineChars="0"/>
                          <w:jc w:val="center"/>
                          <w:rPr>
                            <w:rFonts w:cs="Times New Roman"/>
                            <w:sz w:val="21"/>
                            <w:szCs w:val="22"/>
                          </w:rPr>
                        </w:pPr>
                        <w:r>
                          <w:rPr>
                            <w:rFonts w:hint="eastAsia" w:cs="Times New Roman"/>
                            <w:sz w:val="21"/>
                            <w:szCs w:val="22"/>
                          </w:rPr>
                          <w:t>环境管理指标体系</w:t>
                        </w:r>
                      </w:p>
                    </w:txbxContent>
                  </v:textbox>
                </v:shape>
                <v:shape id="_x0000_s1026" o:spid="_x0000_s1026" o:spt="202" type="#_x0000_t202" style="position:absolute;left:3515;top:11936;height:364;width:1415;" fillcolor="#FFFFFF" filled="t" stroked="t" coordsize="21600,21600" o:gfxdata="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Zv7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inset="0.3mm,0.3mm,0.3mm,0.3mm">
                    <w:txbxContent>
                      <w:p w14:paraId="7A8DA745">
                        <w:pPr>
                          <w:snapToGrid/>
                          <w:spacing w:line="240" w:lineRule="atLeast"/>
                          <w:ind w:firstLine="0" w:firstLineChars="0"/>
                          <w:jc w:val="center"/>
                          <w:rPr>
                            <w:rFonts w:cs="Times New Roman"/>
                            <w:sz w:val="21"/>
                            <w:szCs w:val="22"/>
                          </w:rPr>
                        </w:pPr>
                        <w:r>
                          <w:rPr>
                            <w:rFonts w:hint="eastAsia" w:cs="Times New Roman"/>
                            <w:sz w:val="21"/>
                            <w:szCs w:val="22"/>
                          </w:rPr>
                          <w:t>直接指标</w:t>
                        </w:r>
                      </w:p>
                    </w:txbxContent>
                  </v:textbox>
                </v:shape>
                <v:shape id="_x0000_s1026" o:spid="_x0000_s1026" o:spt="202" type="#_x0000_t202" style="position:absolute;left:6320;top:11936;height:364;width:1594;" fillcolor="#FFFFFF" filled="t" stroked="t" coordsize="21600,21600" o:gfxdata="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OgDj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3mm,0.3mm,0.3mm,0.3mm">
                    <w:txbxContent>
                      <w:p w14:paraId="504C7F65">
                        <w:pPr>
                          <w:snapToGrid/>
                          <w:spacing w:line="240" w:lineRule="atLeast"/>
                          <w:ind w:firstLine="0" w:firstLineChars="0"/>
                          <w:jc w:val="center"/>
                          <w:rPr>
                            <w:rFonts w:cs="Times New Roman"/>
                            <w:sz w:val="21"/>
                            <w:szCs w:val="22"/>
                          </w:rPr>
                        </w:pPr>
                        <w:r>
                          <w:rPr>
                            <w:rFonts w:hint="eastAsia" w:cs="Times New Roman"/>
                            <w:sz w:val="21"/>
                            <w:szCs w:val="22"/>
                          </w:rPr>
                          <w:t>间接指标</w:t>
                        </w:r>
                      </w:p>
                    </w:txbxContent>
                  </v:textbox>
                </v:shape>
                <v:group id="_x0000_s1026" o:spid="_x0000_s1026" o:spt="203" style="position:absolute;left:1753;top:12761;height:363;width:7882;" coordsize="8595,393" o:gfxdata="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1IA6a7AAAA3AAAAA8AAAAAAAAAAQAgAAAAIgAAAGRycy9kb3ducmV2LnhtbFBL&#10;AQIUABQAAAAIAIdO4kAzLwWeOwAAADkAAAAVAAAAAAAAAAEAIAAAAAoBAABkcnMvZ3JvdXBzaGFw&#10;ZXhtbC54bWxQSwUGAAAAAAYABgBgAQAAxwMAAAAA&#10;">
                  <o:lock v:ext="edit" aspectratio="f"/>
                  <v:shape id="_x0000_s1026" o:spid="_x0000_s1026" o:spt="202" type="#_x0000_t202" style="position:absolute;left:0;top:0;height:393;width:1200;" fillcolor="#FFFFFF" filled="t" stroked="t" coordsize="21600,21600" o:gfxdata="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6eZN&#10;wAAAANsAAAAPAAAAAAAAAAEAIAAAACIAAABkcnMvZG93bnJldi54bWxQSwECFAAUAAAACACHTuJA&#10;My8FnjsAAAA5AAAAEAAAAAAAAAABACAAAAAPAQAAZHJzL3NoYXBleG1sLnhtbFBLBQYAAAAABgAG&#10;AFsBAAC5AwAAAAA=&#10;">
                    <v:fill on="t" focussize="0,0"/>
                    <v:stroke color="#000000" joinstyle="miter"/>
                    <v:imagedata o:title=""/>
                    <o:lock v:ext="edit" aspectratio="f"/>
                    <v:textbox inset="2.54mm,0.3mm,2.54mm,0.3mm">
                      <w:txbxContent>
                        <w:p w14:paraId="651E7834">
                          <w:pPr>
                            <w:snapToGrid/>
                            <w:spacing w:line="180" w:lineRule="atLeast"/>
                            <w:ind w:firstLine="0" w:firstLineChars="0"/>
                            <w:rPr>
                              <w:rFonts w:cs="Times New Roman"/>
                              <w:sz w:val="18"/>
                              <w:szCs w:val="22"/>
                            </w:rPr>
                          </w:pPr>
                          <w:r>
                            <w:rPr>
                              <w:rFonts w:hint="eastAsia" w:cs="Times New Roman"/>
                              <w:sz w:val="18"/>
                              <w:szCs w:val="22"/>
                            </w:rPr>
                            <w:t>监督管理</w:t>
                          </w:r>
                        </w:p>
                      </w:txbxContent>
                    </v:textbox>
                  </v:shape>
                  <v:shape id="_x0000_s1026" o:spid="_x0000_s1026" o:spt="202" type="#_x0000_t202" style="position:absolute;left:1290;top:0;height:393;width:1620;" fillcolor="#FFFFFF" filled="t" stroked="t" coordsize="21600,21600" o:gfxdata="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52cj+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2.54mm,0.3mm,2.54mm,0.3mm">
                      <w:txbxContent>
                        <w:p w14:paraId="6E847818">
                          <w:pPr>
                            <w:snapToGrid/>
                            <w:spacing w:line="180" w:lineRule="atLeast"/>
                            <w:ind w:firstLine="0" w:firstLineChars="0"/>
                            <w:rPr>
                              <w:rFonts w:cs="Times New Roman"/>
                              <w:sz w:val="18"/>
                              <w:szCs w:val="22"/>
                            </w:rPr>
                          </w:pPr>
                          <w:r>
                            <w:rPr>
                              <w:rFonts w:hint="eastAsia" w:cs="Times New Roman"/>
                              <w:sz w:val="18"/>
                              <w:szCs w:val="22"/>
                            </w:rPr>
                            <w:t>环境质量指标</w:t>
                          </w:r>
                        </w:p>
                      </w:txbxContent>
                    </v:textbox>
                  </v:shape>
                  <v:shape id="_x0000_s1026" o:spid="_x0000_s1026" o:spt="202" type="#_x0000_t202" style="position:absolute;left:3030;top:0;height:393;width:1620;" fillcolor="#FFFFFF" filled="t" stroked="t" coordsize="21600,21600" o:gfxdata="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616S/&#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2.54mm,0.3mm,2.54mm,0.3mm">
                      <w:txbxContent>
                        <w:p w14:paraId="7E176572">
                          <w:pPr>
                            <w:snapToGrid/>
                            <w:spacing w:line="180" w:lineRule="atLeast"/>
                            <w:ind w:firstLine="0" w:firstLineChars="0"/>
                            <w:rPr>
                              <w:rFonts w:cs="Times New Roman"/>
                              <w:sz w:val="18"/>
                              <w:szCs w:val="22"/>
                            </w:rPr>
                          </w:pPr>
                          <w:r>
                            <w:rPr>
                              <w:rFonts w:hint="eastAsia" w:cs="Times New Roman"/>
                              <w:sz w:val="18"/>
                              <w:szCs w:val="22"/>
                            </w:rPr>
                            <w:t>总量控制指标</w:t>
                          </w:r>
                        </w:p>
                      </w:txbxContent>
                    </v:textbox>
                  </v:shape>
                  <v:shape id="_x0000_s1026" o:spid="_x0000_s1026" o:spt="202" type="#_x0000_t202" style="position:absolute;left:4890;top:0;height:393;width:1170;" fillcolor="#FFFFFF" filled="t" stroked="t" coordsize="21600,21600" o:gfxdata="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4ejs&#10;rMEAAADcAAAADwAAAAAAAAABACAAAAAiAAAAZHJzL2Rvd25yZXYueG1sUEsBAhQAFAAAAAgAh07i&#10;QDMvBZ47AAAAOQAAABAAAAAAAAAAAQAgAAAAEAEAAGRycy9zaGFwZXhtbC54bWxQSwUGAAAAAAYA&#10;BgBbAQAAugMAAAAA&#10;">
                    <v:fill on="t" focussize="0,0"/>
                    <v:stroke color="#000000" joinstyle="miter"/>
                    <v:imagedata o:title=""/>
                    <o:lock v:ext="edit" aspectratio="f"/>
                    <v:textbox inset="2.54mm,0.3mm,2.54mm,0.3mm">
                      <w:txbxContent>
                        <w:p w14:paraId="0C227888">
                          <w:pPr>
                            <w:snapToGrid/>
                            <w:spacing w:line="180" w:lineRule="atLeast"/>
                            <w:ind w:firstLine="0" w:firstLineChars="0"/>
                            <w:rPr>
                              <w:rFonts w:cs="Times New Roman"/>
                              <w:sz w:val="18"/>
                              <w:szCs w:val="22"/>
                            </w:rPr>
                          </w:pPr>
                          <w:r>
                            <w:rPr>
                              <w:rFonts w:hint="eastAsia" w:cs="Times New Roman"/>
                              <w:sz w:val="18"/>
                              <w:szCs w:val="22"/>
                            </w:rPr>
                            <w:t>经济指标</w:t>
                          </w:r>
                        </w:p>
                      </w:txbxContent>
                    </v:textbox>
                  </v:shape>
                  <v:shape id="_x0000_s1026" o:spid="_x0000_s1026" o:spt="202" type="#_x0000_t202" style="position:absolute;left:6150;top:0;height:393;width:1170;" fillcolor="#FFFFFF" filled="t" stroked="t" coordsize="21600,21600" o:gfxdata="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qRJN7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0.3mm,2.54mm,0.3mm">
                      <w:txbxContent>
                        <w:p w14:paraId="5EA864BB">
                          <w:pPr>
                            <w:snapToGrid/>
                            <w:spacing w:line="240" w:lineRule="atLeast"/>
                            <w:ind w:firstLine="0" w:firstLineChars="0"/>
                            <w:rPr>
                              <w:rFonts w:cs="Times New Roman"/>
                              <w:sz w:val="18"/>
                              <w:szCs w:val="22"/>
                            </w:rPr>
                          </w:pPr>
                          <w:r>
                            <w:rPr>
                              <w:rFonts w:hint="eastAsia" w:cs="Times New Roman"/>
                              <w:sz w:val="18"/>
                              <w:szCs w:val="22"/>
                            </w:rPr>
                            <w:t>社会指标</w:t>
                          </w:r>
                        </w:p>
                      </w:txbxContent>
                    </v:textbox>
                  </v:shape>
                  <v:shape id="_x0000_s1026" o:spid="_x0000_s1026" o:spt="202" type="#_x0000_t202" style="position:absolute;left:7440;top:0;height:393;width:1155;" fillcolor="#FFFFFF" filled="t" stroked="t" coordsize="21600,21600" o:gfxdata="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nbXQL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2.54mm,0.3mm,2.54mm,0.3mm">
                      <w:txbxContent>
                        <w:p w14:paraId="4E4CB4E1">
                          <w:pPr>
                            <w:snapToGrid/>
                            <w:spacing w:line="240" w:lineRule="atLeast"/>
                            <w:ind w:firstLine="0" w:firstLineChars="0"/>
                            <w:rPr>
                              <w:rFonts w:cs="Times New Roman"/>
                              <w:sz w:val="18"/>
                              <w:szCs w:val="22"/>
                            </w:rPr>
                          </w:pPr>
                          <w:r>
                            <w:rPr>
                              <w:rFonts w:hint="eastAsia" w:cs="Times New Roman"/>
                              <w:sz w:val="18"/>
                              <w:szCs w:val="22"/>
                            </w:rPr>
                            <w:t>生态指标</w:t>
                          </w:r>
                        </w:p>
                      </w:txbxContent>
                    </v:textbox>
                  </v:shape>
                </v:group>
                <v:shape id="_x0000_s1026" o:spid="_x0000_s1026" o:spt="202" type="#_x0000_t202" style="position:absolute;left:1767;top:13581;height:982;width:486;" fillcolor="#FFFFFF" filled="t" stroked="t" coordsize="21600,21600" o:gfxdata="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Udc0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0.3mm,0.3mm,0.3mm,0.3mm">
                    <w:txbxContent>
                      <w:p w14:paraId="4DB66929">
                        <w:pPr>
                          <w:snapToGrid/>
                          <w:spacing w:line="240" w:lineRule="atLeast"/>
                          <w:ind w:firstLine="0" w:firstLineChars="0"/>
                          <w:jc w:val="center"/>
                          <w:rPr>
                            <w:rFonts w:cs="Times New Roman"/>
                            <w:sz w:val="18"/>
                            <w:szCs w:val="22"/>
                          </w:rPr>
                        </w:pPr>
                        <w:r>
                          <w:rPr>
                            <w:rFonts w:hint="eastAsia" w:cs="Times New Roman"/>
                            <w:sz w:val="18"/>
                            <w:szCs w:val="22"/>
                          </w:rPr>
                          <w:t>三同时指标</w:t>
                        </w:r>
                      </w:p>
                    </w:txbxContent>
                  </v:textbox>
                </v:shape>
                <v:shape id="_x0000_s1026" o:spid="_x0000_s1026" o:spt="202" type="#_x0000_t202" style="position:absolute;left:2386;top:13581;height:982;width:495;" fillcolor="#FFFFFF" filled="t" stroked="t" coordsize="21600,21600" o:gfxdata="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dcq+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3mm,0.3mm,0.3mm,0.3mm">
                    <w:txbxContent>
                      <w:p w14:paraId="4786CBBB">
                        <w:pPr>
                          <w:snapToGrid/>
                          <w:spacing w:line="240" w:lineRule="atLeast"/>
                          <w:ind w:firstLine="0" w:firstLineChars="0"/>
                          <w:jc w:val="center"/>
                          <w:rPr>
                            <w:rFonts w:cs="Times New Roman"/>
                            <w:sz w:val="18"/>
                            <w:szCs w:val="22"/>
                          </w:rPr>
                        </w:pPr>
                        <w:r>
                          <w:rPr>
                            <w:rFonts w:hint="eastAsia" w:cs="Times New Roman"/>
                            <w:sz w:val="18"/>
                            <w:szCs w:val="22"/>
                          </w:rPr>
                          <w:t>法规情况指标</w:t>
                        </w:r>
                      </w:p>
                    </w:txbxContent>
                  </v:textbox>
                </v:shape>
                <v:shape id="_x0000_s1026" o:spid="_x0000_s1026" o:spt="202" type="#_x0000_t202" style="position:absolute;left:3266;top:13573;height:990;width:495;" fillcolor="#FFFFFF" filled="t" stroked="t" coordsize="21600,21600" o:gfxdata="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zP7Ni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3mm,0.3mm,0.3mm,0.3mm">
                    <w:txbxContent>
                      <w:p w14:paraId="2B36AA96">
                        <w:pPr>
                          <w:snapToGrid/>
                          <w:spacing w:line="240" w:lineRule="atLeast"/>
                          <w:ind w:firstLine="0" w:firstLineChars="0"/>
                          <w:jc w:val="center"/>
                          <w:rPr>
                            <w:rFonts w:cs="Times New Roman"/>
                            <w:sz w:val="18"/>
                            <w:szCs w:val="22"/>
                          </w:rPr>
                        </w:pPr>
                        <w:r>
                          <w:rPr>
                            <w:rFonts w:hint="eastAsia" w:cs="Times New Roman"/>
                            <w:sz w:val="18"/>
                            <w:szCs w:val="22"/>
                          </w:rPr>
                          <w:t>废气及环境空气指标</w:t>
                        </w:r>
                      </w:p>
                    </w:txbxContent>
                  </v:textbox>
                </v:shape>
                <v:shape id="_x0000_s1026" o:spid="_x0000_s1026" o:spt="202" type="#_x0000_t202" style="position:absolute;left:4119;top:13587;height:976;width:495;" fillcolor="#FFFFFF" filled="t" stroked="t" coordsize="21600,21600" o:gfxdata="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Tg0lDugAAANw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inset="0.3mm,0.3mm,0.3mm,0.3mm">
                    <w:txbxContent>
                      <w:p w14:paraId="539E1A84">
                        <w:pPr>
                          <w:snapToGrid/>
                          <w:spacing w:line="240" w:lineRule="atLeast"/>
                          <w:ind w:firstLine="0" w:firstLineChars="0"/>
                          <w:jc w:val="center"/>
                          <w:rPr>
                            <w:rFonts w:cs="Times New Roman"/>
                            <w:sz w:val="18"/>
                            <w:szCs w:val="22"/>
                          </w:rPr>
                        </w:pPr>
                        <w:r>
                          <w:rPr>
                            <w:rFonts w:hint="eastAsia" w:cs="Times New Roman"/>
                            <w:sz w:val="18"/>
                            <w:szCs w:val="22"/>
                          </w:rPr>
                          <w:t>废水及水环境指标</w:t>
                        </w:r>
                      </w:p>
                    </w:txbxContent>
                  </v:textbox>
                </v:shape>
                <v:shape id="_x0000_s1026" o:spid="_x0000_s1026" o:spt="202" type="#_x0000_t202" style="position:absolute;left:4766;top:13584;height:975;width:495;" fillcolor="#FFFFFF" filled="t" stroked="t" coordsize="21600,21600" o:gfxdata="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hzdMb4A&#10;AADcAAAADwAAAAAAAAABACAAAAAiAAAAZHJzL2Rvd25yZXYueG1sUEsBAhQAFAAAAAgAh07iQDMv&#10;BZ47AAAAOQAAABAAAAAAAAAAAQAgAAAADQEAAGRycy9zaGFwZXhtbC54bWxQSwUGAAAAAAYABgBb&#10;AQAAtwMAAAAA&#10;">
                  <v:fill on="t" focussize="0,0"/>
                  <v:stroke color="#000000" joinstyle="miter"/>
                  <v:imagedata o:title=""/>
                  <o:lock v:ext="edit" aspectratio="f"/>
                  <v:textbox inset="0.3mm,0.3mm,0.3mm,0.3mm">
                    <w:txbxContent>
                      <w:p w14:paraId="17A9FD1B">
                        <w:pPr>
                          <w:snapToGrid/>
                          <w:spacing w:line="240" w:lineRule="atLeast"/>
                          <w:ind w:firstLine="0" w:firstLineChars="0"/>
                          <w:jc w:val="center"/>
                          <w:rPr>
                            <w:rFonts w:cs="Times New Roman"/>
                            <w:sz w:val="18"/>
                            <w:szCs w:val="22"/>
                          </w:rPr>
                        </w:pPr>
                        <w:r>
                          <w:rPr>
                            <w:rFonts w:hint="eastAsia" w:cs="Times New Roman"/>
                            <w:sz w:val="18"/>
                            <w:szCs w:val="22"/>
                          </w:rPr>
                          <w:t>噪声指标</w:t>
                        </w:r>
                      </w:p>
                    </w:txbxContent>
                  </v:textbox>
                </v:shape>
                <v:shape id="_x0000_s1026" o:spid="_x0000_s1026" o:spt="202" type="#_x0000_t202" style="position:absolute;left:5412;top:13584;height:975;width:495;" fillcolor="#FFFFFF" filled="t" stroked="t" coordsize="21600,21600" o:gfxdata="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rfnrsAAADc&#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inset="0.3mm,0.3mm,0.3mm,0.3mm">
                    <w:txbxContent>
                      <w:p w14:paraId="45B633F3">
                        <w:pPr>
                          <w:snapToGrid/>
                          <w:spacing w:line="240" w:lineRule="atLeast"/>
                          <w:ind w:firstLine="0" w:firstLineChars="0"/>
                          <w:jc w:val="center"/>
                          <w:rPr>
                            <w:rFonts w:cs="Times New Roman"/>
                            <w:sz w:val="18"/>
                            <w:szCs w:val="22"/>
                          </w:rPr>
                        </w:pPr>
                        <w:r>
                          <w:rPr>
                            <w:rFonts w:hint="eastAsia" w:cs="Times New Roman"/>
                            <w:sz w:val="18"/>
                            <w:szCs w:val="22"/>
                          </w:rPr>
                          <w:t>固废指标</w:t>
                        </w:r>
                      </w:p>
                    </w:txbxContent>
                  </v:textbox>
                </v:shape>
                <v:shape id="_x0000_s1026" o:spid="_x0000_s1026" o:spt="202" type="#_x0000_t202" style="position:absolute;left:6251;top:13589;height:974;width:495;" fillcolor="#FFFFFF" filled="t" stroked="t" coordsize="21600,21600" o:gfxdata="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fFS+y/&#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3mm,0.3mm,0.3mm,0.3mm">
                    <w:txbxContent>
                      <w:p w14:paraId="15FB2FA5">
                        <w:pPr>
                          <w:snapToGrid/>
                          <w:spacing w:line="240" w:lineRule="atLeast"/>
                          <w:ind w:firstLine="0" w:firstLineChars="0"/>
                          <w:jc w:val="center"/>
                          <w:rPr>
                            <w:rFonts w:cs="Times New Roman"/>
                            <w:sz w:val="18"/>
                            <w:szCs w:val="22"/>
                          </w:rPr>
                        </w:pPr>
                        <w:r>
                          <w:rPr>
                            <w:rFonts w:hint="eastAsia" w:cs="Times New Roman"/>
                            <w:sz w:val="18"/>
                            <w:szCs w:val="22"/>
                          </w:rPr>
                          <w:t>产值指标</w:t>
                        </w:r>
                      </w:p>
                    </w:txbxContent>
                  </v:textbox>
                </v:shape>
                <v:shape id="_x0000_s1026" o:spid="_x0000_s1026" o:spt="202" type="#_x0000_t202" style="position:absolute;left:6828;top:13589;height:974;width:496;" fillcolor="#FFFFFF" filled="t" stroked="t" coordsize="21600,21600" o:gfxdata="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iJ7ne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3mm,0.3mm,0.3mm,0.3mm">
                    <w:txbxContent>
                      <w:p w14:paraId="4E71B0A4">
                        <w:pPr>
                          <w:snapToGrid/>
                          <w:spacing w:line="240" w:lineRule="atLeast"/>
                          <w:ind w:firstLine="0" w:firstLineChars="0"/>
                          <w:jc w:val="center"/>
                          <w:rPr>
                            <w:rFonts w:cs="Times New Roman"/>
                            <w:sz w:val="18"/>
                            <w:szCs w:val="22"/>
                          </w:rPr>
                        </w:pPr>
                        <w:r>
                          <w:rPr>
                            <w:rFonts w:hint="eastAsia" w:cs="Times New Roman"/>
                            <w:sz w:val="18"/>
                            <w:szCs w:val="22"/>
                          </w:rPr>
                          <w:t>资源指标</w:t>
                        </w:r>
                      </w:p>
                    </w:txbxContent>
                  </v:textbox>
                </v:shape>
                <v:shape id="_x0000_s1026" o:spid="_x0000_s1026" o:spt="202" type="#_x0000_t202" style="position:absolute;left:8630;top:13574;height:974;width:496;" fillcolor="#FFFFFF" filled="t" stroked="t" coordsize="21600,21600" o:gfxdata="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fjVe/&#10;AAAA3AAAAA8AAAAAAAAAAQAgAAAAIgAAAGRycy9kb3ducmV2LnhtbFBLAQIUABQAAAAIAIdO4kAz&#10;LwWeOwAAADkAAAAQAAAAAAAAAAEAIAAAAA4BAABkcnMvc2hhcGV4bWwueG1sUEsFBgAAAAAGAAYA&#10;WwEAALgDAAAAAA==&#10;">
                  <v:fill on="t" focussize="0,0"/>
                  <v:stroke color="#000000" joinstyle="miter"/>
                  <v:imagedata o:title=""/>
                  <o:lock v:ext="edit" aspectratio="f"/>
                  <v:textbox inset="0.3mm,0.3mm,0.3mm,0.3mm">
                    <w:txbxContent>
                      <w:p w14:paraId="5D24D763">
                        <w:pPr>
                          <w:snapToGrid/>
                          <w:spacing w:line="240" w:lineRule="atLeast"/>
                          <w:ind w:firstLine="0" w:firstLineChars="0"/>
                          <w:jc w:val="center"/>
                          <w:rPr>
                            <w:rFonts w:cs="Times New Roman"/>
                            <w:sz w:val="18"/>
                            <w:szCs w:val="22"/>
                          </w:rPr>
                        </w:pPr>
                        <w:r>
                          <w:rPr>
                            <w:rFonts w:hint="eastAsia" w:cs="Times New Roman"/>
                            <w:sz w:val="18"/>
                            <w:szCs w:val="22"/>
                          </w:rPr>
                          <w:t>自然指标</w:t>
                        </w:r>
                      </w:p>
                    </w:txbxContent>
                  </v:textbox>
                </v:shape>
                <v:shape id="_x0000_s1026" o:spid="_x0000_s1026" o:spt="202" type="#_x0000_t202" style="position:absolute;left:9250;top:13566;height:975;width:495;" fillcolor="#FFFFFF" filled="t" stroked="t" coordsize="21600,21600" o:gfxdata="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iTKMy8AAAA&#10;3AAAAA8AAAAAAAAAAQAgAAAAIgAAAGRycy9kb3ducmV2LnhtbFBLAQIUABQAAAAIAIdO4kAzLwWe&#10;OwAAADkAAAAQAAAAAAAAAAEAIAAAAAsBAABkcnMvc2hhcGV4bWwueG1sUEsFBgAAAAAGAAYAWwEA&#10;ALUDAAAAAA==&#10;">
                  <v:fill on="t" focussize="0,0"/>
                  <v:stroke color="#000000" joinstyle="miter"/>
                  <v:imagedata o:title=""/>
                  <o:lock v:ext="edit" aspectratio="f"/>
                  <v:textbox inset="0.3mm,0.3mm,0.3mm,0.3mm">
                    <w:txbxContent>
                      <w:p w14:paraId="4D3B19C0">
                        <w:pPr>
                          <w:snapToGrid/>
                          <w:spacing w:line="240" w:lineRule="atLeast"/>
                          <w:ind w:firstLine="0" w:firstLineChars="0"/>
                          <w:jc w:val="center"/>
                          <w:rPr>
                            <w:rFonts w:cs="Times New Roman"/>
                            <w:sz w:val="18"/>
                            <w:szCs w:val="22"/>
                          </w:rPr>
                        </w:pPr>
                        <w:r>
                          <w:rPr>
                            <w:rFonts w:hint="eastAsia" w:cs="Times New Roman"/>
                            <w:sz w:val="18"/>
                            <w:szCs w:val="22"/>
                          </w:rPr>
                          <w:t>景观指标</w:t>
                        </w:r>
                      </w:p>
                    </w:txbxContent>
                  </v:textbox>
                </v:shape>
                <v:line id="_x0000_s1026" o:spid="_x0000_s1026" o:spt="20" style="position:absolute;left:4504;top:11618;height:288;width:1;" filled="f" stroked="t" coordsize="21600,21600" o:gfxdata="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Nb+q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6485;top:11618;height:288;width:1;" filled="f" stroked="t" coordsize="21600,21600" o:gfxdata="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mlsw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2193;top:12514;height:1;width:3136;" filled="f" stroked="t" coordsize="21600,21600" o:gfxdata="UEsDBAoAAAAAAIdO4kAAAAAAAAAAAAAAAAAEAAAAZHJzL1BLAwQUAAAACACHTuJA0HPDRLsAAADc&#10;AAAADwAAAGRycy9kb3ducmV2LnhtbEVPS4vCMBC+C/6HMAteZE2sIk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HPDR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4009;top:12298;height:230;width:1;" filled="f" stroked="t" coordsize="21600,21600" o:gfxdata="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z9m3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2193;top:12533;height:231;width:1;" filled="f" stroked="t" coordsize="21600,21600" o:gfxdata="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7fio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3665;top:12514;height:230;width:1;" filled="f" stroked="t" coordsize="21600,21600" o:gfxdata="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KFdM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5329;top:12514;height:230;width:1;" filled="f" stroked="t" coordsize="21600,21600" o:gfxdata="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E+yUG/&#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6650;top:12514;height:1;width:2476;" filled="f" stroked="t" coordsize="21600,21600" o:gfxdata="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nJs2r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7338;top:12309;height:229;width:1;" filled="f" stroked="t" coordsize="21600,21600" o:gfxdata="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RU5q/&#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6650;top:12514;height:230;width:1;" filled="f" stroked="t" coordsize="21600,21600" o:gfxdata="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d9gG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7929;top:12514;height:230;width:1;" filled="f" stroked="t" coordsize="21600,21600" o:gfxdata="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D2h2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_x0000_s1026" o:spid="_x0000_s1026" o:spt="20" style="position:absolute;left:9126;top:12514;height:230;width:1;" filled="f" stroked="t" coordsize="21600,21600" o:gfxdata="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kPN7b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3679;top:13134;height:230;width:1;" filled="f" stroked="t" coordsize="21600,21600" o:gfxdata="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qlWZ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5329;top:13134;height:230;width:1;" filled="f" stroked="t" coordsize="21600,21600" o:gfxdata="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65vAC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513;top:13349;height:1;width:2146;" filled="f" stroked="t" coordsize="21600,21600" o:gfxdata="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0bnW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_x0000_s1026" o:spid="_x0000_s1026" o:spt="20" style="position:absolute;left:5659;top:13368;height:231;width:1;" filled="f" stroked="t" coordsize="21600,21600" o:gfxdata="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eMvu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3513;top:13355;height:230;width:1;" filled="f" stroked="t" coordsize="21600,21600" o:gfxdata="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nX5y/&#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5000;top:13349;height:230;width:1;" filled="f" stroked="t" coordsize="21600,21600" o:gfxdata="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q/oH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4366;top:13349;height:230;width:1;" filled="f" stroked="t" coordsize="21600,21600" o:gfxdata="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KXIOe/&#10;AAAA3AAAAA8AAAAAAAAAAQAgAAAAIgAAAGRycy9kb3ducmV2LnhtbFBLAQIUABQAAAAIAIdO4kAz&#10;LwWeOwAAADkAAAAQAAAAAAAAAAEAIAAAAA4BAABkcnMvc2hhcGV4bWwueG1sUEsFBgAAAAAGAAYA&#10;WwEAALgDAAAAAA==&#10;">
                  <v:fill on="f" focussize="0,0"/>
                  <v:stroke color="#000000" joinstyle="round"/>
                  <v:imagedata o:title=""/>
                  <o:lock v:ext="edit" aspectratio="f"/>
                </v:line>
                <v:line id="_x0000_s1026" o:spid="_x0000_s1026" o:spt="20" style="position:absolute;left:6485;top:13114;height:500;width:1;" filled="f" stroked="t" coordsize="21600,21600" o:gfxdata="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duFfL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7076;top:13131;height:501;width:1;" filled="f" stroked="t" coordsize="21600,21600" o:gfxdata="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QkbC7sAAADc&#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_x0000_s1026" o:spid="_x0000_s1026" o:spt="20" style="position:absolute;left:8878;top:13111;height:500;width:1;" filled="f" stroked="t" coordsize="21600,21600" o:gfxdata="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CRb6Q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9483;top:13104;height:499;width:1;" filled="f" stroked="t" coordsize="21600,21600" o:gfxdata="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rCbk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634;top:13117;height:501;width:1;" filled="f" stroked="t" coordsize="21600,21600" o:gfxdata="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4IN/vQAA&#10;ANw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_x0000_s1026" o:spid="_x0000_s1026" o:spt="20" style="position:absolute;left:2001;top:13111;height:500;width:1;" filled="f" stroked="t" coordsize="21600,21600" o:gfxdata="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Mh0I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line>
                <w10:wrap type="none"/>
                <w10:anchorlock/>
              </v:group>
            </w:pict>
          </mc:Fallback>
        </mc:AlternateContent>
      </w:r>
    </w:p>
    <w:p w14:paraId="25135133">
      <w:pPr>
        <w:pStyle w:val="12"/>
        <w:keepNext w:val="0"/>
        <w:overflowPunct w:val="0"/>
        <w:adjustRightInd w:val="0"/>
        <w:spacing w:before="62" w:beforeLines="20" w:after="62" w:afterLines="20"/>
        <w:ind w:left="425"/>
        <w:rPr>
          <w:rFonts w:cs="Times New Roman"/>
          <w:color w:val="auto"/>
          <w:kern w:val="21"/>
          <w:szCs w:val="21"/>
          <w:highlight w:val="none"/>
        </w:rPr>
      </w:pPr>
      <w:r>
        <w:rPr>
          <w:rFonts w:cs="Times New Roman"/>
          <w:color w:val="auto"/>
          <w:highlight w:val="none"/>
        </w:rPr>
        <w:t>图</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图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kern w:val="21"/>
          <w:szCs w:val="21"/>
          <w:highlight w:val="none"/>
        </w:rPr>
        <w:t>企业环境管理指标体系分类结构</w:t>
      </w:r>
    </w:p>
    <w:p w14:paraId="711EE73E">
      <w:pPr>
        <w:pStyle w:val="4"/>
        <w:adjustRightInd w:val="0"/>
        <w:rPr>
          <w:rFonts w:cs="Times New Roman"/>
          <w:color w:val="auto"/>
          <w:highlight w:val="none"/>
        </w:rPr>
      </w:pPr>
      <w:bookmarkStart w:id="352" w:name="_Toc20340"/>
      <w:bookmarkStart w:id="353" w:name="_Toc2045"/>
      <w:bookmarkStart w:id="354" w:name="_Toc15441"/>
      <w:r>
        <w:rPr>
          <w:rFonts w:cs="Times New Roman"/>
          <w:color w:val="auto"/>
          <w:highlight w:val="none"/>
        </w:rPr>
        <w:t>环境管理计划</w:t>
      </w:r>
      <w:bookmarkEnd w:id="352"/>
      <w:bookmarkEnd w:id="353"/>
      <w:bookmarkEnd w:id="354"/>
    </w:p>
    <w:p w14:paraId="499A2DEF">
      <w:pPr>
        <w:pStyle w:val="5"/>
        <w:adjustRightInd w:val="0"/>
        <w:rPr>
          <w:rFonts w:cs="Times New Roman"/>
          <w:color w:val="auto"/>
          <w:highlight w:val="none"/>
        </w:rPr>
      </w:pPr>
      <w:r>
        <w:rPr>
          <w:rFonts w:cs="Times New Roman"/>
          <w:color w:val="auto"/>
          <w:highlight w:val="none"/>
        </w:rPr>
        <w:t>建设前期环境管理计划</w:t>
      </w:r>
    </w:p>
    <w:p w14:paraId="3AE0FFC5">
      <w:pPr>
        <w:overflowPunct w:val="0"/>
        <w:adjustRightInd w:val="0"/>
        <w:ind w:firstLine="480"/>
        <w:rPr>
          <w:rFonts w:cs="Times New Roman"/>
          <w:color w:val="auto"/>
          <w:kern w:val="21"/>
          <w:szCs w:val="22"/>
          <w:highlight w:val="none"/>
        </w:rPr>
      </w:pPr>
      <w:r>
        <w:rPr>
          <w:rFonts w:cs="Times New Roman"/>
          <w:color w:val="auto"/>
          <w:kern w:val="21"/>
          <w:szCs w:val="22"/>
          <w:highlight w:val="none"/>
        </w:rPr>
        <w:t>根据生态环境部和四川省生态环境厅的有关规定，本项目建设前期各个阶段环境保护工作采取如下方式：</w:t>
      </w:r>
    </w:p>
    <w:p w14:paraId="64C0E927">
      <w:pPr>
        <w:overflowPunct w:val="0"/>
        <w:adjustRightInd w:val="0"/>
        <w:ind w:firstLine="480"/>
        <w:rPr>
          <w:rFonts w:cs="Times New Roman"/>
          <w:color w:val="auto"/>
          <w:kern w:val="21"/>
          <w:szCs w:val="22"/>
          <w:highlight w:val="none"/>
        </w:rPr>
      </w:pPr>
      <w:r>
        <w:rPr>
          <w:rFonts w:cs="Times New Roman"/>
          <w:color w:val="auto"/>
          <w:kern w:val="21"/>
          <w:szCs w:val="22"/>
          <w:highlight w:val="none"/>
        </w:rPr>
        <w:t>（1）设计单位在成立项目设计组时，环境保护专业人员作为组成成员之一，参与项目各阶段环境保护工作和设计工作。</w:t>
      </w:r>
    </w:p>
    <w:p w14:paraId="57BD6D09">
      <w:pPr>
        <w:overflowPunct w:val="0"/>
        <w:adjustRightInd w:val="0"/>
        <w:ind w:firstLine="480"/>
        <w:rPr>
          <w:rFonts w:cs="Times New Roman"/>
          <w:color w:val="auto"/>
          <w:kern w:val="21"/>
          <w:szCs w:val="22"/>
          <w:highlight w:val="none"/>
        </w:rPr>
      </w:pPr>
      <w:r>
        <w:rPr>
          <w:rFonts w:cs="Times New Roman"/>
          <w:color w:val="auto"/>
          <w:kern w:val="21"/>
          <w:szCs w:val="22"/>
          <w:highlight w:val="none"/>
        </w:rPr>
        <w:t>（2）可行性研究阶段，结合当地环境特征和地方环境部门的意见、要求，设专门章节进行环境影响简要分析。</w:t>
      </w:r>
    </w:p>
    <w:p w14:paraId="190CD361">
      <w:pPr>
        <w:overflowPunct w:val="0"/>
        <w:adjustRightInd w:val="0"/>
        <w:ind w:firstLine="480"/>
        <w:rPr>
          <w:rFonts w:cs="Times New Roman"/>
          <w:color w:val="auto"/>
          <w:kern w:val="21"/>
          <w:szCs w:val="22"/>
          <w:highlight w:val="none"/>
        </w:rPr>
      </w:pPr>
      <w:r>
        <w:rPr>
          <w:rFonts w:cs="Times New Roman"/>
          <w:color w:val="auto"/>
          <w:kern w:val="21"/>
          <w:szCs w:val="22"/>
          <w:highlight w:val="none"/>
        </w:rPr>
        <w:t>（3）建设单位委托环评单位编制环境影响报告书。</w:t>
      </w:r>
    </w:p>
    <w:p w14:paraId="1C15F34D">
      <w:pPr>
        <w:overflowPunct w:val="0"/>
        <w:adjustRightInd w:val="0"/>
        <w:ind w:firstLine="480"/>
        <w:rPr>
          <w:rFonts w:cs="Times New Roman"/>
          <w:color w:val="auto"/>
          <w:kern w:val="21"/>
          <w:szCs w:val="22"/>
          <w:highlight w:val="none"/>
        </w:rPr>
      </w:pPr>
      <w:r>
        <w:rPr>
          <w:rFonts w:cs="Times New Roman"/>
          <w:color w:val="auto"/>
          <w:kern w:val="21"/>
          <w:szCs w:val="22"/>
          <w:highlight w:val="none"/>
        </w:rPr>
        <w:t>（4）初步设计和施工图设计阶段，编制环境保护篇章，依据环境影响报告书及其审查意见，落实各项环境保护措施设计，作为指导工程建设、执行</w:t>
      </w:r>
      <w:r>
        <w:rPr>
          <w:rFonts w:hint="eastAsia" w:cs="Times New Roman"/>
          <w:color w:val="auto"/>
          <w:kern w:val="21"/>
          <w:szCs w:val="22"/>
          <w:highlight w:val="none"/>
        </w:rPr>
        <w:t>“</w:t>
      </w:r>
      <w:r>
        <w:rPr>
          <w:rFonts w:cs="Times New Roman"/>
          <w:color w:val="auto"/>
          <w:kern w:val="21"/>
          <w:szCs w:val="22"/>
          <w:highlight w:val="none"/>
        </w:rPr>
        <w:t>三同时</w:t>
      </w:r>
      <w:r>
        <w:rPr>
          <w:rFonts w:hint="eastAsia" w:cs="Times New Roman"/>
          <w:color w:val="auto"/>
          <w:kern w:val="21"/>
          <w:szCs w:val="22"/>
          <w:highlight w:val="none"/>
        </w:rPr>
        <w:t>”</w:t>
      </w:r>
      <w:r>
        <w:rPr>
          <w:rFonts w:cs="Times New Roman"/>
          <w:color w:val="auto"/>
          <w:kern w:val="21"/>
          <w:szCs w:val="22"/>
          <w:highlight w:val="none"/>
        </w:rPr>
        <w:t>制度和环境管理的依据。</w:t>
      </w:r>
    </w:p>
    <w:p w14:paraId="11239A41">
      <w:pPr>
        <w:overflowPunct w:val="0"/>
        <w:adjustRightInd w:val="0"/>
        <w:ind w:firstLine="480"/>
        <w:rPr>
          <w:rFonts w:cs="Times New Roman"/>
          <w:color w:val="auto"/>
          <w:kern w:val="21"/>
          <w:szCs w:val="22"/>
          <w:highlight w:val="none"/>
        </w:rPr>
      </w:pPr>
      <w:r>
        <w:rPr>
          <w:rFonts w:cs="Times New Roman"/>
          <w:color w:val="auto"/>
          <w:kern w:val="21"/>
          <w:szCs w:val="22"/>
          <w:highlight w:val="none"/>
        </w:rPr>
        <w:t>（5）做好台账管理，每次外运处置废物的运输登记，认真填写危险废物转移联单（每种废物填写一份联单），并加盖公司公章，经运输单位核实验收签字后，将联单第一联副联自留存档，将联单第二联交移出地环境保护行政主管部门，第三联及其余各联交付运输单位，随危险废物转移运行。第四联交</w:t>
      </w:r>
      <w:r>
        <w:rPr>
          <w:rFonts w:hint="eastAsia" w:cs="Times New Roman"/>
          <w:color w:val="auto"/>
          <w:kern w:val="21"/>
          <w:szCs w:val="22"/>
          <w:highlight w:val="none"/>
        </w:rPr>
        <w:t>接收单位</w:t>
      </w:r>
      <w:r>
        <w:rPr>
          <w:rFonts w:cs="Times New Roman"/>
          <w:color w:val="auto"/>
          <w:kern w:val="21"/>
          <w:szCs w:val="22"/>
          <w:highlight w:val="none"/>
        </w:rPr>
        <w:t>，第五联交接受地生态环境局。</w:t>
      </w:r>
    </w:p>
    <w:p w14:paraId="1DE17BD1">
      <w:pPr>
        <w:pStyle w:val="5"/>
        <w:adjustRightInd w:val="0"/>
        <w:rPr>
          <w:rFonts w:cs="Times New Roman"/>
          <w:color w:val="auto"/>
          <w:highlight w:val="none"/>
        </w:rPr>
      </w:pPr>
      <w:r>
        <w:rPr>
          <w:rFonts w:cs="Times New Roman"/>
          <w:color w:val="auto"/>
          <w:highlight w:val="none"/>
        </w:rPr>
        <w:t>施工期环境管理</w:t>
      </w:r>
    </w:p>
    <w:p w14:paraId="6E57D059">
      <w:pPr>
        <w:overflowPunct w:val="0"/>
        <w:adjustRightInd w:val="0"/>
        <w:ind w:firstLine="480"/>
        <w:rPr>
          <w:rFonts w:cs="Times New Roman"/>
          <w:color w:val="auto"/>
          <w:kern w:val="21"/>
          <w:szCs w:val="22"/>
          <w:highlight w:val="none"/>
        </w:rPr>
      </w:pPr>
      <w:r>
        <w:rPr>
          <w:rFonts w:cs="Times New Roman"/>
          <w:color w:val="auto"/>
          <w:kern w:val="21"/>
          <w:szCs w:val="22"/>
          <w:highlight w:val="none"/>
        </w:rPr>
        <w:t>（1）建设单位与施工单位签订工程承包合同时，应包括有关工程施工期间环境保护条款，包括工程施工中生态环境保护（水土保持）、施工期间环境污染控制、污染物排放管理、施工人员环保教育及相关奖惩条款。</w:t>
      </w:r>
    </w:p>
    <w:p w14:paraId="39E0D4DA">
      <w:pPr>
        <w:overflowPunct w:val="0"/>
        <w:adjustRightInd w:val="0"/>
        <w:ind w:firstLine="480"/>
        <w:rPr>
          <w:rFonts w:cs="Times New Roman"/>
          <w:color w:val="auto"/>
          <w:kern w:val="21"/>
          <w:szCs w:val="22"/>
          <w:highlight w:val="none"/>
        </w:rPr>
      </w:pPr>
      <w:r>
        <w:rPr>
          <w:rFonts w:cs="Times New Roman"/>
          <w:color w:val="auto"/>
          <w:kern w:val="21"/>
          <w:szCs w:val="22"/>
          <w:highlight w:val="none"/>
        </w:rPr>
        <w:t>（2）施工单位应增强环保意识，加强驻地和施工现场的环境管理，合理安排施工计划，切实做到组织计划严谨，文明施工；环保措施逐条落实到位，环保工程与主体工程同时施工、同时运行，环保工程费用专款专用，不偷工减料、延误工期。</w:t>
      </w:r>
    </w:p>
    <w:p w14:paraId="0152860B">
      <w:pPr>
        <w:overflowPunct w:val="0"/>
        <w:adjustRightInd w:val="0"/>
        <w:ind w:firstLine="480"/>
        <w:rPr>
          <w:rFonts w:cs="Times New Roman"/>
          <w:color w:val="auto"/>
          <w:kern w:val="21"/>
          <w:szCs w:val="22"/>
          <w:highlight w:val="none"/>
        </w:rPr>
      </w:pPr>
      <w:r>
        <w:rPr>
          <w:rFonts w:cs="Times New Roman"/>
          <w:color w:val="auto"/>
          <w:kern w:val="21"/>
          <w:szCs w:val="22"/>
          <w:highlight w:val="none"/>
        </w:rPr>
        <w:t>（3）施工单位应特别注意工程施工中的水土保持，尽可能保护好土壤、植被、弃土弃渣须运至设计中指定的地点弃置，严禁随意堆置、侵占河道，防止对地表水环境产生影响。</w:t>
      </w:r>
    </w:p>
    <w:p w14:paraId="55ECF51D">
      <w:pPr>
        <w:overflowPunct w:val="0"/>
        <w:adjustRightInd w:val="0"/>
        <w:ind w:firstLine="480"/>
        <w:rPr>
          <w:rFonts w:cs="Times New Roman"/>
          <w:color w:val="auto"/>
          <w:kern w:val="21"/>
          <w:szCs w:val="22"/>
          <w:highlight w:val="none"/>
        </w:rPr>
      </w:pPr>
      <w:r>
        <w:rPr>
          <w:rFonts w:cs="Times New Roman"/>
          <w:color w:val="auto"/>
          <w:kern w:val="21"/>
          <w:szCs w:val="22"/>
          <w:highlight w:val="none"/>
        </w:rPr>
        <w:t>（4）各施工现场、施工单位驻地及其它施工临时设施，应加强环境管理，施工污水避免无组织散排，尽可能集中排放指定地点；扬尘大的工地应采取降尘措施，工程施工完毕后施工单位及时清理和恢复施工现场，妥善处理生活垃圾与施工弃渣，减少扬尘；</w:t>
      </w:r>
      <w:r>
        <w:rPr>
          <w:rFonts w:cs="Times New Roman"/>
          <w:color w:val="auto"/>
          <w:kern w:val="21"/>
          <w:szCs w:val="24"/>
          <w:highlight w:val="none"/>
        </w:rPr>
        <w:t>施工现场应执行《建筑施工场界环境噪声排放标准》（GB12523-20</w:t>
      </w:r>
      <w:r>
        <w:rPr>
          <w:rFonts w:hint="eastAsia" w:cs="Times New Roman"/>
          <w:color w:val="auto"/>
          <w:kern w:val="21"/>
          <w:szCs w:val="24"/>
          <w:highlight w:val="none"/>
        </w:rPr>
        <w:t>25</w:t>
      </w:r>
      <w:r>
        <w:rPr>
          <w:rFonts w:cs="Times New Roman"/>
          <w:color w:val="auto"/>
          <w:kern w:val="21"/>
          <w:szCs w:val="24"/>
          <w:highlight w:val="none"/>
        </w:rPr>
        <w:t>）中的有关规定和要求。</w:t>
      </w:r>
    </w:p>
    <w:p w14:paraId="7E843E50">
      <w:pPr>
        <w:overflowPunct w:val="0"/>
        <w:adjustRightInd w:val="0"/>
        <w:ind w:firstLine="480"/>
        <w:rPr>
          <w:rFonts w:cs="Times New Roman"/>
          <w:color w:val="auto"/>
          <w:kern w:val="21"/>
          <w:szCs w:val="22"/>
          <w:highlight w:val="none"/>
        </w:rPr>
      </w:pPr>
      <w:r>
        <w:rPr>
          <w:rFonts w:cs="Times New Roman"/>
          <w:color w:val="auto"/>
          <w:kern w:val="21"/>
          <w:szCs w:val="22"/>
          <w:highlight w:val="none"/>
        </w:rPr>
        <w:t>（5）认真落实各项补偿措施，做好工程各项环保设施的施工监理与验收，保证环保工程质量，真正做到环保工程</w:t>
      </w:r>
      <w:r>
        <w:rPr>
          <w:rFonts w:hint="eastAsia" w:cs="Times New Roman"/>
          <w:color w:val="auto"/>
          <w:kern w:val="21"/>
          <w:szCs w:val="22"/>
          <w:highlight w:val="none"/>
        </w:rPr>
        <w:t>“</w:t>
      </w:r>
      <w:r>
        <w:rPr>
          <w:rFonts w:cs="Times New Roman"/>
          <w:color w:val="auto"/>
          <w:kern w:val="21"/>
          <w:szCs w:val="22"/>
          <w:highlight w:val="none"/>
        </w:rPr>
        <w:t>三同时</w:t>
      </w:r>
      <w:r>
        <w:rPr>
          <w:rFonts w:hint="eastAsia" w:cs="Times New Roman"/>
          <w:color w:val="auto"/>
          <w:kern w:val="21"/>
          <w:szCs w:val="22"/>
          <w:highlight w:val="none"/>
        </w:rPr>
        <w:t>”</w:t>
      </w:r>
      <w:r>
        <w:rPr>
          <w:rFonts w:cs="Times New Roman"/>
          <w:color w:val="auto"/>
          <w:kern w:val="21"/>
          <w:szCs w:val="22"/>
          <w:highlight w:val="none"/>
        </w:rPr>
        <w:t>。</w:t>
      </w:r>
    </w:p>
    <w:p w14:paraId="32577421">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2</w:t>
      </w:r>
      <w:r>
        <w:rPr>
          <w:rFonts w:cs="Times New Roman"/>
          <w:color w:val="auto"/>
          <w:highlight w:val="none"/>
        </w:rPr>
        <w:fldChar w:fldCharType="end"/>
      </w:r>
      <w:r>
        <w:rPr>
          <w:rFonts w:cs="Times New Roman"/>
          <w:color w:val="auto"/>
          <w:highlight w:val="none"/>
        </w:rPr>
        <w:t>施工期环境监理内容</w:t>
      </w:r>
    </w:p>
    <w:tbl>
      <w:tblPr>
        <w:tblStyle w:val="3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569"/>
        <w:gridCol w:w="5521"/>
        <w:gridCol w:w="1264"/>
      </w:tblGrid>
      <w:tr w14:paraId="1EEE7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600EF392">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序号</w:t>
            </w:r>
          </w:p>
        </w:tc>
        <w:tc>
          <w:tcPr>
            <w:tcW w:w="866" w:type="pct"/>
            <w:vAlign w:val="center"/>
          </w:tcPr>
          <w:p w14:paraId="38A32339">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监理项目</w:t>
            </w:r>
          </w:p>
        </w:tc>
        <w:tc>
          <w:tcPr>
            <w:tcW w:w="3048" w:type="pct"/>
            <w:vAlign w:val="center"/>
          </w:tcPr>
          <w:p w14:paraId="658B0CDC">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技术要求</w:t>
            </w:r>
          </w:p>
        </w:tc>
        <w:tc>
          <w:tcPr>
            <w:tcW w:w="698" w:type="pct"/>
            <w:vAlign w:val="center"/>
          </w:tcPr>
          <w:p w14:paraId="227934E2">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实施机构</w:t>
            </w:r>
          </w:p>
        </w:tc>
      </w:tr>
      <w:tr w14:paraId="55D93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3D60BD9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w:t>
            </w:r>
          </w:p>
        </w:tc>
        <w:tc>
          <w:tcPr>
            <w:tcW w:w="866" w:type="pct"/>
            <w:vAlign w:val="center"/>
          </w:tcPr>
          <w:p w14:paraId="43563BA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施工噪声</w:t>
            </w:r>
          </w:p>
        </w:tc>
        <w:tc>
          <w:tcPr>
            <w:tcW w:w="3048" w:type="pct"/>
            <w:vAlign w:val="center"/>
          </w:tcPr>
          <w:p w14:paraId="5E3C0BF3">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尽量采用低噪声机械，强噪声机械夜间严禁施工</w:t>
            </w:r>
          </w:p>
        </w:tc>
        <w:tc>
          <w:tcPr>
            <w:tcW w:w="698" w:type="pct"/>
            <w:vAlign w:val="center"/>
          </w:tcPr>
          <w:p w14:paraId="40A35AA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施工方</w:t>
            </w:r>
          </w:p>
        </w:tc>
      </w:tr>
      <w:tr w14:paraId="658E5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0A51471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w:t>
            </w:r>
          </w:p>
        </w:tc>
        <w:tc>
          <w:tcPr>
            <w:tcW w:w="866" w:type="pct"/>
            <w:vAlign w:val="center"/>
          </w:tcPr>
          <w:p w14:paraId="6B215AD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环境空气污染</w:t>
            </w:r>
          </w:p>
        </w:tc>
        <w:tc>
          <w:tcPr>
            <w:tcW w:w="3048" w:type="pct"/>
            <w:vAlign w:val="center"/>
          </w:tcPr>
          <w:p w14:paraId="79A7560D">
            <w:pPr>
              <w:numPr>
                <w:ilvl w:val="0"/>
                <w:numId w:val="12"/>
              </w:num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在施工现场出入口公示扬尘污染控制措施、负责人、环保监督员、扬尘监管主管部门等有关信息，接受社会监督；</w:t>
            </w:r>
          </w:p>
          <w:p w14:paraId="239D307A">
            <w:pPr>
              <w:numPr>
                <w:ilvl w:val="0"/>
                <w:numId w:val="12"/>
              </w:num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施工现场装修材料实行集中、分类堆放，运送装修材料的卡车加盖篷布，以减少抛洒。</w:t>
            </w:r>
          </w:p>
        </w:tc>
        <w:tc>
          <w:tcPr>
            <w:tcW w:w="698" w:type="pct"/>
            <w:vAlign w:val="center"/>
          </w:tcPr>
          <w:p w14:paraId="6059869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同上</w:t>
            </w:r>
          </w:p>
        </w:tc>
      </w:tr>
      <w:tr w14:paraId="6375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7" w:type="pct"/>
            <w:vAlign w:val="center"/>
          </w:tcPr>
          <w:p w14:paraId="204BE0E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w:t>
            </w:r>
          </w:p>
        </w:tc>
        <w:tc>
          <w:tcPr>
            <w:tcW w:w="866" w:type="pct"/>
            <w:vAlign w:val="center"/>
          </w:tcPr>
          <w:p w14:paraId="19FFDF2D">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地表水污染</w:t>
            </w:r>
          </w:p>
        </w:tc>
        <w:tc>
          <w:tcPr>
            <w:tcW w:w="3048" w:type="pct"/>
            <w:vAlign w:val="center"/>
          </w:tcPr>
          <w:p w14:paraId="08219259">
            <w:pPr>
              <w:numPr>
                <w:ilvl w:val="0"/>
                <w:numId w:val="13"/>
              </w:num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生活污水、生活垃圾集中处理；</w:t>
            </w:r>
          </w:p>
          <w:p w14:paraId="0AF82160">
            <w:pPr>
              <w:numPr>
                <w:ilvl w:val="0"/>
                <w:numId w:val="13"/>
              </w:num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加强施工人员环境意识教育，严禁将废油、施工垃圾抛入地表水体。</w:t>
            </w:r>
          </w:p>
        </w:tc>
        <w:tc>
          <w:tcPr>
            <w:tcW w:w="698" w:type="pct"/>
            <w:vAlign w:val="center"/>
          </w:tcPr>
          <w:p w14:paraId="6C250676">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同上</w:t>
            </w:r>
          </w:p>
        </w:tc>
      </w:tr>
    </w:tbl>
    <w:p w14:paraId="39110B7F">
      <w:pPr>
        <w:pStyle w:val="5"/>
        <w:adjustRightInd w:val="0"/>
        <w:rPr>
          <w:rFonts w:cs="Times New Roman"/>
          <w:color w:val="auto"/>
          <w:highlight w:val="none"/>
        </w:rPr>
      </w:pPr>
      <w:r>
        <w:rPr>
          <w:rFonts w:cs="Times New Roman"/>
          <w:color w:val="auto"/>
          <w:highlight w:val="none"/>
        </w:rPr>
        <w:t>运营期环境管理</w:t>
      </w:r>
    </w:p>
    <w:p w14:paraId="5DF2C939">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（1）管理机构</w:t>
      </w:r>
    </w:p>
    <w:p w14:paraId="461E717D">
      <w:pPr>
        <w:overflowPunct w:val="0"/>
        <w:adjustRightInd w:val="0"/>
        <w:ind w:firstLine="480"/>
        <w:rPr>
          <w:rFonts w:cs="Times New Roman"/>
          <w:color w:val="auto"/>
          <w:kern w:val="21"/>
          <w:szCs w:val="24"/>
          <w:highlight w:val="none"/>
        </w:rPr>
      </w:pPr>
      <w:r>
        <w:rPr>
          <w:rFonts w:cs="Times New Roman"/>
          <w:color w:val="auto"/>
          <w:kern w:val="21"/>
          <w:szCs w:val="24"/>
          <w:highlight w:val="none"/>
        </w:rPr>
        <w:t>由企业设置的环保部负责项目运行期的环境管理工作，与当地生态环境部门及其授权监测部门保持</w:t>
      </w:r>
      <w:r>
        <w:rPr>
          <w:rFonts w:cs="Times New Roman"/>
          <w:color w:val="auto"/>
          <w:kern w:val="21"/>
          <w:szCs w:val="22"/>
          <w:highlight w:val="none"/>
        </w:rPr>
        <w:t>密</w:t>
      </w:r>
      <w:r>
        <w:rPr>
          <w:rFonts w:cs="Times New Roman"/>
          <w:color w:val="auto"/>
          <w:kern w:val="21"/>
          <w:szCs w:val="24"/>
          <w:highlight w:val="none"/>
        </w:rPr>
        <w:t>切联系，直接监管企业污染物的排放情况，并对其实施总量控制；对超标排放及污染事故、纠纷进行处理。</w:t>
      </w:r>
    </w:p>
    <w:p w14:paraId="18F4A3D3">
      <w:pPr>
        <w:overflowPunct w:val="0"/>
        <w:adjustRightInd w:val="0"/>
        <w:ind w:firstLine="482"/>
        <w:rPr>
          <w:rFonts w:cs="Times New Roman"/>
          <w:b/>
          <w:bCs/>
          <w:color w:val="auto"/>
          <w:kern w:val="21"/>
          <w:szCs w:val="24"/>
          <w:highlight w:val="none"/>
        </w:rPr>
      </w:pPr>
      <w:r>
        <w:rPr>
          <w:rFonts w:cs="Times New Roman"/>
          <w:b/>
          <w:bCs/>
          <w:color w:val="auto"/>
          <w:kern w:val="21"/>
          <w:szCs w:val="24"/>
          <w:highlight w:val="none"/>
        </w:rPr>
        <w:t>（2）运行期环境职责</w:t>
      </w:r>
    </w:p>
    <w:p w14:paraId="7C3DA034">
      <w:pPr>
        <w:overflowPunct w:val="0"/>
        <w:adjustRightInd w:val="0"/>
        <w:ind w:firstLine="480"/>
        <w:rPr>
          <w:rFonts w:cs="Times New Roman"/>
          <w:color w:val="auto"/>
          <w:kern w:val="21"/>
          <w:szCs w:val="22"/>
          <w:highlight w:val="none"/>
        </w:rPr>
      </w:pPr>
      <w:r>
        <w:rPr>
          <w:rFonts w:cs="Times New Roman"/>
          <w:color w:val="auto"/>
          <w:kern w:val="21"/>
          <w:szCs w:val="24"/>
          <w:highlight w:val="none"/>
        </w:rPr>
        <w:t>由分管环保的专人负责环保指标的落实，将环保指标逐级分解到班组和个人，负责环保设备的运转和维护，确保其正常运转和达标排放，充分发挥其作用；配合地方环保监测部门进行日常环境监测，记录并及时上报污染源及环保措施运行动态。</w:t>
      </w:r>
    </w:p>
    <w:p w14:paraId="6337E0D3">
      <w:pPr>
        <w:pStyle w:val="3"/>
        <w:adjustRightInd w:val="0"/>
        <w:rPr>
          <w:rFonts w:cs="Times New Roman"/>
          <w:color w:val="auto"/>
          <w:highlight w:val="none"/>
        </w:rPr>
      </w:pPr>
      <w:bookmarkStart w:id="355" w:name="_Toc26186"/>
      <w:bookmarkStart w:id="356" w:name="_Toc29783"/>
      <w:bookmarkStart w:id="357" w:name="_Toc1335"/>
      <w:r>
        <w:rPr>
          <w:rFonts w:cs="Times New Roman"/>
          <w:color w:val="auto"/>
          <w:highlight w:val="none"/>
        </w:rPr>
        <w:t>环境监测计划</w:t>
      </w:r>
      <w:bookmarkEnd w:id="355"/>
      <w:bookmarkEnd w:id="356"/>
      <w:bookmarkEnd w:id="357"/>
    </w:p>
    <w:p w14:paraId="71B8FB41">
      <w:pPr>
        <w:pStyle w:val="4"/>
        <w:adjustRightInd w:val="0"/>
        <w:rPr>
          <w:rFonts w:cs="Times New Roman"/>
          <w:color w:val="auto"/>
          <w:highlight w:val="none"/>
        </w:rPr>
      </w:pPr>
      <w:bookmarkStart w:id="358" w:name="_Toc31002"/>
      <w:bookmarkStart w:id="359" w:name="_Toc7941"/>
      <w:bookmarkStart w:id="360" w:name="_Toc17820"/>
      <w:r>
        <w:rPr>
          <w:rFonts w:cs="Times New Roman"/>
          <w:color w:val="auto"/>
          <w:highlight w:val="none"/>
        </w:rPr>
        <w:t>环境监测的目的</w:t>
      </w:r>
      <w:bookmarkEnd w:id="358"/>
      <w:bookmarkEnd w:id="359"/>
      <w:bookmarkEnd w:id="360"/>
    </w:p>
    <w:p w14:paraId="608BEF70">
      <w:pPr>
        <w:overflowPunct w:val="0"/>
        <w:adjustRightInd w:val="0"/>
        <w:ind w:firstLine="480"/>
        <w:rPr>
          <w:rFonts w:cs="Times New Roman"/>
          <w:color w:val="auto"/>
          <w:kern w:val="21"/>
          <w:szCs w:val="22"/>
          <w:highlight w:val="none"/>
        </w:rPr>
      </w:pPr>
      <w:r>
        <w:rPr>
          <w:rFonts w:cs="Times New Roman"/>
          <w:color w:val="auto"/>
          <w:kern w:val="21"/>
          <w:szCs w:val="22"/>
          <w:highlight w:val="none"/>
        </w:rPr>
        <w:t>环境监测是企业环境管理必不可少的一部分，也是环境管理规范化的重要手段，其对企业主要污染物进行监测分析、资料整理、编制报表、建立技术档案，为上级环保部门进行环境规划、管理及执法提供依据。</w:t>
      </w:r>
    </w:p>
    <w:p w14:paraId="736D7B38">
      <w:pPr>
        <w:overflowPunct w:val="0"/>
        <w:adjustRightInd w:val="0"/>
        <w:ind w:firstLine="480"/>
        <w:rPr>
          <w:rFonts w:cs="Times New Roman"/>
          <w:color w:val="auto"/>
          <w:kern w:val="21"/>
          <w:szCs w:val="22"/>
          <w:highlight w:val="none"/>
        </w:rPr>
      </w:pPr>
      <w:r>
        <w:rPr>
          <w:rFonts w:cs="Times New Roman"/>
          <w:color w:val="auto"/>
          <w:kern w:val="21"/>
          <w:szCs w:val="22"/>
          <w:highlight w:val="none"/>
        </w:rPr>
        <w:t>根据工程分析可知，本项目在施工过程中会产生施工噪声、施工废气等影响，项目运营期会引发一系列的环境问题：大气污染、水污染、噪声污染及事故发生后引发的问题，所以</w:t>
      </w:r>
      <w:r>
        <w:rPr>
          <w:rFonts w:hint="eastAsia" w:cs="Times New Roman"/>
          <w:color w:val="auto"/>
          <w:kern w:val="21"/>
          <w:szCs w:val="22"/>
          <w:highlight w:val="none"/>
        </w:rPr>
        <w:t>，在</w:t>
      </w:r>
      <w:r>
        <w:rPr>
          <w:rFonts w:cs="Times New Roman"/>
          <w:color w:val="auto"/>
          <w:kern w:val="21"/>
          <w:szCs w:val="22"/>
          <w:highlight w:val="none"/>
        </w:rPr>
        <w:t>施工期进行环境监理、运行期进行定期监测是很必要的。</w:t>
      </w:r>
    </w:p>
    <w:p w14:paraId="4A1D03E3">
      <w:pPr>
        <w:pStyle w:val="4"/>
        <w:adjustRightInd w:val="0"/>
        <w:rPr>
          <w:rFonts w:cs="Times New Roman"/>
          <w:color w:val="auto"/>
          <w:highlight w:val="none"/>
        </w:rPr>
      </w:pPr>
      <w:bookmarkStart w:id="361" w:name="_Toc27224"/>
      <w:bookmarkStart w:id="362" w:name="_Toc31252"/>
      <w:bookmarkStart w:id="363" w:name="_Toc26835"/>
      <w:bookmarkStart w:id="364" w:name="_Toc15868"/>
      <w:bookmarkStart w:id="365" w:name="_Toc3939"/>
      <w:r>
        <w:rPr>
          <w:rFonts w:cs="Times New Roman"/>
          <w:color w:val="auto"/>
          <w:highlight w:val="none"/>
        </w:rPr>
        <w:t>监测建立技术资料档案保管制度</w:t>
      </w:r>
      <w:bookmarkEnd w:id="361"/>
      <w:bookmarkEnd w:id="362"/>
      <w:bookmarkEnd w:id="363"/>
      <w:bookmarkEnd w:id="364"/>
      <w:bookmarkEnd w:id="365"/>
    </w:p>
    <w:p w14:paraId="562AEEB6">
      <w:pPr>
        <w:overflowPunct w:val="0"/>
        <w:adjustRightInd w:val="0"/>
        <w:ind w:firstLine="480"/>
        <w:rPr>
          <w:rFonts w:cs="Times New Roman"/>
          <w:color w:val="auto"/>
          <w:kern w:val="21"/>
          <w:szCs w:val="24"/>
          <w:highlight w:val="none"/>
        </w:rPr>
      </w:pPr>
      <w:r>
        <w:rPr>
          <w:rFonts w:cs="Times New Roman"/>
          <w:color w:val="auto"/>
          <w:kern w:val="21"/>
          <w:szCs w:val="24"/>
          <w:highlight w:val="none"/>
        </w:rPr>
        <w:t>为保证监测数据具有完整的质量特征，在制定监测计划时应遵循以下原则：</w:t>
      </w:r>
    </w:p>
    <w:p w14:paraId="48148E63">
      <w:pPr>
        <w:numPr>
          <w:ilvl w:val="0"/>
          <w:numId w:val="14"/>
        </w:numPr>
        <w:overflowPunct w:val="0"/>
        <w:adjustRightInd w:val="0"/>
        <w:ind w:firstLine="480"/>
        <w:rPr>
          <w:rFonts w:cs="Times New Roman"/>
          <w:color w:val="auto"/>
          <w:kern w:val="21"/>
          <w:szCs w:val="24"/>
          <w:highlight w:val="none"/>
        </w:rPr>
      </w:pPr>
      <w:r>
        <w:rPr>
          <w:rFonts w:cs="Times New Roman"/>
          <w:color w:val="auto"/>
          <w:kern w:val="21"/>
          <w:szCs w:val="24"/>
          <w:highlight w:val="none"/>
        </w:rPr>
        <w:t>实用性和经济性，在确定监测技术路线和技术装备时，要</w:t>
      </w:r>
      <w:r>
        <w:rPr>
          <w:rFonts w:hint="eastAsia" w:cs="Times New Roman"/>
          <w:color w:val="auto"/>
          <w:kern w:val="21"/>
          <w:szCs w:val="24"/>
          <w:highlight w:val="none"/>
        </w:rPr>
        <w:t>做好</w:t>
      </w:r>
      <w:r>
        <w:rPr>
          <w:rFonts w:cs="Times New Roman"/>
          <w:color w:val="auto"/>
          <w:kern w:val="21"/>
          <w:szCs w:val="24"/>
          <w:highlight w:val="none"/>
        </w:rPr>
        <w:t>费用―效益分析，尽量做到符合实际需要；</w:t>
      </w:r>
    </w:p>
    <w:p w14:paraId="57A756BD">
      <w:pPr>
        <w:numPr>
          <w:ilvl w:val="0"/>
          <w:numId w:val="14"/>
        </w:numPr>
        <w:overflowPunct w:val="0"/>
        <w:adjustRightInd w:val="0"/>
        <w:ind w:firstLine="480"/>
        <w:rPr>
          <w:rFonts w:cs="Times New Roman"/>
          <w:color w:val="auto"/>
          <w:kern w:val="21"/>
          <w:szCs w:val="22"/>
          <w:highlight w:val="none"/>
        </w:rPr>
      </w:pPr>
      <w:r>
        <w:rPr>
          <w:rFonts w:cs="Times New Roman"/>
          <w:color w:val="auto"/>
          <w:kern w:val="21"/>
          <w:szCs w:val="24"/>
          <w:highlight w:val="none"/>
        </w:rPr>
        <w:t>遵循优先污染物优先监测的原则；</w:t>
      </w:r>
    </w:p>
    <w:p w14:paraId="49B76448">
      <w:pPr>
        <w:numPr>
          <w:ilvl w:val="0"/>
          <w:numId w:val="14"/>
        </w:numPr>
        <w:overflowPunct w:val="0"/>
        <w:adjustRightInd w:val="0"/>
        <w:ind w:firstLine="480"/>
        <w:rPr>
          <w:rFonts w:cs="Times New Roman"/>
          <w:color w:val="auto"/>
          <w:kern w:val="21"/>
          <w:szCs w:val="22"/>
          <w:highlight w:val="none"/>
        </w:rPr>
      </w:pPr>
      <w:r>
        <w:rPr>
          <w:rFonts w:cs="Times New Roman"/>
          <w:color w:val="auto"/>
          <w:kern w:val="21"/>
          <w:szCs w:val="24"/>
          <w:highlight w:val="none"/>
        </w:rPr>
        <w:t>全面规划、合理布局，环境问题的复杂性决定了环境监测的多样性，要对监测布点、采样、分析测试及数据处理做出合理安排。</w:t>
      </w:r>
    </w:p>
    <w:p w14:paraId="1B8EECE9">
      <w:pPr>
        <w:pStyle w:val="4"/>
        <w:adjustRightInd w:val="0"/>
        <w:rPr>
          <w:rFonts w:cs="Times New Roman"/>
          <w:color w:val="auto"/>
          <w:highlight w:val="none"/>
        </w:rPr>
      </w:pPr>
      <w:bookmarkStart w:id="366" w:name="_Toc10137"/>
      <w:bookmarkStart w:id="367" w:name="_Toc11654"/>
      <w:bookmarkStart w:id="368" w:name="_Toc14233"/>
      <w:r>
        <w:rPr>
          <w:rFonts w:cs="Times New Roman"/>
          <w:color w:val="auto"/>
          <w:highlight w:val="none"/>
        </w:rPr>
        <w:t>环境监测计划</w:t>
      </w:r>
      <w:bookmarkEnd w:id="366"/>
      <w:bookmarkEnd w:id="367"/>
      <w:bookmarkEnd w:id="368"/>
    </w:p>
    <w:p w14:paraId="55235673">
      <w:pPr>
        <w:pStyle w:val="5"/>
        <w:adjustRightInd w:val="0"/>
        <w:rPr>
          <w:rFonts w:cs="Times New Roman"/>
          <w:color w:val="auto"/>
          <w:highlight w:val="none"/>
        </w:rPr>
      </w:pPr>
      <w:r>
        <w:rPr>
          <w:rFonts w:cs="Times New Roman"/>
          <w:color w:val="auto"/>
          <w:highlight w:val="none"/>
        </w:rPr>
        <w:t>施工期环境监测计划</w:t>
      </w:r>
    </w:p>
    <w:p w14:paraId="47B84F45">
      <w:pPr>
        <w:overflowPunct w:val="0"/>
        <w:adjustRightInd w:val="0"/>
        <w:ind w:firstLine="480"/>
        <w:rPr>
          <w:rFonts w:cs="Times New Roman"/>
          <w:color w:val="auto"/>
          <w:kern w:val="21"/>
          <w:szCs w:val="24"/>
          <w:highlight w:val="none"/>
        </w:rPr>
      </w:pPr>
      <w:r>
        <w:rPr>
          <w:rFonts w:cs="Times New Roman"/>
          <w:color w:val="auto"/>
          <w:kern w:val="21"/>
          <w:szCs w:val="24"/>
          <w:highlight w:val="none"/>
        </w:rPr>
        <w:t>（1）建设单位与施工单位签订工程承包合同时，应包括有关工程施工期间环境保护条款，包括施工期间环境污染控制、污染物排放管理、施工人员环保教育及相关奖惩条款。</w:t>
      </w:r>
    </w:p>
    <w:p w14:paraId="04C5ED93">
      <w:pPr>
        <w:overflowPunct w:val="0"/>
        <w:adjustRightInd w:val="0"/>
        <w:ind w:firstLine="480"/>
        <w:rPr>
          <w:rFonts w:cs="Times New Roman"/>
          <w:color w:val="auto"/>
          <w:kern w:val="21"/>
          <w:szCs w:val="24"/>
          <w:highlight w:val="none"/>
        </w:rPr>
      </w:pPr>
      <w:r>
        <w:rPr>
          <w:rFonts w:cs="Times New Roman"/>
          <w:color w:val="auto"/>
          <w:kern w:val="21"/>
          <w:szCs w:val="24"/>
          <w:highlight w:val="none"/>
        </w:rPr>
        <w:t>（2）施工单位应增强环保意识，加强驻地和施工现场的环境管理，合理安排施工计划，切实做到组织计划严谨，文明施工；环保措施逐条落实到位，环保工程与主体工程同时施工、同时运行，环保工程费用专款专用，不偷工减料、延误工期。</w:t>
      </w:r>
    </w:p>
    <w:p w14:paraId="3837DC45">
      <w:pPr>
        <w:overflowPunct w:val="0"/>
        <w:adjustRightInd w:val="0"/>
        <w:ind w:firstLine="480"/>
        <w:rPr>
          <w:rFonts w:cs="Times New Roman"/>
          <w:color w:val="auto"/>
          <w:kern w:val="21"/>
          <w:szCs w:val="24"/>
          <w:highlight w:val="none"/>
        </w:rPr>
      </w:pPr>
      <w:r>
        <w:rPr>
          <w:rFonts w:cs="Times New Roman"/>
          <w:color w:val="auto"/>
          <w:kern w:val="21"/>
          <w:szCs w:val="24"/>
          <w:highlight w:val="none"/>
        </w:rPr>
        <w:t>（3）施工单位应特别注意工程施工中的水土保持，尽可能保护好土壤、植被、装修产生的废物运至设计中指定的地点弃置，严禁随意堆置、侵占河道，防止对地表水环境产生影响。</w:t>
      </w:r>
    </w:p>
    <w:p w14:paraId="520A21ED">
      <w:pPr>
        <w:overflowPunct w:val="0"/>
        <w:adjustRightInd w:val="0"/>
        <w:ind w:firstLine="480"/>
        <w:rPr>
          <w:rFonts w:cs="Times New Roman"/>
          <w:color w:val="auto"/>
          <w:kern w:val="21"/>
          <w:szCs w:val="24"/>
          <w:highlight w:val="none"/>
        </w:rPr>
      </w:pPr>
      <w:r>
        <w:rPr>
          <w:rFonts w:cs="Times New Roman"/>
          <w:color w:val="auto"/>
          <w:kern w:val="21"/>
          <w:szCs w:val="24"/>
          <w:highlight w:val="none"/>
        </w:rPr>
        <w:t>（4）各施工现场、施工单位驻地及其他施工临时设施，应加强环境管理，施工污水避免无组织散排，尽可能集中排放指定地点；工程施工完毕后施工单位及时清理和恢复施工现场，妥善处理生活垃圾与装修废弃物，减少扬尘；施工现场应执行《建筑施工场界环境噪声排放标准》（GB12523-20</w:t>
      </w:r>
      <w:r>
        <w:rPr>
          <w:rFonts w:hint="eastAsia" w:cs="Times New Roman"/>
          <w:color w:val="auto"/>
          <w:kern w:val="21"/>
          <w:szCs w:val="24"/>
          <w:highlight w:val="none"/>
        </w:rPr>
        <w:t>25</w:t>
      </w:r>
      <w:r>
        <w:rPr>
          <w:rFonts w:cs="Times New Roman"/>
          <w:color w:val="auto"/>
          <w:kern w:val="21"/>
          <w:szCs w:val="24"/>
          <w:highlight w:val="none"/>
        </w:rPr>
        <w:t>）中的有关规定和要求。</w:t>
      </w:r>
    </w:p>
    <w:p w14:paraId="69C45949">
      <w:pPr>
        <w:overflowPunct w:val="0"/>
        <w:adjustRightInd w:val="0"/>
        <w:ind w:firstLine="480"/>
        <w:rPr>
          <w:rFonts w:cs="Times New Roman"/>
          <w:color w:val="auto"/>
          <w:kern w:val="21"/>
          <w:szCs w:val="24"/>
          <w:highlight w:val="none"/>
        </w:rPr>
      </w:pPr>
      <w:r>
        <w:rPr>
          <w:rFonts w:cs="Times New Roman"/>
          <w:color w:val="auto"/>
          <w:kern w:val="21"/>
          <w:szCs w:val="24"/>
          <w:highlight w:val="none"/>
        </w:rPr>
        <w:t>（5）认真落实各项补偿措施，做好工程各项环保设施的施工监理与验收，保证环保工程质量，真正做到环保工程</w:t>
      </w:r>
      <w:r>
        <w:rPr>
          <w:rFonts w:hint="eastAsia" w:cs="Times New Roman"/>
          <w:color w:val="auto"/>
          <w:kern w:val="21"/>
          <w:szCs w:val="24"/>
          <w:highlight w:val="none"/>
        </w:rPr>
        <w:t>“</w:t>
      </w:r>
      <w:r>
        <w:rPr>
          <w:rFonts w:cs="Times New Roman"/>
          <w:color w:val="auto"/>
          <w:kern w:val="21"/>
          <w:szCs w:val="24"/>
          <w:highlight w:val="none"/>
        </w:rPr>
        <w:t>三同时</w:t>
      </w:r>
      <w:r>
        <w:rPr>
          <w:rFonts w:hint="eastAsia" w:cs="Times New Roman"/>
          <w:color w:val="auto"/>
          <w:kern w:val="21"/>
          <w:szCs w:val="24"/>
          <w:highlight w:val="none"/>
        </w:rPr>
        <w:t>”</w:t>
      </w:r>
      <w:r>
        <w:rPr>
          <w:rFonts w:cs="Times New Roman"/>
          <w:color w:val="auto"/>
          <w:kern w:val="21"/>
          <w:szCs w:val="24"/>
          <w:highlight w:val="none"/>
        </w:rPr>
        <w:t>。</w:t>
      </w:r>
    </w:p>
    <w:p w14:paraId="2CA23DB5">
      <w:pPr>
        <w:pStyle w:val="5"/>
        <w:adjustRightInd w:val="0"/>
        <w:rPr>
          <w:rFonts w:cs="Times New Roman"/>
          <w:color w:val="auto"/>
          <w:highlight w:val="none"/>
        </w:rPr>
      </w:pPr>
      <w:r>
        <w:rPr>
          <w:rFonts w:cs="Times New Roman"/>
          <w:color w:val="auto"/>
          <w:highlight w:val="none"/>
        </w:rPr>
        <w:t>运营期环境监测计划</w:t>
      </w:r>
    </w:p>
    <w:p w14:paraId="672609B7">
      <w:pPr>
        <w:overflowPunct w:val="0"/>
        <w:adjustRightInd w:val="0"/>
        <w:ind w:firstLine="480"/>
        <w:rPr>
          <w:rFonts w:cs="Times New Roman"/>
          <w:color w:val="auto"/>
          <w:kern w:val="21"/>
          <w:szCs w:val="22"/>
          <w:highlight w:val="none"/>
        </w:rPr>
      </w:pPr>
      <w:r>
        <w:rPr>
          <w:rFonts w:cs="Times New Roman"/>
          <w:color w:val="auto"/>
          <w:kern w:val="21"/>
          <w:szCs w:val="22"/>
          <w:highlight w:val="none"/>
        </w:rPr>
        <w:t>建设单位为掌握本单位的污染物状况及其对周边环境质量的影响等情况，需按照相关法律法规和技术规范，组织开展环境监测活动。建设单位自行监测的一般要求、监测方案制定、监测质量保证和质量控制、信息记录和报告的基本内容和要求等可参照《排污单位自行监测技术指南总则》（HJ819-2017）中的相关要求进行监测。</w:t>
      </w:r>
    </w:p>
    <w:p w14:paraId="394F9DD4">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本项目具体环境监测内容如下：</w:t>
      </w:r>
    </w:p>
    <w:p w14:paraId="3E669A85">
      <w:pPr>
        <w:pStyle w:val="12"/>
        <w:adjustRightInd w:val="0"/>
        <w:rPr>
          <w:rFonts w:cs="Times New Roman"/>
          <w:bCs/>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3</w:t>
      </w:r>
      <w:r>
        <w:rPr>
          <w:rFonts w:cs="Times New Roman"/>
          <w:color w:val="auto"/>
          <w:highlight w:val="none"/>
        </w:rPr>
        <w:fldChar w:fldCharType="end"/>
      </w:r>
      <w:r>
        <w:rPr>
          <w:rFonts w:cs="Times New Roman"/>
          <w:bCs/>
          <w:color w:val="auto"/>
          <w:kern w:val="21"/>
          <w:szCs w:val="21"/>
          <w:highlight w:val="none"/>
        </w:rPr>
        <w:t>项目污染源监测计划</w:t>
      </w:r>
    </w:p>
    <w:tbl>
      <w:tblPr>
        <w:tblStyle w:val="3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960"/>
        <w:gridCol w:w="1907"/>
        <w:gridCol w:w="1985"/>
        <w:gridCol w:w="1231"/>
        <w:gridCol w:w="2537"/>
      </w:tblGrid>
      <w:tr w14:paraId="26F0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42" w:type="pct"/>
            <w:vAlign w:val="center"/>
          </w:tcPr>
          <w:p w14:paraId="0142A541">
            <w:pPr>
              <w:pStyle w:val="37"/>
              <w:spacing w:before="62" w:after="62"/>
              <w:rPr>
                <w:b/>
                <w:bCs/>
                <w:color w:val="auto"/>
                <w:highlight w:val="none"/>
              </w:rPr>
            </w:pPr>
            <w:r>
              <w:rPr>
                <w:b/>
                <w:bCs/>
                <w:color w:val="auto"/>
                <w:highlight w:val="none"/>
              </w:rPr>
              <w:t>项目</w:t>
            </w:r>
          </w:p>
        </w:tc>
        <w:tc>
          <w:tcPr>
            <w:tcW w:w="1582" w:type="pct"/>
            <w:gridSpan w:val="2"/>
            <w:vAlign w:val="center"/>
          </w:tcPr>
          <w:p w14:paraId="74CA6648">
            <w:pPr>
              <w:pStyle w:val="37"/>
              <w:spacing w:before="62" w:after="62"/>
              <w:rPr>
                <w:b/>
                <w:bCs/>
                <w:color w:val="auto"/>
                <w:highlight w:val="none"/>
              </w:rPr>
            </w:pPr>
            <w:r>
              <w:rPr>
                <w:b/>
                <w:bCs/>
                <w:color w:val="auto"/>
                <w:highlight w:val="none"/>
              </w:rPr>
              <w:t>监测点位</w:t>
            </w:r>
          </w:p>
        </w:tc>
        <w:tc>
          <w:tcPr>
            <w:tcW w:w="1095" w:type="pct"/>
            <w:vAlign w:val="center"/>
          </w:tcPr>
          <w:p w14:paraId="13C2D6CA">
            <w:pPr>
              <w:pStyle w:val="37"/>
              <w:spacing w:before="62" w:after="62"/>
              <w:rPr>
                <w:b/>
                <w:bCs/>
                <w:color w:val="auto"/>
                <w:highlight w:val="none"/>
              </w:rPr>
            </w:pPr>
            <w:r>
              <w:rPr>
                <w:b/>
                <w:bCs/>
                <w:color w:val="auto"/>
                <w:highlight w:val="none"/>
              </w:rPr>
              <w:t>监测指标</w:t>
            </w:r>
          </w:p>
        </w:tc>
        <w:tc>
          <w:tcPr>
            <w:tcW w:w="679" w:type="pct"/>
            <w:vAlign w:val="center"/>
          </w:tcPr>
          <w:p w14:paraId="34B6C159">
            <w:pPr>
              <w:pStyle w:val="37"/>
              <w:spacing w:before="62" w:after="62"/>
              <w:rPr>
                <w:b/>
                <w:bCs/>
                <w:color w:val="auto"/>
                <w:highlight w:val="none"/>
              </w:rPr>
            </w:pPr>
            <w:r>
              <w:rPr>
                <w:b/>
                <w:bCs/>
                <w:color w:val="auto"/>
                <w:highlight w:val="none"/>
              </w:rPr>
              <w:t>监测频次</w:t>
            </w:r>
          </w:p>
        </w:tc>
        <w:tc>
          <w:tcPr>
            <w:tcW w:w="1400" w:type="pct"/>
            <w:vAlign w:val="center"/>
          </w:tcPr>
          <w:p w14:paraId="6224557D">
            <w:pPr>
              <w:pStyle w:val="37"/>
              <w:spacing w:before="62" w:after="62"/>
              <w:rPr>
                <w:b/>
                <w:bCs/>
                <w:color w:val="auto"/>
                <w:highlight w:val="none"/>
              </w:rPr>
            </w:pPr>
            <w:r>
              <w:rPr>
                <w:b/>
                <w:bCs/>
                <w:color w:val="auto"/>
                <w:highlight w:val="none"/>
              </w:rPr>
              <w:t>执行排放标准</w:t>
            </w:r>
          </w:p>
        </w:tc>
      </w:tr>
      <w:tr w14:paraId="4BD3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2" w:type="pct"/>
            <w:vAlign w:val="center"/>
          </w:tcPr>
          <w:p w14:paraId="71AA8A48">
            <w:pPr>
              <w:pStyle w:val="37"/>
              <w:spacing w:before="62" w:after="62"/>
              <w:rPr>
                <w:color w:val="auto"/>
                <w:highlight w:val="none"/>
              </w:rPr>
            </w:pPr>
            <w:r>
              <w:rPr>
                <w:color w:val="auto"/>
                <w:highlight w:val="none"/>
              </w:rPr>
              <w:t>噪声</w:t>
            </w:r>
          </w:p>
        </w:tc>
        <w:tc>
          <w:tcPr>
            <w:tcW w:w="1582" w:type="pct"/>
            <w:gridSpan w:val="2"/>
            <w:vAlign w:val="center"/>
          </w:tcPr>
          <w:p w14:paraId="3687E3F8">
            <w:pPr>
              <w:pStyle w:val="37"/>
              <w:spacing w:before="62" w:after="62"/>
              <w:rPr>
                <w:color w:val="auto"/>
                <w:highlight w:val="none"/>
              </w:rPr>
            </w:pPr>
            <w:r>
              <w:rPr>
                <w:color w:val="auto"/>
                <w:highlight w:val="none"/>
              </w:rPr>
              <w:t>厂界四周布设监测点</w:t>
            </w:r>
          </w:p>
        </w:tc>
        <w:tc>
          <w:tcPr>
            <w:tcW w:w="1095" w:type="pct"/>
            <w:vAlign w:val="center"/>
          </w:tcPr>
          <w:p w14:paraId="164165A8">
            <w:pPr>
              <w:pStyle w:val="37"/>
              <w:spacing w:before="62" w:after="62"/>
              <w:rPr>
                <w:color w:val="auto"/>
                <w:highlight w:val="none"/>
              </w:rPr>
            </w:pPr>
            <w:r>
              <w:rPr>
                <w:color w:val="auto"/>
                <w:highlight w:val="none"/>
              </w:rPr>
              <w:t>厂界噪声的等效连续A声级</w:t>
            </w:r>
          </w:p>
        </w:tc>
        <w:tc>
          <w:tcPr>
            <w:tcW w:w="679" w:type="pct"/>
            <w:vAlign w:val="center"/>
          </w:tcPr>
          <w:p w14:paraId="65E59939">
            <w:pPr>
              <w:pStyle w:val="37"/>
              <w:spacing w:before="62" w:after="62"/>
              <w:rPr>
                <w:color w:val="auto"/>
                <w:highlight w:val="none"/>
              </w:rPr>
            </w:pPr>
            <w:r>
              <w:rPr>
                <w:color w:val="auto"/>
                <w:highlight w:val="none"/>
              </w:rPr>
              <w:t>每季度1次</w:t>
            </w:r>
          </w:p>
        </w:tc>
        <w:tc>
          <w:tcPr>
            <w:tcW w:w="1400" w:type="pct"/>
            <w:vAlign w:val="center"/>
          </w:tcPr>
          <w:p w14:paraId="34340C94">
            <w:pPr>
              <w:pStyle w:val="37"/>
              <w:spacing w:before="62" w:after="62"/>
              <w:rPr>
                <w:color w:val="auto"/>
                <w:highlight w:val="none"/>
              </w:rPr>
            </w:pPr>
            <w:r>
              <w:rPr>
                <w:color w:val="auto"/>
                <w:highlight w:val="none"/>
              </w:rPr>
              <w:t>《工业企业厂界噪声排放标准》（GB12348-2008）3类排放限值要求</w:t>
            </w:r>
          </w:p>
        </w:tc>
      </w:tr>
      <w:tr w14:paraId="026D2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Merge w:val="restart"/>
            <w:vAlign w:val="center"/>
          </w:tcPr>
          <w:p w14:paraId="0730E807">
            <w:pPr>
              <w:pStyle w:val="37"/>
              <w:spacing w:before="62" w:after="62"/>
              <w:rPr>
                <w:color w:val="auto"/>
                <w:highlight w:val="none"/>
              </w:rPr>
            </w:pPr>
            <w:r>
              <w:rPr>
                <w:color w:val="auto"/>
                <w:highlight w:val="none"/>
              </w:rPr>
              <w:t>废气</w:t>
            </w:r>
          </w:p>
        </w:tc>
        <w:tc>
          <w:tcPr>
            <w:tcW w:w="530" w:type="pct"/>
            <w:vAlign w:val="center"/>
          </w:tcPr>
          <w:p w14:paraId="7A420ED5">
            <w:pPr>
              <w:pStyle w:val="37"/>
              <w:spacing w:before="62" w:after="62"/>
              <w:rPr>
                <w:color w:val="auto"/>
                <w:highlight w:val="none"/>
              </w:rPr>
            </w:pPr>
            <w:r>
              <w:rPr>
                <w:color w:val="auto"/>
                <w:highlight w:val="none"/>
              </w:rPr>
              <w:t>有组织</w:t>
            </w:r>
          </w:p>
        </w:tc>
        <w:tc>
          <w:tcPr>
            <w:tcW w:w="1051" w:type="pct"/>
            <w:vAlign w:val="center"/>
          </w:tcPr>
          <w:p w14:paraId="53400DB8">
            <w:pPr>
              <w:pStyle w:val="37"/>
              <w:spacing w:before="62" w:after="62"/>
              <w:rPr>
                <w:color w:val="auto"/>
                <w:highlight w:val="none"/>
              </w:rPr>
            </w:pPr>
            <w:r>
              <w:rPr>
                <w:color w:val="auto"/>
                <w:highlight w:val="none"/>
              </w:rPr>
              <w:t>DA001</w:t>
            </w:r>
          </w:p>
        </w:tc>
        <w:tc>
          <w:tcPr>
            <w:tcW w:w="1095" w:type="pct"/>
            <w:vAlign w:val="center"/>
          </w:tcPr>
          <w:p w14:paraId="5B5B2DEC">
            <w:pPr>
              <w:pStyle w:val="37"/>
              <w:spacing w:before="62" w:after="62"/>
              <w:rPr>
                <w:color w:val="auto"/>
                <w:highlight w:val="none"/>
              </w:rPr>
            </w:pPr>
            <w:r>
              <w:rPr>
                <w:color w:val="auto"/>
                <w:highlight w:val="none"/>
              </w:rPr>
              <w:t>颗粒物</w:t>
            </w:r>
          </w:p>
        </w:tc>
        <w:tc>
          <w:tcPr>
            <w:tcW w:w="679" w:type="pct"/>
            <w:vAlign w:val="center"/>
          </w:tcPr>
          <w:p w14:paraId="53FDAE05">
            <w:pPr>
              <w:pStyle w:val="37"/>
              <w:spacing w:before="62" w:after="62"/>
              <w:rPr>
                <w:color w:val="auto"/>
                <w:highlight w:val="none"/>
              </w:rPr>
            </w:pPr>
            <w:r>
              <w:rPr>
                <w:color w:val="auto"/>
                <w:highlight w:val="none"/>
              </w:rPr>
              <w:t>每年1次</w:t>
            </w:r>
          </w:p>
        </w:tc>
        <w:tc>
          <w:tcPr>
            <w:tcW w:w="1400" w:type="pct"/>
            <w:vAlign w:val="center"/>
          </w:tcPr>
          <w:p w14:paraId="4609D640">
            <w:pPr>
              <w:pStyle w:val="37"/>
              <w:spacing w:before="62" w:after="62"/>
              <w:rPr>
                <w:color w:val="auto"/>
                <w:highlight w:val="none"/>
              </w:rPr>
            </w:pPr>
            <w:r>
              <w:rPr>
                <w:color w:val="auto"/>
                <w:highlight w:val="none"/>
              </w:rPr>
              <w:t>《乐山市打赢蓝天保卫战实施方案</w:t>
            </w:r>
            <w:r>
              <w:rPr>
                <w:rFonts w:hint="eastAsia"/>
                <w:color w:val="auto"/>
                <w:highlight w:val="none"/>
              </w:rPr>
              <w:t>》《</w:t>
            </w:r>
            <w:r>
              <w:rPr>
                <w:color w:val="auto"/>
                <w:highlight w:val="none"/>
              </w:rPr>
              <w:t>大气污染物综合排放标准》（GB16297-1996）</w:t>
            </w:r>
          </w:p>
        </w:tc>
      </w:tr>
      <w:tr w14:paraId="1DA5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Merge w:val="continue"/>
            <w:vAlign w:val="center"/>
          </w:tcPr>
          <w:p w14:paraId="30640629">
            <w:pPr>
              <w:pStyle w:val="37"/>
              <w:spacing w:before="62" w:after="62"/>
              <w:rPr>
                <w:color w:val="auto"/>
                <w:highlight w:val="none"/>
              </w:rPr>
            </w:pPr>
          </w:p>
        </w:tc>
        <w:tc>
          <w:tcPr>
            <w:tcW w:w="530" w:type="pct"/>
            <w:vMerge w:val="restart"/>
            <w:vAlign w:val="center"/>
          </w:tcPr>
          <w:p w14:paraId="084D1BBB">
            <w:pPr>
              <w:pStyle w:val="37"/>
              <w:spacing w:before="62" w:after="62"/>
              <w:rPr>
                <w:color w:val="auto"/>
                <w:highlight w:val="none"/>
              </w:rPr>
            </w:pPr>
            <w:r>
              <w:rPr>
                <w:color w:val="auto"/>
                <w:highlight w:val="none"/>
              </w:rPr>
              <w:t>无组织</w:t>
            </w:r>
          </w:p>
        </w:tc>
        <w:tc>
          <w:tcPr>
            <w:tcW w:w="1051" w:type="pct"/>
            <w:vAlign w:val="center"/>
          </w:tcPr>
          <w:p w14:paraId="112D8E55">
            <w:pPr>
              <w:pStyle w:val="37"/>
              <w:spacing w:before="62" w:after="62"/>
              <w:rPr>
                <w:color w:val="auto"/>
                <w:highlight w:val="none"/>
              </w:rPr>
            </w:pPr>
            <w:r>
              <w:rPr>
                <w:color w:val="auto"/>
                <w:highlight w:val="none"/>
              </w:rPr>
              <w:t>项目下风向G1</w:t>
            </w:r>
          </w:p>
        </w:tc>
        <w:tc>
          <w:tcPr>
            <w:tcW w:w="1095" w:type="pct"/>
            <w:vMerge w:val="restart"/>
            <w:vAlign w:val="center"/>
          </w:tcPr>
          <w:p w14:paraId="1BBA0B9A">
            <w:pPr>
              <w:pStyle w:val="37"/>
              <w:spacing w:before="62" w:after="62"/>
              <w:rPr>
                <w:color w:val="auto"/>
                <w:highlight w:val="none"/>
              </w:rPr>
            </w:pPr>
            <w:r>
              <w:rPr>
                <w:color w:val="auto"/>
                <w:highlight w:val="none"/>
              </w:rPr>
              <w:t>颗粒物</w:t>
            </w:r>
          </w:p>
        </w:tc>
        <w:tc>
          <w:tcPr>
            <w:tcW w:w="679" w:type="pct"/>
            <w:vMerge w:val="restart"/>
            <w:vAlign w:val="center"/>
          </w:tcPr>
          <w:p w14:paraId="4B5BD9AD">
            <w:pPr>
              <w:pStyle w:val="37"/>
              <w:spacing w:before="62" w:after="62"/>
              <w:rPr>
                <w:color w:val="auto"/>
                <w:highlight w:val="none"/>
              </w:rPr>
            </w:pPr>
            <w:r>
              <w:rPr>
                <w:color w:val="auto"/>
                <w:highlight w:val="none"/>
              </w:rPr>
              <w:t>每年1次</w:t>
            </w:r>
          </w:p>
        </w:tc>
        <w:tc>
          <w:tcPr>
            <w:tcW w:w="1400" w:type="pct"/>
            <w:vMerge w:val="restart"/>
            <w:vAlign w:val="center"/>
          </w:tcPr>
          <w:p w14:paraId="1DBAADAC">
            <w:pPr>
              <w:pStyle w:val="37"/>
              <w:spacing w:before="62" w:after="62"/>
              <w:rPr>
                <w:color w:val="auto"/>
                <w:highlight w:val="none"/>
              </w:rPr>
            </w:pPr>
            <w:r>
              <w:rPr>
                <w:rFonts w:hint="eastAsia"/>
                <w:color w:val="auto"/>
                <w:highlight w:val="none"/>
              </w:rPr>
              <w:t>《大气污染物综合排放标准》（GB16297-1996）表2无组织排放浓度限值</w:t>
            </w:r>
          </w:p>
        </w:tc>
      </w:tr>
      <w:tr w14:paraId="3797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Merge w:val="continue"/>
            <w:vAlign w:val="center"/>
          </w:tcPr>
          <w:p w14:paraId="6C9CFFD1">
            <w:pPr>
              <w:pStyle w:val="37"/>
              <w:spacing w:before="62" w:after="62"/>
              <w:rPr>
                <w:color w:val="auto"/>
                <w:highlight w:val="none"/>
              </w:rPr>
            </w:pPr>
          </w:p>
        </w:tc>
        <w:tc>
          <w:tcPr>
            <w:tcW w:w="530" w:type="pct"/>
            <w:vMerge w:val="continue"/>
            <w:vAlign w:val="center"/>
          </w:tcPr>
          <w:p w14:paraId="5E0EF6B3">
            <w:pPr>
              <w:pStyle w:val="37"/>
              <w:spacing w:before="62" w:after="62"/>
              <w:rPr>
                <w:color w:val="auto"/>
                <w:highlight w:val="none"/>
              </w:rPr>
            </w:pPr>
          </w:p>
        </w:tc>
        <w:tc>
          <w:tcPr>
            <w:tcW w:w="1051" w:type="pct"/>
            <w:vAlign w:val="center"/>
          </w:tcPr>
          <w:p w14:paraId="7F1B21F1">
            <w:pPr>
              <w:pStyle w:val="37"/>
              <w:spacing w:before="62" w:after="62"/>
              <w:rPr>
                <w:color w:val="auto"/>
                <w:highlight w:val="none"/>
              </w:rPr>
            </w:pPr>
            <w:r>
              <w:rPr>
                <w:color w:val="auto"/>
                <w:highlight w:val="none"/>
              </w:rPr>
              <w:t>项目下风向G</w:t>
            </w:r>
            <w:r>
              <w:rPr>
                <w:rFonts w:hint="eastAsia"/>
                <w:color w:val="auto"/>
                <w:highlight w:val="none"/>
              </w:rPr>
              <w:t>2</w:t>
            </w:r>
          </w:p>
        </w:tc>
        <w:tc>
          <w:tcPr>
            <w:tcW w:w="1095" w:type="pct"/>
            <w:vMerge w:val="continue"/>
            <w:vAlign w:val="center"/>
          </w:tcPr>
          <w:p w14:paraId="4EF2107D">
            <w:pPr>
              <w:pStyle w:val="37"/>
              <w:spacing w:before="62" w:after="62"/>
              <w:rPr>
                <w:color w:val="auto"/>
                <w:highlight w:val="none"/>
              </w:rPr>
            </w:pPr>
          </w:p>
        </w:tc>
        <w:tc>
          <w:tcPr>
            <w:tcW w:w="679" w:type="pct"/>
            <w:vMerge w:val="continue"/>
            <w:vAlign w:val="center"/>
          </w:tcPr>
          <w:p w14:paraId="376F61A7">
            <w:pPr>
              <w:pStyle w:val="37"/>
              <w:spacing w:before="62" w:after="62"/>
              <w:rPr>
                <w:color w:val="auto"/>
                <w:highlight w:val="none"/>
              </w:rPr>
            </w:pPr>
          </w:p>
        </w:tc>
        <w:tc>
          <w:tcPr>
            <w:tcW w:w="1400" w:type="pct"/>
            <w:vMerge w:val="continue"/>
            <w:vAlign w:val="center"/>
          </w:tcPr>
          <w:p w14:paraId="47022021">
            <w:pPr>
              <w:pStyle w:val="37"/>
              <w:spacing w:before="62" w:after="62"/>
              <w:rPr>
                <w:color w:val="auto"/>
                <w:highlight w:val="none"/>
              </w:rPr>
            </w:pPr>
          </w:p>
        </w:tc>
      </w:tr>
      <w:tr w14:paraId="2270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Merge w:val="continue"/>
            <w:vAlign w:val="center"/>
          </w:tcPr>
          <w:p w14:paraId="47E52C1E">
            <w:pPr>
              <w:pStyle w:val="37"/>
              <w:spacing w:before="62" w:after="62"/>
              <w:rPr>
                <w:color w:val="auto"/>
                <w:highlight w:val="none"/>
              </w:rPr>
            </w:pPr>
          </w:p>
        </w:tc>
        <w:tc>
          <w:tcPr>
            <w:tcW w:w="530" w:type="pct"/>
            <w:vMerge w:val="continue"/>
            <w:vAlign w:val="center"/>
          </w:tcPr>
          <w:p w14:paraId="3DDA563D">
            <w:pPr>
              <w:pStyle w:val="37"/>
              <w:spacing w:before="62" w:after="62"/>
              <w:rPr>
                <w:color w:val="auto"/>
                <w:highlight w:val="none"/>
              </w:rPr>
            </w:pPr>
          </w:p>
        </w:tc>
        <w:tc>
          <w:tcPr>
            <w:tcW w:w="1051" w:type="pct"/>
            <w:vAlign w:val="center"/>
          </w:tcPr>
          <w:p w14:paraId="7C2B25BE">
            <w:pPr>
              <w:pStyle w:val="37"/>
              <w:spacing w:before="62" w:after="62"/>
              <w:rPr>
                <w:color w:val="auto"/>
                <w:highlight w:val="none"/>
              </w:rPr>
            </w:pPr>
            <w:r>
              <w:rPr>
                <w:color w:val="auto"/>
                <w:highlight w:val="none"/>
              </w:rPr>
              <w:t>项目下风向G</w:t>
            </w:r>
            <w:r>
              <w:rPr>
                <w:rFonts w:hint="eastAsia"/>
                <w:color w:val="auto"/>
                <w:highlight w:val="none"/>
              </w:rPr>
              <w:t>3</w:t>
            </w:r>
          </w:p>
        </w:tc>
        <w:tc>
          <w:tcPr>
            <w:tcW w:w="1095" w:type="pct"/>
            <w:vMerge w:val="continue"/>
            <w:vAlign w:val="center"/>
          </w:tcPr>
          <w:p w14:paraId="1E53E416">
            <w:pPr>
              <w:pStyle w:val="37"/>
              <w:spacing w:before="62" w:after="62"/>
              <w:rPr>
                <w:color w:val="auto"/>
                <w:highlight w:val="none"/>
              </w:rPr>
            </w:pPr>
          </w:p>
        </w:tc>
        <w:tc>
          <w:tcPr>
            <w:tcW w:w="679" w:type="pct"/>
            <w:vMerge w:val="continue"/>
            <w:vAlign w:val="center"/>
          </w:tcPr>
          <w:p w14:paraId="1361CF6D">
            <w:pPr>
              <w:pStyle w:val="37"/>
              <w:spacing w:before="62" w:after="62"/>
              <w:rPr>
                <w:color w:val="auto"/>
                <w:highlight w:val="none"/>
              </w:rPr>
            </w:pPr>
          </w:p>
        </w:tc>
        <w:tc>
          <w:tcPr>
            <w:tcW w:w="1400" w:type="pct"/>
            <w:vMerge w:val="continue"/>
            <w:vAlign w:val="center"/>
          </w:tcPr>
          <w:p w14:paraId="2A5F3B40">
            <w:pPr>
              <w:pStyle w:val="37"/>
              <w:spacing w:before="62" w:after="62"/>
              <w:rPr>
                <w:color w:val="auto"/>
                <w:highlight w:val="none"/>
              </w:rPr>
            </w:pPr>
          </w:p>
        </w:tc>
      </w:tr>
      <w:tr w14:paraId="123CB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Merge w:val="continue"/>
            <w:vAlign w:val="center"/>
          </w:tcPr>
          <w:p w14:paraId="5E1B31FE">
            <w:pPr>
              <w:pStyle w:val="37"/>
              <w:spacing w:before="62" w:after="62"/>
              <w:rPr>
                <w:color w:val="auto"/>
                <w:highlight w:val="none"/>
              </w:rPr>
            </w:pPr>
          </w:p>
        </w:tc>
        <w:tc>
          <w:tcPr>
            <w:tcW w:w="530" w:type="pct"/>
            <w:vMerge w:val="continue"/>
            <w:vAlign w:val="center"/>
          </w:tcPr>
          <w:p w14:paraId="5459CDBD">
            <w:pPr>
              <w:pStyle w:val="37"/>
              <w:spacing w:before="62" w:after="62"/>
              <w:rPr>
                <w:color w:val="auto"/>
                <w:highlight w:val="none"/>
              </w:rPr>
            </w:pPr>
          </w:p>
        </w:tc>
        <w:tc>
          <w:tcPr>
            <w:tcW w:w="1051" w:type="pct"/>
            <w:vAlign w:val="center"/>
          </w:tcPr>
          <w:p w14:paraId="1436BE27">
            <w:pPr>
              <w:pStyle w:val="37"/>
              <w:spacing w:before="62" w:after="62"/>
              <w:rPr>
                <w:color w:val="auto"/>
                <w:highlight w:val="none"/>
              </w:rPr>
            </w:pPr>
            <w:r>
              <w:rPr>
                <w:color w:val="auto"/>
                <w:highlight w:val="none"/>
              </w:rPr>
              <w:t>项目下风向G</w:t>
            </w:r>
            <w:r>
              <w:rPr>
                <w:rFonts w:hint="eastAsia"/>
                <w:color w:val="auto"/>
                <w:highlight w:val="none"/>
              </w:rPr>
              <w:t>4</w:t>
            </w:r>
          </w:p>
        </w:tc>
        <w:tc>
          <w:tcPr>
            <w:tcW w:w="1095" w:type="pct"/>
            <w:vMerge w:val="continue"/>
            <w:vAlign w:val="center"/>
          </w:tcPr>
          <w:p w14:paraId="1329A6A0">
            <w:pPr>
              <w:pStyle w:val="37"/>
              <w:spacing w:before="62" w:after="62"/>
              <w:rPr>
                <w:color w:val="auto"/>
                <w:highlight w:val="none"/>
              </w:rPr>
            </w:pPr>
          </w:p>
        </w:tc>
        <w:tc>
          <w:tcPr>
            <w:tcW w:w="679" w:type="pct"/>
            <w:vMerge w:val="continue"/>
            <w:vAlign w:val="center"/>
          </w:tcPr>
          <w:p w14:paraId="3FEA1467">
            <w:pPr>
              <w:pStyle w:val="37"/>
              <w:spacing w:before="62" w:after="62"/>
              <w:rPr>
                <w:color w:val="auto"/>
                <w:highlight w:val="none"/>
              </w:rPr>
            </w:pPr>
          </w:p>
        </w:tc>
        <w:tc>
          <w:tcPr>
            <w:tcW w:w="1400" w:type="pct"/>
            <w:vMerge w:val="continue"/>
            <w:vAlign w:val="center"/>
          </w:tcPr>
          <w:p w14:paraId="121D89D0">
            <w:pPr>
              <w:pStyle w:val="37"/>
              <w:spacing w:before="62" w:after="62"/>
              <w:rPr>
                <w:color w:val="auto"/>
                <w:highlight w:val="none"/>
              </w:rPr>
            </w:pPr>
          </w:p>
        </w:tc>
      </w:tr>
      <w:tr w14:paraId="2B23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2" w:type="pct"/>
            <w:vMerge w:val="restart"/>
            <w:vAlign w:val="center"/>
          </w:tcPr>
          <w:p w14:paraId="3DE928B9">
            <w:pPr>
              <w:pStyle w:val="37"/>
              <w:spacing w:before="62" w:after="62"/>
              <w:rPr>
                <w:color w:val="auto"/>
                <w:highlight w:val="none"/>
              </w:rPr>
            </w:pPr>
            <w:r>
              <w:rPr>
                <w:color w:val="auto"/>
                <w:highlight w:val="none"/>
              </w:rPr>
              <w:t>地下水</w:t>
            </w:r>
          </w:p>
        </w:tc>
        <w:tc>
          <w:tcPr>
            <w:tcW w:w="1582" w:type="pct"/>
            <w:gridSpan w:val="2"/>
            <w:vAlign w:val="center"/>
          </w:tcPr>
          <w:p w14:paraId="34CC2490">
            <w:pPr>
              <w:pStyle w:val="37"/>
              <w:spacing w:before="62" w:after="62"/>
              <w:rPr>
                <w:color w:val="auto"/>
                <w:highlight w:val="none"/>
              </w:rPr>
            </w:pPr>
            <w:r>
              <w:rPr>
                <w:color w:val="auto"/>
                <w:highlight w:val="none"/>
              </w:rPr>
              <w:t>1#：场地上游对照监测井E103.598748°，N29.501266°</w:t>
            </w:r>
          </w:p>
        </w:tc>
        <w:tc>
          <w:tcPr>
            <w:tcW w:w="1095" w:type="pct"/>
            <w:vMerge w:val="restart"/>
            <w:vAlign w:val="center"/>
          </w:tcPr>
          <w:p w14:paraId="16A37C9C">
            <w:pPr>
              <w:pStyle w:val="37"/>
              <w:spacing w:before="62" w:after="62"/>
              <w:rPr>
                <w:color w:val="auto"/>
                <w:highlight w:val="none"/>
              </w:rPr>
            </w:pPr>
            <w:r>
              <w:rPr>
                <w:color w:val="auto"/>
                <w:highlight w:val="none"/>
              </w:rPr>
              <w:t>pH、氨氮、硝酸盐、亚硝酸盐、总硬度、溶解性总固体、耗氧量、铅、汞、镉、铬、砷+特征因子（锂、石油类）</w:t>
            </w:r>
          </w:p>
        </w:tc>
        <w:tc>
          <w:tcPr>
            <w:tcW w:w="679" w:type="pct"/>
            <w:vMerge w:val="restart"/>
            <w:vAlign w:val="center"/>
          </w:tcPr>
          <w:p w14:paraId="18F02D6A">
            <w:pPr>
              <w:pStyle w:val="37"/>
              <w:spacing w:before="62" w:after="62"/>
              <w:rPr>
                <w:color w:val="auto"/>
                <w:highlight w:val="none"/>
              </w:rPr>
            </w:pPr>
            <w:r>
              <w:rPr>
                <w:color w:val="auto"/>
                <w:highlight w:val="none"/>
              </w:rPr>
              <w:t>每年1次</w:t>
            </w:r>
          </w:p>
        </w:tc>
        <w:tc>
          <w:tcPr>
            <w:tcW w:w="1400" w:type="pct"/>
            <w:vMerge w:val="restart"/>
            <w:vAlign w:val="center"/>
          </w:tcPr>
          <w:p w14:paraId="510AEC96">
            <w:pPr>
              <w:pStyle w:val="37"/>
              <w:spacing w:before="62" w:after="62"/>
              <w:rPr>
                <w:color w:val="auto"/>
                <w:highlight w:val="none"/>
              </w:rPr>
            </w:pPr>
            <w:r>
              <w:rPr>
                <w:rFonts w:hint="eastAsia"/>
                <w:color w:val="auto"/>
                <w:highlight w:val="none"/>
              </w:rPr>
              <w:t>1#、3#执行</w:t>
            </w:r>
            <w:r>
              <w:rPr>
                <w:color w:val="auto"/>
                <w:highlight w:val="none"/>
              </w:rPr>
              <w:t>《地下水质量标准》（GB/T14848-2017）中III类标准</w:t>
            </w:r>
            <w:r>
              <w:rPr>
                <w:rFonts w:hint="eastAsia"/>
                <w:color w:val="auto"/>
                <w:highlight w:val="none"/>
              </w:rPr>
              <w:t>；2#执行《地下水质量标准》（GB/T14848-2017）中Ⅳ类标准</w:t>
            </w:r>
          </w:p>
        </w:tc>
      </w:tr>
      <w:tr w14:paraId="579FE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2" w:type="pct"/>
            <w:vMerge w:val="continue"/>
            <w:vAlign w:val="center"/>
          </w:tcPr>
          <w:p w14:paraId="7B11003B">
            <w:pPr>
              <w:pStyle w:val="37"/>
              <w:spacing w:before="62" w:after="62"/>
              <w:rPr>
                <w:color w:val="auto"/>
                <w:highlight w:val="none"/>
              </w:rPr>
            </w:pPr>
          </w:p>
        </w:tc>
        <w:tc>
          <w:tcPr>
            <w:tcW w:w="1582" w:type="pct"/>
            <w:gridSpan w:val="2"/>
            <w:vAlign w:val="center"/>
          </w:tcPr>
          <w:p w14:paraId="5642C008">
            <w:pPr>
              <w:pStyle w:val="37"/>
              <w:spacing w:before="62" w:after="62"/>
              <w:rPr>
                <w:color w:val="auto"/>
                <w:highlight w:val="none"/>
              </w:rPr>
            </w:pPr>
            <w:r>
              <w:rPr>
                <w:color w:val="auto"/>
                <w:highlight w:val="none"/>
              </w:rPr>
              <w:t>2#：场地下游污染扩散监测井E103.615462°，N29.503747°</w:t>
            </w:r>
          </w:p>
        </w:tc>
        <w:tc>
          <w:tcPr>
            <w:tcW w:w="1095" w:type="pct"/>
            <w:vMerge w:val="continue"/>
            <w:vAlign w:val="center"/>
          </w:tcPr>
          <w:p w14:paraId="59CDE2A0">
            <w:pPr>
              <w:pStyle w:val="37"/>
              <w:spacing w:before="62" w:after="62"/>
              <w:rPr>
                <w:color w:val="auto"/>
                <w:highlight w:val="none"/>
              </w:rPr>
            </w:pPr>
          </w:p>
        </w:tc>
        <w:tc>
          <w:tcPr>
            <w:tcW w:w="679" w:type="pct"/>
            <w:vMerge w:val="continue"/>
            <w:vAlign w:val="center"/>
          </w:tcPr>
          <w:p w14:paraId="4A7BE74C">
            <w:pPr>
              <w:pStyle w:val="37"/>
              <w:spacing w:before="62" w:after="62"/>
              <w:rPr>
                <w:color w:val="auto"/>
                <w:highlight w:val="none"/>
              </w:rPr>
            </w:pPr>
          </w:p>
        </w:tc>
        <w:tc>
          <w:tcPr>
            <w:tcW w:w="1400" w:type="pct"/>
            <w:vMerge w:val="continue"/>
            <w:vAlign w:val="center"/>
          </w:tcPr>
          <w:p w14:paraId="0E6519EA">
            <w:pPr>
              <w:pStyle w:val="37"/>
              <w:spacing w:before="62" w:after="62"/>
              <w:rPr>
                <w:color w:val="auto"/>
                <w:highlight w:val="none"/>
              </w:rPr>
            </w:pPr>
          </w:p>
        </w:tc>
      </w:tr>
      <w:tr w14:paraId="0256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2" w:type="pct"/>
            <w:vMerge w:val="continue"/>
            <w:vAlign w:val="center"/>
          </w:tcPr>
          <w:p w14:paraId="2D8EF761">
            <w:pPr>
              <w:pStyle w:val="37"/>
              <w:spacing w:before="62" w:after="62"/>
              <w:rPr>
                <w:color w:val="auto"/>
                <w:highlight w:val="none"/>
              </w:rPr>
            </w:pPr>
          </w:p>
        </w:tc>
        <w:tc>
          <w:tcPr>
            <w:tcW w:w="1582" w:type="pct"/>
            <w:gridSpan w:val="2"/>
            <w:vAlign w:val="center"/>
          </w:tcPr>
          <w:p w14:paraId="60B51682">
            <w:pPr>
              <w:pStyle w:val="37"/>
              <w:spacing w:before="62" w:after="62"/>
              <w:rPr>
                <w:color w:val="auto"/>
                <w:highlight w:val="none"/>
              </w:rPr>
            </w:pPr>
            <w:r>
              <w:rPr>
                <w:color w:val="auto"/>
                <w:highlight w:val="none"/>
              </w:rPr>
              <w:t>3#：场地下游污染扩散监测井E103.620951°，N29.508814°</w:t>
            </w:r>
          </w:p>
        </w:tc>
        <w:tc>
          <w:tcPr>
            <w:tcW w:w="1095" w:type="pct"/>
            <w:vMerge w:val="continue"/>
            <w:vAlign w:val="center"/>
          </w:tcPr>
          <w:p w14:paraId="1E2D6400">
            <w:pPr>
              <w:pStyle w:val="37"/>
              <w:spacing w:before="62" w:after="62"/>
              <w:rPr>
                <w:color w:val="auto"/>
                <w:highlight w:val="none"/>
              </w:rPr>
            </w:pPr>
          </w:p>
        </w:tc>
        <w:tc>
          <w:tcPr>
            <w:tcW w:w="679" w:type="pct"/>
            <w:vMerge w:val="continue"/>
            <w:vAlign w:val="center"/>
          </w:tcPr>
          <w:p w14:paraId="4E62279F">
            <w:pPr>
              <w:pStyle w:val="37"/>
              <w:spacing w:before="62" w:after="62"/>
              <w:rPr>
                <w:color w:val="auto"/>
                <w:highlight w:val="none"/>
              </w:rPr>
            </w:pPr>
          </w:p>
        </w:tc>
        <w:tc>
          <w:tcPr>
            <w:tcW w:w="1400" w:type="pct"/>
            <w:vMerge w:val="continue"/>
            <w:vAlign w:val="center"/>
          </w:tcPr>
          <w:p w14:paraId="2696CD83">
            <w:pPr>
              <w:pStyle w:val="37"/>
              <w:spacing w:before="62" w:after="62"/>
              <w:rPr>
                <w:color w:val="auto"/>
                <w:highlight w:val="none"/>
              </w:rPr>
            </w:pPr>
          </w:p>
        </w:tc>
      </w:tr>
      <w:tr w14:paraId="3A0F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2" w:type="pct"/>
            <w:vAlign w:val="center"/>
          </w:tcPr>
          <w:p w14:paraId="5C5F17F8">
            <w:pPr>
              <w:pStyle w:val="37"/>
              <w:spacing w:before="62" w:after="62"/>
              <w:rPr>
                <w:color w:val="auto"/>
                <w:highlight w:val="none"/>
              </w:rPr>
            </w:pPr>
            <w:r>
              <w:rPr>
                <w:color w:val="auto"/>
                <w:highlight w:val="none"/>
              </w:rPr>
              <w:t>土壤</w:t>
            </w:r>
          </w:p>
        </w:tc>
        <w:tc>
          <w:tcPr>
            <w:tcW w:w="1582" w:type="pct"/>
            <w:gridSpan w:val="2"/>
            <w:vAlign w:val="center"/>
          </w:tcPr>
          <w:p w14:paraId="4727689A">
            <w:pPr>
              <w:pStyle w:val="37"/>
              <w:spacing w:before="62" w:after="62"/>
              <w:rPr>
                <w:color w:val="auto"/>
                <w:highlight w:val="none"/>
              </w:rPr>
            </w:pPr>
            <w:r>
              <w:rPr>
                <w:color w:val="auto"/>
                <w:highlight w:val="none"/>
              </w:rPr>
              <w:t>1#：E</w:t>
            </w:r>
            <w:r>
              <w:rPr>
                <w:rFonts w:hint="eastAsia"/>
                <w:color w:val="auto"/>
                <w:highlight w:val="none"/>
              </w:rPr>
              <w:t>103.6130829</w:t>
            </w:r>
            <w:r>
              <w:rPr>
                <w:color w:val="auto"/>
                <w:highlight w:val="none"/>
              </w:rPr>
              <w:t>°，N</w:t>
            </w:r>
            <w:r>
              <w:rPr>
                <w:rFonts w:hint="eastAsia"/>
                <w:color w:val="auto"/>
                <w:highlight w:val="none"/>
              </w:rPr>
              <w:t>29.50649548</w:t>
            </w:r>
            <w:r>
              <w:rPr>
                <w:color w:val="auto"/>
                <w:highlight w:val="none"/>
              </w:rPr>
              <w:t>°；</w:t>
            </w:r>
          </w:p>
          <w:p w14:paraId="4DE4AED1">
            <w:pPr>
              <w:pStyle w:val="37"/>
              <w:spacing w:before="62" w:after="62"/>
              <w:rPr>
                <w:color w:val="auto"/>
                <w:highlight w:val="none"/>
              </w:rPr>
            </w:pPr>
            <w:r>
              <w:rPr>
                <w:color w:val="auto"/>
                <w:highlight w:val="none"/>
              </w:rPr>
              <w:t>2#：E</w:t>
            </w:r>
            <w:r>
              <w:rPr>
                <w:rFonts w:hint="eastAsia"/>
                <w:color w:val="auto"/>
                <w:highlight w:val="none"/>
              </w:rPr>
              <w:t>103.6133732</w:t>
            </w:r>
            <w:r>
              <w:rPr>
                <w:color w:val="auto"/>
                <w:highlight w:val="none"/>
              </w:rPr>
              <w:t>°，N</w:t>
            </w:r>
            <w:r>
              <w:rPr>
                <w:rFonts w:hint="eastAsia"/>
                <w:color w:val="auto"/>
                <w:highlight w:val="none"/>
              </w:rPr>
              <w:t>29.5063051</w:t>
            </w:r>
            <w:r>
              <w:rPr>
                <w:color w:val="auto"/>
                <w:highlight w:val="none"/>
              </w:rPr>
              <w:t>°；</w:t>
            </w:r>
          </w:p>
          <w:p w14:paraId="59135DB8">
            <w:pPr>
              <w:pStyle w:val="37"/>
              <w:spacing w:before="62" w:after="62"/>
              <w:rPr>
                <w:color w:val="auto"/>
                <w:highlight w:val="none"/>
              </w:rPr>
            </w:pPr>
            <w:r>
              <w:rPr>
                <w:color w:val="auto"/>
                <w:highlight w:val="none"/>
              </w:rPr>
              <w:t>3#：E</w:t>
            </w:r>
            <w:r>
              <w:rPr>
                <w:rFonts w:hint="eastAsia"/>
                <w:color w:val="auto"/>
                <w:highlight w:val="none"/>
              </w:rPr>
              <w:t>103.6137063</w:t>
            </w:r>
            <w:r>
              <w:rPr>
                <w:color w:val="auto"/>
                <w:highlight w:val="none"/>
              </w:rPr>
              <w:t>°，N</w:t>
            </w:r>
            <w:r>
              <w:rPr>
                <w:rFonts w:hint="eastAsia"/>
                <w:color w:val="auto"/>
                <w:highlight w:val="none"/>
              </w:rPr>
              <w:t>29.5060957</w:t>
            </w:r>
            <w:r>
              <w:rPr>
                <w:color w:val="auto"/>
                <w:highlight w:val="none"/>
              </w:rPr>
              <w:t>°。</w:t>
            </w:r>
          </w:p>
        </w:tc>
        <w:tc>
          <w:tcPr>
            <w:tcW w:w="1095" w:type="pct"/>
            <w:vAlign w:val="center"/>
          </w:tcPr>
          <w:p w14:paraId="56FF34DC">
            <w:pPr>
              <w:pStyle w:val="37"/>
              <w:spacing w:before="62" w:after="62"/>
              <w:rPr>
                <w:color w:val="auto"/>
                <w:highlight w:val="none"/>
              </w:rPr>
            </w:pPr>
            <w:r>
              <w:rPr>
                <w:color w:val="auto"/>
                <w:highlight w:val="none"/>
              </w:rPr>
              <w:t>《土壤环境质量建设用地土壤污染风险管控标准（试行）》（GB36600-2018）中45项基本因子+特征因子（锂、石油烃）</w:t>
            </w:r>
          </w:p>
        </w:tc>
        <w:tc>
          <w:tcPr>
            <w:tcW w:w="679" w:type="pct"/>
            <w:vAlign w:val="center"/>
          </w:tcPr>
          <w:p w14:paraId="179BADAC">
            <w:pPr>
              <w:pStyle w:val="37"/>
              <w:spacing w:before="62" w:after="62"/>
              <w:rPr>
                <w:color w:val="auto"/>
                <w:highlight w:val="none"/>
              </w:rPr>
            </w:pPr>
            <w:r>
              <w:rPr>
                <w:color w:val="auto"/>
                <w:highlight w:val="none"/>
              </w:rPr>
              <w:t>每3年1次</w:t>
            </w:r>
          </w:p>
        </w:tc>
        <w:tc>
          <w:tcPr>
            <w:tcW w:w="1400" w:type="pct"/>
            <w:vAlign w:val="center"/>
          </w:tcPr>
          <w:p w14:paraId="4A62597B">
            <w:pPr>
              <w:pStyle w:val="37"/>
              <w:spacing w:before="62" w:after="62"/>
              <w:rPr>
                <w:color w:val="auto"/>
                <w:highlight w:val="none"/>
              </w:rPr>
            </w:pPr>
            <w:r>
              <w:rPr>
                <w:color w:val="auto"/>
                <w:highlight w:val="none"/>
              </w:rPr>
              <w:t>《土壤环境质量建设用地土壤污染风险管控标准（试行）》（GB36600-2018）</w:t>
            </w:r>
            <w:r>
              <w:rPr>
                <w:rFonts w:hint="eastAsia"/>
                <w:color w:val="auto"/>
                <w:highlight w:val="none"/>
              </w:rPr>
              <w:t>第二类用地筛选值</w:t>
            </w:r>
          </w:p>
        </w:tc>
      </w:tr>
    </w:tbl>
    <w:p w14:paraId="01BF4A84">
      <w:pPr>
        <w:overflowPunct w:val="0"/>
        <w:adjustRightInd w:val="0"/>
        <w:ind w:firstLine="480"/>
        <w:rPr>
          <w:rFonts w:cs="Times New Roman"/>
          <w:color w:val="auto"/>
          <w:kern w:val="21"/>
          <w:szCs w:val="22"/>
          <w:highlight w:val="none"/>
        </w:rPr>
      </w:pPr>
      <w:r>
        <w:rPr>
          <w:rFonts w:cs="Times New Roman"/>
          <w:color w:val="auto"/>
          <w:kern w:val="21"/>
          <w:szCs w:val="22"/>
          <w:highlight w:val="none"/>
        </w:rPr>
        <w:t>上述监测任务也可委托当地有资质的单位进行监测，监测结果和污染防治措施运行情况等应以报表形式上报乐山市生态环境局备案。另外，建议建设单位对评价范围内的地下水跟踪监测的结果进行统计分析，了解其变化范围及规律，进一步探索处理后废水综合利用的合理方案。</w:t>
      </w:r>
    </w:p>
    <w:p w14:paraId="229A4C0C">
      <w:pPr>
        <w:pStyle w:val="3"/>
        <w:adjustRightInd w:val="0"/>
        <w:rPr>
          <w:rFonts w:cs="Times New Roman"/>
          <w:color w:val="auto"/>
          <w:highlight w:val="none"/>
        </w:rPr>
      </w:pPr>
      <w:bookmarkStart w:id="369" w:name="_Toc28201"/>
      <w:bookmarkStart w:id="370" w:name="_Toc31493"/>
      <w:bookmarkStart w:id="371" w:name="_Toc15684"/>
      <w:r>
        <w:rPr>
          <w:rFonts w:cs="Times New Roman"/>
          <w:color w:val="auto"/>
          <w:highlight w:val="none"/>
        </w:rPr>
        <w:t>环境监理</w:t>
      </w:r>
      <w:bookmarkEnd w:id="369"/>
      <w:bookmarkEnd w:id="370"/>
      <w:bookmarkEnd w:id="371"/>
    </w:p>
    <w:p w14:paraId="146434A4">
      <w:pPr>
        <w:pStyle w:val="4"/>
        <w:adjustRightInd w:val="0"/>
        <w:rPr>
          <w:rFonts w:cs="Times New Roman"/>
          <w:color w:val="auto"/>
          <w:highlight w:val="none"/>
        </w:rPr>
      </w:pPr>
      <w:bookmarkStart w:id="372" w:name="_Toc26664"/>
      <w:bookmarkStart w:id="373" w:name="_Toc19328"/>
      <w:bookmarkStart w:id="374" w:name="_Toc22151"/>
      <w:r>
        <w:rPr>
          <w:rFonts w:cs="Times New Roman"/>
          <w:color w:val="auto"/>
          <w:highlight w:val="none"/>
        </w:rPr>
        <w:t>环境监理的目的、依据及原则</w:t>
      </w:r>
      <w:bookmarkEnd w:id="372"/>
      <w:bookmarkEnd w:id="373"/>
      <w:bookmarkEnd w:id="374"/>
    </w:p>
    <w:p w14:paraId="63443E9C">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一、环境监理的目的</w:t>
      </w:r>
    </w:p>
    <w:p w14:paraId="4C22C801">
      <w:pPr>
        <w:overflowPunct w:val="0"/>
        <w:adjustRightInd w:val="0"/>
        <w:ind w:firstLine="480"/>
        <w:rPr>
          <w:rFonts w:cs="Times New Roman"/>
          <w:color w:val="auto"/>
          <w:kern w:val="21"/>
          <w:szCs w:val="22"/>
          <w:highlight w:val="none"/>
        </w:rPr>
      </w:pPr>
      <w:r>
        <w:rPr>
          <w:rFonts w:cs="Times New Roman"/>
          <w:color w:val="auto"/>
          <w:kern w:val="21"/>
          <w:szCs w:val="22"/>
          <w:highlight w:val="none"/>
        </w:rPr>
        <w:t>（1）实现工程建设项目环保目标；</w:t>
      </w:r>
    </w:p>
    <w:p w14:paraId="6D5FA654">
      <w:pPr>
        <w:overflowPunct w:val="0"/>
        <w:adjustRightInd w:val="0"/>
        <w:ind w:firstLine="480"/>
        <w:rPr>
          <w:rFonts w:cs="Times New Roman"/>
          <w:color w:val="auto"/>
          <w:kern w:val="21"/>
          <w:szCs w:val="22"/>
          <w:highlight w:val="none"/>
        </w:rPr>
      </w:pPr>
      <w:r>
        <w:rPr>
          <w:rFonts w:cs="Times New Roman"/>
          <w:color w:val="auto"/>
          <w:kern w:val="21"/>
          <w:szCs w:val="22"/>
          <w:highlight w:val="none"/>
        </w:rPr>
        <w:t>（2）落实环境保护设施与措施，防止环境污染和生态破坏；</w:t>
      </w:r>
    </w:p>
    <w:p w14:paraId="097CC7CD">
      <w:pPr>
        <w:overflowPunct w:val="0"/>
        <w:adjustRightInd w:val="0"/>
        <w:ind w:firstLine="480"/>
        <w:rPr>
          <w:rFonts w:cs="Times New Roman"/>
          <w:color w:val="auto"/>
          <w:kern w:val="21"/>
          <w:szCs w:val="22"/>
          <w:highlight w:val="none"/>
        </w:rPr>
      </w:pPr>
      <w:r>
        <w:rPr>
          <w:rFonts w:cs="Times New Roman"/>
          <w:color w:val="auto"/>
          <w:kern w:val="21"/>
          <w:szCs w:val="22"/>
          <w:highlight w:val="none"/>
        </w:rPr>
        <w:t>（3）满足工程竣工环境保护验收要求。</w:t>
      </w:r>
    </w:p>
    <w:p w14:paraId="1309AA83">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二、环境监理的依据</w:t>
      </w:r>
    </w:p>
    <w:p w14:paraId="74DF2F6A">
      <w:pPr>
        <w:overflowPunct w:val="0"/>
        <w:adjustRightInd w:val="0"/>
        <w:ind w:firstLine="480"/>
        <w:rPr>
          <w:rFonts w:cs="Times New Roman"/>
          <w:color w:val="auto"/>
          <w:kern w:val="21"/>
          <w:szCs w:val="22"/>
          <w:highlight w:val="none"/>
        </w:rPr>
      </w:pPr>
      <w:r>
        <w:rPr>
          <w:rFonts w:cs="Times New Roman"/>
          <w:color w:val="auto"/>
          <w:kern w:val="21"/>
          <w:szCs w:val="22"/>
          <w:highlight w:val="none"/>
        </w:rPr>
        <w:t>（1）国家和生态环境部及四川省有关的法律法规和规章；</w:t>
      </w:r>
    </w:p>
    <w:p w14:paraId="312AEED1">
      <w:pPr>
        <w:overflowPunct w:val="0"/>
        <w:adjustRightInd w:val="0"/>
        <w:ind w:firstLine="480"/>
        <w:rPr>
          <w:rFonts w:cs="Times New Roman"/>
          <w:color w:val="auto"/>
          <w:kern w:val="21"/>
          <w:szCs w:val="22"/>
          <w:highlight w:val="none"/>
        </w:rPr>
      </w:pPr>
      <w:r>
        <w:rPr>
          <w:rFonts w:cs="Times New Roman"/>
          <w:color w:val="auto"/>
          <w:kern w:val="21"/>
          <w:szCs w:val="22"/>
          <w:highlight w:val="none"/>
        </w:rPr>
        <w:t>（2）环境影响评价有关的技术原则和标准；</w:t>
      </w:r>
    </w:p>
    <w:p w14:paraId="5718A4C3">
      <w:pPr>
        <w:overflowPunct w:val="0"/>
        <w:adjustRightInd w:val="0"/>
        <w:ind w:firstLine="480"/>
        <w:rPr>
          <w:rFonts w:cs="Times New Roman"/>
          <w:color w:val="auto"/>
          <w:kern w:val="21"/>
          <w:szCs w:val="22"/>
          <w:highlight w:val="none"/>
        </w:rPr>
      </w:pPr>
      <w:r>
        <w:rPr>
          <w:rFonts w:cs="Times New Roman"/>
          <w:color w:val="auto"/>
          <w:kern w:val="21"/>
          <w:szCs w:val="22"/>
          <w:highlight w:val="none"/>
        </w:rPr>
        <w:t>（3）经批准的项目设计文件及环评文件；</w:t>
      </w:r>
    </w:p>
    <w:p w14:paraId="6775A8B3">
      <w:pPr>
        <w:overflowPunct w:val="0"/>
        <w:adjustRightInd w:val="0"/>
        <w:ind w:firstLine="480"/>
        <w:rPr>
          <w:rFonts w:cs="Times New Roman"/>
          <w:color w:val="auto"/>
          <w:kern w:val="21"/>
          <w:szCs w:val="22"/>
          <w:highlight w:val="none"/>
        </w:rPr>
      </w:pPr>
      <w:r>
        <w:rPr>
          <w:rFonts w:cs="Times New Roman"/>
          <w:color w:val="auto"/>
          <w:kern w:val="21"/>
          <w:szCs w:val="22"/>
          <w:highlight w:val="none"/>
        </w:rPr>
        <w:t>（4）监理合同、施工合同等合同文件。</w:t>
      </w:r>
    </w:p>
    <w:p w14:paraId="27D5CF65">
      <w:pPr>
        <w:overflowPunct w:val="0"/>
        <w:adjustRightInd w:val="0"/>
        <w:ind w:firstLine="482"/>
        <w:rPr>
          <w:rFonts w:cs="Times New Roman"/>
          <w:b/>
          <w:color w:val="auto"/>
          <w:kern w:val="21"/>
          <w:szCs w:val="22"/>
          <w:highlight w:val="none"/>
        </w:rPr>
      </w:pPr>
      <w:r>
        <w:rPr>
          <w:rFonts w:cs="Times New Roman"/>
          <w:b/>
          <w:color w:val="auto"/>
          <w:kern w:val="21"/>
          <w:szCs w:val="22"/>
          <w:highlight w:val="none"/>
        </w:rPr>
        <w:t>三、实施环境监理的原则</w:t>
      </w:r>
    </w:p>
    <w:p w14:paraId="50820C8A">
      <w:pPr>
        <w:overflowPunct w:val="0"/>
        <w:adjustRightInd w:val="0"/>
        <w:ind w:firstLine="480"/>
        <w:rPr>
          <w:rFonts w:cs="Times New Roman"/>
          <w:color w:val="auto"/>
          <w:kern w:val="21"/>
          <w:szCs w:val="22"/>
          <w:highlight w:val="none"/>
        </w:rPr>
      </w:pPr>
      <w:r>
        <w:rPr>
          <w:rFonts w:cs="Times New Roman"/>
          <w:color w:val="auto"/>
          <w:kern w:val="21"/>
          <w:szCs w:val="22"/>
          <w:highlight w:val="none"/>
        </w:rPr>
        <w:t>（1）环境监理应成为工程监理的重要组成部分，工程监理单位应有专门的从事环境监理的分支机构及环境保护技术人员；</w:t>
      </w:r>
    </w:p>
    <w:p w14:paraId="2827E27A">
      <w:pPr>
        <w:overflowPunct w:val="0"/>
        <w:adjustRightInd w:val="0"/>
        <w:ind w:firstLine="480"/>
        <w:rPr>
          <w:rFonts w:cs="Times New Roman"/>
          <w:color w:val="auto"/>
          <w:kern w:val="21"/>
          <w:szCs w:val="22"/>
          <w:highlight w:val="none"/>
        </w:rPr>
      </w:pPr>
      <w:r>
        <w:rPr>
          <w:rFonts w:cs="Times New Roman"/>
          <w:color w:val="auto"/>
          <w:kern w:val="21"/>
          <w:szCs w:val="22"/>
          <w:highlight w:val="none"/>
        </w:rPr>
        <w:t>（2）环境监理单位应根据本工程的环境影响评价报告及其批复文件、工程设计文件、工程施工合同及招投标文件、工程监理合同及招标文件等编制环境监理方案，并严格按照指定的环境监理方案实施监理工作；</w:t>
      </w:r>
    </w:p>
    <w:p w14:paraId="1D281BB8">
      <w:pPr>
        <w:overflowPunct w:val="0"/>
        <w:adjustRightInd w:val="0"/>
        <w:ind w:firstLine="480"/>
        <w:rPr>
          <w:rFonts w:cs="Times New Roman"/>
          <w:color w:val="auto"/>
          <w:kern w:val="21"/>
          <w:szCs w:val="22"/>
          <w:highlight w:val="none"/>
        </w:rPr>
      </w:pPr>
      <w:r>
        <w:rPr>
          <w:rFonts w:cs="Times New Roman"/>
          <w:color w:val="auto"/>
          <w:kern w:val="21"/>
          <w:szCs w:val="22"/>
          <w:highlight w:val="none"/>
        </w:rPr>
        <w:t>（3）环境监理的对象是所有由于施工活动可能产生的环境污染，环境监理应以施工期的环境保护、施工后期污染防治措施、生态环境恢复措施的落实情况为重点。</w:t>
      </w:r>
    </w:p>
    <w:p w14:paraId="26BC1A91">
      <w:pPr>
        <w:pStyle w:val="4"/>
        <w:adjustRightInd w:val="0"/>
        <w:rPr>
          <w:rFonts w:cs="Times New Roman"/>
          <w:color w:val="auto"/>
          <w:highlight w:val="none"/>
        </w:rPr>
      </w:pPr>
      <w:bookmarkStart w:id="375" w:name="_Toc14740"/>
      <w:bookmarkStart w:id="376" w:name="_Toc13139"/>
      <w:bookmarkStart w:id="377" w:name="_Toc1245"/>
      <w:r>
        <w:rPr>
          <w:rFonts w:cs="Times New Roman"/>
          <w:color w:val="auto"/>
          <w:highlight w:val="none"/>
        </w:rPr>
        <w:t>环境监理机构、职责及人员</w:t>
      </w:r>
      <w:bookmarkEnd w:id="375"/>
      <w:bookmarkEnd w:id="376"/>
      <w:bookmarkEnd w:id="377"/>
    </w:p>
    <w:p w14:paraId="1953F369">
      <w:pPr>
        <w:overflowPunct w:val="0"/>
        <w:adjustRightInd w:val="0"/>
        <w:ind w:firstLine="480"/>
        <w:rPr>
          <w:rFonts w:cs="Times New Roman"/>
          <w:color w:val="auto"/>
          <w:kern w:val="21"/>
          <w:szCs w:val="22"/>
          <w:highlight w:val="none"/>
        </w:rPr>
      </w:pPr>
      <w:r>
        <w:rPr>
          <w:rFonts w:cs="Times New Roman"/>
          <w:color w:val="auto"/>
          <w:kern w:val="21"/>
          <w:szCs w:val="22"/>
          <w:highlight w:val="none"/>
        </w:rPr>
        <w:t>环境监理机构依法对施工单位、承包商、供应商执行国家环保法律、法规、制度、标准、规范的情况进行监督检查，协助建设单位落实施工期间的各项环境保护合同条款和协议，确保本项目的建设符合国家环保法规的要求。</w:t>
      </w:r>
    </w:p>
    <w:p w14:paraId="44ADC89A">
      <w:pPr>
        <w:pStyle w:val="4"/>
        <w:adjustRightInd w:val="0"/>
        <w:rPr>
          <w:rFonts w:cs="Times New Roman"/>
          <w:color w:val="auto"/>
          <w:highlight w:val="none"/>
        </w:rPr>
      </w:pPr>
      <w:bookmarkStart w:id="378" w:name="_Toc899"/>
      <w:bookmarkStart w:id="379" w:name="_Toc28088"/>
      <w:bookmarkStart w:id="380" w:name="_Toc24761"/>
      <w:r>
        <w:rPr>
          <w:rFonts w:cs="Times New Roman"/>
          <w:color w:val="auto"/>
          <w:highlight w:val="none"/>
        </w:rPr>
        <w:t>环境监理主要内容</w:t>
      </w:r>
      <w:bookmarkEnd w:id="378"/>
      <w:bookmarkEnd w:id="379"/>
      <w:bookmarkEnd w:id="380"/>
    </w:p>
    <w:p w14:paraId="59F5A465">
      <w:pPr>
        <w:overflowPunct w:val="0"/>
        <w:adjustRightInd w:val="0"/>
        <w:ind w:firstLine="480"/>
        <w:rPr>
          <w:rFonts w:cs="Times New Roman"/>
          <w:color w:val="auto"/>
          <w:kern w:val="21"/>
          <w:szCs w:val="22"/>
          <w:highlight w:val="none"/>
        </w:rPr>
      </w:pPr>
      <w:r>
        <w:rPr>
          <w:rFonts w:cs="Times New Roman"/>
          <w:color w:val="auto"/>
          <w:kern w:val="21"/>
          <w:szCs w:val="22"/>
          <w:highlight w:val="none"/>
        </w:rPr>
        <w:t>工程环境监理主要内容包括环保达标监理和环保工程监理。环保达标监理是使主体工程的施工符合环境保护的要求，如噪声、废气、污水等排放应达到有关的标准等。环保工程监理包括生态环境保护、水土保持</w:t>
      </w:r>
      <w:r>
        <w:rPr>
          <w:rFonts w:hint="eastAsia" w:cs="Times New Roman"/>
          <w:color w:val="auto"/>
          <w:kern w:val="21"/>
          <w:szCs w:val="22"/>
          <w:highlight w:val="none"/>
        </w:rPr>
        <w:t>等</w:t>
      </w:r>
      <w:r>
        <w:rPr>
          <w:rFonts w:cs="Times New Roman"/>
          <w:color w:val="auto"/>
          <w:kern w:val="21"/>
          <w:szCs w:val="22"/>
          <w:highlight w:val="none"/>
        </w:rPr>
        <w:t>的保护，包括污水处理设施、边坡防护、排水工程、绿化等在内的环保设施建设的监理。</w:t>
      </w:r>
    </w:p>
    <w:p w14:paraId="3FB09879">
      <w:pPr>
        <w:pStyle w:val="4"/>
        <w:adjustRightInd w:val="0"/>
        <w:rPr>
          <w:rFonts w:cs="Times New Roman"/>
          <w:color w:val="auto"/>
          <w:highlight w:val="none"/>
        </w:rPr>
      </w:pPr>
      <w:bookmarkStart w:id="381" w:name="_Toc9836"/>
      <w:bookmarkStart w:id="382" w:name="_Toc15364"/>
      <w:bookmarkStart w:id="383" w:name="_Toc23614"/>
      <w:r>
        <w:rPr>
          <w:rFonts w:cs="Times New Roman"/>
          <w:color w:val="auto"/>
          <w:highlight w:val="none"/>
        </w:rPr>
        <w:t>本项目环境监理计划</w:t>
      </w:r>
      <w:bookmarkEnd w:id="381"/>
      <w:bookmarkEnd w:id="382"/>
      <w:bookmarkEnd w:id="383"/>
    </w:p>
    <w:p w14:paraId="74D6355E">
      <w:pPr>
        <w:overflowPunct w:val="0"/>
        <w:adjustRightInd w:val="0"/>
        <w:ind w:firstLine="480"/>
        <w:rPr>
          <w:rFonts w:cs="Times New Roman"/>
          <w:color w:val="auto"/>
          <w:kern w:val="21"/>
          <w:szCs w:val="22"/>
          <w:highlight w:val="none"/>
        </w:rPr>
      </w:pPr>
      <w:r>
        <w:rPr>
          <w:rFonts w:cs="Times New Roman"/>
          <w:color w:val="auto"/>
          <w:kern w:val="21"/>
          <w:szCs w:val="22"/>
          <w:highlight w:val="none"/>
        </w:rPr>
        <w:t>本工程环境监理计划可分为三个阶段：设计阶段环境监理，施工阶段环境监理，竣工阶段环境监理。</w:t>
      </w:r>
    </w:p>
    <w:p w14:paraId="58CA4810">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（1）设计阶段的环境监理</w:t>
      </w:r>
    </w:p>
    <w:p w14:paraId="633B83D3">
      <w:pPr>
        <w:overflowPunct w:val="0"/>
        <w:adjustRightInd w:val="0"/>
        <w:ind w:firstLine="480"/>
        <w:rPr>
          <w:rFonts w:cs="Times New Roman"/>
          <w:color w:val="auto"/>
          <w:kern w:val="21"/>
          <w:szCs w:val="22"/>
          <w:highlight w:val="none"/>
        </w:rPr>
      </w:pPr>
      <w:r>
        <w:rPr>
          <w:rFonts w:cs="Times New Roman"/>
          <w:color w:val="auto"/>
          <w:kern w:val="21"/>
          <w:szCs w:val="22"/>
          <w:highlight w:val="none"/>
        </w:rPr>
        <w:t>①对施工图纸有关环境保护工程或措施进行复查、核对、优化和完善设计，对有关设计问题提出合理化建议；</w:t>
      </w:r>
    </w:p>
    <w:p w14:paraId="7D3D12B6">
      <w:pPr>
        <w:overflowPunct w:val="0"/>
        <w:adjustRightInd w:val="0"/>
        <w:ind w:firstLine="480"/>
        <w:rPr>
          <w:rFonts w:cs="Times New Roman"/>
          <w:color w:val="auto"/>
          <w:kern w:val="21"/>
          <w:szCs w:val="22"/>
          <w:highlight w:val="none"/>
        </w:rPr>
      </w:pPr>
      <w:r>
        <w:rPr>
          <w:rFonts w:cs="Times New Roman"/>
          <w:color w:val="auto"/>
          <w:kern w:val="21"/>
          <w:szCs w:val="22"/>
          <w:highlight w:val="none"/>
        </w:rPr>
        <w:t>②审验环境管理方案与措施，包括有无文件化的环境管理方案。该方案能否保证环境目标的实现，是否规定了环境职责，明确了组织机构的设置、职责的规定、工作程序的规定等。</w:t>
      </w:r>
    </w:p>
    <w:p w14:paraId="2B03C0E3">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（2）施工期的环境监理</w:t>
      </w:r>
    </w:p>
    <w:p w14:paraId="4A0B862D">
      <w:pPr>
        <w:overflowPunct w:val="0"/>
        <w:adjustRightInd w:val="0"/>
        <w:ind w:firstLine="480"/>
        <w:rPr>
          <w:rFonts w:cs="Times New Roman"/>
          <w:color w:val="auto"/>
          <w:kern w:val="21"/>
          <w:szCs w:val="22"/>
          <w:highlight w:val="none"/>
        </w:rPr>
      </w:pPr>
      <w:r>
        <w:rPr>
          <w:rFonts w:cs="Times New Roman"/>
          <w:color w:val="auto"/>
          <w:kern w:val="21"/>
          <w:szCs w:val="22"/>
          <w:highlight w:val="none"/>
        </w:rPr>
        <w:t>环境监理单位将对工程承包商的施工活动及可能造成生态破坏的环节进行全方位的巡视与检查。现场检查施工是否按工程监理中所规定的环境保护条款进行，有无擅自改变；是否按环保设计要求进行；施工过程中是否执行了本工程的环境影响报告及其批复所要求的各项环保措施；并参与调查处理生态破坏事故和环境污染事件纠纷。</w:t>
      </w:r>
    </w:p>
    <w:p w14:paraId="372751A7">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（3）竣工验收阶段的环境监理</w:t>
      </w:r>
    </w:p>
    <w:p w14:paraId="7A743D52">
      <w:pPr>
        <w:overflowPunct w:val="0"/>
        <w:adjustRightInd w:val="0"/>
        <w:ind w:firstLine="480"/>
        <w:rPr>
          <w:rFonts w:cs="Times New Roman"/>
          <w:color w:val="auto"/>
          <w:kern w:val="21"/>
          <w:szCs w:val="22"/>
          <w:highlight w:val="none"/>
        </w:rPr>
      </w:pPr>
      <w:r>
        <w:rPr>
          <w:rFonts w:cs="Times New Roman"/>
          <w:color w:val="auto"/>
          <w:kern w:val="21"/>
          <w:szCs w:val="22"/>
          <w:highlight w:val="none"/>
        </w:rPr>
        <w:t>监理单位应参加项目竣工环境验收。本工程竣工验收阶段环境监理的主要内容包括：</w:t>
      </w:r>
    </w:p>
    <w:p w14:paraId="586161D5">
      <w:pPr>
        <w:overflowPunct w:val="0"/>
        <w:adjustRightInd w:val="0"/>
        <w:ind w:firstLine="480"/>
        <w:rPr>
          <w:rFonts w:cs="Times New Roman"/>
          <w:color w:val="auto"/>
          <w:kern w:val="21"/>
          <w:szCs w:val="22"/>
          <w:highlight w:val="none"/>
        </w:rPr>
      </w:pPr>
      <w:r>
        <w:rPr>
          <w:rFonts w:cs="Times New Roman"/>
          <w:color w:val="auto"/>
          <w:kern w:val="21"/>
          <w:szCs w:val="22"/>
          <w:highlight w:val="none"/>
        </w:rPr>
        <w:t>①环境监理单位出具工程环境监理总结报告，协助建设单位进行环境保护自主验收。</w:t>
      </w:r>
    </w:p>
    <w:p w14:paraId="2AF309B6">
      <w:pPr>
        <w:overflowPunct w:val="0"/>
        <w:adjustRightInd w:val="0"/>
        <w:ind w:firstLine="480"/>
        <w:rPr>
          <w:rFonts w:cs="Times New Roman"/>
          <w:color w:val="auto"/>
          <w:kern w:val="21"/>
          <w:szCs w:val="22"/>
          <w:highlight w:val="none"/>
        </w:rPr>
      </w:pPr>
      <w:r>
        <w:rPr>
          <w:rFonts w:cs="Times New Roman"/>
          <w:color w:val="auto"/>
          <w:kern w:val="21"/>
          <w:szCs w:val="22"/>
          <w:highlight w:val="none"/>
        </w:rPr>
        <w:t>②监理业务完成后，监理单位应妥善保管或按规定将相关环境监理文件提交有关部门。</w:t>
      </w:r>
    </w:p>
    <w:p w14:paraId="48C86315">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4</w:t>
      </w:r>
      <w:r>
        <w:rPr>
          <w:rFonts w:cs="Times New Roman"/>
          <w:color w:val="auto"/>
          <w:highlight w:val="none"/>
        </w:rPr>
        <w:fldChar w:fldCharType="end"/>
      </w:r>
      <w:r>
        <w:rPr>
          <w:rFonts w:cs="Times New Roman"/>
          <w:color w:val="auto"/>
          <w:kern w:val="21"/>
          <w:szCs w:val="21"/>
          <w:highlight w:val="none"/>
        </w:rPr>
        <w:t>项目施工期环境监理内容</w:t>
      </w:r>
    </w:p>
    <w:tbl>
      <w:tblPr>
        <w:tblStyle w:val="3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
        <w:gridCol w:w="7890"/>
      </w:tblGrid>
      <w:tr w14:paraId="3071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4" w:type="pct"/>
            <w:vAlign w:val="center"/>
          </w:tcPr>
          <w:p w14:paraId="4A8DFFE9">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环境问题</w:t>
            </w:r>
          </w:p>
        </w:tc>
        <w:tc>
          <w:tcPr>
            <w:tcW w:w="4355" w:type="pct"/>
            <w:vAlign w:val="center"/>
          </w:tcPr>
          <w:p w14:paraId="449F5AF8">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监理内容</w:t>
            </w:r>
          </w:p>
        </w:tc>
      </w:tr>
      <w:tr w14:paraId="43AE3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17F8457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空气污染</w:t>
            </w:r>
          </w:p>
        </w:tc>
        <w:tc>
          <w:tcPr>
            <w:tcW w:w="4355" w:type="pct"/>
            <w:vAlign w:val="center"/>
          </w:tcPr>
          <w:p w14:paraId="2A8ECF29">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施工场地采取洒水措施，以降低施工期扬尘，减少大气污染；料堆和贮料场须遮盖或洒水以防止扬尘污染；运送建筑材料等车辆采用遮盖措施，减少跑漏。</w:t>
            </w:r>
          </w:p>
        </w:tc>
      </w:tr>
      <w:tr w14:paraId="4EB92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0C802D6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水环境</w:t>
            </w:r>
          </w:p>
        </w:tc>
        <w:tc>
          <w:tcPr>
            <w:tcW w:w="4355" w:type="pct"/>
            <w:vAlign w:val="center"/>
          </w:tcPr>
          <w:p w14:paraId="2C5B8990">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项目施工期生活污水经预处理池处理后外排污水处理厂。</w:t>
            </w:r>
          </w:p>
        </w:tc>
      </w:tr>
      <w:tr w14:paraId="5460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2F1D912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固体废物</w:t>
            </w:r>
          </w:p>
        </w:tc>
        <w:tc>
          <w:tcPr>
            <w:tcW w:w="4355" w:type="pct"/>
            <w:vAlign w:val="center"/>
          </w:tcPr>
          <w:p w14:paraId="1C5718D5">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szCs w:val="18"/>
                <w:highlight w:val="none"/>
              </w:rPr>
              <w:t>在</w:t>
            </w:r>
            <w:r>
              <w:rPr>
                <w:rFonts w:cs="Times New Roman"/>
                <w:color w:val="auto"/>
                <w:kern w:val="21"/>
                <w:sz w:val="21"/>
                <w:szCs w:val="20"/>
                <w:highlight w:val="none"/>
              </w:rPr>
              <w:t>施工期主体工程和设备安装过程中</w:t>
            </w:r>
            <w:r>
              <w:rPr>
                <w:rFonts w:cs="Times New Roman"/>
                <w:color w:val="auto"/>
                <w:kern w:val="21"/>
                <w:sz w:val="21"/>
                <w:highlight w:val="none"/>
              </w:rPr>
              <w:t>会产生一定数量的</w:t>
            </w:r>
            <w:r>
              <w:rPr>
                <w:rFonts w:cs="Times New Roman"/>
                <w:color w:val="auto"/>
                <w:kern w:val="21"/>
                <w:sz w:val="21"/>
                <w:szCs w:val="20"/>
                <w:highlight w:val="none"/>
              </w:rPr>
              <w:t>建筑垃圾，如废纸板、编织袋等；</w:t>
            </w:r>
            <w:r>
              <w:rPr>
                <w:rFonts w:cs="Times New Roman"/>
                <w:color w:val="auto"/>
                <w:kern w:val="21"/>
                <w:sz w:val="21"/>
                <w:highlight w:val="none"/>
              </w:rPr>
              <w:t>还会产生一定数量的装修垃圾，如废油漆桶、废涂料桶等，建筑垃圾中可回收利用的</w:t>
            </w:r>
            <w:r>
              <w:rPr>
                <w:rFonts w:cs="Times New Roman"/>
                <w:color w:val="auto"/>
                <w:kern w:val="21"/>
                <w:sz w:val="21"/>
                <w:szCs w:val="20"/>
                <w:highlight w:val="none"/>
              </w:rPr>
              <w:t>出售给废品回收站，不能回收的运往政府指定堆放点；</w:t>
            </w:r>
            <w:r>
              <w:rPr>
                <w:rFonts w:cs="Times New Roman"/>
                <w:color w:val="auto"/>
                <w:kern w:val="21"/>
                <w:sz w:val="21"/>
                <w:highlight w:val="none"/>
              </w:rPr>
              <w:t>废油漆桶、废涂料桶等装修垃圾交由有相应危废</w:t>
            </w:r>
            <w:r>
              <w:rPr>
                <w:rFonts w:hint="eastAsia" w:cs="Times New Roman"/>
                <w:color w:val="auto"/>
                <w:kern w:val="21"/>
                <w:sz w:val="21"/>
                <w:highlight w:val="none"/>
              </w:rPr>
              <w:t>资质</w:t>
            </w:r>
            <w:r>
              <w:rPr>
                <w:rFonts w:cs="Times New Roman"/>
                <w:color w:val="auto"/>
                <w:kern w:val="21"/>
                <w:sz w:val="21"/>
                <w:highlight w:val="none"/>
              </w:rPr>
              <w:t>的单位处理。</w:t>
            </w:r>
            <w:r>
              <w:rPr>
                <w:rFonts w:cs="Times New Roman"/>
                <w:color w:val="auto"/>
                <w:kern w:val="21"/>
                <w:sz w:val="21"/>
                <w:szCs w:val="20"/>
                <w:highlight w:val="none"/>
              </w:rPr>
              <w:t>施工过程中产生的生活垃圾经生活垃圾桶集中</w:t>
            </w:r>
            <w:r>
              <w:rPr>
                <w:rFonts w:cs="Times New Roman"/>
                <w:color w:val="auto"/>
                <w:kern w:val="21"/>
                <w:sz w:val="21"/>
                <w:highlight w:val="none"/>
              </w:rPr>
              <w:t>收集后由环卫部门统一清运处理。</w:t>
            </w:r>
          </w:p>
        </w:tc>
      </w:tr>
      <w:tr w14:paraId="4A78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1069704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噪声</w:t>
            </w:r>
          </w:p>
        </w:tc>
        <w:tc>
          <w:tcPr>
            <w:tcW w:w="4355" w:type="pct"/>
            <w:vAlign w:val="center"/>
          </w:tcPr>
          <w:p w14:paraId="38059D80">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严格执行施工场界噪声标准以防止施工人员受噪声侵害，并限制工作时间。优先选用高效率、低噪声设备，并加强机械和车辆的维修和保养，保持其较低噪声水平。</w:t>
            </w:r>
          </w:p>
        </w:tc>
      </w:tr>
      <w:tr w14:paraId="6A2D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7B1B89D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竣工后</w:t>
            </w:r>
          </w:p>
        </w:tc>
        <w:tc>
          <w:tcPr>
            <w:tcW w:w="4355" w:type="pct"/>
            <w:vAlign w:val="center"/>
          </w:tcPr>
          <w:p w14:paraId="6A836E7E">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工程竣工后，要监督管理环境恢复监测和环境恢复计划的落实情况及环保处理设施运行情况。</w:t>
            </w:r>
          </w:p>
          <w:p w14:paraId="4F32C7F1">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a.监督竣工文件的编制；b.组织初验；c.协助业主组织竣工验收；d.编制项目环境监理总结报告；e.整理环境监理竣工资料。</w:t>
            </w:r>
          </w:p>
        </w:tc>
      </w:tr>
      <w:tr w14:paraId="51A7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4" w:type="pct"/>
            <w:vAlign w:val="center"/>
          </w:tcPr>
          <w:p w14:paraId="64DD2D8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现场监理</w:t>
            </w:r>
          </w:p>
        </w:tc>
        <w:tc>
          <w:tcPr>
            <w:tcW w:w="4355" w:type="pct"/>
            <w:vAlign w:val="center"/>
          </w:tcPr>
          <w:p w14:paraId="1429B818">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分项工程施工期间，环境监理工程师将对承包商的环保方面施工及可能产生污染的</w:t>
            </w:r>
            <w:r>
              <w:rPr>
                <w:rFonts w:hint="eastAsia" w:cs="Times New Roman"/>
                <w:color w:val="auto"/>
                <w:kern w:val="21"/>
                <w:sz w:val="21"/>
                <w:highlight w:val="none"/>
              </w:rPr>
              <w:t>环节</w:t>
            </w:r>
            <w:r>
              <w:rPr>
                <w:rFonts w:cs="Times New Roman"/>
                <w:color w:val="auto"/>
                <w:kern w:val="21"/>
                <w:sz w:val="21"/>
                <w:highlight w:val="none"/>
              </w:rPr>
              <w:t>进行全方位的巡视，对主要污染工序进行全过程的旁站、全环节的监测与检查。其工作内容主要有：</w:t>
            </w:r>
          </w:p>
          <w:p w14:paraId="1F882ED6">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a.协调现场施工环境监理工作，重点巡视施工现场，掌握现场的污染动态，督促承包商和监理双方共同执行好环境监理细则，及时发现和处理较重大的环境污染问题。</w:t>
            </w:r>
          </w:p>
          <w:p w14:paraId="46799179">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b.监理工程师对各项环保工程部位的施工工艺进行全过程的旁站监理，现场监测、检查承包人的施工记录。监理工程师应指导监理员并示范如何进行现场监测与检查，注意事项和记录工程的环保状况。</w:t>
            </w:r>
          </w:p>
          <w:p w14:paraId="40CE9E9B">
            <w:pPr>
              <w:overflowPunct w:val="0"/>
              <w:adjustRightInd w:val="0"/>
              <w:spacing w:before="62" w:beforeLines="20" w:after="62" w:afterLines="20" w:line="240" w:lineRule="auto"/>
              <w:ind w:firstLine="0" w:firstLineChars="0"/>
              <w:rPr>
                <w:rFonts w:cs="Times New Roman"/>
                <w:color w:val="auto"/>
                <w:kern w:val="21"/>
                <w:sz w:val="21"/>
                <w:highlight w:val="none"/>
              </w:rPr>
            </w:pPr>
            <w:r>
              <w:rPr>
                <w:rFonts w:cs="Times New Roman"/>
                <w:color w:val="auto"/>
                <w:kern w:val="21"/>
                <w:sz w:val="21"/>
                <w:highlight w:val="none"/>
              </w:rPr>
              <w:t>c.实施现场检查监测。施工是否按环境保护条款进行，有无擅自改变；通过监测的方式检查施工过程中是否满足环保要求；施工作业是否符合环保规范，是否按环保设计要求进行；施工过程中是否执行了保证要求的各项环保措施。监理员应将每天的现场监测和检查情况予以记录并报告环境监理工程师，环境监理工程师应对监理员的工作情况予以监督检查，及时发现处理存在的问题。</w:t>
            </w:r>
          </w:p>
        </w:tc>
      </w:tr>
    </w:tbl>
    <w:p w14:paraId="21816FEB">
      <w:pPr>
        <w:pStyle w:val="3"/>
        <w:adjustRightInd w:val="0"/>
        <w:rPr>
          <w:rFonts w:cs="Times New Roman"/>
          <w:color w:val="auto"/>
          <w:highlight w:val="none"/>
        </w:rPr>
      </w:pPr>
      <w:bookmarkStart w:id="384" w:name="_Toc17399"/>
      <w:bookmarkStart w:id="385" w:name="_Toc6681"/>
      <w:bookmarkStart w:id="386" w:name="_Toc11969"/>
      <w:bookmarkStart w:id="387" w:name="_Toc9514"/>
      <w:bookmarkStart w:id="388" w:name="_Toc11940"/>
      <w:bookmarkStart w:id="389" w:name="_Toc9988"/>
      <w:bookmarkStart w:id="390" w:name="_Toc12628"/>
      <w:r>
        <w:rPr>
          <w:rFonts w:cs="Times New Roman"/>
          <w:color w:val="auto"/>
          <w:highlight w:val="none"/>
        </w:rPr>
        <w:t>环保设施竣工验收管理</w:t>
      </w:r>
      <w:bookmarkEnd w:id="384"/>
      <w:bookmarkEnd w:id="385"/>
      <w:bookmarkEnd w:id="386"/>
      <w:bookmarkEnd w:id="387"/>
      <w:bookmarkEnd w:id="388"/>
      <w:bookmarkEnd w:id="389"/>
      <w:bookmarkEnd w:id="390"/>
    </w:p>
    <w:p w14:paraId="7DAF4C01">
      <w:pPr>
        <w:pStyle w:val="4"/>
        <w:adjustRightInd w:val="0"/>
        <w:rPr>
          <w:rFonts w:cs="Times New Roman"/>
          <w:color w:val="auto"/>
          <w:highlight w:val="none"/>
        </w:rPr>
      </w:pPr>
      <w:bookmarkStart w:id="391" w:name="_Toc18265"/>
      <w:bookmarkStart w:id="392" w:name="_Toc22128"/>
      <w:bookmarkStart w:id="393" w:name="_Toc5496"/>
      <w:bookmarkStart w:id="394" w:name="_Toc29016"/>
      <w:bookmarkStart w:id="395" w:name="_Toc940"/>
      <w:bookmarkStart w:id="396" w:name="_Toc28937"/>
      <w:bookmarkStart w:id="397" w:name="_Toc15440"/>
      <w:r>
        <w:rPr>
          <w:rFonts w:cs="Times New Roman"/>
          <w:color w:val="auto"/>
          <w:highlight w:val="none"/>
        </w:rPr>
        <w:t>环保工程设计要求</w:t>
      </w:r>
      <w:bookmarkEnd w:id="391"/>
      <w:bookmarkEnd w:id="392"/>
      <w:bookmarkEnd w:id="393"/>
      <w:bookmarkEnd w:id="394"/>
      <w:bookmarkEnd w:id="395"/>
      <w:bookmarkEnd w:id="396"/>
      <w:bookmarkEnd w:id="397"/>
    </w:p>
    <w:p w14:paraId="4903C710">
      <w:pPr>
        <w:numPr>
          <w:ilvl w:val="0"/>
          <w:numId w:val="15"/>
        </w:numPr>
        <w:overflowPunct w:val="0"/>
        <w:adjustRightInd w:val="0"/>
        <w:ind w:firstLine="480"/>
        <w:rPr>
          <w:rFonts w:cs="Times New Roman"/>
          <w:color w:val="auto"/>
          <w:kern w:val="21"/>
          <w:szCs w:val="24"/>
          <w:highlight w:val="none"/>
        </w:rPr>
      </w:pPr>
      <w:r>
        <w:rPr>
          <w:rFonts w:cs="Times New Roman"/>
          <w:color w:val="auto"/>
          <w:kern w:val="21"/>
          <w:szCs w:val="24"/>
          <w:highlight w:val="none"/>
        </w:rPr>
        <w:t>按照环评报告书提出的污染防治措施，完善本项目的环保工程设计，并针对本项目的特点，重点做好恶臭的无组织排放污染防治，废水的处理以及污泥的处置与综合利用设计工作，确保工程建成投产后</w:t>
      </w:r>
      <w:r>
        <w:rPr>
          <w:rFonts w:hint="eastAsia" w:cs="Times New Roman"/>
          <w:color w:val="auto"/>
          <w:kern w:val="21"/>
          <w:szCs w:val="24"/>
          <w:highlight w:val="none"/>
        </w:rPr>
        <w:t>“</w:t>
      </w:r>
      <w:r>
        <w:rPr>
          <w:rFonts w:cs="Times New Roman"/>
          <w:color w:val="auto"/>
          <w:kern w:val="21"/>
          <w:szCs w:val="24"/>
          <w:highlight w:val="none"/>
        </w:rPr>
        <w:t>三废</w:t>
      </w:r>
      <w:r>
        <w:rPr>
          <w:rFonts w:hint="eastAsia" w:cs="Times New Roman"/>
          <w:color w:val="auto"/>
          <w:kern w:val="21"/>
          <w:szCs w:val="24"/>
          <w:highlight w:val="none"/>
        </w:rPr>
        <w:t>”</w:t>
      </w:r>
      <w:r>
        <w:rPr>
          <w:rFonts w:cs="Times New Roman"/>
          <w:color w:val="auto"/>
          <w:kern w:val="21"/>
          <w:szCs w:val="24"/>
          <w:highlight w:val="none"/>
        </w:rPr>
        <w:t>做到达标排放；</w:t>
      </w:r>
    </w:p>
    <w:p w14:paraId="30F87EAA">
      <w:pPr>
        <w:numPr>
          <w:ilvl w:val="0"/>
          <w:numId w:val="15"/>
        </w:numPr>
        <w:overflowPunct w:val="0"/>
        <w:adjustRightInd w:val="0"/>
        <w:ind w:firstLine="480"/>
        <w:rPr>
          <w:rFonts w:cs="Times New Roman"/>
          <w:color w:val="auto"/>
          <w:kern w:val="21"/>
          <w:szCs w:val="24"/>
          <w:highlight w:val="none"/>
        </w:rPr>
      </w:pPr>
      <w:r>
        <w:rPr>
          <w:rFonts w:cs="Times New Roman"/>
          <w:color w:val="auto"/>
          <w:kern w:val="21"/>
          <w:szCs w:val="24"/>
          <w:highlight w:val="none"/>
        </w:rPr>
        <w:t>核准环保投资概算，增加环保资金，要求做到专款专用，环保投资及时到位；</w:t>
      </w:r>
    </w:p>
    <w:p w14:paraId="48200F08">
      <w:pPr>
        <w:numPr>
          <w:ilvl w:val="0"/>
          <w:numId w:val="15"/>
        </w:numPr>
        <w:overflowPunct w:val="0"/>
        <w:adjustRightInd w:val="0"/>
        <w:ind w:firstLine="480"/>
        <w:rPr>
          <w:rFonts w:cs="Times New Roman"/>
          <w:color w:val="auto"/>
          <w:kern w:val="21"/>
          <w:szCs w:val="24"/>
          <w:highlight w:val="none"/>
        </w:rPr>
      </w:pPr>
      <w:r>
        <w:rPr>
          <w:rFonts w:cs="Times New Roman"/>
          <w:color w:val="auto"/>
          <w:kern w:val="21"/>
          <w:szCs w:val="24"/>
          <w:highlight w:val="none"/>
        </w:rPr>
        <w:t>主体工程完工后，其配套建设的环境保护设施必须与主体工程同时完工；如需进行试运行，其配套建设的环境保护设施必须与主体工程同时投入运行。</w:t>
      </w:r>
    </w:p>
    <w:p w14:paraId="10ED867E">
      <w:pPr>
        <w:pStyle w:val="4"/>
        <w:adjustRightInd w:val="0"/>
        <w:rPr>
          <w:rFonts w:cs="Times New Roman"/>
          <w:color w:val="auto"/>
          <w:highlight w:val="none"/>
        </w:rPr>
      </w:pPr>
      <w:bookmarkStart w:id="398" w:name="_Toc9186"/>
      <w:bookmarkStart w:id="399" w:name="_Toc27850"/>
      <w:bookmarkStart w:id="400" w:name="_Toc11560"/>
      <w:bookmarkStart w:id="401" w:name="_Toc19517"/>
      <w:bookmarkStart w:id="402" w:name="_Toc32145"/>
      <w:bookmarkStart w:id="403" w:name="_Toc6422"/>
      <w:r>
        <w:rPr>
          <w:rFonts w:cs="Times New Roman"/>
          <w:color w:val="auto"/>
          <w:highlight w:val="none"/>
        </w:rPr>
        <w:t>环保设施验收建议</w:t>
      </w:r>
      <w:bookmarkEnd w:id="398"/>
      <w:bookmarkEnd w:id="399"/>
      <w:bookmarkEnd w:id="400"/>
      <w:bookmarkEnd w:id="401"/>
      <w:bookmarkEnd w:id="402"/>
      <w:bookmarkEnd w:id="403"/>
    </w:p>
    <w:p w14:paraId="034D486C">
      <w:pPr>
        <w:pStyle w:val="5"/>
        <w:adjustRightInd w:val="0"/>
        <w:rPr>
          <w:rFonts w:cs="Times New Roman"/>
          <w:color w:val="auto"/>
          <w:highlight w:val="none"/>
        </w:rPr>
      </w:pPr>
      <w:r>
        <w:rPr>
          <w:rFonts w:cs="Times New Roman"/>
          <w:color w:val="auto"/>
          <w:highlight w:val="none"/>
        </w:rPr>
        <w:t>竣工验收主要内容</w:t>
      </w:r>
    </w:p>
    <w:p w14:paraId="46E01700">
      <w:pPr>
        <w:overflowPunct w:val="0"/>
        <w:adjustRightInd w:val="0"/>
        <w:ind w:firstLine="480"/>
        <w:rPr>
          <w:rFonts w:cs="Times New Roman"/>
          <w:color w:val="auto"/>
          <w:kern w:val="21"/>
          <w:szCs w:val="22"/>
          <w:highlight w:val="none"/>
        </w:rPr>
      </w:pPr>
      <w:r>
        <w:rPr>
          <w:rFonts w:cs="Times New Roman"/>
          <w:color w:val="auto"/>
          <w:kern w:val="21"/>
          <w:szCs w:val="22"/>
          <w:highlight w:val="none"/>
        </w:rPr>
        <w:t>工程建成后应及时组织竣工环境保护验收，对各项环保工程措施的落实情况、效果以及工程建设对环境的影响进行评估。验收小组应由设计单位、施工单位、环评单位、验收监测报告编制机构等单位代表以及专业技术专家等组成。</w:t>
      </w:r>
    </w:p>
    <w:p w14:paraId="1DDF2496">
      <w:pPr>
        <w:overflowPunct w:val="0"/>
        <w:adjustRightInd w:val="0"/>
        <w:ind w:firstLine="480"/>
        <w:rPr>
          <w:rFonts w:cs="Times New Roman"/>
          <w:color w:val="auto"/>
          <w:kern w:val="21"/>
          <w:szCs w:val="22"/>
          <w:highlight w:val="none"/>
        </w:rPr>
      </w:pPr>
      <w:r>
        <w:rPr>
          <w:rFonts w:cs="Times New Roman"/>
          <w:color w:val="auto"/>
          <w:kern w:val="21"/>
          <w:szCs w:val="22"/>
          <w:highlight w:val="none"/>
        </w:rPr>
        <w:t>根据《建设项目环境保护管理条例》（2017.10.1）国务院第682号令、《建设项目竣工环境保护验收暂行办法》（2017.11.20）、《中华人民共和国固体废物污染环境防治法》的有关规定，本项目的水污染防治措施、大气污染防治措施、噪声污染防治措施、固体废物污染防治设施由建设单位自主验收。</w:t>
      </w:r>
    </w:p>
    <w:p w14:paraId="148B40D9">
      <w:pPr>
        <w:pStyle w:val="5"/>
        <w:adjustRightInd w:val="0"/>
        <w:rPr>
          <w:rFonts w:cs="Times New Roman"/>
          <w:color w:val="auto"/>
          <w:highlight w:val="none"/>
        </w:rPr>
      </w:pPr>
      <w:r>
        <w:rPr>
          <w:rFonts w:cs="Times New Roman"/>
          <w:color w:val="auto"/>
          <w:highlight w:val="none"/>
        </w:rPr>
        <w:t>建设单位自主验收相关规定</w:t>
      </w:r>
    </w:p>
    <w:p w14:paraId="3D437AB5">
      <w:pPr>
        <w:adjustRightInd w:val="0"/>
        <w:ind w:firstLine="480"/>
        <w:rPr>
          <w:rFonts w:cs="Times New Roman"/>
          <w:color w:val="auto"/>
          <w:highlight w:val="none"/>
        </w:rPr>
      </w:pPr>
      <w:r>
        <w:rPr>
          <w:rFonts w:cs="Times New Roman"/>
          <w:color w:val="auto"/>
          <w:highlight w:val="none"/>
        </w:rPr>
        <w:t>（1）竣工环境保护验收实行由企业法人负责的自行验收管理</w:t>
      </w:r>
    </w:p>
    <w:p w14:paraId="60C73C3B">
      <w:pPr>
        <w:adjustRightInd w:val="0"/>
        <w:ind w:firstLine="480"/>
        <w:rPr>
          <w:rFonts w:cs="Times New Roman"/>
          <w:color w:val="auto"/>
          <w:highlight w:val="none"/>
        </w:rPr>
      </w:pPr>
      <w:r>
        <w:rPr>
          <w:rFonts w:cs="Times New Roman"/>
          <w:color w:val="auto"/>
          <w:highlight w:val="none"/>
        </w:rPr>
        <w:t>企业自行验收严格按照环境保护主管部门制定的规定程序执行，验收过程完整，验收程序合法。企业自行验收严格落实环境影响报告书（表）及其批复文件要求，验收材料齐全，验收内容全面，适用标准规范，内容不缺项，标准不降低。建设项目主体工程竣工后、正式投产或运行前，企业应自行组织开展建设项目竣工环境保护验收，并编制建设项目竣工环境保护验收调查（监测）报告。</w:t>
      </w:r>
    </w:p>
    <w:p w14:paraId="565E9267">
      <w:pPr>
        <w:overflowPunct w:val="0"/>
        <w:adjustRightInd w:val="0"/>
        <w:ind w:firstLine="480"/>
        <w:rPr>
          <w:rFonts w:cs="Times New Roman"/>
          <w:color w:val="auto"/>
          <w:kern w:val="21"/>
          <w:szCs w:val="22"/>
          <w:highlight w:val="none"/>
        </w:rPr>
      </w:pPr>
      <w:r>
        <w:rPr>
          <w:rFonts w:cs="Times New Roman"/>
          <w:color w:val="auto"/>
          <w:kern w:val="21"/>
          <w:szCs w:val="22"/>
          <w:highlight w:val="none"/>
        </w:rPr>
        <w:t>（2）建设项目竣工环境保护企业自行验收范围</w:t>
      </w:r>
    </w:p>
    <w:p w14:paraId="052353A3">
      <w:pPr>
        <w:overflowPunct w:val="0"/>
        <w:adjustRightInd w:val="0"/>
        <w:ind w:firstLine="480"/>
        <w:rPr>
          <w:rFonts w:cs="Times New Roman"/>
          <w:color w:val="auto"/>
          <w:kern w:val="21"/>
          <w:szCs w:val="22"/>
          <w:highlight w:val="none"/>
        </w:rPr>
      </w:pPr>
      <w:r>
        <w:rPr>
          <w:rFonts w:cs="Times New Roman"/>
          <w:color w:val="auto"/>
          <w:kern w:val="21"/>
          <w:szCs w:val="22"/>
          <w:highlight w:val="none"/>
        </w:rPr>
        <w:t>①环境影响报告书及其批复文件规定的与建设项目有关的各项环境保护设施，包括为防治污染和保护环境所建成或配备的工程、设备、装置和监测手段，各项生态保护设施。</w:t>
      </w:r>
    </w:p>
    <w:p w14:paraId="374C3C01">
      <w:pPr>
        <w:overflowPunct w:val="0"/>
        <w:adjustRightInd w:val="0"/>
        <w:ind w:firstLine="480"/>
        <w:rPr>
          <w:rFonts w:cs="Times New Roman"/>
          <w:color w:val="auto"/>
          <w:kern w:val="21"/>
          <w:szCs w:val="22"/>
          <w:highlight w:val="none"/>
        </w:rPr>
      </w:pPr>
      <w:r>
        <w:rPr>
          <w:rFonts w:cs="Times New Roman"/>
          <w:color w:val="auto"/>
          <w:kern w:val="21"/>
          <w:szCs w:val="22"/>
          <w:highlight w:val="none"/>
        </w:rPr>
        <w:t>②环境影响报告书及其批复文件和有关项目设计文件规定应采取的其他各项环境保护措施。</w:t>
      </w:r>
    </w:p>
    <w:p w14:paraId="02A6B727">
      <w:pPr>
        <w:overflowPunct w:val="0"/>
        <w:adjustRightInd w:val="0"/>
        <w:ind w:firstLine="480"/>
        <w:rPr>
          <w:rFonts w:cs="Times New Roman"/>
          <w:color w:val="auto"/>
          <w:kern w:val="21"/>
          <w:szCs w:val="22"/>
          <w:highlight w:val="none"/>
        </w:rPr>
      </w:pPr>
      <w:r>
        <w:rPr>
          <w:rFonts w:cs="Times New Roman"/>
          <w:color w:val="auto"/>
          <w:kern w:val="21"/>
          <w:szCs w:val="22"/>
          <w:highlight w:val="none"/>
        </w:rPr>
        <w:t>③与建设项目有关的各项环境保护设施、环境保护措施运行效果。</w:t>
      </w:r>
    </w:p>
    <w:p w14:paraId="50CCFCE7">
      <w:pPr>
        <w:overflowPunct w:val="0"/>
        <w:adjustRightInd w:val="0"/>
        <w:ind w:firstLine="480"/>
        <w:rPr>
          <w:rFonts w:cs="Times New Roman"/>
          <w:color w:val="auto"/>
          <w:kern w:val="21"/>
          <w:szCs w:val="22"/>
          <w:highlight w:val="none"/>
        </w:rPr>
      </w:pPr>
      <w:r>
        <w:rPr>
          <w:rFonts w:cs="Times New Roman"/>
          <w:color w:val="auto"/>
          <w:kern w:val="21"/>
          <w:szCs w:val="22"/>
          <w:highlight w:val="none"/>
        </w:rPr>
        <w:t>（3）建设项目竣工环境保护企业自行验收依据</w:t>
      </w:r>
    </w:p>
    <w:p w14:paraId="630F0A6D">
      <w:pPr>
        <w:overflowPunct w:val="0"/>
        <w:adjustRightInd w:val="0"/>
        <w:ind w:firstLine="480"/>
        <w:rPr>
          <w:rFonts w:cs="Times New Roman"/>
          <w:color w:val="auto"/>
          <w:kern w:val="21"/>
          <w:szCs w:val="22"/>
          <w:highlight w:val="none"/>
        </w:rPr>
      </w:pPr>
      <w:r>
        <w:rPr>
          <w:rFonts w:cs="Times New Roman"/>
          <w:color w:val="auto"/>
          <w:kern w:val="21"/>
          <w:szCs w:val="22"/>
          <w:highlight w:val="none"/>
        </w:rPr>
        <w:t>①《建设项目环境保护管理条例》等相关法律规定。</w:t>
      </w:r>
    </w:p>
    <w:p w14:paraId="530FE6A4">
      <w:pPr>
        <w:overflowPunct w:val="0"/>
        <w:adjustRightInd w:val="0"/>
        <w:ind w:firstLine="480"/>
        <w:rPr>
          <w:rFonts w:cs="Times New Roman"/>
          <w:color w:val="auto"/>
          <w:kern w:val="21"/>
          <w:szCs w:val="22"/>
          <w:highlight w:val="none"/>
        </w:rPr>
      </w:pPr>
      <w:r>
        <w:rPr>
          <w:rFonts w:cs="Times New Roman"/>
          <w:color w:val="auto"/>
          <w:kern w:val="21"/>
          <w:szCs w:val="22"/>
          <w:highlight w:val="none"/>
        </w:rPr>
        <w:t>②环境影响报告书及其批复文件。</w:t>
      </w:r>
    </w:p>
    <w:p w14:paraId="241002C3">
      <w:pPr>
        <w:overflowPunct w:val="0"/>
        <w:adjustRightInd w:val="0"/>
        <w:ind w:firstLine="480"/>
        <w:rPr>
          <w:rFonts w:cs="Times New Roman"/>
          <w:color w:val="auto"/>
          <w:kern w:val="21"/>
          <w:szCs w:val="22"/>
          <w:highlight w:val="none"/>
        </w:rPr>
      </w:pPr>
      <w:r>
        <w:rPr>
          <w:rFonts w:cs="Times New Roman"/>
          <w:color w:val="auto"/>
          <w:kern w:val="21"/>
          <w:szCs w:val="22"/>
          <w:highlight w:val="none"/>
        </w:rPr>
        <w:t>③工程《初步设计》环保篇。</w:t>
      </w:r>
    </w:p>
    <w:p w14:paraId="1546BCDF">
      <w:pPr>
        <w:overflowPunct w:val="0"/>
        <w:adjustRightInd w:val="0"/>
        <w:ind w:firstLine="480"/>
        <w:rPr>
          <w:rFonts w:cs="Times New Roman"/>
          <w:color w:val="auto"/>
          <w:kern w:val="21"/>
          <w:szCs w:val="22"/>
          <w:highlight w:val="none"/>
        </w:rPr>
      </w:pPr>
      <w:r>
        <w:rPr>
          <w:rFonts w:cs="Times New Roman"/>
          <w:color w:val="auto"/>
          <w:kern w:val="21"/>
          <w:szCs w:val="22"/>
          <w:highlight w:val="none"/>
        </w:rPr>
        <w:t>④建设项目竣工环境保护技术规范等相关标准。</w:t>
      </w:r>
    </w:p>
    <w:p w14:paraId="55C87C2B">
      <w:pPr>
        <w:overflowPunct w:val="0"/>
        <w:adjustRightInd w:val="0"/>
        <w:ind w:firstLine="480"/>
        <w:rPr>
          <w:rFonts w:cs="Times New Roman"/>
          <w:color w:val="auto"/>
          <w:kern w:val="21"/>
          <w:szCs w:val="22"/>
          <w:highlight w:val="none"/>
        </w:rPr>
      </w:pPr>
      <w:r>
        <w:rPr>
          <w:rFonts w:cs="Times New Roman"/>
          <w:color w:val="auto"/>
          <w:kern w:val="21"/>
          <w:szCs w:val="22"/>
          <w:highlight w:val="none"/>
        </w:rPr>
        <w:t>⑤环境保护主管部门印发的其他相关文件要求。</w:t>
      </w:r>
    </w:p>
    <w:p w14:paraId="07507091">
      <w:pPr>
        <w:overflowPunct w:val="0"/>
        <w:adjustRightInd w:val="0"/>
        <w:ind w:firstLine="480"/>
        <w:rPr>
          <w:rFonts w:cs="Times New Roman"/>
          <w:color w:val="auto"/>
          <w:kern w:val="21"/>
          <w:szCs w:val="22"/>
          <w:highlight w:val="none"/>
        </w:rPr>
      </w:pPr>
      <w:r>
        <w:rPr>
          <w:rFonts w:cs="Times New Roman"/>
          <w:color w:val="auto"/>
          <w:kern w:val="21"/>
          <w:szCs w:val="22"/>
          <w:highlight w:val="none"/>
        </w:rPr>
        <w:t>（4）建设项目竣工环境保护企业自行验收工作程序</w:t>
      </w:r>
    </w:p>
    <w:p w14:paraId="33FB1037">
      <w:pPr>
        <w:overflowPunct w:val="0"/>
        <w:adjustRightInd w:val="0"/>
        <w:ind w:firstLine="480"/>
        <w:rPr>
          <w:rFonts w:cs="Times New Roman"/>
          <w:color w:val="auto"/>
          <w:kern w:val="21"/>
          <w:szCs w:val="22"/>
          <w:highlight w:val="none"/>
        </w:rPr>
      </w:pPr>
      <w:r>
        <w:rPr>
          <w:rFonts w:cs="Times New Roman"/>
          <w:color w:val="auto"/>
          <w:kern w:val="21"/>
          <w:szCs w:val="22"/>
          <w:highlight w:val="none"/>
        </w:rPr>
        <w:t>①在建设项目竣工后、正式投入生产或运行前，企业按照环境影响报告书及其批复文件要求，对与主体工程配套建设的环境保护设施落实情况进行查验。</w:t>
      </w:r>
    </w:p>
    <w:p w14:paraId="41A9E7E5">
      <w:pPr>
        <w:overflowPunct w:val="0"/>
        <w:adjustRightInd w:val="0"/>
        <w:ind w:firstLine="480"/>
        <w:rPr>
          <w:rFonts w:cs="Times New Roman"/>
          <w:color w:val="auto"/>
          <w:kern w:val="21"/>
          <w:szCs w:val="22"/>
          <w:highlight w:val="none"/>
        </w:rPr>
      </w:pPr>
      <w:r>
        <w:rPr>
          <w:rFonts w:cs="Times New Roman"/>
          <w:color w:val="auto"/>
          <w:kern w:val="21"/>
          <w:szCs w:val="22"/>
          <w:highlight w:val="none"/>
        </w:rPr>
        <w:t>②按照环境保护主管部门制定的竣工环境保护验收技术规范，企业自行编制或委托具备相应技术能力的机构，对建设项目环境保护设施落实情况进行调查，开展相关环境监测，编制竣工环境保护验收监测报告。企业、验收监测机构及其相关人员对验收监测报告结论终身负责。</w:t>
      </w:r>
    </w:p>
    <w:p w14:paraId="2E3214D5">
      <w:pPr>
        <w:overflowPunct w:val="0"/>
        <w:adjustRightInd w:val="0"/>
        <w:ind w:firstLine="480"/>
        <w:rPr>
          <w:rFonts w:cs="Times New Roman"/>
          <w:color w:val="auto"/>
          <w:kern w:val="21"/>
          <w:szCs w:val="22"/>
          <w:highlight w:val="none"/>
        </w:rPr>
      </w:pPr>
      <w:r>
        <w:rPr>
          <w:rFonts w:cs="Times New Roman"/>
          <w:color w:val="auto"/>
          <w:kern w:val="21"/>
          <w:szCs w:val="22"/>
          <w:highlight w:val="none"/>
        </w:rPr>
        <w:t>③验收监测报告编制完成后，由企业法人组织对建设项目环境保护设施和环境保护措施进行验收，形成书面报告备查，并向社会公开。</w:t>
      </w:r>
    </w:p>
    <w:p w14:paraId="525604A6">
      <w:pPr>
        <w:overflowPunct w:val="0"/>
        <w:adjustRightInd w:val="0"/>
        <w:ind w:firstLine="480"/>
        <w:rPr>
          <w:rFonts w:cs="Times New Roman"/>
          <w:color w:val="auto"/>
          <w:kern w:val="21"/>
          <w:szCs w:val="22"/>
          <w:highlight w:val="none"/>
        </w:rPr>
      </w:pPr>
      <w:r>
        <w:rPr>
          <w:rFonts w:cs="Times New Roman"/>
          <w:color w:val="auto"/>
          <w:kern w:val="21"/>
          <w:szCs w:val="22"/>
          <w:highlight w:val="none"/>
        </w:rPr>
        <w:t>④企业自行组织竣工环境保护验收时，应成立验收组，对建设项目环境保护设施及其他环境保护措施进行资料审查、现场踏勘，形成验收意见，验收组成员名单附后。验收组应由建设单位、设计单位、施工单位、环境监理单位、环境监测单位、环境影响报告书编制单位、变更环境影响报告书编制单位、验收监测报告编制单位代表，以及专业技术专家组成。</w:t>
      </w:r>
    </w:p>
    <w:p w14:paraId="48FD22E7">
      <w:pPr>
        <w:overflowPunct w:val="0"/>
        <w:adjustRightInd w:val="0"/>
        <w:ind w:firstLine="480"/>
        <w:rPr>
          <w:rFonts w:cs="Times New Roman"/>
          <w:color w:val="auto"/>
          <w:kern w:val="21"/>
          <w:szCs w:val="22"/>
          <w:highlight w:val="none"/>
        </w:rPr>
      </w:pPr>
      <w:r>
        <w:rPr>
          <w:rFonts w:cs="Times New Roman"/>
          <w:color w:val="auto"/>
          <w:kern w:val="21"/>
          <w:szCs w:val="22"/>
          <w:highlight w:val="none"/>
        </w:rPr>
        <w:t>⑤企业应对验收意见中提出的环保问题进行整改。环境保护设施未经验收或者验收不合格的，建设项目主体工程不得投入生产或者使用。</w:t>
      </w:r>
    </w:p>
    <w:p w14:paraId="3230E683">
      <w:pPr>
        <w:overflowPunct w:val="0"/>
        <w:adjustRightInd w:val="0"/>
        <w:ind w:firstLine="480"/>
        <w:rPr>
          <w:rFonts w:cs="Times New Roman"/>
          <w:color w:val="auto"/>
          <w:kern w:val="21"/>
          <w:szCs w:val="22"/>
          <w:highlight w:val="none"/>
        </w:rPr>
      </w:pPr>
      <w:r>
        <w:rPr>
          <w:rFonts w:cs="Times New Roman"/>
          <w:color w:val="auto"/>
          <w:kern w:val="21"/>
          <w:szCs w:val="22"/>
          <w:highlight w:val="none"/>
        </w:rPr>
        <w:t>⑥企业应自验收通过之日起30个工作日内，制作竣工环境保护验收意见书，并将验收意见书、验收监测报告和</w:t>
      </w:r>
      <w:r>
        <w:rPr>
          <w:rFonts w:hint="eastAsia" w:cs="Times New Roman"/>
          <w:color w:val="auto"/>
          <w:kern w:val="21"/>
          <w:szCs w:val="22"/>
          <w:highlight w:val="none"/>
        </w:rPr>
        <w:t>“</w:t>
      </w:r>
      <w:r>
        <w:rPr>
          <w:rFonts w:cs="Times New Roman"/>
          <w:color w:val="auto"/>
          <w:kern w:val="21"/>
          <w:szCs w:val="22"/>
          <w:highlight w:val="none"/>
        </w:rPr>
        <w:t>三同时</w:t>
      </w:r>
      <w:r>
        <w:rPr>
          <w:rFonts w:hint="eastAsia" w:cs="Times New Roman"/>
          <w:color w:val="auto"/>
          <w:kern w:val="21"/>
          <w:szCs w:val="22"/>
          <w:highlight w:val="none"/>
        </w:rPr>
        <w:t>”</w:t>
      </w:r>
      <w:r>
        <w:rPr>
          <w:rFonts w:cs="Times New Roman"/>
          <w:color w:val="auto"/>
          <w:kern w:val="21"/>
          <w:szCs w:val="22"/>
          <w:highlight w:val="none"/>
        </w:rPr>
        <w:t>验收登记表上传至建设项目竣工环境保护企业自行验收信息平台，并如实向社会公开。</w:t>
      </w:r>
    </w:p>
    <w:p w14:paraId="19080D54">
      <w:pPr>
        <w:overflowPunct w:val="0"/>
        <w:adjustRightInd w:val="0"/>
        <w:ind w:firstLine="480"/>
        <w:rPr>
          <w:rFonts w:cs="Times New Roman"/>
          <w:color w:val="auto"/>
          <w:kern w:val="21"/>
          <w:szCs w:val="22"/>
          <w:highlight w:val="none"/>
        </w:rPr>
      </w:pPr>
      <w:r>
        <w:rPr>
          <w:rFonts w:cs="Times New Roman"/>
          <w:color w:val="auto"/>
          <w:kern w:val="21"/>
          <w:szCs w:val="22"/>
          <w:highlight w:val="none"/>
        </w:rPr>
        <w:t>（5）企业应通过网站以及报纸、媒体平台，向社会及时建设项目环境保护设施和环境保护措施落实情况、竣工环境保护验收情况，并接受社会监督。</w:t>
      </w:r>
    </w:p>
    <w:p w14:paraId="64F40BE8">
      <w:pPr>
        <w:overflowPunct w:val="0"/>
        <w:adjustRightInd w:val="0"/>
        <w:ind w:firstLine="480"/>
        <w:rPr>
          <w:rFonts w:cs="Times New Roman"/>
          <w:color w:val="auto"/>
          <w:kern w:val="21"/>
          <w:szCs w:val="22"/>
          <w:highlight w:val="none"/>
        </w:rPr>
      </w:pPr>
      <w:r>
        <w:rPr>
          <w:rFonts w:cs="Times New Roman"/>
          <w:color w:val="auto"/>
          <w:kern w:val="21"/>
          <w:szCs w:val="22"/>
          <w:highlight w:val="none"/>
        </w:rPr>
        <w:t>①在施工建设期间应主动公开下列信息：主要环境保护设施实施情况；施工期环境保护措施落实情况；施工期环境监测情况及监测结果。</w:t>
      </w:r>
    </w:p>
    <w:p w14:paraId="0179AC8F">
      <w:pPr>
        <w:overflowPunct w:val="0"/>
        <w:adjustRightInd w:val="0"/>
        <w:ind w:firstLine="480"/>
        <w:rPr>
          <w:rFonts w:cs="Times New Roman"/>
          <w:color w:val="auto"/>
          <w:kern w:val="21"/>
          <w:szCs w:val="22"/>
          <w:highlight w:val="none"/>
        </w:rPr>
      </w:pPr>
      <w:r>
        <w:rPr>
          <w:rFonts w:cs="Times New Roman"/>
          <w:color w:val="auto"/>
          <w:kern w:val="21"/>
          <w:szCs w:val="22"/>
          <w:highlight w:val="none"/>
        </w:rPr>
        <w:t>②在投入生产或者使用前应主动公开下列信息：各项环境保护设施落实情况；环境保护措施落实情况；环境监测和监理报告；突发环境事件应急预案及备案情况；竣工环境保护验收监测报告；竣工环境保护企业自行验收意见。</w:t>
      </w:r>
    </w:p>
    <w:p w14:paraId="33DDA54B">
      <w:pPr>
        <w:overflowPunct w:val="0"/>
        <w:adjustRightInd w:val="0"/>
        <w:ind w:firstLine="480"/>
        <w:rPr>
          <w:rFonts w:cs="Times New Roman"/>
          <w:color w:val="auto"/>
          <w:kern w:val="21"/>
          <w:szCs w:val="22"/>
          <w:highlight w:val="none"/>
        </w:rPr>
      </w:pPr>
      <w:r>
        <w:rPr>
          <w:rFonts w:cs="Times New Roman"/>
          <w:color w:val="auto"/>
          <w:kern w:val="21"/>
          <w:szCs w:val="22"/>
          <w:highlight w:val="none"/>
        </w:rPr>
        <w:t>③在运行期间应定期公开下列信息：各项环境保护设施运行情况；主要污染物排放情况；突发环境事件应急演练和应急预案完善情况；环境影响后评价开展情况。</w:t>
      </w:r>
    </w:p>
    <w:p w14:paraId="591B02B1">
      <w:pPr>
        <w:pStyle w:val="3"/>
        <w:adjustRightInd w:val="0"/>
        <w:rPr>
          <w:rFonts w:cs="Times New Roman"/>
          <w:color w:val="auto"/>
          <w:highlight w:val="none"/>
        </w:rPr>
      </w:pPr>
      <w:bookmarkStart w:id="404" w:name="_Toc14472"/>
      <w:bookmarkStart w:id="405" w:name="_Toc6759"/>
      <w:bookmarkStart w:id="406" w:name="_Toc29764"/>
      <w:r>
        <w:rPr>
          <w:rFonts w:cs="Times New Roman"/>
          <w:color w:val="auto"/>
          <w:highlight w:val="none"/>
        </w:rPr>
        <w:t>排污口规范化管理</w:t>
      </w:r>
      <w:bookmarkEnd w:id="404"/>
      <w:bookmarkEnd w:id="405"/>
      <w:bookmarkEnd w:id="406"/>
    </w:p>
    <w:p w14:paraId="7C431A79">
      <w:pPr>
        <w:overflowPunct w:val="0"/>
        <w:adjustRightInd w:val="0"/>
        <w:ind w:firstLine="480"/>
        <w:rPr>
          <w:rFonts w:cs="Times New Roman"/>
          <w:color w:val="auto"/>
          <w:kern w:val="21"/>
          <w:szCs w:val="22"/>
          <w:highlight w:val="none"/>
        </w:rPr>
      </w:pPr>
      <w:r>
        <w:rPr>
          <w:rFonts w:cs="Times New Roman"/>
          <w:color w:val="auto"/>
          <w:kern w:val="21"/>
          <w:szCs w:val="22"/>
          <w:highlight w:val="none"/>
        </w:rPr>
        <w:t>排污口是企业排放污染物进入环境的通道，强化排污口的管理是实施污染物总量控制的基础工作之一，也是区域环境管理逐步实现污染物排放科学化、定量化的重要手段。</w:t>
      </w:r>
    </w:p>
    <w:p w14:paraId="355B9822">
      <w:pPr>
        <w:pStyle w:val="4"/>
        <w:adjustRightInd w:val="0"/>
        <w:rPr>
          <w:rFonts w:cs="Times New Roman"/>
          <w:color w:val="auto"/>
          <w:highlight w:val="none"/>
        </w:rPr>
      </w:pPr>
      <w:bookmarkStart w:id="407" w:name="_Toc4602"/>
      <w:bookmarkStart w:id="408" w:name="_Toc14941"/>
      <w:bookmarkStart w:id="409" w:name="_Toc3626"/>
      <w:r>
        <w:rPr>
          <w:rFonts w:cs="Times New Roman"/>
          <w:color w:val="auto"/>
          <w:highlight w:val="none"/>
        </w:rPr>
        <w:t>排污口规范化管理的基本原则</w:t>
      </w:r>
      <w:bookmarkEnd w:id="407"/>
      <w:bookmarkEnd w:id="408"/>
      <w:bookmarkEnd w:id="409"/>
    </w:p>
    <w:p w14:paraId="15E813B7">
      <w:pPr>
        <w:overflowPunct w:val="0"/>
        <w:adjustRightInd w:val="0"/>
        <w:ind w:firstLine="480"/>
        <w:rPr>
          <w:rFonts w:cs="Times New Roman"/>
          <w:color w:val="auto"/>
          <w:kern w:val="21"/>
          <w:szCs w:val="24"/>
          <w:highlight w:val="none"/>
        </w:rPr>
      </w:pPr>
      <w:r>
        <w:rPr>
          <w:rFonts w:cs="Times New Roman"/>
          <w:color w:val="auto"/>
          <w:kern w:val="21"/>
          <w:szCs w:val="24"/>
          <w:highlight w:val="none"/>
        </w:rPr>
        <w:t>（1）向环境排放污染物的排污口必须规范化；</w:t>
      </w:r>
    </w:p>
    <w:p w14:paraId="03491246">
      <w:pPr>
        <w:wordWrap w:val="0"/>
        <w:overflowPunct w:val="0"/>
        <w:adjustRightInd w:val="0"/>
        <w:ind w:firstLine="480"/>
        <w:rPr>
          <w:rFonts w:cs="Times New Roman"/>
          <w:color w:val="auto"/>
          <w:kern w:val="21"/>
          <w:szCs w:val="24"/>
          <w:highlight w:val="none"/>
        </w:rPr>
      </w:pPr>
      <w:r>
        <w:rPr>
          <w:rFonts w:cs="Times New Roman"/>
          <w:color w:val="auto"/>
          <w:kern w:val="21"/>
          <w:szCs w:val="24"/>
          <w:highlight w:val="none"/>
        </w:rPr>
        <w:t>（2）考虑列入总量控制污染物</w:t>
      </w:r>
      <w:r>
        <w:rPr>
          <w:rFonts w:hint="eastAsia" w:cs="Times New Roman"/>
          <w:color w:val="auto"/>
          <w:kern w:val="21"/>
          <w:szCs w:val="24"/>
          <w:highlight w:val="none"/>
        </w:rPr>
        <w:t>（</w:t>
      </w:r>
      <w:r>
        <w:rPr>
          <w:rFonts w:cs="Times New Roman"/>
          <w:color w:val="auto"/>
          <w:kern w:val="21"/>
          <w:szCs w:val="24"/>
          <w:highlight w:val="none"/>
        </w:rPr>
        <w:t>颗粒物</w:t>
      </w:r>
      <w:r>
        <w:rPr>
          <w:rFonts w:hint="eastAsia" w:cs="Times New Roman"/>
          <w:color w:val="auto"/>
          <w:kern w:val="21"/>
          <w:szCs w:val="24"/>
          <w:highlight w:val="none"/>
        </w:rPr>
        <w:t>）的</w:t>
      </w:r>
      <w:r>
        <w:rPr>
          <w:rFonts w:cs="Times New Roman"/>
          <w:color w:val="auto"/>
          <w:kern w:val="21"/>
          <w:szCs w:val="24"/>
          <w:highlight w:val="none"/>
        </w:rPr>
        <w:t>排放口（排气筒DA001）为管理重点；</w:t>
      </w:r>
    </w:p>
    <w:p w14:paraId="254EC326">
      <w:pPr>
        <w:overflowPunct w:val="0"/>
        <w:adjustRightInd w:val="0"/>
        <w:ind w:firstLine="480"/>
        <w:rPr>
          <w:rFonts w:cs="Times New Roman"/>
          <w:color w:val="auto"/>
          <w:kern w:val="21"/>
          <w:szCs w:val="24"/>
          <w:highlight w:val="none"/>
        </w:rPr>
      </w:pPr>
      <w:r>
        <w:rPr>
          <w:rFonts w:cs="Times New Roman"/>
          <w:color w:val="auto"/>
          <w:kern w:val="21"/>
          <w:szCs w:val="24"/>
          <w:highlight w:val="none"/>
        </w:rPr>
        <w:t>（3）排污口应便于采样与计量监测，便于日常现场监督检查。</w:t>
      </w:r>
    </w:p>
    <w:p w14:paraId="59A159BA">
      <w:pPr>
        <w:pStyle w:val="4"/>
        <w:adjustRightInd w:val="0"/>
        <w:rPr>
          <w:rFonts w:cs="Times New Roman"/>
          <w:color w:val="auto"/>
          <w:highlight w:val="none"/>
        </w:rPr>
      </w:pPr>
      <w:bookmarkStart w:id="410" w:name="_Toc29390"/>
      <w:bookmarkStart w:id="411" w:name="_Toc24437"/>
      <w:bookmarkStart w:id="412" w:name="_Toc32337"/>
      <w:r>
        <w:rPr>
          <w:rFonts w:cs="Times New Roman"/>
          <w:color w:val="auto"/>
          <w:highlight w:val="none"/>
        </w:rPr>
        <w:t>排污口的技术要求</w:t>
      </w:r>
      <w:bookmarkEnd w:id="410"/>
      <w:bookmarkEnd w:id="411"/>
      <w:bookmarkEnd w:id="412"/>
    </w:p>
    <w:p w14:paraId="1DFC2C02">
      <w:pPr>
        <w:numPr>
          <w:ilvl w:val="0"/>
          <w:numId w:val="16"/>
        </w:numPr>
        <w:wordWrap w:val="0"/>
        <w:overflowPunct w:val="0"/>
        <w:adjustRightInd w:val="0"/>
        <w:ind w:firstLine="480"/>
        <w:rPr>
          <w:rFonts w:cs="Times New Roman"/>
          <w:color w:val="auto"/>
          <w:kern w:val="21"/>
          <w:szCs w:val="24"/>
          <w:highlight w:val="none"/>
        </w:rPr>
      </w:pPr>
      <w:r>
        <w:rPr>
          <w:rFonts w:cs="Times New Roman"/>
          <w:color w:val="auto"/>
          <w:kern w:val="21"/>
          <w:szCs w:val="24"/>
          <w:highlight w:val="none"/>
        </w:rPr>
        <w:t>排污口的位置必须合理确定，按《排污口规范化整治技术要求（试行）》（环监〔1996〕470号）要求进行规范化管理；</w:t>
      </w:r>
    </w:p>
    <w:p w14:paraId="6E3110BB">
      <w:pPr>
        <w:numPr>
          <w:ilvl w:val="0"/>
          <w:numId w:val="16"/>
        </w:numPr>
        <w:wordWrap w:val="0"/>
        <w:overflowPunct w:val="0"/>
        <w:adjustRightInd w:val="0"/>
        <w:ind w:firstLine="480"/>
        <w:rPr>
          <w:rFonts w:cs="Times New Roman"/>
          <w:color w:val="auto"/>
          <w:kern w:val="21"/>
          <w:szCs w:val="22"/>
          <w:highlight w:val="none"/>
        </w:rPr>
      </w:pPr>
      <w:r>
        <w:rPr>
          <w:rFonts w:cs="Times New Roman"/>
          <w:color w:val="auto"/>
          <w:kern w:val="21"/>
          <w:szCs w:val="24"/>
          <w:highlight w:val="none"/>
        </w:rPr>
        <w:t>排放污染物的采样点设置应按《污染源监测技术规范》要求，设置在污水处理厂总排口、排气筒等处。</w:t>
      </w:r>
    </w:p>
    <w:p w14:paraId="6B5BC520">
      <w:pPr>
        <w:pStyle w:val="4"/>
        <w:adjustRightInd w:val="0"/>
        <w:rPr>
          <w:rFonts w:cs="Times New Roman"/>
          <w:color w:val="auto"/>
          <w:highlight w:val="none"/>
        </w:rPr>
      </w:pPr>
      <w:bookmarkStart w:id="413" w:name="_Toc11999"/>
      <w:bookmarkStart w:id="414" w:name="_Toc27926"/>
      <w:bookmarkStart w:id="415" w:name="_Toc29633"/>
      <w:r>
        <w:rPr>
          <w:rFonts w:cs="Times New Roman"/>
          <w:color w:val="auto"/>
          <w:highlight w:val="none"/>
        </w:rPr>
        <w:t>排污口立标管理</w:t>
      </w:r>
      <w:bookmarkEnd w:id="413"/>
      <w:bookmarkEnd w:id="414"/>
      <w:bookmarkEnd w:id="415"/>
    </w:p>
    <w:p w14:paraId="3AA64BBF">
      <w:pPr>
        <w:overflowPunct w:val="0"/>
        <w:adjustRightInd w:val="0"/>
        <w:ind w:firstLine="480"/>
        <w:rPr>
          <w:rFonts w:cs="Times New Roman"/>
          <w:color w:val="auto"/>
          <w:kern w:val="21"/>
          <w:szCs w:val="22"/>
          <w:highlight w:val="none"/>
        </w:rPr>
      </w:pPr>
      <w:r>
        <w:rPr>
          <w:rFonts w:cs="Times New Roman"/>
          <w:color w:val="auto"/>
          <w:kern w:val="21"/>
          <w:szCs w:val="24"/>
          <w:highlight w:val="none"/>
        </w:rPr>
        <w:t>在厂区的废气排放源、固体废物贮存处置场应设置环境保护图形标志，图形符号分为提示图形和警告图形符号两种，分别按GB15562.1-1995、GB15562.2-1995执行；</w:t>
      </w:r>
      <w:r>
        <w:rPr>
          <w:rFonts w:cs="Times New Roman"/>
          <w:bCs/>
          <w:color w:val="auto"/>
          <w:kern w:val="21"/>
          <w:szCs w:val="22"/>
          <w:highlight w:val="none"/>
        </w:rPr>
        <w:t>危险废物标识</w:t>
      </w:r>
      <w:r>
        <w:rPr>
          <w:rFonts w:cs="Times New Roman"/>
          <w:color w:val="auto"/>
          <w:kern w:val="21"/>
          <w:szCs w:val="22"/>
          <w:highlight w:val="none"/>
        </w:rPr>
        <w:t>牌应参照《危险废物识别标志设置技术规范》（HJ1276-2022）设置</w:t>
      </w:r>
      <w:r>
        <w:rPr>
          <w:rFonts w:cs="Times New Roman"/>
          <w:color w:val="auto"/>
          <w:kern w:val="21"/>
          <w:szCs w:val="24"/>
          <w:highlight w:val="none"/>
        </w:rPr>
        <w:t>。环境保护图形标志的形状及颜色见下表。</w:t>
      </w:r>
    </w:p>
    <w:p w14:paraId="18B4A040">
      <w:pPr>
        <w:pStyle w:val="12"/>
        <w:adjustRightInd w:val="0"/>
        <w:rPr>
          <w:rFonts w:cs="Times New Roman"/>
          <w:color w:val="auto"/>
          <w:kern w:val="21"/>
          <w:szCs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5</w:t>
      </w:r>
      <w:r>
        <w:rPr>
          <w:rFonts w:cs="Times New Roman"/>
          <w:color w:val="auto"/>
          <w:highlight w:val="none"/>
        </w:rPr>
        <w:fldChar w:fldCharType="end"/>
      </w:r>
      <w:r>
        <w:rPr>
          <w:rFonts w:cs="Times New Roman"/>
          <w:bCs/>
          <w:color w:val="auto"/>
          <w:kern w:val="21"/>
          <w:szCs w:val="21"/>
          <w:highlight w:val="none"/>
        </w:rPr>
        <w:t>环境保护图形标志的形状及颜色表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2366"/>
        <w:gridCol w:w="2366"/>
        <w:gridCol w:w="2366"/>
      </w:tblGrid>
      <w:tr w14:paraId="658D7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083" w:type="pct"/>
            <w:vAlign w:val="center"/>
          </w:tcPr>
          <w:p w14:paraId="64748420">
            <w:pPr>
              <w:pStyle w:val="69"/>
              <w:spacing w:before="62" w:after="62"/>
              <w:rPr>
                <w:rFonts w:cs="Times New Roman"/>
                <w:b/>
                <w:bCs w:val="0"/>
                <w:color w:val="auto"/>
                <w:highlight w:val="none"/>
              </w:rPr>
            </w:pPr>
            <w:r>
              <w:rPr>
                <w:rFonts w:cs="Times New Roman"/>
                <w:b/>
                <w:bCs w:val="0"/>
                <w:color w:val="auto"/>
                <w:highlight w:val="none"/>
              </w:rPr>
              <w:t>标志名称</w:t>
            </w:r>
          </w:p>
        </w:tc>
        <w:tc>
          <w:tcPr>
            <w:tcW w:w="1305" w:type="pct"/>
            <w:vAlign w:val="center"/>
          </w:tcPr>
          <w:p w14:paraId="64FDA766">
            <w:pPr>
              <w:pStyle w:val="69"/>
              <w:spacing w:before="62" w:after="62"/>
              <w:rPr>
                <w:rFonts w:cs="Times New Roman"/>
                <w:b/>
                <w:bCs w:val="0"/>
                <w:color w:val="auto"/>
                <w:highlight w:val="none"/>
              </w:rPr>
            </w:pPr>
            <w:r>
              <w:rPr>
                <w:rFonts w:cs="Times New Roman"/>
                <w:b/>
                <w:bCs w:val="0"/>
                <w:color w:val="auto"/>
                <w:highlight w:val="none"/>
              </w:rPr>
              <w:t>形状</w:t>
            </w:r>
          </w:p>
        </w:tc>
        <w:tc>
          <w:tcPr>
            <w:tcW w:w="1305" w:type="pct"/>
            <w:vAlign w:val="center"/>
          </w:tcPr>
          <w:p w14:paraId="720BE3D8">
            <w:pPr>
              <w:pStyle w:val="69"/>
              <w:spacing w:before="62" w:after="62"/>
              <w:rPr>
                <w:rFonts w:cs="Times New Roman"/>
                <w:b/>
                <w:bCs w:val="0"/>
                <w:color w:val="auto"/>
                <w:highlight w:val="none"/>
              </w:rPr>
            </w:pPr>
            <w:r>
              <w:rPr>
                <w:rFonts w:cs="Times New Roman"/>
                <w:b/>
                <w:bCs w:val="0"/>
                <w:color w:val="auto"/>
                <w:highlight w:val="none"/>
              </w:rPr>
              <w:t>背景颜色</w:t>
            </w:r>
          </w:p>
        </w:tc>
        <w:tc>
          <w:tcPr>
            <w:tcW w:w="1305" w:type="pct"/>
            <w:vAlign w:val="center"/>
          </w:tcPr>
          <w:p w14:paraId="4D30D5F8">
            <w:pPr>
              <w:pStyle w:val="69"/>
              <w:spacing w:before="62" w:after="62"/>
              <w:rPr>
                <w:rFonts w:cs="Times New Roman"/>
                <w:b/>
                <w:bCs w:val="0"/>
                <w:color w:val="auto"/>
                <w:highlight w:val="none"/>
              </w:rPr>
            </w:pPr>
            <w:r>
              <w:rPr>
                <w:rFonts w:cs="Times New Roman"/>
                <w:b/>
                <w:bCs w:val="0"/>
                <w:color w:val="auto"/>
                <w:highlight w:val="none"/>
              </w:rPr>
              <w:t>图形颜色</w:t>
            </w:r>
          </w:p>
        </w:tc>
      </w:tr>
      <w:tr w14:paraId="188F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3" w:type="pct"/>
            <w:vAlign w:val="center"/>
          </w:tcPr>
          <w:p w14:paraId="7F5CD45A">
            <w:pPr>
              <w:pStyle w:val="69"/>
              <w:spacing w:before="62" w:after="62"/>
              <w:rPr>
                <w:rFonts w:cs="Times New Roman"/>
                <w:color w:val="auto"/>
                <w:highlight w:val="none"/>
              </w:rPr>
            </w:pPr>
            <w:r>
              <w:rPr>
                <w:rFonts w:cs="Times New Roman"/>
                <w:color w:val="auto"/>
                <w:highlight w:val="none"/>
              </w:rPr>
              <w:t>警告标志</w:t>
            </w:r>
          </w:p>
        </w:tc>
        <w:tc>
          <w:tcPr>
            <w:tcW w:w="1305" w:type="pct"/>
            <w:vAlign w:val="center"/>
          </w:tcPr>
          <w:p w14:paraId="274B72AA">
            <w:pPr>
              <w:pStyle w:val="69"/>
              <w:spacing w:before="62" w:after="62"/>
              <w:rPr>
                <w:rFonts w:cs="Times New Roman"/>
                <w:color w:val="auto"/>
                <w:highlight w:val="none"/>
              </w:rPr>
            </w:pPr>
            <w:r>
              <w:rPr>
                <w:rFonts w:cs="Times New Roman"/>
                <w:color w:val="auto"/>
                <w:highlight w:val="none"/>
              </w:rPr>
              <w:t>三角形边框</w:t>
            </w:r>
          </w:p>
        </w:tc>
        <w:tc>
          <w:tcPr>
            <w:tcW w:w="1305" w:type="pct"/>
            <w:vAlign w:val="center"/>
          </w:tcPr>
          <w:p w14:paraId="147AA1E0">
            <w:pPr>
              <w:pStyle w:val="69"/>
              <w:spacing w:before="62" w:after="62"/>
              <w:rPr>
                <w:rFonts w:cs="Times New Roman"/>
                <w:color w:val="auto"/>
                <w:highlight w:val="none"/>
              </w:rPr>
            </w:pPr>
            <w:r>
              <w:rPr>
                <w:rFonts w:cs="Times New Roman"/>
                <w:color w:val="auto"/>
                <w:highlight w:val="none"/>
              </w:rPr>
              <w:t>黄色</w:t>
            </w:r>
          </w:p>
        </w:tc>
        <w:tc>
          <w:tcPr>
            <w:tcW w:w="1305" w:type="pct"/>
            <w:vAlign w:val="center"/>
          </w:tcPr>
          <w:p w14:paraId="3FA0D81B">
            <w:pPr>
              <w:pStyle w:val="69"/>
              <w:spacing w:before="62" w:after="62"/>
              <w:rPr>
                <w:rFonts w:cs="Times New Roman"/>
                <w:color w:val="auto"/>
                <w:highlight w:val="none"/>
              </w:rPr>
            </w:pPr>
            <w:r>
              <w:rPr>
                <w:rFonts w:cs="Times New Roman"/>
                <w:color w:val="auto"/>
                <w:highlight w:val="none"/>
              </w:rPr>
              <w:t>黑色</w:t>
            </w:r>
          </w:p>
        </w:tc>
      </w:tr>
      <w:tr w14:paraId="395C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3" w:type="pct"/>
            <w:vAlign w:val="center"/>
          </w:tcPr>
          <w:p w14:paraId="4D818C90">
            <w:pPr>
              <w:pStyle w:val="69"/>
              <w:spacing w:before="62" w:after="62"/>
              <w:rPr>
                <w:rFonts w:cs="Times New Roman"/>
                <w:color w:val="auto"/>
                <w:highlight w:val="none"/>
              </w:rPr>
            </w:pPr>
            <w:r>
              <w:rPr>
                <w:rFonts w:cs="Times New Roman"/>
                <w:color w:val="auto"/>
                <w:highlight w:val="none"/>
              </w:rPr>
              <w:t>提示标志</w:t>
            </w:r>
          </w:p>
        </w:tc>
        <w:tc>
          <w:tcPr>
            <w:tcW w:w="1305" w:type="pct"/>
            <w:vAlign w:val="center"/>
          </w:tcPr>
          <w:p w14:paraId="7DFA6113">
            <w:pPr>
              <w:pStyle w:val="69"/>
              <w:spacing w:before="62" w:after="62"/>
              <w:rPr>
                <w:rFonts w:cs="Times New Roman"/>
                <w:color w:val="auto"/>
                <w:highlight w:val="none"/>
              </w:rPr>
            </w:pPr>
            <w:r>
              <w:rPr>
                <w:rFonts w:cs="Times New Roman"/>
                <w:color w:val="auto"/>
                <w:highlight w:val="none"/>
              </w:rPr>
              <w:t>正方形边框</w:t>
            </w:r>
          </w:p>
        </w:tc>
        <w:tc>
          <w:tcPr>
            <w:tcW w:w="1305" w:type="pct"/>
            <w:vAlign w:val="center"/>
          </w:tcPr>
          <w:p w14:paraId="096B2445">
            <w:pPr>
              <w:pStyle w:val="69"/>
              <w:spacing w:before="62" w:after="62"/>
              <w:rPr>
                <w:rFonts w:cs="Times New Roman"/>
                <w:color w:val="auto"/>
                <w:highlight w:val="none"/>
              </w:rPr>
            </w:pPr>
            <w:r>
              <w:rPr>
                <w:rFonts w:cs="Times New Roman"/>
                <w:color w:val="auto"/>
                <w:highlight w:val="none"/>
              </w:rPr>
              <w:t>绿色</w:t>
            </w:r>
          </w:p>
        </w:tc>
        <w:tc>
          <w:tcPr>
            <w:tcW w:w="1305" w:type="pct"/>
            <w:vAlign w:val="center"/>
          </w:tcPr>
          <w:p w14:paraId="6E5B2309">
            <w:pPr>
              <w:pStyle w:val="69"/>
              <w:spacing w:before="62" w:after="62"/>
              <w:rPr>
                <w:rFonts w:cs="Times New Roman"/>
                <w:color w:val="auto"/>
                <w:highlight w:val="none"/>
              </w:rPr>
            </w:pPr>
            <w:r>
              <w:rPr>
                <w:rFonts w:cs="Times New Roman"/>
                <w:color w:val="auto"/>
                <w:highlight w:val="none"/>
              </w:rPr>
              <w:t>白色</w:t>
            </w:r>
          </w:p>
        </w:tc>
      </w:tr>
    </w:tbl>
    <w:p w14:paraId="1A21F89A">
      <w:pPr>
        <w:adjustRightInd w:val="0"/>
        <w:ind w:firstLine="480"/>
        <w:rPr>
          <w:rFonts w:cs="Times New Roman"/>
          <w:color w:val="auto"/>
          <w:highlight w:val="none"/>
        </w:rPr>
      </w:pPr>
      <w:r>
        <w:rPr>
          <w:rFonts w:cs="Times New Roman"/>
          <w:color w:val="auto"/>
          <w:highlight w:val="none"/>
        </w:rPr>
        <w:t>环境保护图形符号见下表。</w:t>
      </w:r>
    </w:p>
    <w:p w14:paraId="244AF839">
      <w:pPr>
        <w:pStyle w:val="12"/>
        <w:adjustRightInd w:val="0"/>
        <w:rPr>
          <w:rFonts w:cs="Times New Roman"/>
          <w:color w:val="auto"/>
          <w:kern w:val="21"/>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9</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6</w:t>
      </w:r>
      <w:r>
        <w:rPr>
          <w:rFonts w:cs="Times New Roman"/>
          <w:color w:val="auto"/>
          <w:highlight w:val="none"/>
        </w:rPr>
        <w:fldChar w:fldCharType="end"/>
      </w:r>
      <w:r>
        <w:rPr>
          <w:rFonts w:cs="Times New Roman"/>
          <w:color w:val="auto"/>
          <w:kern w:val="21"/>
          <w:highlight w:val="none"/>
        </w:rPr>
        <w:t>环境保护图形符号一览表</w:t>
      </w:r>
    </w:p>
    <w:tbl>
      <w:tblPr>
        <w:tblStyle w:val="3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815"/>
        <w:gridCol w:w="2016"/>
        <w:gridCol w:w="1725"/>
        <w:gridCol w:w="2761"/>
      </w:tblGrid>
      <w:tr w14:paraId="41E1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1" w:type="pct"/>
            <w:vAlign w:val="center"/>
          </w:tcPr>
          <w:p w14:paraId="6B217919">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序号</w:t>
            </w:r>
          </w:p>
        </w:tc>
        <w:tc>
          <w:tcPr>
            <w:tcW w:w="1003" w:type="pct"/>
            <w:vAlign w:val="center"/>
          </w:tcPr>
          <w:p w14:paraId="7E2F9E7A">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提示图形符号</w:t>
            </w:r>
          </w:p>
        </w:tc>
        <w:tc>
          <w:tcPr>
            <w:tcW w:w="1108" w:type="pct"/>
            <w:vAlign w:val="center"/>
          </w:tcPr>
          <w:p w14:paraId="03DFABD4">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警告图形符号</w:t>
            </w:r>
          </w:p>
        </w:tc>
        <w:tc>
          <w:tcPr>
            <w:tcW w:w="953" w:type="pct"/>
            <w:vAlign w:val="center"/>
          </w:tcPr>
          <w:p w14:paraId="36CFA115">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名称</w:t>
            </w:r>
          </w:p>
        </w:tc>
        <w:tc>
          <w:tcPr>
            <w:tcW w:w="1526" w:type="pct"/>
            <w:vAlign w:val="center"/>
          </w:tcPr>
          <w:p w14:paraId="56637DE4">
            <w:pPr>
              <w:overflowPunct w:val="0"/>
              <w:adjustRightInd w:val="0"/>
              <w:spacing w:before="62" w:beforeLines="20" w:after="62" w:afterLines="20" w:line="240" w:lineRule="auto"/>
              <w:ind w:firstLine="0" w:firstLineChars="0"/>
              <w:jc w:val="center"/>
              <w:rPr>
                <w:rFonts w:cs="Times New Roman"/>
                <w:b/>
                <w:color w:val="auto"/>
                <w:kern w:val="21"/>
                <w:sz w:val="21"/>
                <w:highlight w:val="none"/>
              </w:rPr>
            </w:pPr>
            <w:r>
              <w:rPr>
                <w:rFonts w:cs="Times New Roman"/>
                <w:b/>
                <w:color w:val="auto"/>
                <w:kern w:val="21"/>
                <w:sz w:val="21"/>
                <w:highlight w:val="none"/>
              </w:rPr>
              <w:t>功能</w:t>
            </w:r>
          </w:p>
        </w:tc>
      </w:tr>
      <w:tr w14:paraId="48E6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0197BB0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1</w:t>
            </w:r>
          </w:p>
        </w:tc>
        <w:tc>
          <w:tcPr>
            <w:tcW w:w="1003" w:type="pct"/>
            <w:vAlign w:val="center"/>
          </w:tcPr>
          <w:p w14:paraId="34EE5DC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11835" cy="720090"/>
                  <wp:effectExtent l="0" t="0" r="12065" b="3810"/>
                  <wp:docPr id="158" name="图片 8" descr="13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8" descr="1300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711835" cy="720090"/>
                          </a:xfrm>
                          <a:prstGeom prst="rect">
                            <a:avLst/>
                          </a:prstGeom>
                          <a:noFill/>
                          <a:ln>
                            <a:noFill/>
                          </a:ln>
                        </pic:spPr>
                      </pic:pic>
                    </a:graphicData>
                  </a:graphic>
                </wp:inline>
              </w:drawing>
            </w:r>
          </w:p>
        </w:tc>
        <w:tc>
          <w:tcPr>
            <w:tcW w:w="1108" w:type="pct"/>
            <w:vAlign w:val="center"/>
          </w:tcPr>
          <w:p w14:paraId="379130A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11835" cy="720090"/>
                  <wp:effectExtent l="0" t="0" r="12065" b="3810"/>
                  <wp:docPr id="159" name="图片 7" descr="1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7" descr="1300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711835" cy="720090"/>
                          </a:xfrm>
                          <a:prstGeom prst="rect">
                            <a:avLst/>
                          </a:prstGeom>
                          <a:noFill/>
                          <a:ln>
                            <a:noFill/>
                          </a:ln>
                        </pic:spPr>
                      </pic:pic>
                    </a:graphicData>
                  </a:graphic>
                </wp:inline>
              </w:drawing>
            </w:r>
          </w:p>
        </w:tc>
        <w:tc>
          <w:tcPr>
            <w:tcW w:w="953" w:type="pct"/>
            <w:vAlign w:val="center"/>
          </w:tcPr>
          <w:p w14:paraId="580552D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废水排放口</w:t>
            </w:r>
          </w:p>
        </w:tc>
        <w:tc>
          <w:tcPr>
            <w:tcW w:w="1526" w:type="pct"/>
            <w:vAlign w:val="center"/>
          </w:tcPr>
          <w:p w14:paraId="5F472F1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表示废水向纳污水体排放</w:t>
            </w:r>
          </w:p>
        </w:tc>
      </w:tr>
      <w:tr w14:paraId="2471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41A3A61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2</w:t>
            </w:r>
          </w:p>
        </w:tc>
        <w:tc>
          <w:tcPr>
            <w:tcW w:w="1003" w:type="pct"/>
            <w:vAlign w:val="center"/>
          </w:tcPr>
          <w:p w14:paraId="3E28D38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11835" cy="720090"/>
                  <wp:effectExtent l="0" t="0" r="12065" b="3810"/>
                  <wp:docPr id="160" name="图片 6" descr="1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6" descr="1300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711835" cy="720090"/>
                          </a:xfrm>
                          <a:prstGeom prst="rect">
                            <a:avLst/>
                          </a:prstGeom>
                          <a:noFill/>
                          <a:ln>
                            <a:noFill/>
                          </a:ln>
                        </pic:spPr>
                      </pic:pic>
                    </a:graphicData>
                  </a:graphic>
                </wp:inline>
              </w:drawing>
            </w:r>
          </w:p>
        </w:tc>
        <w:tc>
          <w:tcPr>
            <w:tcW w:w="1108" w:type="pct"/>
            <w:vAlign w:val="center"/>
          </w:tcPr>
          <w:p w14:paraId="3F4864FF">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20090" cy="720090"/>
                  <wp:effectExtent l="0" t="0" r="3810" b="3810"/>
                  <wp:docPr id="161"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 descr="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720090" cy="720090"/>
                          </a:xfrm>
                          <a:prstGeom prst="rect">
                            <a:avLst/>
                          </a:prstGeom>
                          <a:noFill/>
                          <a:ln>
                            <a:noFill/>
                          </a:ln>
                        </pic:spPr>
                      </pic:pic>
                    </a:graphicData>
                  </a:graphic>
                </wp:inline>
              </w:drawing>
            </w:r>
          </w:p>
        </w:tc>
        <w:tc>
          <w:tcPr>
            <w:tcW w:w="953" w:type="pct"/>
            <w:vAlign w:val="center"/>
          </w:tcPr>
          <w:p w14:paraId="57575AE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废气排放口</w:t>
            </w:r>
          </w:p>
        </w:tc>
        <w:tc>
          <w:tcPr>
            <w:tcW w:w="1526" w:type="pct"/>
            <w:vAlign w:val="center"/>
          </w:tcPr>
          <w:p w14:paraId="4D467E8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表示废气向大气环境排放</w:t>
            </w:r>
          </w:p>
        </w:tc>
      </w:tr>
      <w:tr w14:paraId="1EC1D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33C7680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3</w:t>
            </w:r>
          </w:p>
        </w:tc>
        <w:tc>
          <w:tcPr>
            <w:tcW w:w="1003" w:type="pct"/>
            <w:vAlign w:val="center"/>
          </w:tcPr>
          <w:p w14:paraId="03EEBD12">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11835" cy="720090"/>
                  <wp:effectExtent l="0" t="0" r="12065" b="3810"/>
                  <wp:docPr id="162" name="图片 4" descr="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4" descr="1400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711835" cy="720090"/>
                          </a:xfrm>
                          <a:prstGeom prst="rect">
                            <a:avLst/>
                          </a:prstGeom>
                          <a:noFill/>
                          <a:ln>
                            <a:noFill/>
                          </a:ln>
                        </pic:spPr>
                      </pic:pic>
                    </a:graphicData>
                  </a:graphic>
                </wp:inline>
              </w:drawing>
            </w:r>
          </w:p>
        </w:tc>
        <w:tc>
          <w:tcPr>
            <w:tcW w:w="1108" w:type="pct"/>
            <w:vAlign w:val="center"/>
          </w:tcPr>
          <w:p w14:paraId="78D81DEC">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64540" cy="720090"/>
                  <wp:effectExtent l="0" t="0" r="16510" b="3810"/>
                  <wp:docPr id="163" name="图片 3" descr="1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 descr="1400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764540" cy="720090"/>
                          </a:xfrm>
                          <a:prstGeom prst="rect">
                            <a:avLst/>
                          </a:prstGeom>
                          <a:noFill/>
                          <a:ln>
                            <a:noFill/>
                          </a:ln>
                        </pic:spPr>
                      </pic:pic>
                    </a:graphicData>
                  </a:graphic>
                </wp:inline>
              </w:drawing>
            </w:r>
          </w:p>
        </w:tc>
        <w:tc>
          <w:tcPr>
            <w:tcW w:w="953" w:type="pct"/>
            <w:vAlign w:val="center"/>
          </w:tcPr>
          <w:p w14:paraId="1600E464">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一般固体废物</w:t>
            </w:r>
          </w:p>
        </w:tc>
        <w:tc>
          <w:tcPr>
            <w:tcW w:w="1526" w:type="pct"/>
            <w:vAlign w:val="center"/>
          </w:tcPr>
          <w:p w14:paraId="3B469B55">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表示一般固体废物贮存、处置场</w:t>
            </w:r>
          </w:p>
        </w:tc>
      </w:tr>
      <w:tr w14:paraId="5DE6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0E91014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4</w:t>
            </w:r>
          </w:p>
        </w:tc>
        <w:tc>
          <w:tcPr>
            <w:tcW w:w="1003" w:type="pct"/>
            <w:vAlign w:val="center"/>
          </w:tcPr>
          <w:p w14:paraId="6BEB1E4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11835" cy="720090"/>
                  <wp:effectExtent l="0" t="0" r="12065" b="3810"/>
                  <wp:docPr id="164" name="图片 4" descr="14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4" descr="1400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711835" cy="720090"/>
                          </a:xfrm>
                          <a:prstGeom prst="rect">
                            <a:avLst/>
                          </a:prstGeom>
                          <a:noFill/>
                          <a:ln>
                            <a:noFill/>
                          </a:ln>
                        </pic:spPr>
                      </pic:pic>
                    </a:graphicData>
                  </a:graphic>
                </wp:inline>
              </w:drawing>
            </w:r>
          </w:p>
        </w:tc>
        <w:tc>
          <w:tcPr>
            <w:tcW w:w="1108" w:type="pct"/>
            <w:vAlign w:val="center"/>
          </w:tcPr>
          <w:p w14:paraId="35F5F5BE">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Cs w:val="22"/>
                <w:highlight w:val="none"/>
              </w:rPr>
              <w:drawing>
                <wp:inline distT="0" distB="0" distL="114300" distR="114300">
                  <wp:extent cx="1139825" cy="720090"/>
                  <wp:effectExtent l="0" t="0" r="3175" b="3810"/>
                  <wp:docPr id="24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8"/>
                          <pic:cNvPicPr>
                            <a:picLocks noChangeAspect="1"/>
                          </pic:cNvPicPr>
                        </pic:nvPicPr>
                        <pic:blipFill>
                          <a:blip r:embed="rId64"/>
                          <a:stretch>
                            <a:fillRect/>
                          </a:stretch>
                        </pic:blipFill>
                        <pic:spPr>
                          <a:xfrm>
                            <a:off x="0" y="0"/>
                            <a:ext cx="1139825" cy="720090"/>
                          </a:xfrm>
                          <a:prstGeom prst="rect">
                            <a:avLst/>
                          </a:prstGeom>
                          <a:noFill/>
                          <a:ln>
                            <a:noFill/>
                          </a:ln>
                        </pic:spPr>
                      </pic:pic>
                    </a:graphicData>
                  </a:graphic>
                </wp:inline>
              </w:drawing>
            </w:r>
          </w:p>
        </w:tc>
        <w:tc>
          <w:tcPr>
            <w:tcW w:w="953" w:type="pct"/>
            <w:vAlign w:val="center"/>
          </w:tcPr>
          <w:p w14:paraId="37E1536A">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危险废物</w:t>
            </w:r>
          </w:p>
        </w:tc>
        <w:tc>
          <w:tcPr>
            <w:tcW w:w="1526" w:type="pct"/>
            <w:vAlign w:val="center"/>
          </w:tcPr>
          <w:p w14:paraId="5A49D7BB">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表示危险废物贮存、处置场</w:t>
            </w:r>
          </w:p>
        </w:tc>
      </w:tr>
      <w:tr w14:paraId="0A2D7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1" w:type="pct"/>
            <w:vAlign w:val="center"/>
          </w:tcPr>
          <w:p w14:paraId="5E75A5B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5</w:t>
            </w:r>
          </w:p>
        </w:tc>
        <w:tc>
          <w:tcPr>
            <w:tcW w:w="1003" w:type="pct"/>
            <w:vAlign w:val="center"/>
          </w:tcPr>
          <w:p w14:paraId="6262A4E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720090" cy="720090"/>
                  <wp:effectExtent l="0" t="0" r="3810" b="3810"/>
                  <wp:docPr id="166" name="图片 2" descr="200602201518049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2" descr="20060220151804985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720090" cy="720090"/>
                          </a:xfrm>
                          <a:prstGeom prst="rect">
                            <a:avLst/>
                          </a:prstGeom>
                          <a:noFill/>
                          <a:ln>
                            <a:noFill/>
                          </a:ln>
                        </pic:spPr>
                      </pic:pic>
                    </a:graphicData>
                  </a:graphic>
                </wp:inline>
              </w:drawing>
            </w:r>
          </w:p>
        </w:tc>
        <w:tc>
          <w:tcPr>
            <w:tcW w:w="1108" w:type="pct"/>
            <w:vAlign w:val="center"/>
          </w:tcPr>
          <w:p w14:paraId="7D5D5329">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drawing>
                <wp:inline distT="0" distB="0" distL="0" distR="0">
                  <wp:extent cx="809625" cy="720090"/>
                  <wp:effectExtent l="0" t="0" r="9525" b="3810"/>
                  <wp:docPr id="167" name="图片 1" descr="20060220151901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 descr="20060220151901863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809625" cy="720090"/>
                          </a:xfrm>
                          <a:prstGeom prst="rect">
                            <a:avLst/>
                          </a:prstGeom>
                          <a:noFill/>
                          <a:ln>
                            <a:noFill/>
                          </a:ln>
                        </pic:spPr>
                      </pic:pic>
                    </a:graphicData>
                  </a:graphic>
                </wp:inline>
              </w:drawing>
            </w:r>
          </w:p>
        </w:tc>
        <w:tc>
          <w:tcPr>
            <w:tcW w:w="953" w:type="pct"/>
            <w:vAlign w:val="center"/>
          </w:tcPr>
          <w:p w14:paraId="004C47E8">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噪声排放源</w:t>
            </w:r>
          </w:p>
        </w:tc>
        <w:tc>
          <w:tcPr>
            <w:tcW w:w="1526" w:type="pct"/>
            <w:vAlign w:val="center"/>
          </w:tcPr>
          <w:p w14:paraId="096F3413">
            <w:pPr>
              <w:overflowPunct w:val="0"/>
              <w:adjustRightInd w:val="0"/>
              <w:spacing w:before="62" w:beforeLines="20" w:after="62"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表示噪声向外环境排放</w:t>
            </w:r>
          </w:p>
        </w:tc>
      </w:tr>
    </w:tbl>
    <w:p w14:paraId="0D4E2D01">
      <w:pPr>
        <w:pStyle w:val="4"/>
        <w:adjustRightInd w:val="0"/>
        <w:rPr>
          <w:rFonts w:cs="Times New Roman"/>
          <w:color w:val="auto"/>
          <w:highlight w:val="none"/>
        </w:rPr>
      </w:pPr>
      <w:bookmarkStart w:id="416" w:name="_Toc884"/>
      <w:bookmarkStart w:id="417" w:name="_Toc32628"/>
      <w:bookmarkStart w:id="418" w:name="_Toc5990"/>
      <w:r>
        <w:rPr>
          <w:rFonts w:cs="Times New Roman"/>
          <w:color w:val="auto"/>
          <w:highlight w:val="none"/>
        </w:rPr>
        <w:t>排污口建档管理</w:t>
      </w:r>
      <w:bookmarkEnd w:id="416"/>
      <w:bookmarkEnd w:id="417"/>
      <w:bookmarkEnd w:id="418"/>
    </w:p>
    <w:p w14:paraId="0B213CD6">
      <w:pPr>
        <w:numPr>
          <w:ilvl w:val="0"/>
          <w:numId w:val="17"/>
        </w:numPr>
        <w:wordWrap w:val="0"/>
        <w:overflowPunct w:val="0"/>
        <w:adjustRightInd w:val="0"/>
        <w:ind w:firstLine="480"/>
        <w:rPr>
          <w:rFonts w:cs="Times New Roman"/>
          <w:color w:val="auto"/>
          <w:kern w:val="21"/>
          <w:szCs w:val="22"/>
          <w:highlight w:val="none"/>
        </w:rPr>
      </w:pPr>
      <w:r>
        <w:rPr>
          <w:rFonts w:cs="Times New Roman"/>
          <w:color w:val="auto"/>
          <w:kern w:val="21"/>
          <w:szCs w:val="22"/>
          <w:highlight w:val="none"/>
        </w:rPr>
        <w:t>企业污染物排放口的标志，应按照国家《环境保护图形标志排放口》（15562.1-1995）、《环境保护图形标志固体废物贮存（处置）场》（15562.2-1995）</w:t>
      </w:r>
      <w:r>
        <w:rPr>
          <w:rFonts w:cs="Times New Roman"/>
          <w:bCs/>
          <w:color w:val="auto"/>
          <w:kern w:val="21"/>
          <w:szCs w:val="22"/>
          <w:highlight w:val="none"/>
        </w:rPr>
        <w:t>及</w:t>
      </w:r>
      <w:r>
        <w:rPr>
          <w:rFonts w:cs="Times New Roman"/>
          <w:color w:val="auto"/>
          <w:kern w:val="21"/>
          <w:szCs w:val="22"/>
          <w:highlight w:val="none"/>
        </w:rPr>
        <w:t>《危险废物识别标志设置技术规范》（HJ1276-2022）的规定，设置生态环境部统一制作的环境保护图形标志牌；</w:t>
      </w:r>
    </w:p>
    <w:p w14:paraId="15279688">
      <w:pPr>
        <w:numPr>
          <w:ilvl w:val="0"/>
          <w:numId w:val="17"/>
        </w:numPr>
        <w:wordWrap w:val="0"/>
        <w:overflowPunct w:val="0"/>
        <w:adjustRightInd w:val="0"/>
        <w:ind w:firstLine="480"/>
        <w:rPr>
          <w:rFonts w:cs="Times New Roman"/>
          <w:color w:val="auto"/>
          <w:kern w:val="21"/>
          <w:szCs w:val="22"/>
          <w:highlight w:val="none"/>
        </w:rPr>
      </w:pPr>
      <w:r>
        <w:rPr>
          <w:rFonts w:cs="Times New Roman"/>
          <w:color w:val="auto"/>
          <w:kern w:val="21"/>
          <w:szCs w:val="24"/>
          <w:highlight w:val="none"/>
        </w:rPr>
        <w:t>污染物排放口的环保图形标志牌应设置在靠近采样点的醒目处，标志牌设置高度为其上缘距地面2m；</w:t>
      </w:r>
    </w:p>
    <w:p w14:paraId="2AC69DDA">
      <w:pPr>
        <w:numPr>
          <w:ilvl w:val="0"/>
          <w:numId w:val="17"/>
        </w:numPr>
        <w:wordWrap w:val="0"/>
        <w:overflowPunct w:val="0"/>
        <w:adjustRightInd w:val="0"/>
        <w:ind w:firstLine="480"/>
        <w:rPr>
          <w:rFonts w:cs="Times New Roman"/>
          <w:color w:val="auto"/>
          <w:kern w:val="21"/>
          <w:szCs w:val="22"/>
          <w:highlight w:val="none"/>
        </w:rPr>
      </w:pPr>
      <w:r>
        <w:rPr>
          <w:rFonts w:cs="Times New Roman"/>
          <w:color w:val="auto"/>
          <w:kern w:val="21"/>
          <w:szCs w:val="22"/>
          <w:highlight w:val="none"/>
        </w:rPr>
        <w:t>要求使用生态环境部统一印刷的《中华人民共和国规范化排污口标志登记证》，并按要求填写有关内容；</w:t>
      </w:r>
    </w:p>
    <w:p w14:paraId="20A27ADB">
      <w:pPr>
        <w:numPr>
          <w:ilvl w:val="0"/>
          <w:numId w:val="17"/>
        </w:numPr>
        <w:wordWrap w:val="0"/>
        <w:overflowPunct w:val="0"/>
        <w:adjustRightInd w:val="0"/>
        <w:ind w:firstLine="480"/>
        <w:rPr>
          <w:rFonts w:cs="Times New Roman"/>
          <w:color w:val="auto"/>
          <w:kern w:val="21"/>
          <w:szCs w:val="22"/>
          <w:highlight w:val="none"/>
        </w:rPr>
      </w:pPr>
      <w:r>
        <w:rPr>
          <w:rFonts w:cs="Times New Roman"/>
          <w:color w:val="auto"/>
          <w:kern w:val="21"/>
          <w:szCs w:val="22"/>
          <w:highlight w:val="none"/>
        </w:rPr>
        <w:t>根据排污口管理档案内容要求，项目建成后，应将主要污染物种类、数量、浓度、排放去向、达标情况及设施运行情况记录于档案。</w:t>
      </w:r>
    </w:p>
    <w:p w14:paraId="144FE20D">
      <w:pPr>
        <w:pStyle w:val="4"/>
        <w:rPr>
          <w:color w:val="auto"/>
          <w:highlight w:val="none"/>
        </w:rPr>
      </w:pPr>
      <w:bookmarkStart w:id="419" w:name="_Toc32582"/>
      <w:r>
        <w:rPr>
          <w:rFonts w:hint="eastAsia"/>
          <w:color w:val="auto"/>
          <w:highlight w:val="none"/>
        </w:rPr>
        <w:t>污染物排放口监测点位设置</w:t>
      </w:r>
      <w:bookmarkEnd w:id="419"/>
    </w:p>
    <w:p w14:paraId="579FD2EE">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企业须根据《排污单位污染物排放口监测点位设置技术规范》（HJ1405-2024）的要求，规范企业的废气及污水排放口监测点位设置。</w:t>
      </w:r>
    </w:p>
    <w:p w14:paraId="296BD5DF">
      <w:pPr>
        <w:overflowPunct w:val="0"/>
        <w:adjustRightInd w:val="0"/>
        <w:ind w:firstLine="480"/>
        <w:rPr>
          <w:rFonts w:cs="Times New Roman"/>
          <w:color w:val="auto"/>
          <w:kern w:val="21"/>
          <w:szCs w:val="22"/>
          <w:highlight w:val="none"/>
        </w:rPr>
      </w:pPr>
    </w:p>
    <w:p w14:paraId="28F88496">
      <w:pPr>
        <w:overflowPunct w:val="0"/>
        <w:adjustRightInd w:val="0"/>
        <w:ind w:firstLine="480"/>
        <w:rPr>
          <w:rFonts w:cs="Times New Roman"/>
          <w:color w:val="auto"/>
          <w:kern w:val="21"/>
          <w:szCs w:val="22"/>
          <w:highlight w:val="none"/>
        </w:rPr>
        <w:sectPr>
          <w:pgSz w:w="11906" w:h="16838"/>
          <w:pgMar w:top="1134" w:right="1531" w:bottom="1134" w:left="1531" w:header="851" w:footer="907" w:gutter="0"/>
          <w:cols w:space="425" w:num="1"/>
          <w:docGrid w:type="lines" w:linePitch="312" w:charSpace="0"/>
        </w:sectPr>
      </w:pPr>
    </w:p>
    <w:p w14:paraId="61032749">
      <w:pPr>
        <w:pStyle w:val="2"/>
        <w:rPr>
          <w:color w:val="auto"/>
          <w:highlight w:val="none"/>
        </w:rPr>
      </w:pPr>
      <w:bookmarkStart w:id="420" w:name="_Toc23106"/>
      <w:r>
        <w:rPr>
          <w:color w:val="auto"/>
          <w:highlight w:val="none"/>
        </w:rPr>
        <w:t>环境影响评价结论</w:t>
      </w:r>
      <w:bookmarkEnd w:id="420"/>
    </w:p>
    <w:p w14:paraId="51070F95">
      <w:pPr>
        <w:pStyle w:val="3"/>
        <w:adjustRightInd w:val="0"/>
        <w:rPr>
          <w:rFonts w:cs="Times New Roman"/>
          <w:color w:val="auto"/>
          <w:highlight w:val="none"/>
        </w:rPr>
      </w:pPr>
      <w:bookmarkStart w:id="421" w:name="_Toc10921"/>
      <w:bookmarkStart w:id="422" w:name="_Toc17290"/>
      <w:bookmarkStart w:id="423" w:name="_Toc12392"/>
      <w:r>
        <w:rPr>
          <w:rFonts w:cs="Times New Roman"/>
          <w:color w:val="auto"/>
          <w:highlight w:val="none"/>
        </w:rPr>
        <w:t>结论</w:t>
      </w:r>
      <w:bookmarkEnd w:id="421"/>
      <w:bookmarkEnd w:id="422"/>
      <w:bookmarkEnd w:id="423"/>
    </w:p>
    <w:p w14:paraId="16EDAED5">
      <w:pPr>
        <w:pStyle w:val="4"/>
        <w:adjustRightInd w:val="0"/>
        <w:rPr>
          <w:rFonts w:cs="Times New Roman"/>
          <w:color w:val="auto"/>
          <w:highlight w:val="none"/>
        </w:rPr>
      </w:pPr>
      <w:bookmarkStart w:id="424" w:name="_Toc16728"/>
      <w:bookmarkStart w:id="425" w:name="_Toc13684"/>
      <w:bookmarkStart w:id="426" w:name="_Toc18731"/>
      <w:r>
        <w:rPr>
          <w:rFonts w:cs="Times New Roman"/>
          <w:color w:val="auto"/>
          <w:highlight w:val="none"/>
        </w:rPr>
        <w:t>项目概况</w:t>
      </w:r>
      <w:bookmarkEnd w:id="424"/>
      <w:bookmarkEnd w:id="425"/>
      <w:bookmarkEnd w:id="426"/>
    </w:p>
    <w:p w14:paraId="3758E3D7">
      <w:pPr>
        <w:overflowPunct w:val="0"/>
        <w:adjustRightInd w:val="0"/>
        <w:ind w:firstLine="480"/>
        <w:rPr>
          <w:color w:val="auto"/>
          <w:highlight w:val="none"/>
        </w:rPr>
      </w:pPr>
      <w:r>
        <w:rPr>
          <w:rFonts w:hint="eastAsia" w:cs="Times New Roman"/>
          <w:color w:val="auto"/>
          <w:kern w:val="21"/>
          <w:szCs w:val="24"/>
          <w:highlight w:val="none"/>
        </w:rPr>
        <w:t>乐山市豪宸新能源科技有限公司沙湾豪宸新建36万吨锂矿综合利用项目</w:t>
      </w:r>
      <w:r>
        <w:rPr>
          <w:rFonts w:cs="Times New Roman"/>
          <w:color w:val="auto"/>
          <w:kern w:val="21"/>
          <w:szCs w:val="24"/>
          <w:highlight w:val="none"/>
        </w:rPr>
        <w:t>选址于乐山市沙湾区嘉农镇凤凰路1号（四川乐山沙湾经济开发区内）。</w:t>
      </w:r>
      <w:r>
        <w:rPr>
          <w:rFonts w:hint="eastAsia" w:cs="Times New Roman"/>
          <w:color w:val="auto"/>
          <w:kern w:val="21"/>
          <w:szCs w:val="24"/>
          <w:highlight w:val="none"/>
        </w:rPr>
        <w:t>项目占地31.8亩，加工锂辉石原矿36万t/a（1090.91t/d），投资金额为11000万元，新建钢结构厂房；主要对锂矿加工处置利用，配套建设碎矿车间、磨矿车间、加工车间、磁选车间、压滤车间等工程。产品名称：锂辉石精矿。主要设备：颚式破碎机，球磨机，浮选机，磁选机，鼓风机，精矿和尾矿压滤机等</w:t>
      </w:r>
      <w:r>
        <w:rPr>
          <w:rFonts w:cs="Times New Roman"/>
          <w:color w:val="auto"/>
          <w:kern w:val="21"/>
          <w:szCs w:val="24"/>
          <w:highlight w:val="none"/>
        </w:rPr>
        <w:t>。</w:t>
      </w:r>
    </w:p>
    <w:p w14:paraId="68298D5D">
      <w:pPr>
        <w:pStyle w:val="4"/>
        <w:adjustRightInd w:val="0"/>
        <w:rPr>
          <w:rFonts w:cs="Times New Roman"/>
          <w:color w:val="auto"/>
          <w:highlight w:val="none"/>
        </w:rPr>
      </w:pPr>
      <w:bookmarkStart w:id="427" w:name="_Toc32575"/>
      <w:bookmarkStart w:id="428" w:name="_Toc19693"/>
      <w:bookmarkStart w:id="429" w:name="_Toc14933"/>
      <w:r>
        <w:rPr>
          <w:rFonts w:cs="Times New Roman"/>
          <w:color w:val="auto"/>
          <w:highlight w:val="none"/>
        </w:rPr>
        <w:t>产业政策符合性</w:t>
      </w:r>
      <w:bookmarkEnd w:id="427"/>
      <w:bookmarkEnd w:id="428"/>
      <w:bookmarkEnd w:id="429"/>
    </w:p>
    <w:p w14:paraId="1D2115F5">
      <w:pPr>
        <w:adjustRightInd w:val="0"/>
        <w:ind w:firstLine="480"/>
        <w:rPr>
          <w:rFonts w:cs="Times New Roman"/>
          <w:color w:val="auto"/>
          <w:highlight w:val="none"/>
        </w:rPr>
      </w:pPr>
      <w:r>
        <w:rPr>
          <w:rFonts w:cs="Times New Roman"/>
          <w:color w:val="auto"/>
          <w:highlight w:val="none"/>
        </w:rPr>
        <w:t>根据国家发展和改革委员会《产业结构调整指导目录（2024年本）》，本项目属于B09有色金属矿采选业--B0939其他稀有金属采选，不在</w:t>
      </w:r>
      <w:r>
        <w:rPr>
          <w:rFonts w:hint="eastAsia" w:cs="Times New Roman"/>
          <w:color w:val="auto"/>
          <w:highlight w:val="none"/>
        </w:rPr>
        <w:t>“</w:t>
      </w:r>
      <w:r>
        <w:rPr>
          <w:rFonts w:cs="Times New Roman"/>
          <w:color w:val="auto"/>
          <w:highlight w:val="none"/>
        </w:rPr>
        <w:t>鼓励类</w:t>
      </w:r>
      <w:r>
        <w:rPr>
          <w:rFonts w:hint="eastAsia" w:cs="Times New Roman"/>
          <w:color w:val="auto"/>
          <w:highlight w:val="none"/>
        </w:rPr>
        <w:t>”</w:t>
      </w:r>
      <w:r>
        <w:rPr>
          <w:rFonts w:cs="Times New Roman"/>
          <w:color w:val="auto"/>
          <w:highlight w:val="none"/>
        </w:rPr>
        <w:t>、</w:t>
      </w:r>
      <w:r>
        <w:rPr>
          <w:rFonts w:hint="eastAsia" w:cs="Times New Roman"/>
          <w:color w:val="auto"/>
          <w:highlight w:val="none"/>
        </w:rPr>
        <w:t>“</w:t>
      </w:r>
      <w:r>
        <w:rPr>
          <w:rFonts w:cs="Times New Roman"/>
          <w:color w:val="auto"/>
          <w:highlight w:val="none"/>
        </w:rPr>
        <w:t>限制类</w:t>
      </w:r>
      <w:r>
        <w:rPr>
          <w:rFonts w:hint="eastAsia" w:cs="Times New Roman"/>
          <w:color w:val="auto"/>
          <w:highlight w:val="none"/>
        </w:rPr>
        <w:t>”</w:t>
      </w:r>
      <w:r>
        <w:rPr>
          <w:rFonts w:cs="Times New Roman"/>
          <w:color w:val="auto"/>
          <w:highlight w:val="none"/>
        </w:rPr>
        <w:t>、</w:t>
      </w:r>
      <w:r>
        <w:rPr>
          <w:rFonts w:hint="eastAsia" w:cs="Times New Roman"/>
          <w:color w:val="auto"/>
          <w:highlight w:val="none"/>
        </w:rPr>
        <w:t>“</w:t>
      </w:r>
      <w:r>
        <w:rPr>
          <w:rFonts w:cs="Times New Roman"/>
          <w:color w:val="auto"/>
          <w:highlight w:val="none"/>
        </w:rPr>
        <w:t>淘汰类</w:t>
      </w:r>
      <w:r>
        <w:rPr>
          <w:rFonts w:hint="eastAsia" w:cs="Times New Roman"/>
          <w:color w:val="auto"/>
          <w:highlight w:val="none"/>
        </w:rPr>
        <w:t>”</w:t>
      </w:r>
      <w:r>
        <w:rPr>
          <w:rFonts w:cs="Times New Roman"/>
          <w:color w:val="auto"/>
          <w:highlight w:val="none"/>
        </w:rPr>
        <w:t>之列，视为</w:t>
      </w:r>
      <w:r>
        <w:rPr>
          <w:rFonts w:hint="eastAsia" w:cs="Times New Roman"/>
          <w:color w:val="auto"/>
          <w:highlight w:val="none"/>
        </w:rPr>
        <w:t>“</w:t>
      </w:r>
      <w:r>
        <w:rPr>
          <w:rFonts w:cs="Times New Roman"/>
          <w:color w:val="auto"/>
          <w:highlight w:val="none"/>
        </w:rPr>
        <w:t>允许类</w:t>
      </w:r>
      <w:r>
        <w:rPr>
          <w:rFonts w:hint="eastAsia" w:cs="Times New Roman"/>
          <w:color w:val="auto"/>
          <w:highlight w:val="none"/>
        </w:rPr>
        <w:t>”</w:t>
      </w:r>
      <w:r>
        <w:rPr>
          <w:rFonts w:cs="Times New Roman"/>
          <w:color w:val="auto"/>
          <w:highlight w:val="none"/>
        </w:rPr>
        <w:t>。本项目使用的设备均不在《产业结构调整指导目录（2024年本）》及《部分工业行业淘汰落后生产工艺装备和产品指导目录（2010年本）》淘汰之列。</w:t>
      </w:r>
    </w:p>
    <w:p w14:paraId="1954246F">
      <w:pPr>
        <w:adjustRightInd w:val="0"/>
        <w:ind w:firstLine="480"/>
        <w:rPr>
          <w:rFonts w:cs="Times New Roman"/>
          <w:color w:val="auto"/>
          <w:highlight w:val="none"/>
        </w:rPr>
      </w:pPr>
      <w:r>
        <w:rPr>
          <w:rFonts w:cs="Times New Roman"/>
          <w:color w:val="auto"/>
          <w:highlight w:val="none"/>
        </w:rPr>
        <w:t>202</w:t>
      </w:r>
      <w:r>
        <w:rPr>
          <w:rFonts w:hint="eastAsia" w:cs="Times New Roman"/>
          <w:color w:val="auto"/>
          <w:highlight w:val="none"/>
        </w:rPr>
        <w:t>6</w:t>
      </w:r>
      <w:r>
        <w:rPr>
          <w:rFonts w:cs="Times New Roman"/>
          <w:color w:val="auto"/>
          <w:highlight w:val="none"/>
        </w:rPr>
        <w:t>年</w:t>
      </w:r>
      <w:r>
        <w:rPr>
          <w:rFonts w:hint="eastAsia" w:cs="Times New Roman"/>
          <w:color w:val="auto"/>
          <w:highlight w:val="none"/>
        </w:rPr>
        <w:t>3</w:t>
      </w:r>
      <w:r>
        <w:rPr>
          <w:rFonts w:cs="Times New Roman"/>
          <w:color w:val="auto"/>
          <w:highlight w:val="none"/>
        </w:rPr>
        <w:t>月</w:t>
      </w:r>
      <w:r>
        <w:rPr>
          <w:rFonts w:hint="eastAsia" w:cs="Times New Roman"/>
          <w:color w:val="auto"/>
          <w:highlight w:val="none"/>
        </w:rPr>
        <w:t>4</w:t>
      </w:r>
      <w:r>
        <w:rPr>
          <w:rFonts w:cs="Times New Roman"/>
          <w:color w:val="auto"/>
          <w:highlight w:val="none"/>
        </w:rPr>
        <w:t>日，沙湾区发展和改革局对本项目进行了备案（</w:t>
      </w:r>
      <w:r>
        <w:rPr>
          <w:rFonts w:hint="eastAsia" w:cs="Times New Roman"/>
          <w:color w:val="auto"/>
          <w:highlight w:val="none"/>
        </w:rPr>
        <w:t>川投资备【2603-511111-04-01-373348】FGQB-0034号</w:t>
      </w:r>
      <w:r>
        <w:rPr>
          <w:rFonts w:cs="Times New Roman"/>
          <w:color w:val="auto"/>
          <w:highlight w:val="none"/>
        </w:rPr>
        <w:t>），原则上同意本项目建设</w:t>
      </w:r>
    </w:p>
    <w:p w14:paraId="4C06744A">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因此，本项目的建设符合国家现行产业政策。</w:t>
      </w:r>
    </w:p>
    <w:p w14:paraId="2EA81D0A">
      <w:pPr>
        <w:pStyle w:val="4"/>
        <w:adjustRightInd w:val="0"/>
        <w:rPr>
          <w:rFonts w:cs="Times New Roman"/>
          <w:color w:val="auto"/>
          <w:highlight w:val="none"/>
        </w:rPr>
      </w:pPr>
      <w:bookmarkStart w:id="430" w:name="_Toc17808"/>
      <w:bookmarkStart w:id="431" w:name="_Toc20193"/>
      <w:bookmarkStart w:id="432" w:name="_Toc23075"/>
      <w:r>
        <w:rPr>
          <w:rFonts w:cs="Times New Roman"/>
          <w:color w:val="auto"/>
          <w:highlight w:val="none"/>
        </w:rPr>
        <w:t>项目规划符合性</w:t>
      </w:r>
      <w:bookmarkEnd w:id="430"/>
      <w:bookmarkEnd w:id="431"/>
      <w:bookmarkEnd w:id="432"/>
    </w:p>
    <w:p w14:paraId="026EE087">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本项目已取得乐山市沙湾区自然资源局发布的</w:t>
      </w:r>
      <w:r>
        <w:rPr>
          <w:rFonts w:hint="eastAsia" w:cs="Times New Roman"/>
          <w:color w:val="auto"/>
          <w:kern w:val="21"/>
          <w:szCs w:val="22"/>
          <w:highlight w:val="none"/>
        </w:rPr>
        <w:t>《不动产权证书》（川（2026）沙湾区不动产权第0000726号）、（川（2026）沙湾区不动产权第0000727号）</w:t>
      </w:r>
      <w:r>
        <w:rPr>
          <w:rFonts w:cs="Times New Roman"/>
          <w:color w:val="auto"/>
          <w:kern w:val="21"/>
          <w:szCs w:val="22"/>
          <w:highlight w:val="none"/>
        </w:rPr>
        <w:t>，本项目位于四川乐山沙湾经济开发区内，地块土地性质为工业用地。因此，本项目使用土地性质符合项目区域土地利用规划要求。</w:t>
      </w:r>
    </w:p>
    <w:p w14:paraId="72A850FD">
      <w:pPr>
        <w:overflowPunct w:val="0"/>
        <w:adjustRightInd w:val="0"/>
        <w:ind w:firstLine="480"/>
        <w:rPr>
          <w:rFonts w:cs="Times New Roman"/>
          <w:color w:val="auto"/>
          <w:kern w:val="21"/>
          <w:szCs w:val="24"/>
          <w:highlight w:val="none"/>
        </w:rPr>
      </w:pPr>
      <w:r>
        <w:rPr>
          <w:rFonts w:cs="Times New Roman"/>
          <w:color w:val="auto"/>
          <w:kern w:val="21"/>
          <w:szCs w:val="22"/>
          <w:highlight w:val="none"/>
        </w:rPr>
        <w:t>本项目为锂辉石选矿项目，不属于园区负面清单禁止准入的项目类型，属于与园区主导产业相容的、不形成交叉影响的产业，为园区</w:t>
      </w:r>
      <w:r>
        <w:rPr>
          <w:rFonts w:cs="Times New Roman"/>
          <w:b/>
          <w:color w:val="auto"/>
          <w:kern w:val="21"/>
          <w:szCs w:val="22"/>
          <w:highlight w:val="none"/>
        </w:rPr>
        <w:t>允许类</w:t>
      </w:r>
      <w:r>
        <w:rPr>
          <w:rFonts w:cs="Times New Roman"/>
          <w:color w:val="auto"/>
          <w:kern w:val="21"/>
          <w:szCs w:val="22"/>
          <w:highlight w:val="none"/>
        </w:rPr>
        <w:t>。同时，本项目尾矿</w:t>
      </w:r>
      <w:r>
        <w:rPr>
          <w:rFonts w:hint="eastAsia" w:cs="Times New Roman"/>
          <w:color w:val="auto"/>
          <w:kern w:val="21"/>
          <w:szCs w:val="22"/>
          <w:highlight w:val="none"/>
        </w:rPr>
        <w:t>、黑砂</w:t>
      </w:r>
      <w:r>
        <w:rPr>
          <w:rFonts w:cs="Times New Roman"/>
          <w:color w:val="auto"/>
          <w:kern w:val="21"/>
          <w:szCs w:val="24"/>
          <w:highlight w:val="none"/>
        </w:rPr>
        <w:t>为优质的陶瓷生产原料，外售</w:t>
      </w:r>
      <w:r>
        <w:rPr>
          <w:rFonts w:cs="Times New Roman"/>
          <w:color w:val="auto"/>
          <w:kern w:val="21"/>
          <w:szCs w:val="22"/>
          <w:highlight w:val="none"/>
        </w:rPr>
        <w:t>陶瓷厂。</w:t>
      </w:r>
    </w:p>
    <w:p w14:paraId="3E37F1B9">
      <w:pPr>
        <w:pStyle w:val="4"/>
        <w:adjustRightInd w:val="0"/>
        <w:rPr>
          <w:rFonts w:cs="Times New Roman"/>
          <w:color w:val="auto"/>
          <w:highlight w:val="none"/>
        </w:rPr>
      </w:pPr>
      <w:bookmarkStart w:id="433" w:name="_Toc22692"/>
      <w:bookmarkStart w:id="434" w:name="_Toc24604"/>
      <w:bookmarkStart w:id="435" w:name="_Toc28629"/>
      <w:r>
        <w:rPr>
          <w:rFonts w:cs="Times New Roman"/>
          <w:color w:val="auto"/>
          <w:highlight w:val="none"/>
        </w:rPr>
        <w:t>项目区域环境质量现状</w:t>
      </w:r>
      <w:bookmarkEnd w:id="433"/>
      <w:bookmarkEnd w:id="434"/>
      <w:bookmarkEnd w:id="435"/>
    </w:p>
    <w:p w14:paraId="034121B3">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（1）环境空气质量</w:t>
      </w:r>
    </w:p>
    <w:p w14:paraId="17A0ABE5">
      <w:pPr>
        <w:overflowPunct w:val="0"/>
        <w:adjustRightInd w:val="0"/>
        <w:ind w:firstLine="480"/>
        <w:rPr>
          <w:rFonts w:cs="Times New Roman"/>
          <w:b/>
          <w:color w:val="auto"/>
          <w:kern w:val="21"/>
          <w:szCs w:val="22"/>
          <w:highlight w:val="none"/>
        </w:rPr>
      </w:pPr>
      <w:r>
        <w:rPr>
          <w:rFonts w:hint="eastAsia" w:cs="Times New Roman"/>
          <w:color w:val="auto"/>
          <w:kern w:val="21"/>
          <w:szCs w:val="22"/>
          <w:highlight w:val="none"/>
        </w:rPr>
        <w:t>根据沙湾区2025年的环境空气质量监测数据</w:t>
      </w:r>
      <w:r>
        <w:rPr>
          <w:rFonts w:cs="Times New Roman"/>
          <w:color w:val="auto"/>
          <w:kern w:val="21"/>
          <w:szCs w:val="22"/>
          <w:highlight w:val="none"/>
        </w:rPr>
        <w:t>，沙湾区202</w:t>
      </w:r>
      <w:r>
        <w:rPr>
          <w:rFonts w:hint="eastAsia" w:cs="Times New Roman"/>
          <w:color w:val="auto"/>
          <w:kern w:val="21"/>
          <w:szCs w:val="22"/>
          <w:highlight w:val="none"/>
          <w:lang w:val="en-US" w:eastAsia="zh-CN"/>
        </w:rPr>
        <w:t>5</w:t>
      </w:r>
      <w:r>
        <w:rPr>
          <w:rFonts w:cs="Times New Roman"/>
          <w:color w:val="auto"/>
          <w:kern w:val="21"/>
          <w:szCs w:val="22"/>
          <w:highlight w:val="none"/>
        </w:rPr>
        <w:t>年SO</w:t>
      </w:r>
      <w:r>
        <w:rPr>
          <w:rFonts w:cs="Times New Roman"/>
          <w:color w:val="auto"/>
          <w:kern w:val="21"/>
          <w:szCs w:val="22"/>
          <w:highlight w:val="none"/>
          <w:vertAlign w:val="subscript"/>
        </w:rPr>
        <w:t>2</w:t>
      </w:r>
      <w:r>
        <w:rPr>
          <w:rFonts w:cs="Times New Roman"/>
          <w:color w:val="auto"/>
          <w:kern w:val="21"/>
          <w:szCs w:val="22"/>
          <w:highlight w:val="none"/>
        </w:rPr>
        <w:t>、NO</w:t>
      </w:r>
      <w:r>
        <w:rPr>
          <w:rFonts w:cs="Times New Roman"/>
          <w:color w:val="auto"/>
          <w:kern w:val="21"/>
          <w:szCs w:val="22"/>
          <w:highlight w:val="none"/>
          <w:vertAlign w:val="subscript"/>
        </w:rPr>
        <w:t>2</w:t>
      </w:r>
      <w:r>
        <w:rPr>
          <w:rFonts w:cs="Times New Roman"/>
          <w:color w:val="auto"/>
          <w:kern w:val="21"/>
          <w:szCs w:val="22"/>
          <w:highlight w:val="none"/>
        </w:rPr>
        <w:t>、CO、PM</w:t>
      </w:r>
      <w:r>
        <w:rPr>
          <w:rFonts w:cs="Times New Roman"/>
          <w:color w:val="auto"/>
          <w:kern w:val="21"/>
          <w:szCs w:val="22"/>
          <w:highlight w:val="none"/>
          <w:vertAlign w:val="subscript"/>
        </w:rPr>
        <w:t>10</w:t>
      </w:r>
      <w:r>
        <w:rPr>
          <w:rFonts w:cs="Times New Roman"/>
          <w:color w:val="auto"/>
          <w:kern w:val="21"/>
          <w:szCs w:val="22"/>
          <w:highlight w:val="none"/>
        </w:rPr>
        <w:t>、O</w:t>
      </w:r>
      <w:r>
        <w:rPr>
          <w:rFonts w:cs="Times New Roman"/>
          <w:color w:val="auto"/>
          <w:kern w:val="21"/>
          <w:szCs w:val="22"/>
          <w:highlight w:val="none"/>
          <w:vertAlign w:val="subscript"/>
        </w:rPr>
        <w:t>3</w:t>
      </w:r>
      <w:r>
        <w:rPr>
          <w:rFonts w:cs="Times New Roman"/>
          <w:color w:val="auto"/>
          <w:kern w:val="21"/>
          <w:szCs w:val="22"/>
          <w:highlight w:val="none"/>
        </w:rPr>
        <w:t>均能够达到《环境空气质量标准》（GB3095-20</w:t>
      </w:r>
      <w:r>
        <w:rPr>
          <w:rFonts w:hint="eastAsia" w:cs="Times New Roman"/>
          <w:color w:val="auto"/>
          <w:kern w:val="21"/>
          <w:szCs w:val="22"/>
          <w:highlight w:val="none"/>
          <w:lang w:val="en-US" w:eastAsia="zh-CN"/>
        </w:rPr>
        <w:t>26</w:t>
      </w:r>
      <w:r>
        <w:rPr>
          <w:rFonts w:cs="Times New Roman"/>
          <w:color w:val="auto"/>
          <w:kern w:val="21"/>
          <w:szCs w:val="22"/>
          <w:highlight w:val="none"/>
        </w:rPr>
        <w:t>）二级标准，</w:t>
      </w:r>
      <w:r>
        <w:rPr>
          <w:rFonts w:hint="eastAsia" w:cs="Times New Roman"/>
          <w:color w:val="auto"/>
          <w:kern w:val="21"/>
          <w:szCs w:val="22"/>
          <w:highlight w:val="none"/>
          <w:lang w:val="en-US" w:eastAsia="zh-CN"/>
        </w:rPr>
        <w:t>PM2.5不能够达到《环境空气质量标准》（GB3095-2026）二级标准，</w:t>
      </w:r>
      <w:r>
        <w:rPr>
          <w:rFonts w:cs="Times New Roman"/>
          <w:color w:val="auto"/>
          <w:kern w:val="21"/>
          <w:szCs w:val="22"/>
          <w:highlight w:val="none"/>
        </w:rPr>
        <w:t>判定该地区环境空气质量状况</w:t>
      </w:r>
      <w:r>
        <w:rPr>
          <w:rFonts w:hint="eastAsia" w:cs="Times New Roman"/>
          <w:color w:val="auto"/>
          <w:kern w:val="21"/>
          <w:szCs w:val="22"/>
          <w:highlight w:val="none"/>
          <w:lang w:val="en-US" w:eastAsia="zh-CN"/>
        </w:rPr>
        <w:t>不</w:t>
      </w:r>
      <w:r>
        <w:rPr>
          <w:rFonts w:cs="Times New Roman"/>
          <w:color w:val="auto"/>
          <w:kern w:val="21"/>
          <w:szCs w:val="22"/>
          <w:highlight w:val="none"/>
        </w:rPr>
        <w:t>达标，</w:t>
      </w:r>
      <w:r>
        <w:rPr>
          <w:rFonts w:cs="Times New Roman"/>
          <w:b/>
          <w:color w:val="auto"/>
          <w:kern w:val="21"/>
          <w:szCs w:val="22"/>
          <w:highlight w:val="none"/>
        </w:rPr>
        <w:t>本项目所在区域为</w:t>
      </w:r>
      <w:r>
        <w:rPr>
          <w:rFonts w:hint="eastAsia" w:cs="Times New Roman"/>
          <w:b/>
          <w:color w:val="auto"/>
          <w:kern w:val="21"/>
          <w:szCs w:val="22"/>
          <w:highlight w:val="none"/>
          <w:lang w:val="en-US" w:eastAsia="zh-CN"/>
        </w:rPr>
        <w:t>不</w:t>
      </w:r>
      <w:r>
        <w:rPr>
          <w:rFonts w:cs="Times New Roman"/>
          <w:b/>
          <w:color w:val="auto"/>
          <w:kern w:val="21"/>
          <w:szCs w:val="22"/>
          <w:highlight w:val="none"/>
        </w:rPr>
        <w:t>达标区。</w:t>
      </w:r>
    </w:p>
    <w:p w14:paraId="09EF374D">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根据监测结果</w:t>
      </w:r>
      <w:r>
        <w:rPr>
          <w:rFonts w:cs="Times New Roman"/>
          <w:color w:val="auto"/>
          <w:kern w:val="21"/>
          <w:szCs w:val="22"/>
          <w:highlight w:val="none"/>
        </w:rPr>
        <w:t>，本项目区域TSP浓度满足《环境空气质量标准》(GB3095-20</w:t>
      </w:r>
      <w:r>
        <w:rPr>
          <w:rFonts w:hint="eastAsia" w:cs="Times New Roman"/>
          <w:color w:val="auto"/>
          <w:kern w:val="21"/>
          <w:szCs w:val="22"/>
          <w:highlight w:val="none"/>
          <w:lang w:val="en-US" w:eastAsia="zh-CN"/>
        </w:rPr>
        <w:t>26</w:t>
      </w:r>
      <w:r>
        <w:rPr>
          <w:rFonts w:cs="Times New Roman"/>
          <w:color w:val="auto"/>
          <w:kern w:val="21"/>
          <w:szCs w:val="22"/>
          <w:highlight w:val="none"/>
        </w:rPr>
        <w:t>)二级标准要求。</w:t>
      </w:r>
    </w:p>
    <w:p w14:paraId="392946E9">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（2）地表水环境质量</w:t>
      </w:r>
    </w:p>
    <w:p w14:paraId="7F922C7C">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本项目最近河流为大渡河。</w:t>
      </w:r>
      <w:r>
        <w:rPr>
          <w:rFonts w:cs="Times New Roman"/>
          <w:bCs/>
          <w:color w:val="auto"/>
          <w:kern w:val="21"/>
          <w:szCs w:val="22"/>
          <w:highlight w:val="none"/>
        </w:rPr>
        <w:t>根据乐山市沙湾生态环境监测站于2025年5月发布的《2024年乐山市沙湾区环境质量报告书》</w:t>
      </w:r>
      <w:r>
        <w:rPr>
          <w:rFonts w:cs="Times New Roman"/>
          <w:color w:val="auto"/>
          <w:kern w:val="21"/>
          <w:szCs w:val="22"/>
          <w:highlight w:val="none"/>
        </w:rPr>
        <w:t>表明沙湾区整体水质优，各断面水质均满足《地表水环境质量标准》（GB3838-2002）中III类标准要求，区域地表水环境质量良好。</w:t>
      </w:r>
    </w:p>
    <w:p w14:paraId="25C19B11">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（3）地下水环境质量</w:t>
      </w:r>
    </w:p>
    <w:p w14:paraId="0F66A522">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本项目所在地的地下水监测点各检测指标（除铁、总大肠菌群、细菌总数）均满足《地下水质量标准》（GB/T1484-2017）中的Ⅲ类、Ⅳ类标准限值，说明项目区所在地区域地下水环境质量现状良好。</w:t>
      </w:r>
    </w:p>
    <w:p w14:paraId="6FD9C78A">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（4）声环境质量</w:t>
      </w:r>
    </w:p>
    <w:p w14:paraId="10C8F032">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根据监测结果</w:t>
      </w:r>
      <w:r>
        <w:rPr>
          <w:rFonts w:cs="Times New Roman"/>
          <w:color w:val="auto"/>
          <w:kern w:val="21"/>
          <w:szCs w:val="22"/>
          <w:highlight w:val="none"/>
        </w:rPr>
        <w:t>，</w:t>
      </w:r>
      <w:r>
        <w:rPr>
          <w:rFonts w:cs="Times New Roman"/>
          <w:color w:val="auto"/>
          <w:kern w:val="21"/>
          <w:szCs w:val="24"/>
          <w:highlight w:val="none"/>
        </w:rPr>
        <w:t>本项目厂界噪声监测点噪声值均满足《声环境质量标准》（GB3096-2008）中3类标准要求，区域环境质量良好。</w:t>
      </w:r>
    </w:p>
    <w:p w14:paraId="07B379C5">
      <w:pPr>
        <w:pStyle w:val="4"/>
        <w:adjustRightInd w:val="0"/>
        <w:rPr>
          <w:rFonts w:cs="Times New Roman"/>
          <w:color w:val="auto"/>
          <w:highlight w:val="none"/>
        </w:rPr>
      </w:pPr>
      <w:bookmarkStart w:id="436" w:name="_Toc30926"/>
      <w:bookmarkStart w:id="437" w:name="_Toc18286"/>
      <w:bookmarkStart w:id="438" w:name="_Toc29946"/>
      <w:bookmarkStart w:id="439" w:name="_Toc22170"/>
      <w:bookmarkStart w:id="440" w:name="_Toc18114"/>
      <w:bookmarkStart w:id="441" w:name="_Toc20253"/>
      <w:r>
        <w:rPr>
          <w:rFonts w:cs="Times New Roman"/>
          <w:color w:val="auto"/>
          <w:highlight w:val="none"/>
        </w:rPr>
        <w:t>主要环境影响</w:t>
      </w:r>
      <w:bookmarkEnd w:id="436"/>
      <w:bookmarkEnd w:id="437"/>
      <w:r>
        <w:rPr>
          <w:rFonts w:cs="Times New Roman"/>
          <w:color w:val="auto"/>
          <w:highlight w:val="none"/>
        </w:rPr>
        <w:t>评价结论</w:t>
      </w:r>
      <w:bookmarkEnd w:id="438"/>
      <w:bookmarkEnd w:id="439"/>
      <w:bookmarkEnd w:id="440"/>
      <w:bookmarkEnd w:id="441"/>
    </w:p>
    <w:p w14:paraId="0B53389C">
      <w:pPr>
        <w:pStyle w:val="5"/>
        <w:adjustRightInd w:val="0"/>
        <w:rPr>
          <w:rFonts w:cs="Times New Roman"/>
          <w:color w:val="auto"/>
          <w:highlight w:val="none"/>
        </w:rPr>
      </w:pPr>
      <w:r>
        <w:rPr>
          <w:rFonts w:cs="Times New Roman"/>
          <w:color w:val="auto"/>
          <w:highlight w:val="none"/>
        </w:rPr>
        <w:t>施工期环境影响评价结论</w:t>
      </w:r>
    </w:p>
    <w:p w14:paraId="12AF7B70">
      <w:pPr>
        <w:overflowPunct w:val="0"/>
        <w:adjustRightInd w:val="0"/>
        <w:ind w:firstLine="480"/>
        <w:rPr>
          <w:rFonts w:cs="Times New Roman"/>
          <w:color w:val="auto"/>
          <w:kern w:val="21"/>
          <w:szCs w:val="24"/>
          <w:highlight w:val="none"/>
        </w:rPr>
      </w:pPr>
      <w:r>
        <w:rPr>
          <w:rFonts w:hint="eastAsia" w:cs="Times New Roman"/>
          <w:color w:val="auto"/>
          <w:kern w:val="21"/>
          <w:szCs w:val="24"/>
          <w:highlight w:val="none"/>
        </w:rPr>
        <w:t>本项目施工期间废气、废水、固废及噪声等均有产生。施工废气主要有施工过程产生的扬尘，采取湿法作业可得到有效控制；施工人员生活污水依托区域已建管网，处理后排入市政污水管网；施工过程产生的表土用于园区绿化；施工过程产生的弃土交由专门的单位进行处置；施工过程产生的建筑垃圾具有回收利用价值，可回收利用，没有回收利用价值由施工单位统一运往建筑垃圾堆放场进行处置；施工人员产生的生活垃圾集中收集后，定期交市政环卫部门清运处理，不会对环境造成影响；施工过程中各类施工设备噪声会对周边环境产生影响，要求施工单位严格按照施工规范，文明施工，禁止夜间高噪声施工。</w:t>
      </w:r>
    </w:p>
    <w:p w14:paraId="711F2517">
      <w:pPr>
        <w:overflowPunct w:val="0"/>
        <w:adjustRightInd w:val="0"/>
        <w:ind w:firstLine="480"/>
        <w:rPr>
          <w:rFonts w:cs="Times New Roman"/>
          <w:color w:val="auto"/>
          <w:kern w:val="21"/>
          <w:szCs w:val="24"/>
          <w:highlight w:val="none"/>
        </w:rPr>
      </w:pPr>
      <w:r>
        <w:rPr>
          <w:rFonts w:hint="eastAsia" w:cs="Times New Roman"/>
          <w:color w:val="auto"/>
          <w:kern w:val="21"/>
          <w:szCs w:val="24"/>
          <w:highlight w:val="none"/>
        </w:rPr>
        <w:t>项目施工期间对环境的影响是暂时的，随施工结束，影响消除</w:t>
      </w:r>
      <w:r>
        <w:rPr>
          <w:rFonts w:cs="Times New Roman"/>
          <w:color w:val="auto"/>
          <w:kern w:val="21"/>
          <w:szCs w:val="24"/>
          <w:highlight w:val="none"/>
        </w:rPr>
        <w:t>。</w:t>
      </w:r>
    </w:p>
    <w:p w14:paraId="52DEE667">
      <w:pPr>
        <w:pStyle w:val="5"/>
        <w:adjustRightInd w:val="0"/>
        <w:rPr>
          <w:rFonts w:cs="Times New Roman"/>
          <w:color w:val="auto"/>
          <w:highlight w:val="none"/>
        </w:rPr>
      </w:pPr>
      <w:r>
        <w:rPr>
          <w:rFonts w:cs="Times New Roman"/>
          <w:color w:val="auto"/>
          <w:highlight w:val="none"/>
        </w:rPr>
        <w:t>运营期环境影响评价结论</w:t>
      </w:r>
    </w:p>
    <w:p w14:paraId="4C39F1C8">
      <w:pPr>
        <w:overflowPunct w:val="0"/>
        <w:adjustRightInd w:val="0"/>
        <w:ind w:firstLine="482"/>
        <w:rPr>
          <w:rFonts w:cs="Times New Roman"/>
          <w:b/>
          <w:bCs/>
          <w:color w:val="auto"/>
          <w:kern w:val="21"/>
          <w:szCs w:val="22"/>
          <w:highlight w:val="none"/>
        </w:rPr>
      </w:pPr>
      <w:r>
        <w:rPr>
          <w:rFonts w:cs="Times New Roman"/>
          <w:b/>
          <w:bCs/>
          <w:color w:val="auto"/>
          <w:kern w:val="21"/>
          <w:szCs w:val="24"/>
          <w:highlight w:val="none"/>
        </w:rPr>
        <w:t>（1）大气环境</w:t>
      </w:r>
      <w:r>
        <w:rPr>
          <w:rFonts w:cs="Times New Roman"/>
          <w:b/>
          <w:bCs/>
          <w:color w:val="auto"/>
          <w:kern w:val="21"/>
          <w:szCs w:val="22"/>
          <w:highlight w:val="none"/>
        </w:rPr>
        <w:t>影响分析</w:t>
      </w:r>
    </w:p>
    <w:p w14:paraId="65FD62DD">
      <w:pPr>
        <w:overflowPunct w:val="0"/>
        <w:adjustRightInd w:val="0"/>
        <w:ind w:firstLine="480"/>
        <w:rPr>
          <w:rFonts w:cs="Times New Roman"/>
          <w:color w:val="auto"/>
          <w:kern w:val="21"/>
          <w:szCs w:val="20"/>
          <w:highlight w:val="none"/>
        </w:rPr>
      </w:pPr>
      <w:r>
        <w:rPr>
          <w:rFonts w:cs="Times New Roman"/>
          <w:color w:val="auto"/>
          <w:kern w:val="21"/>
          <w:szCs w:val="24"/>
          <w:highlight w:val="none"/>
        </w:rPr>
        <w:t>本项目主要废气污染物为颗粒物</w:t>
      </w:r>
      <w:r>
        <w:rPr>
          <w:rFonts w:hint="eastAsia" w:cs="Times New Roman"/>
          <w:color w:val="auto"/>
          <w:kern w:val="21"/>
          <w:szCs w:val="24"/>
          <w:highlight w:val="none"/>
        </w:rPr>
        <w:t>、食堂油烟。颗粒物</w:t>
      </w:r>
      <w:r>
        <w:rPr>
          <w:rFonts w:cs="Times New Roman"/>
          <w:color w:val="auto"/>
          <w:kern w:val="21"/>
          <w:szCs w:val="24"/>
          <w:highlight w:val="none"/>
        </w:rPr>
        <w:t>采取除尘装置处理后，经15m排气筒（DA001）排放，可</w:t>
      </w:r>
      <w:r>
        <w:rPr>
          <w:rFonts w:hint="eastAsia" w:cs="Times New Roman"/>
          <w:color w:val="auto"/>
          <w:kern w:val="21"/>
          <w:szCs w:val="24"/>
          <w:highlight w:val="none"/>
          <w:lang w:val="en-US" w:eastAsia="zh-CN"/>
        </w:rPr>
        <w:t>满足</w:t>
      </w:r>
      <w:r>
        <w:rPr>
          <w:rFonts w:hint="eastAsia" w:cs="Times New Roman"/>
          <w:color w:val="auto"/>
          <w:kern w:val="21"/>
          <w:szCs w:val="24"/>
          <w:highlight w:val="none"/>
        </w:rPr>
        <w:t>《乐山市打赢蓝天保卫战实施方案》最高允许排放浓度为10mg/m</w:t>
      </w:r>
      <w:r>
        <w:rPr>
          <w:rFonts w:hint="eastAsia" w:cs="Times New Roman"/>
          <w:color w:val="auto"/>
          <w:kern w:val="21"/>
          <w:szCs w:val="24"/>
          <w:highlight w:val="none"/>
          <w:vertAlign w:val="superscript"/>
        </w:rPr>
        <w:t>3</w:t>
      </w:r>
      <w:r>
        <w:rPr>
          <w:rFonts w:hint="eastAsia" w:cs="Times New Roman"/>
          <w:color w:val="auto"/>
          <w:kern w:val="21"/>
          <w:szCs w:val="24"/>
          <w:highlight w:val="none"/>
          <w:lang w:val="en-US" w:eastAsia="zh-CN"/>
        </w:rPr>
        <w:t>的要求</w:t>
      </w:r>
      <w:r>
        <w:rPr>
          <w:rFonts w:cs="Times New Roman"/>
          <w:color w:val="auto"/>
          <w:kern w:val="21"/>
          <w:szCs w:val="24"/>
          <w:highlight w:val="none"/>
        </w:rPr>
        <w:t>。</w:t>
      </w:r>
      <w:r>
        <w:rPr>
          <w:rFonts w:hint="eastAsia" w:cs="Times New Roman"/>
          <w:color w:val="auto"/>
          <w:kern w:val="21"/>
          <w:szCs w:val="24"/>
          <w:highlight w:val="none"/>
        </w:rPr>
        <w:t>食堂油烟通过设置一套效率不低于75%的油烟收集净化系统收集治理后通过专用烟道引至楼顶排放，经核算油烟排放浓度能够达到《饮食业油烟排放标准（试行）》（GB18483-2001）中标准限值要求。</w:t>
      </w:r>
    </w:p>
    <w:p w14:paraId="44C6B6FD">
      <w:pPr>
        <w:overflowPunct w:val="0"/>
        <w:adjustRightInd w:val="0"/>
        <w:ind w:firstLine="480"/>
        <w:rPr>
          <w:rFonts w:cs="Times New Roman"/>
          <w:color w:val="auto"/>
          <w:kern w:val="21"/>
          <w:szCs w:val="24"/>
          <w:highlight w:val="none"/>
        </w:rPr>
      </w:pPr>
      <w:r>
        <w:rPr>
          <w:rFonts w:cs="Times New Roman"/>
          <w:color w:val="auto"/>
          <w:kern w:val="21"/>
          <w:szCs w:val="24"/>
          <w:highlight w:val="none"/>
        </w:rPr>
        <w:t>本项目卫生防护距离内无学校、居民、医院等特殊敏感目标，因此可以满足卫生防护距离要求。环评要求：不可在本项目卫生防护距离范</w:t>
      </w:r>
      <w:r>
        <w:rPr>
          <w:rFonts w:hint="eastAsia" w:cs="Times New Roman"/>
          <w:color w:val="auto"/>
          <w:kern w:val="21"/>
          <w:szCs w:val="24"/>
          <w:highlight w:val="none"/>
        </w:rPr>
        <w:t>围内</w:t>
      </w:r>
      <w:r>
        <w:rPr>
          <w:rFonts w:cs="Times New Roman"/>
          <w:color w:val="auto"/>
          <w:kern w:val="21"/>
          <w:szCs w:val="24"/>
          <w:highlight w:val="none"/>
        </w:rPr>
        <w:t>建设居民区、学校、医院及食品医药加工企业等易受本项目废气污染影响的建设项目。</w:t>
      </w:r>
    </w:p>
    <w:p w14:paraId="1666E7AC">
      <w:pPr>
        <w:overflowPunct w:val="0"/>
        <w:adjustRightInd w:val="0"/>
        <w:ind w:firstLine="480"/>
        <w:rPr>
          <w:rFonts w:cs="Times New Roman"/>
          <w:color w:val="auto"/>
          <w:kern w:val="21"/>
          <w:szCs w:val="22"/>
          <w:highlight w:val="none"/>
        </w:rPr>
      </w:pPr>
      <w:r>
        <w:rPr>
          <w:rFonts w:cs="Times New Roman"/>
          <w:color w:val="auto"/>
          <w:kern w:val="21"/>
          <w:szCs w:val="22"/>
          <w:highlight w:val="none"/>
        </w:rPr>
        <w:t>综上，项目各类废气污染物在严格落实环保措施、确保实现达标外排的前提下，将不会对区域大气环境质量造成明显影响，项目对大气环境的影响可以接受。</w:t>
      </w:r>
    </w:p>
    <w:p w14:paraId="04D26A36">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（2）地表水环境影响分析</w:t>
      </w:r>
    </w:p>
    <w:p w14:paraId="174139FD">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本项目选矿废水经絮凝沉淀处理后回用于</w:t>
      </w:r>
      <w:r>
        <w:rPr>
          <w:rFonts w:hint="eastAsia" w:cs="Times New Roman"/>
          <w:color w:val="auto"/>
          <w:kern w:val="21"/>
          <w:szCs w:val="22"/>
          <w:highlight w:val="none"/>
        </w:rPr>
        <w:t>湿式磨矿、浮选等工序</w:t>
      </w:r>
      <w:r>
        <w:rPr>
          <w:rFonts w:cs="Times New Roman"/>
          <w:color w:val="auto"/>
          <w:kern w:val="21"/>
          <w:szCs w:val="22"/>
          <w:highlight w:val="none"/>
        </w:rPr>
        <w:t>，不外排；车辆冲洗废水经</w:t>
      </w:r>
      <w:r>
        <w:rPr>
          <w:rFonts w:hint="eastAsia" w:cs="Times New Roman"/>
          <w:color w:val="auto"/>
          <w:kern w:val="21"/>
          <w:szCs w:val="22"/>
          <w:highlight w:val="none"/>
        </w:rPr>
        <w:t>依托的乐山市沙湾区豪沐科技有限公司</w:t>
      </w:r>
      <w:r>
        <w:rPr>
          <w:rFonts w:cs="Times New Roman"/>
          <w:color w:val="auto"/>
          <w:kern w:val="21"/>
          <w:szCs w:val="22"/>
          <w:highlight w:val="none"/>
        </w:rPr>
        <w:t>沉淀池处理后回用于车辆冲洗，不外排；初期雨水经雨水管道收集后汇入</w:t>
      </w:r>
      <w:r>
        <w:rPr>
          <w:rFonts w:hint="eastAsia" w:cs="Times New Roman"/>
          <w:color w:val="auto"/>
          <w:kern w:val="21"/>
          <w:szCs w:val="22"/>
          <w:highlight w:val="none"/>
        </w:rPr>
        <w:t>依托的乐山市沙湾区豪沐科技有限公司</w:t>
      </w:r>
      <w:r>
        <w:rPr>
          <w:rFonts w:cs="Times New Roman"/>
          <w:color w:val="auto"/>
          <w:kern w:val="21"/>
          <w:szCs w:val="24"/>
          <w:highlight w:val="none"/>
        </w:rPr>
        <w:t>初期雨水池沉淀处理后回用于喷雾降尘，不外排；</w:t>
      </w:r>
      <w:r>
        <w:rPr>
          <w:rFonts w:hint="eastAsia" w:cs="Times New Roman"/>
          <w:color w:val="auto"/>
          <w:kern w:val="21"/>
          <w:szCs w:val="22"/>
          <w:highlight w:val="none"/>
        </w:rPr>
        <w:t>生活污水（含食堂废水）：食堂废水经隔油池（1m</w:t>
      </w:r>
      <w:r>
        <w:rPr>
          <w:rFonts w:hint="eastAsia" w:cs="Times New Roman"/>
          <w:color w:val="auto"/>
          <w:kern w:val="21"/>
          <w:szCs w:val="22"/>
          <w:highlight w:val="none"/>
          <w:vertAlign w:val="superscript"/>
        </w:rPr>
        <w:t>3</w:t>
      </w:r>
      <w:r>
        <w:rPr>
          <w:rFonts w:hint="eastAsia" w:cs="Times New Roman"/>
          <w:color w:val="auto"/>
          <w:kern w:val="21"/>
          <w:szCs w:val="22"/>
          <w:highlight w:val="none"/>
        </w:rPr>
        <w:t>）处理后与生活污水一同</w:t>
      </w:r>
      <w:r>
        <w:rPr>
          <w:rFonts w:cs="Times New Roman"/>
          <w:color w:val="auto"/>
          <w:kern w:val="21"/>
          <w:szCs w:val="22"/>
          <w:highlight w:val="none"/>
        </w:rPr>
        <w:t>经</w:t>
      </w:r>
      <w:r>
        <w:rPr>
          <w:rFonts w:hint="eastAsia" w:cs="Times New Roman"/>
          <w:color w:val="auto"/>
          <w:kern w:val="21"/>
          <w:szCs w:val="22"/>
          <w:highlight w:val="none"/>
        </w:rPr>
        <w:t>依托的乐山市沙湾区豪沐科技有限公司</w:t>
      </w:r>
      <w:r>
        <w:rPr>
          <w:rFonts w:cs="Times New Roman"/>
          <w:color w:val="auto"/>
          <w:kern w:val="21"/>
          <w:szCs w:val="22"/>
          <w:highlight w:val="none"/>
        </w:rPr>
        <w:t>预处理池（</w:t>
      </w:r>
      <w:r>
        <w:rPr>
          <w:rFonts w:hint="eastAsia" w:cs="Times New Roman"/>
          <w:color w:val="auto"/>
          <w:kern w:val="21"/>
          <w:szCs w:val="22"/>
          <w:highlight w:val="none"/>
        </w:rPr>
        <w:t>2</w:t>
      </w:r>
      <w:r>
        <w:rPr>
          <w:rFonts w:cs="Times New Roman"/>
          <w:color w:val="auto"/>
          <w:kern w:val="21"/>
          <w:szCs w:val="22"/>
          <w:highlight w:val="none"/>
        </w:rPr>
        <w:t>0m</w:t>
      </w:r>
      <w:r>
        <w:rPr>
          <w:rFonts w:cs="Times New Roman"/>
          <w:color w:val="auto"/>
          <w:kern w:val="21"/>
          <w:szCs w:val="22"/>
          <w:highlight w:val="none"/>
          <w:vertAlign w:val="superscript"/>
        </w:rPr>
        <w:t>3</w:t>
      </w:r>
      <w:r>
        <w:rPr>
          <w:rFonts w:cs="Times New Roman"/>
          <w:color w:val="auto"/>
          <w:kern w:val="21"/>
          <w:szCs w:val="22"/>
          <w:highlight w:val="none"/>
        </w:rPr>
        <w:t>）处理达</w:t>
      </w:r>
      <w:r>
        <w:rPr>
          <w:rFonts w:hint="eastAsia" w:cs="Times New Roman"/>
          <w:color w:val="auto"/>
          <w:kern w:val="21"/>
          <w:szCs w:val="22"/>
          <w:highlight w:val="none"/>
        </w:rPr>
        <w:t>“</w:t>
      </w:r>
      <w:r>
        <w:rPr>
          <w:rFonts w:cs="Times New Roman"/>
          <w:color w:val="auto"/>
          <w:kern w:val="21"/>
          <w:szCs w:val="22"/>
          <w:highlight w:val="none"/>
        </w:rPr>
        <w:t>乐山沙湾经济开发区污水处理厂设计进水水质</w:t>
      </w:r>
      <w:r>
        <w:rPr>
          <w:rFonts w:hint="eastAsia" w:cs="Times New Roman"/>
          <w:color w:val="auto"/>
          <w:kern w:val="21"/>
          <w:szCs w:val="22"/>
          <w:highlight w:val="none"/>
        </w:rPr>
        <w:t>”</w:t>
      </w:r>
      <w:r>
        <w:rPr>
          <w:rFonts w:cs="Times New Roman"/>
          <w:color w:val="auto"/>
          <w:kern w:val="21"/>
          <w:szCs w:val="22"/>
          <w:highlight w:val="none"/>
        </w:rPr>
        <w:t>后经园区污水管网排入乐山沙湾经济开发区污水处理厂进一步处理达《四川省岷江、沱江流域水污染物排放标准》（DB51/2311-2016）中</w:t>
      </w:r>
      <w:r>
        <w:rPr>
          <w:rFonts w:hint="eastAsia" w:cs="Times New Roman"/>
          <w:color w:val="auto"/>
          <w:kern w:val="21"/>
          <w:szCs w:val="22"/>
          <w:highlight w:val="none"/>
        </w:rPr>
        <w:t>“</w:t>
      </w:r>
      <w:r>
        <w:rPr>
          <w:rFonts w:cs="Times New Roman"/>
          <w:color w:val="auto"/>
          <w:kern w:val="21"/>
          <w:szCs w:val="22"/>
          <w:highlight w:val="none"/>
        </w:rPr>
        <w:t>工业园区集中式污水处理厂</w:t>
      </w:r>
      <w:r>
        <w:rPr>
          <w:rFonts w:hint="eastAsia" w:cs="Times New Roman"/>
          <w:color w:val="auto"/>
          <w:kern w:val="21"/>
          <w:szCs w:val="22"/>
          <w:highlight w:val="none"/>
        </w:rPr>
        <w:t>”</w:t>
      </w:r>
      <w:r>
        <w:rPr>
          <w:rFonts w:cs="Times New Roman"/>
          <w:color w:val="auto"/>
          <w:kern w:val="21"/>
          <w:szCs w:val="22"/>
          <w:highlight w:val="none"/>
        </w:rPr>
        <w:t>标准后外排大渡河</w:t>
      </w:r>
      <w:r>
        <w:rPr>
          <w:rFonts w:cs="Times New Roman"/>
          <w:color w:val="auto"/>
          <w:kern w:val="21"/>
          <w:szCs w:val="24"/>
          <w:highlight w:val="none"/>
        </w:rPr>
        <w:t>。</w:t>
      </w:r>
      <w:r>
        <w:rPr>
          <w:rFonts w:cs="Times New Roman"/>
          <w:color w:val="auto"/>
          <w:kern w:val="21"/>
          <w:szCs w:val="22"/>
          <w:highlight w:val="none"/>
        </w:rPr>
        <w:t>评价结果表明，建设项目建成投产后，废水不会对水环境造成影响。</w:t>
      </w:r>
    </w:p>
    <w:p w14:paraId="3C5A645F">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（3）声环境影响分析</w:t>
      </w:r>
    </w:p>
    <w:p w14:paraId="72C95298">
      <w:pPr>
        <w:overflowPunct w:val="0"/>
        <w:adjustRightInd w:val="0"/>
        <w:ind w:firstLine="480"/>
        <w:rPr>
          <w:rFonts w:cs="Times New Roman"/>
          <w:color w:val="auto"/>
          <w:kern w:val="21"/>
          <w:szCs w:val="22"/>
          <w:highlight w:val="none"/>
        </w:rPr>
      </w:pPr>
      <w:r>
        <w:rPr>
          <w:rFonts w:cs="Times New Roman"/>
          <w:color w:val="auto"/>
          <w:kern w:val="21"/>
          <w:szCs w:val="24"/>
          <w:highlight w:val="none"/>
        </w:rPr>
        <w:t>项目投入运营后，通过采取消声、减震和建筑隔声等降噪措施。经预测，项目厂界昼、夜间噪声贡献值满足《工业企业厂界环境噪声排放标准》（GB12348-2008）中3类标准限值要求。因此，建设单位只要严格采取降噪、消音、隔声等降噪措施后，设备噪声可实现厂界达标排放，不会对厂界及外环境造成明显影响。</w:t>
      </w:r>
    </w:p>
    <w:p w14:paraId="3072995D">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（4）固废环境影响分析</w:t>
      </w:r>
    </w:p>
    <w:p w14:paraId="37726046">
      <w:pPr>
        <w:overflowPunct w:val="0"/>
        <w:adjustRightInd w:val="0"/>
        <w:ind w:firstLine="480"/>
        <w:rPr>
          <w:rFonts w:cs="Times New Roman"/>
          <w:color w:val="auto"/>
          <w:kern w:val="21"/>
          <w:szCs w:val="22"/>
          <w:highlight w:val="none"/>
        </w:rPr>
      </w:pPr>
      <w:r>
        <w:rPr>
          <w:rFonts w:cs="Times New Roman"/>
          <w:color w:val="auto"/>
          <w:kern w:val="21"/>
          <w:szCs w:val="24"/>
          <w:highlight w:val="none"/>
        </w:rPr>
        <w:t>本项目各项固体废弃物处置措施可行，建设单位在严格落实本次评价提出的各项固体废物处置措施后，本项目固废对环境的影响降低到最低程度。</w:t>
      </w:r>
    </w:p>
    <w:p w14:paraId="39E42EF4">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（5）地下水、土壤环境影响分析</w:t>
      </w:r>
    </w:p>
    <w:p w14:paraId="01EA1219">
      <w:pPr>
        <w:overflowPunct w:val="0"/>
        <w:adjustRightInd w:val="0"/>
        <w:ind w:firstLine="480"/>
        <w:rPr>
          <w:rFonts w:cs="Times New Roman"/>
          <w:color w:val="auto"/>
          <w:kern w:val="21"/>
          <w:szCs w:val="22"/>
          <w:highlight w:val="none"/>
        </w:rPr>
      </w:pPr>
      <w:r>
        <w:rPr>
          <w:rFonts w:cs="Times New Roman"/>
          <w:color w:val="auto"/>
          <w:kern w:val="21"/>
          <w:szCs w:val="22"/>
          <w:highlight w:val="none"/>
        </w:rPr>
        <w:t>1）施工期在落实环评提出的污染防治措施的前提下，不会对地下水造成明显不良影响。</w:t>
      </w:r>
    </w:p>
    <w:p w14:paraId="0BC4F931">
      <w:pPr>
        <w:overflowPunct w:val="0"/>
        <w:adjustRightInd w:val="0"/>
        <w:ind w:firstLine="480"/>
        <w:rPr>
          <w:rFonts w:cs="Times New Roman"/>
          <w:color w:val="auto"/>
          <w:kern w:val="21"/>
          <w:szCs w:val="22"/>
          <w:highlight w:val="none"/>
        </w:rPr>
      </w:pPr>
      <w:r>
        <w:rPr>
          <w:rFonts w:cs="Times New Roman"/>
          <w:color w:val="auto"/>
          <w:kern w:val="21"/>
          <w:szCs w:val="22"/>
          <w:highlight w:val="none"/>
        </w:rPr>
        <w:t>2）运营期正常状况下，项目采取分区防渗措施。根据《环境影响评价技术导则地下水环境》（HJ610-2016），已依据规范设计地下水污染防渗措施的建设项目，不再进行正常状况情景下的预测。因此，正常状况下，本项目不会对地下水环境造成明显不良影响。</w:t>
      </w:r>
    </w:p>
    <w:p w14:paraId="1E987172">
      <w:pPr>
        <w:overflowPunct w:val="0"/>
        <w:adjustRightInd w:val="0"/>
        <w:ind w:firstLine="480"/>
        <w:rPr>
          <w:rFonts w:cs="Times New Roman"/>
          <w:color w:val="auto"/>
          <w:kern w:val="21"/>
          <w:szCs w:val="22"/>
          <w:highlight w:val="none"/>
        </w:rPr>
      </w:pPr>
      <w:r>
        <w:rPr>
          <w:rFonts w:cs="Times New Roman"/>
          <w:color w:val="auto"/>
          <w:kern w:val="21"/>
          <w:szCs w:val="22"/>
          <w:highlight w:val="none"/>
        </w:rPr>
        <w:t>3）运营期非正常状况设定情景下，锂、耗氧量均出现不同程度超标现象。预测时段内下游无地下水环境保护目标超标。</w:t>
      </w:r>
    </w:p>
    <w:p w14:paraId="5944E610">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对可能产生地下水、土壤污染影响的各项途径均进行有效预防，并在厂区设置监控井，在确保各项防渗措施得以落实，并加强维护和厂区环境管理的前提下，可有效控制厂区内的废水污染物下渗现象，避免污染地下水，因此项目不会对区域地下水环境产生明显影响。</w:t>
      </w:r>
    </w:p>
    <w:p w14:paraId="433AE597">
      <w:pPr>
        <w:overflowPunct w:val="0"/>
        <w:adjustRightInd w:val="0"/>
        <w:ind w:firstLine="482"/>
        <w:rPr>
          <w:rFonts w:cs="Times New Roman"/>
          <w:b/>
          <w:bCs/>
          <w:color w:val="auto"/>
          <w:kern w:val="21"/>
          <w:szCs w:val="22"/>
          <w:highlight w:val="none"/>
        </w:rPr>
      </w:pPr>
      <w:r>
        <w:rPr>
          <w:rFonts w:cs="Times New Roman"/>
          <w:b/>
          <w:bCs/>
          <w:color w:val="auto"/>
          <w:kern w:val="21"/>
          <w:szCs w:val="22"/>
          <w:highlight w:val="none"/>
        </w:rPr>
        <w:t>（6）环境风险及防范措施</w:t>
      </w:r>
    </w:p>
    <w:p w14:paraId="4586B80F">
      <w:pPr>
        <w:overflowPunct w:val="0"/>
        <w:adjustRightInd w:val="0"/>
        <w:ind w:firstLine="480"/>
        <w:rPr>
          <w:rFonts w:cs="Times New Roman"/>
          <w:color w:val="auto"/>
          <w:kern w:val="21"/>
          <w:szCs w:val="22"/>
          <w:highlight w:val="none"/>
        </w:rPr>
      </w:pPr>
      <w:r>
        <w:rPr>
          <w:rFonts w:cs="Times New Roman"/>
          <w:color w:val="auto"/>
          <w:kern w:val="21"/>
          <w:szCs w:val="22"/>
          <w:highlight w:val="none"/>
        </w:rPr>
        <w:t>本项目制定有突发环境事件应急预案，只要加强预防工作，从管理入手，严格执行评价提出的环境风险防范措施，就可以把风险事故的发生和影响降到最低。项目</w:t>
      </w:r>
      <w:r>
        <w:rPr>
          <w:rFonts w:cs="Times New Roman"/>
          <w:color w:val="auto"/>
          <w:kern w:val="21"/>
          <w:szCs w:val="24"/>
          <w:highlight w:val="none"/>
        </w:rPr>
        <w:t>运行期间加强管理和环境风险管控，在采取有针对性的环境风险防范措施及应急预案后，可将风险事故对环境的影响降至可接受水平。</w:t>
      </w:r>
    </w:p>
    <w:p w14:paraId="5C4FE7FF">
      <w:pPr>
        <w:pStyle w:val="4"/>
        <w:adjustRightInd w:val="0"/>
        <w:rPr>
          <w:rFonts w:cs="Times New Roman"/>
          <w:color w:val="auto"/>
          <w:highlight w:val="none"/>
        </w:rPr>
      </w:pPr>
      <w:bookmarkStart w:id="442" w:name="_Toc26174"/>
      <w:bookmarkStart w:id="443" w:name="_Toc14861"/>
      <w:bookmarkStart w:id="444" w:name="_Toc4385"/>
      <w:r>
        <w:rPr>
          <w:rFonts w:cs="Times New Roman"/>
          <w:color w:val="auto"/>
          <w:highlight w:val="none"/>
        </w:rPr>
        <w:t>总量控制指标</w:t>
      </w:r>
      <w:bookmarkEnd w:id="442"/>
      <w:bookmarkEnd w:id="443"/>
      <w:bookmarkEnd w:id="444"/>
    </w:p>
    <w:p w14:paraId="00840598">
      <w:pPr>
        <w:overflowPunct w:val="0"/>
        <w:adjustRightInd w:val="0"/>
        <w:ind w:firstLine="480"/>
        <w:rPr>
          <w:rFonts w:cs="Times New Roman"/>
          <w:color w:val="auto"/>
          <w:kern w:val="21"/>
          <w:szCs w:val="24"/>
          <w:highlight w:val="none"/>
        </w:rPr>
      </w:pPr>
      <w:r>
        <w:rPr>
          <w:rFonts w:cs="Times New Roman"/>
          <w:color w:val="auto"/>
          <w:kern w:val="21"/>
          <w:szCs w:val="24"/>
          <w:highlight w:val="none"/>
        </w:rPr>
        <w:t>根据工程分析，本项目总量控制指标如下：</w:t>
      </w:r>
    </w:p>
    <w:p w14:paraId="63D75788">
      <w:pPr>
        <w:pStyle w:val="12"/>
        <w:adjustRightInd w:val="0"/>
        <w:rPr>
          <w:rFonts w:cs="Times New Roman"/>
          <w:color w:val="auto"/>
          <w:highlight w:val="none"/>
        </w:rPr>
      </w:pPr>
      <w:r>
        <w:rPr>
          <w:rFonts w:cs="Times New Roman"/>
          <w:color w:val="auto"/>
          <w:highlight w:val="none"/>
        </w:rPr>
        <w:t>表</w:t>
      </w:r>
      <w:r>
        <w:rPr>
          <w:rFonts w:cs="Times New Roman"/>
          <w:color w:val="auto"/>
          <w:highlight w:val="none"/>
        </w:rPr>
        <w:fldChar w:fldCharType="begin"/>
      </w:r>
      <w:r>
        <w:rPr>
          <w:rFonts w:cs="Times New Roman"/>
          <w:color w:val="auto"/>
          <w:highlight w:val="none"/>
        </w:rPr>
        <w:instrText xml:space="preserve"> STYLEREF 1 \s </w:instrText>
      </w:r>
      <w:r>
        <w:rPr>
          <w:rFonts w:cs="Times New Roman"/>
          <w:color w:val="auto"/>
          <w:highlight w:val="none"/>
        </w:rPr>
        <w:fldChar w:fldCharType="separate"/>
      </w:r>
      <w:r>
        <w:rPr>
          <w:rFonts w:cs="Times New Roman"/>
          <w:color w:val="auto"/>
          <w:highlight w:val="none"/>
        </w:rPr>
        <w:t>10</w:t>
      </w:r>
      <w:r>
        <w:rPr>
          <w:rFonts w:cs="Times New Roman"/>
          <w:color w:val="auto"/>
          <w:highlight w:val="none"/>
        </w:rPr>
        <w:fldChar w:fldCharType="end"/>
      </w:r>
      <w:r>
        <w:rPr>
          <w:rFonts w:cs="Times New Roman"/>
          <w:color w:val="auto"/>
          <w:highlight w:val="none"/>
        </w:rPr>
        <w:t>-</w:t>
      </w:r>
      <w:r>
        <w:rPr>
          <w:rFonts w:cs="Times New Roman"/>
          <w:color w:val="auto"/>
          <w:highlight w:val="none"/>
        </w:rPr>
        <w:fldChar w:fldCharType="begin"/>
      </w:r>
      <w:r>
        <w:rPr>
          <w:rFonts w:cs="Times New Roman"/>
          <w:color w:val="auto"/>
          <w:highlight w:val="none"/>
        </w:rPr>
        <w:instrText xml:space="preserve"> SEQ 表 \* ARABIC \s 1 </w:instrText>
      </w:r>
      <w:r>
        <w:rPr>
          <w:rFonts w:cs="Times New Roman"/>
          <w:color w:val="auto"/>
          <w:highlight w:val="none"/>
        </w:rPr>
        <w:fldChar w:fldCharType="separate"/>
      </w:r>
      <w:r>
        <w:rPr>
          <w:rFonts w:cs="Times New Roman"/>
          <w:color w:val="auto"/>
          <w:highlight w:val="none"/>
        </w:rPr>
        <w:t>1</w:t>
      </w:r>
      <w:r>
        <w:rPr>
          <w:rFonts w:cs="Times New Roman"/>
          <w:color w:val="auto"/>
          <w:highlight w:val="none"/>
        </w:rPr>
        <w:fldChar w:fldCharType="end"/>
      </w:r>
      <w:r>
        <w:rPr>
          <w:rFonts w:cs="Times New Roman"/>
          <w:color w:val="auto"/>
          <w:highlight w:val="none"/>
        </w:rPr>
        <w:t>项目总量控制指标一览表单位：t/a</w:t>
      </w:r>
    </w:p>
    <w:tbl>
      <w:tblPr>
        <w:tblStyle w:val="3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2076"/>
        <w:gridCol w:w="2500"/>
        <w:gridCol w:w="2530"/>
      </w:tblGrid>
      <w:tr w14:paraId="71C3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29" w:type="pct"/>
            <w:vAlign w:val="center"/>
          </w:tcPr>
          <w:p w14:paraId="5745E8E7">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类别</w:t>
            </w:r>
          </w:p>
        </w:tc>
        <w:tc>
          <w:tcPr>
            <w:tcW w:w="1218" w:type="pct"/>
            <w:vAlign w:val="center"/>
          </w:tcPr>
          <w:p w14:paraId="3004CBD2">
            <w:pPr>
              <w:widowControl/>
              <w:overflowPunct w:val="0"/>
              <w:adjustRightInd w:val="0"/>
              <w:spacing w:before="65" w:beforeLines="20" w:after="65" w:afterLines="20" w:line="240" w:lineRule="auto"/>
              <w:ind w:firstLine="0" w:firstLineChars="0"/>
              <w:jc w:val="center"/>
              <w:rPr>
                <w:rFonts w:cs="Times New Roman"/>
                <w:b/>
                <w:bCs/>
                <w:color w:val="auto"/>
                <w:kern w:val="21"/>
                <w:sz w:val="21"/>
                <w:highlight w:val="none"/>
              </w:rPr>
            </w:pPr>
            <w:r>
              <w:rPr>
                <w:rFonts w:cs="Times New Roman"/>
                <w:b/>
                <w:bCs/>
                <w:color w:val="auto"/>
                <w:kern w:val="21"/>
                <w:sz w:val="21"/>
                <w:highlight w:val="none"/>
              </w:rPr>
              <w:t>污染物</w:t>
            </w:r>
          </w:p>
        </w:tc>
        <w:tc>
          <w:tcPr>
            <w:tcW w:w="1467" w:type="pct"/>
            <w:vAlign w:val="center"/>
          </w:tcPr>
          <w:p w14:paraId="430C1254">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cs="Times New Roman"/>
                <w:b/>
                <w:color w:val="auto"/>
                <w:kern w:val="21"/>
                <w:sz w:val="21"/>
                <w:highlight w:val="none"/>
              </w:rPr>
              <w:t>总量控制指标</w:t>
            </w:r>
          </w:p>
        </w:tc>
        <w:tc>
          <w:tcPr>
            <w:tcW w:w="1484" w:type="pct"/>
            <w:vAlign w:val="center"/>
          </w:tcPr>
          <w:p w14:paraId="4127EE97">
            <w:pPr>
              <w:widowControl/>
              <w:overflowPunct w:val="0"/>
              <w:adjustRightInd w:val="0"/>
              <w:spacing w:before="65" w:beforeLines="20" w:after="65" w:afterLines="20" w:line="240" w:lineRule="auto"/>
              <w:ind w:firstLine="0" w:firstLineChars="0"/>
              <w:jc w:val="center"/>
              <w:rPr>
                <w:rFonts w:cs="Times New Roman"/>
                <w:bCs/>
                <w:color w:val="auto"/>
                <w:kern w:val="21"/>
                <w:sz w:val="21"/>
                <w:highlight w:val="none"/>
              </w:rPr>
            </w:pPr>
            <w:r>
              <w:rPr>
                <w:rFonts w:hint="eastAsia" w:cs="Times New Roman"/>
                <w:b/>
                <w:color w:val="auto"/>
                <w:kern w:val="21"/>
                <w:sz w:val="21"/>
                <w:highlight w:val="none"/>
                <w:lang w:val="en-US" w:eastAsia="zh-CN"/>
              </w:rPr>
              <w:t>2</w:t>
            </w:r>
            <w:r>
              <w:rPr>
                <w:rFonts w:cs="Times New Roman"/>
                <w:b/>
                <w:color w:val="auto"/>
                <w:kern w:val="21"/>
                <w:sz w:val="21"/>
                <w:highlight w:val="none"/>
              </w:rPr>
              <w:t>倍替代量</w:t>
            </w:r>
          </w:p>
        </w:tc>
      </w:tr>
      <w:tr w14:paraId="4B033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pct"/>
            <w:vAlign w:val="center"/>
          </w:tcPr>
          <w:p w14:paraId="6EC0078A">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废气</w:t>
            </w:r>
          </w:p>
        </w:tc>
        <w:tc>
          <w:tcPr>
            <w:tcW w:w="1218" w:type="pct"/>
            <w:vAlign w:val="center"/>
          </w:tcPr>
          <w:p w14:paraId="57EE3B22">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颗粒物</w:t>
            </w:r>
          </w:p>
        </w:tc>
        <w:tc>
          <w:tcPr>
            <w:tcW w:w="1467" w:type="pct"/>
            <w:vAlign w:val="center"/>
          </w:tcPr>
          <w:p w14:paraId="695F66E2">
            <w:pPr>
              <w:pStyle w:val="69"/>
              <w:spacing w:before="65" w:after="65"/>
              <w:rPr>
                <w:rFonts w:cs="Times New Roman"/>
                <w:color w:val="auto"/>
                <w:kern w:val="21"/>
                <w:highlight w:val="none"/>
              </w:rPr>
            </w:pPr>
            <w:r>
              <w:rPr>
                <w:rFonts w:hint="eastAsia" w:cs="Times New Roman"/>
                <w:color w:val="auto"/>
                <w:highlight w:val="none"/>
              </w:rPr>
              <w:t>/</w:t>
            </w:r>
          </w:p>
        </w:tc>
        <w:tc>
          <w:tcPr>
            <w:tcW w:w="1484" w:type="pct"/>
            <w:vAlign w:val="center"/>
          </w:tcPr>
          <w:p w14:paraId="0BFADCA6">
            <w:pPr>
              <w:pStyle w:val="69"/>
              <w:spacing w:before="65" w:after="65"/>
              <w:rPr>
                <w:rFonts w:hint="default" w:eastAsia="宋体" w:cs="Times New Roman"/>
                <w:color w:val="auto"/>
                <w:kern w:val="21"/>
                <w:highlight w:val="none"/>
                <w:lang w:val="en-US" w:eastAsia="zh-CN"/>
              </w:rPr>
            </w:pPr>
            <w:r>
              <w:rPr>
                <w:rFonts w:hint="eastAsia" w:cs="Times New Roman"/>
                <w:color w:val="auto"/>
                <w:highlight w:val="none"/>
                <w:lang w:val="en-US" w:eastAsia="zh-CN"/>
              </w:rPr>
              <w:t>3.06</w:t>
            </w:r>
          </w:p>
        </w:tc>
      </w:tr>
      <w:tr w14:paraId="51C7F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pct"/>
            <w:vMerge w:val="restart"/>
            <w:vAlign w:val="center"/>
          </w:tcPr>
          <w:p w14:paraId="55AD4EBF">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废水</w:t>
            </w:r>
          </w:p>
        </w:tc>
        <w:tc>
          <w:tcPr>
            <w:tcW w:w="1218" w:type="pct"/>
            <w:vAlign w:val="center"/>
          </w:tcPr>
          <w:p w14:paraId="74B2C841">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COD</w:t>
            </w:r>
          </w:p>
        </w:tc>
        <w:tc>
          <w:tcPr>
            <w:tcW w:w="1467" w:type="pct"/>
            <w:vAlign w:val="center"/>
          </w:tcPr>
          <w:p w14:paraId="09B961C6">
            <w:pPr>
              <w:pStyle w:val="69"/>
              <w:spacing w:before="65" w:after="65"/>
              <w:rPr>
                <w:rFonts w:cs="Times New Roman"/>
                <w:color w:val="auto"/>
                <w:kern w:val="21"/>
                <w:highlight w:val="none"/>
              </w:rPr>
            </w:pPr>
            <w:r>
              <w:rPr>
                <w:rFonts w:cs="Times New Roman"/>
                <w:color w:val="auto"/>
                <w:highlight w:val="none"/>
              </w:rPr>
              <w:t>0.</w:t>
            </w:r>
            <w:r>
              <w:rPr>
                <w:rFonts w:hint="eastAsia" w:cs="Times New Roman"/>
                <w:color w:val="auto"/>
                <w:highlight w:val="none"/>
              </w:rPr>
              <w:t>942</w:t>
            </w:r>
          </w:p>
        </w:tc>
        <w:tc>
          <w:tcPr>
            <w:tcW w:w="1484" w:type="pct"/>
            <w:vAlign w:val="center"/>
          </w:tcPr>
          <w:p w14:paraId="27E89BA8">
            <w:pPr>
              <w:pStyle w:val="69"/>
              <w:spacing w:before="65" w:after="65"/>
              <w:rPr>
                <w:rFonts w:cs="Times New Roman"/>
                <w:color w:val="auto"/>
                <w:kern w:val="21"/>
                <w:highlight w:val="none"/>
              </w:rPr>
            </w:pPr>
            <w:r>
              <w:rPr>
                <w:rFonts w:hint="eastAsia" w:cs="Times New Roman"/>
                <w:color w:val="auto"/>
                <w:highlight w:val="none"/>
              </w:rPr>
              <w:t>/</w:t>
            </w:r>
          </w:p>
        </w:tc>
      </w:tr>
      <w:tr w14:paraId="6F0C6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pct"/>
            <w:vMerge w:val="continue"/>
            <w:vAlign w:val="center"/>
          </w:tcPr>
          <w:p w14:paraId="00A6679C">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p>
        </w:tc>
        <w:tc>
          <w:tcPr>
            <w:tcW w:w="1218" w:type="pct"/>
            <w:vAlign w:val="center"/>
          </w:tcPr>
          <w:p w14:paraId="0AE16DEB">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cs="Times New Roman"/>
                <w:color w:val="auto"/>
                <w:kern w:val="21"/>
                <w:sz w:val="21"/>
                <w:highlight w:val="none"/>
              </w:rPr>
              <w:t>氨氮</w:t>
            </w:r>
          </w:p>
        </w:tc>
        <w:tc>
          <w:tcPr>
            <w:tcW w:w="1467" w:type="pct"/>
            <w:vAlign w:val="center"/>
          </w:tcPr>
          <w:p w14:paraId="0542843A">
            <w:pPr>
              <w:pStyle w:val="69"/>
              <w:spacing w:before="65" w:after="65"/>
              <w:rPr>
                <w:rFonts w:cs="Times New Roman"/>
                <w:color w:val="auto"/>
                <w:kern w:val="21"/>
                <w:highlight w:val="none"/>
              </w:rPr>
            </w:pPr>
            <w:r>
              <w:rPr>
                <w:rFonts w:cs="Times New Roman"/>
                <w:color w:val="auto"/>
                <w:highlight w:val="none"/>
              </w:rPr>
              <w:t>0.07</w:t>
            </w:r>
            <w:r>
              <w:rPr>
                <w:rFonts w:hint="eastAsia" w:cs="Times New Roman"/>
                <w:color w:val="auto"/>
                <w:highlight w:val="none"/>
              </w:rPr>
              <w:t>9</w:t>
            </w:r>
          </w:p>
        </w:tc>
        <w:tc>
          <w:tcPr>
            <w:tcW w:w="1484" w:type="pct"/>
            <w:vAlign w:val="center"/>
          </w:tcPr>
          <w:p w14:paraId="63D7585B">
            <w:pPr>
              <w:pStyle w:val="69"/>
              <w:spacing w:before="65" w:after="65"/>
              <w:rPr>
                <w:rFonts w:cs="Times New Roman"/>
                <w:color w:val="auto"/>
                <w:kern w:val="21"/>
                <w:highlight w:val="none"/>
              </w:rPr>
            </w:pPr>
            <w:r>
              <w:rPr>
                <w:rFonts w:hint="eastAsia" w:cs="Times New Roman"/>
                <w:color w:val="auto"/>
                <w:highlight w:val="none"/>
              </w:rPr>
              <w:t>/</w:t>
            </w:r>
          </w:p>
        </w:tc>
      </w:tr>
      <w:tr w14:paraId="3409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pct"/>
            <w:vMerge w:val="continue"/>
            <w:vAlign w:val="center"/>
          </w:tcPr>
          <w:p w14:paraId="49B31DE4">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bookmarkStart w:id="445" w:name="_Toc19050"/>
            <w:bookmarkStart w:id="446" w:name="_Toc19502"/>
            <w:bookmarkStart w:id="447" w:name="_Toc18663"/>
          </w:p>
        </w:tc>
        <w:tc>
          <w:tcPr>
            <w:tcW w:w="1218" w:type="pct"/>
            <w:vAlign w:val="center"/>
          </w:tcPr>
          <w:p w14:paraId="778E9DB3">
            <w:pPr>
              <w:widowControl/>
              <w:overflowPunct w:val="0"/>
              <w:adjustRightInd w:val="0"/>
              <w:spacing w:before="65" w:beforeLines="20" w:after="65" w:afterLines="20" w:line="240" w:lineRule="auto"/>
              <w:ind w:firstLine="0" w:firstLineChars="0"/>
              <w:jc w:val="center"/>
              <w:rPr>
                <w:rFonts w:cs="Times New Roman"/>
                <w:color w:val="auto"/>
                <w:kern w:val="21"/>
                <w:sz w:val="21"/>
                <w:highlight w:val="none"/>
              </w:rPr>
            </w:pPr>
            <w:r>
              <w:rPr>
                <w:rFonts w:hint="eastAsia" w:cs="Times New Roman"/>
                <w:color w:val="auto"/>
                <w:kern w:val="21"/>
                <w:sz w:val="21"/>
                <w:highlight w:val="none"/>
              </w:rPr>
              <w:t>总磷</w:t>
            </w:r>
          </w:p>
        </w:tc>
        <w:tc>
          <w:tcPr>
            <w:tcW w:w="1467" w:type="pct"/>
            <w:vAlign w:val="center"/>
          </w:tcPr>
          <w:p w14:paraId="3544CF1E">
            <w:pPr>
              <w:pStyle w:val="69"/>
              <w:spacing w:before="65" w:after="65"/>
              <w:rPr>
                <w:rFonts w:cs="Times New Roman"/>
                <w:color w:val="auto"/>
                <w:highlight w:val="none"/>
              </w:rPr>
            </w:pPr>
            <w:r>
              <w:rPr>
                <w:rFonts w:cs="Times New Roman"/>
                <w:color w:val="auto"/>
                <w:highlight w:val="none"/>
              </w:rPr>
              <w:t>0.011</w:t>
            </w:r>
          </w:p>
        </w:tc>
        <w:tc>
          <w:tcPr>
            <w:tcW w:w="1484" w:type="pct"/>
            <w:vAlign w:val="center"/>
          </w:tcPr>
          <w:p w14:paraId="2BCA8BBD">
            <w:pPr>
              <w:pStyle w:val="69"/>
              <w:spacing w:before="65" w:after="65"/>
              <w:rPr>
                <w:rFonts w:cs="Times New Roman"/>
                <w:color w:val="auto"/>
                <w:highlight w:val="none"/>
              </w:rPr>
            </w:pPr>
            <w:r>
              <w:rPr>
                <w:rFonts w:hint="eastAsia" w:cs="Times New Roman"/>
                <w:color w:val="auto"/>
                <w:highlight w:val="none"/>
              </w:rPr>
              <w:t>/</w:t>
            </w:r>
          </w:p>
        </w:tc>
      </w:tr>
    </w:tbl>
    <w:p w14:paraId="6D096EFF">
      <w:pPr>
        <w:pStyle w:val="4"/>
        <w:adjustRightInd w:val="0"/>
        <w:rPr>
          <w:rFonts w:cs="Times New Roman"/>
          <w:color w:val="auto"/>
          <w:highlight w:val="none"/>
        </w:rPr>
      </w:pPr>
      <w:bookmarkStart w:id="448" w:name="_Toc10411"/>
      <w:r>
        <w:rPr>
          <w:rFonts w:cs="Times New Roman"/>
          <w:color w:val="auto"/>
          <w:highlight w:val="none"/>
        </w:rPr>
        <w:t>环境影响经济损益分析</w:t>
      </w:r>
      <w:bookmarkEnd w:id="445"/>
      <w:bookmarkEnd w:id="446"/>
      <w:bookmarkEnd w:id="447"/>
      <w:bookmarkEnd w:id="448"/>
    </w:p>
    <w:p w14:paraId="1DF41F0E">
      <w:pPr>
        <w:overflowPunct w:val="0"/>
        <w:adjustRightInd w:val="0"/>
        <w:ind w:firstLine="480"/>
        <w:rPr>
          <w:rFonts w:cs="Times New Roman"/>
          <w:color w:val="auto"/>
          <w:kern w:val="21"/>
          <w:szCs w:val="24"/>
          <w:highlight w:val="none"/>
        </w:rPr>
      </w:pPr>
      <w:r>
        <w:rPr>
          <w:rFonts w:cs="Times New Roman"/>
          <w:color w:val="auto"/>
          <w:kern w:val="21"/>
          <w:szCs w:val="24"/>
          <w:highlight w:val="none"/>
        </w:rPr>
        <w:t>从环境经济角度出发，本项目的建设</w:t>
      </w:r>
      <w:r>
        <w:rPr>
          <w:rFonts w:hint="eastAsia" w:cs="Times New Roman"/>
          <w:color w:val="auto"/>
          <w:kern w:val="21"/>
          <w:szCs w:val="24"/>
          <w:highlight w:val="none"/>
        </w:rPr>
        <w:t>可以</w:t>
      </w:r>
      <w:r>
        <w:rPr>
          <w:rFonts w:cs="Times New Roman"/>
          <w:color w:val="auto"/>
          <w:kern w:val="21"/>
          <w:szCs w:val="24"/>
          <w:highlight w:val="none"/>
        </w:rPr>
        <w:t>带来显著的社会效益和环境效益，环境保护投资效果较好，环保投资是合理的，本项目的建设是可行的。</w:t>
      </w:r>
    </w:p>
    <w:p w14:paraId="39581DA6">
      <w:pPr>
        <w:overflowPunct w:val="0"/>
        <w:adjustRightInd w:val="0"/>
        <w:ind w:firstLine="480"/>
        <w:rPr>
          <w:rFonts w:cs="Times New Roman"/>
          <w:color w:val="auto"/>
          <w:kern w:val="21"/>
          <w:szCs w:val="22"/>
          <w:highlight w:val="none"/>
        </w:rPr>
      </w:pPr>
      <w:r>
        <w:rPr>
          <w:rFonts w:cs="Times New Roman"/>
          <w:color w:val="auto"/>
          <w:kern w:val="21"/>
          <w:szCs w:val="24"/>
          <w:highlight w:val="none"/>
        </w:rPr>
        <w:t>综上所述，该项目建设从环境、经济损益分析结果是可行的。</w:t>
      </w:r>
    </w:p>
    <w:p w14:paraId="047640AD">
      <w:pPr>
        <w:pStyle w:val="4"/>
        <w:adjustRightInd w:val="0"/>
        <w:rPr>
          <w:rFonts w:cs="Times New Roman"/>
          <w:color w:val="auto"/>
          <w:highlight w:val="none"/>
        </w:rPr>
      </w:pPr>
      <w:bookmarkStart w:id="449" w:name="_Toc8947"/>
      <w:bookmarkStart w:id="450" w:name="_Toc27483"/>
      <w:bookmarkStart w:id="451" w:name="_Toc4535"/>
      <w:r>
        <w:rPr>
          <w:rFonts w:cs="Times New Roman"/>
          <w:color w:val="auto"/>
          <w:highlight w:val="none"/>
        </w:rPr>
        <w:t>公众参与</w:t>
      </w:r>
      <w:bookmarkEnd w:id="449"/>
      <w:bookmarkEnd w:id="450"/>
      <w:bookmarkEnd w:id="451"/>
    </w:p>
    <w:p w14:paraId="479BD862">
      <w:pPr>
        <w:overflowPunct w:val="0"/>
        <w:adjustRightInd w:val="0"/>
        <w:ind w:firstLine="480" w:firstLineChars="0"/>
        <w:rPr>
          <w:rFonts w:cs="Times New Roman"/>
          <w:color w:val="auto"/>
          <w:kern w:val="21"/>
          <w:szCs w:val="22"/>
          <w:highlight w:val="none"/>
        </w:rPr>
      </w:pPr>
      <w:r>
        <w:rPr>
          <w:rFonts w:cs="Times New Roman"/>
          <w:color w:val="auto"/>
          <w:kern w:val="21"/>
          <w:szCs w:val="22"/>
          <w:highlight w:val="none"/>
        </w:rPr>
        <w:t>通过公众参与的方式，本项目的建设得到了周边企业、管理机构及广大居民的支持，本项目建成后有利于保障本地居民的生命财产安全。工程施工过程中将产生一定量的废气、粉尘、噪声、废水以及固体废物、废渣等环境问题，应做好污染治理，将对周边环境的影响降到最低。工程建成后在运行过程中，对周边环境不产生影响。</w:t>
      </w:r>
    </w:p>
    <w:p w14:paraId="40C8EF88">
      <w:pPr>
        <w:pStyle w:val="4"/>
        <w:adjustRightInd w:val="0"/>
        <w:rPr>
          <w:rFonts w:cs="Times New Roman"/>
          <w:color w:val="auto"/>
          <w:highlight w:val="none"/>
        </w:rPr>
      </w:pPr>
      <w:bookmarkStart w:id="452" w:name="_Toc17306"/>
      <w:bookmarkStart w:id="453" w:name="_Toc26406"/>
      <w:bookmarkStart w:id="454" w:name="_Toc11847"/>
      <w:r>
        <w:rPr>
          <w:rFonts w:cs="Times New Roman"/>
          <w:color w:val="auto"/>
          <w:highlight w:val="none"/>
        </w:rPr>
        <w:t>总结论</w:t>
      </w:r>
      <w:bookmarkEnd w:id="452"/>
      <w:bookmarkEnd w:id="453"/>
      <w:bookmarkEnd w:id="454"/>
    </w:p>
    <w:p w14:paraId="779A1CA1">
      <w:pPr>
        <w:overflowPunct w:val="0"/>
        <w:adjustRightInd w:val="0"/>
        <w:ind w:firstLine="480"/>
        <w:rPr>
          <w:rFonts w:cs="Times New Roman"/>
          <w:color w:val="auto"/>
          <w:kern w:val="21"/>
          <w:szCs w:val="22"/>
          <w:highlight w:val="none"/>
        </w:rPr>
      </w:pPr>
      <w:r>
        <w:rPr>
          <w:rFonts w:cs="Times New Roman"/>
          <w:color w:val="auto"/>
          <w:kern w:val="21"/>
          <w:szCs w:val="24"/>
          <w:highlight w:val="none"/>
        </w:rPr>
        <w:t>综上所述，本项目建设符合国家现行产业政策，选址符合当地规划要求，拟建场地周边无明显环境制约因素，本项目施工期对周边的环境影响较小，施工期间未收到项目周边居民及企业的投诉，在严格执行本报告提出的环境保护措施后，运营期对居住和公共环境没有严重干扰、对周边环境影响较小。只要认真落实本报告书中提出的各项污染防治对策措施，严格执行</w:t>
      </w:r>
      <w:r>
        <w:rPr>
          <w:rFonts w:hint="eastAsia" w:cs="Times New Roman"/>
          <w:color w:val="auto"/>
          <w:kern w:val="21"/>
          <w:szCs w:val="24"/>
          <w:highlight w:val="none"/>
        </w:rPr>
        <w:t>“</w:t>
      </w:r>
      <w:r>
        <w:rPr>
          <w:rFonts w:cs="Times New Roman"/>
          <w:color w:val="auto"/>
          <w:kern w:val="21"/>
          <w:szCs w:val="24"/>
          <w:highlight w:val="none"/>
        </w:rPr>
        <w:t>三同时</w:t>
      </w:r>
      <w:r>
        <w:rPr>
          <w:rFonts w:hint="eastAsia" w:cs="Times New Roman"/>
          <w:color w:val="auto"/>
          <w:kern w:val="21"/>
          <w:szCs w:val="24"/>
          <w:highlight w:val="none"/>
        </w:rPr>
        <w:t>”</w:t>
      </w:r>
      <w:r>
        <w:rPr>
          <w:rFonts w:cs="Times New Roman"/>
          <w:color w:val="auto"/>
          <w:kern w:val="21"/>
          <w:szCs w:val="24"/>
          <w:highlight w:val="none"/>
        </w:rPr>
        <w:t>制度，保证环境保护措施的有效运行，确保污染物稳定达标排放，并严格按照环评要求进行环境风险防范，从环保角度而言，本项目建设是可行的。</w:t>
      </w:r>
    </w:p>
    <w:p w14:paraId="6E493FBA">
      <w:pPr>
        <w:pStyle w:val="3"/>
        <w:adjustRightInd w:val="0"/>
        <w:rPr>
          <w:rFonts w:cs="Times New Roman"/>
          <w:color w:val="auto"/>
          <w:highlight w:val="none"/>
        </w:rPr>
      </w:pPr>
      <w:bookmarkStart w:id="455" w:name="_Toc19823"/>
      <w:bookmarkStart w:id="456" w:name="_Toc17154"/>
      <w:bookmarkStart w:id="457" w:name="_Toc23920"/>
      <w:r>
        <w:rPr>
          <w:rFonts w:cs="Times New Roman"/>
          <w:color w:val="auto"/>
          <w:highlight w:val="none"/>
        </w:rPr>
        <w:t>要求与建议</w:t>
      </w:r>
      <w:bookmarkEnd w:id="455"/>
      <w:bookmarkEnd w:id="456"/>
      <w:bookmarkEnd w:id="457"/>
    </w:p>
    <w:p w14:paraId="0B1EAA80">
      <w:pPr>
        <w:pStyle w:val="4"/>
        <w:adjustRightInd w:val="0"/>
        <w:rPr>
          <w:rFonts w:cs="Times New Roman"/>
          <w:color w:val="auto"/>
          <w:highlight w:val="none"/>
        </w:rPr>
      </w:pPr>
      <w:bookmarkStart w:id="458" w:name="_Toc7296"/>
      <w:bookmarkStart w:id="459" w:name="_Toc6055"/>
      <w:bookmarkStart w:id="460" w:name="_Toc23960"/>
      <w:r>
        <w:rPr>
          <w:rFonts w:cs="Times New Roman"/>
          <w:color w:val="auto"/>
          <w:highlight w:val="none"/>
        </w:rPr>
        <w:t>要求</w:t>
      </w:r>
      <w:bookmarkEnd w:id="458"/>
      <w:bookmarkEnd w:id="459"/>
      <w:bookmarkEnd w:id="460"/>
    </w:p>
    <w:p w14:paraId="327FA194">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1</w:t>
      </w:r>
      <w:r>
        <w:rPr>
          <w:rFonts w:hint="eastAsia" w:cs="Times New Roman"/>
          <w:color w:val="auto"/>
          <w:kern w:val="21"/>
          <w:szCs w:val="22"/>
          <w:highlight w:val="none"/>
        </w:rPr>
        <w:t>）</w:t>
      </w:r>
      <w:r>
        <w:rPr>
          <w:rFonts w:cs="Times New Roman"/>
          <w:color w:val="auto"/>
          <w:kern w:val="21"/>
          <w:szCs w:val="22"/>
          <w:highlight w:val="none"/>
        </w:rPr>
        <w:t>建设单位应配备专职环保管理人员，培训上岗，具备对突发事故的快速反应能力，对污染物处理措施进行常规管理和事故处置实施与监控。</w:t>
      </w:r>
    </w:p>
    <w:p w14:paraId="656683A1">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2</w:t>
      </w:r>
      <w:r>
        <w:rPr>
          <w:rFonts w:hint="eastAsia" w:cs="Times New Roman"/>
          <w:color w:val="auto"/>
          <w:kern w:val="21"/>
          <w:szCs w:val="22"/>
          <w:highlight w:val="none"/>
        </w:rPr>
        <w:t>）</w:t>
      </w:r>
      <w:r>
        <w:rPr>
          <w:rFonts w:cs="Times New Roman"/>
          <w:color w:val="auto"/>
          <w:kern w:val="21"/>
          <w:szCs w:val="22"/>
          <w:highlight w:val="none"/>
        </w:rPr>
        <w:t>该项目危险废物在收集、贮存、转运、处置过程中一定要按照国家</w:t>
      </w:r>
      <w:r>
        <w:rPr>
          <w:rFonts w:hint="eastAsia" w:cs="Times New Roman"/>
          <w:color w:val="auto"/>
          <w:kern w:val="21"/>
          <w:szCs w:val="22"/>
          <w:highlight w:val="none"/>
        </w:rPr>
        <w:t>“</w:t>
      </w:r>
      <w:r>
        <w:rPr>
          <w:rFonts w:cs="Times New Roman"/>
          <w:color w:val="auto"/>
          <w:kern w:val="21"/>
          <w:szCs w:val="22"/>
          <w:highlight w:val="none"/>
        </w:rPr>
        <w:t>危险废物管理条例</w:t>
      </w:r>
      <w:r>
        <w:rPr>
          <w:rFonts w:hint="eastAsia" w:cs="Times New Roman"/>
          <w:color w:val="auto"/>
          <w:kern w:val="21"/>
          <w:szCs w:val="22"/>
          <w:highlight w:val="none"/>
        </w:rPr>
        <w:t>”</w:t>
      </w:r>
      <w:r>
        <w:rPr>
          <w:rFonts w:cs="Times New Roman"/>
          <w:color w:val="auto"/>
          <w:kern w:val="21"/>
          <w:szCs w:val="22"/>
          <w:highlight w:val="none"/>
        </w:rPr>
        <w:t>要求严格管理，严防二次污染。</w:t>
      </w:r>
    </w:p>
    <w:p w14:paraId="28D4A1AA">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3</w:t>
      </w:r>
      <w:r>
        <w:rPr>
          <w:rFonts w:hint="eastAsia" w:cs="Times New Roman"/>
          <w:color w:val="auto"/>
          <w:kern w:val="21"/>
          <w:szCs w:val="22"/>
          <w:highlight w:val="none"/>
        </w:rPr>
        <w:t>）</w:t>
      </w:r>
      <w:r>
        <w:rPr>
          <w:rFonts w:cs="Times New Roman"/>
          <w:color w:val="auto"/>
          <w:kern w:val="21"/>
          <w:szCs w:val="22"/>
          <w:highlight w:val="none"/>
        </w:rPr>
        <w:t>保证足够的环保资金，落实本报告书中提出的废水、废气、废渣及噪声治理措施。加强管理，保证环保设施的运行效率。</w:t>
      </w:r>
    </w:p>
    <w:p w14:paraId="004AB900">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4</w:t>
      </w:r>
      <w:r>
        <w:rPr>
          <w:rFonts w:hint="eastAsia" w:cs="Times New Roman"/>
          <w:color w:val="auto"/>
          <w:kern w:val="21"/>
          <w:szCs w:val="22"/>
          <w:highlight w:val="none"/>
        </w:rPr>
        <w:t>）</w:t>
      </w:r>
      <w:r>
        <w:rPr>
          <w:rFonts w:cs="Times New Roman"/>
          <w:color w:val="auto"/>
          <w:kern w:val="21"/>
          <w:szCs w:val="22"/>
          <w:highlight w:val="none"/>
        </w:rPr>
        <w:t>项目不得随意增大危险化学品存储量或使用量，项目不得构成重大危险源；并且，项目应根据厂区实际情况以及消防、公安、环保等部门和国家其他相关规定，进一步制订符合其自身实际情况和运营需要的紧急事故应急预案和应急组织系统，以期在发生环境风险事故时，将各类环境风险影响控制在可接受范围内。</w:t>
      </w:r>
    </w:p>
    <w:p w14:paraId="4DA7D7FE">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5</w:t>
      </w:r>
      <w:r>
        <w:rPr>
          <w:rFonts w:hint="eastAsia" w:cs="Times New Roman"/>
          <w:color w:val="auto"/>
          <w:kern w:val="21"/>
          <w:szCs w:val="22"/>
          <w:highlight w:val="none"/>
        </w:rPr>
        <w:t>）</w:t>
      </w:r>
      <w:r>
        <w:rPr>
          <w:rFonts w:cs="Times New Roman"/>
          <w:color w:val="auto"/>
          <w:kern w:val="21"/>
          <w:szCs w:val="22"/>
          <w:highlight w:val="none"/>
        </w:rPr>
        <w:t>定期委托当地环境监测站或具有检测资质的第三方检测单位进行污染源监测，同时建立监测档案。</w:t>
      </w:r>
    </w:p>
    <w:p w14:paraId="3B15FE72">
      <w:pPr>
        <w:overflowPunct w:val="0"/>
        <w:adjustRightInd w:val="0"/>
        <w:ind w:firstLine="48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6</w:t>
      </w:r>
      <w:r>
        <w:rPr>
          <w:rFonts w:hint="eastAsia" w:cs="Times New Roman"/>
          <w:color w:val="auto"/>
          <w:kern w:val="21"/>
          <w:szCs w:val="22"/>
          <w:highlight w:val="none"/>
        </w:rPr>
        <w:t>）</w:t>
      </w:r>
      <w:r>
        <w:rPr>
          <w:rFonts w:cs="Times New Roman"/>
          <w:color w:val="auto"/>
          <w:kern w:val="21"/>
          <w:szCs w:val="22"/>
          <w:highlight w:val="none"/>
        </w:rPr>
        <w:t>认真贯彻执行国家和地方的各项环保法规和方针政策，建立一套完善的</w:t>
      </w:r>
      <w:r>
        <w:rPr>
          <w:rFonts w:hint="eastAsia" w:cs="Times New Roman"/>
          <w:color w:val="auto"/>
          <w:kern w:val="21"/>
          <w:szCs w:val="22"/>
          <w:highlight w:val="none"/>
        </w:rPr>
        <w:t>“</w:t>
      </w:r>
      <w:r>
        <w:rPr>
          <w:rFonts w:cs="Times New Roman"/>
          <w:color w:val="auto"/>
          <w:kern w:val="21"/>
          <w:szCs w:val="22"/>
          <w:highlight w:val="none"/>
        </w:rPr>
        <w:t>环境管理手册</w:t>
      </w:r>
      <w:r>
        <w:rPr>
          <w:rFonts w:hint="eastAsia" w:cs="Times New Roman"/>
          <w:color w:val="auto"/>
          <w:kern w:val="21"/>
          <w:szCs w:val="22"/>
          <w:highlight w:val="none"/>
        </w:rPr>
        <w:t>”</w:t>
      </w:r>
      <w:r>
        <w:rPr>
          <w:rFonts w:cs="Times New Roman"/>
          <w:color w:val="auto"/>
          <w:kern w:val="21"/>
          <w:szCs w:val="22"/>
          <w:highlight w:val="none"/>
        </w:rPr>
        <w:t>，落实环境管理规章制度，强化管理，确定专门的环境管理人员，落实专人负责环保处理设施的运行和维护，接受当地环保部门的监督和管理。在当地环保部门的指导下，定期对污染物进行监测，并建立污染物管理档案。</w:t>
      </w:r>
    </w:p>
    <w:p w14:paraId="55CF351A">
      <w:pPr>
        <w:pStyle w:val="4"/>
        <w:adjustRightInd w:val="0"/>
        <w:rPr>
          <w:rFonts w:cs="Times New Roman"/>
          <w:color w:val="auto"/>
          <w:highlight w:val="none"/>
        </w:rPr>
      </w:pPr>
      <w:bookmarkStart w:id="461" w:name="_Toc6609"/>
      <w:bookmarkStart w:id="462" w:name="_Toc7995"/>
      <w:bookmarkStart w:id="463" w:name="_Toc8101"/>
      <w:r>
        <w:rPr>
          <w:rFonts w:cs="Times New Roman"/>
          <w:color w:val="auto"/>
          <w:highlight w:val="none"/>
        </w:rPr>
        <w:t>建议</w:t>
      </w:r>
      <w:bookmarkEnd w:id="461"/>
      <w:bookmarkEnd w:id="462"/>
      <w:bookmarkEnd w:id="463"/>
    </w:p>
    <w:p w14:paraId="0935108C">
      <w:pPr>
        <w:overflowPunct w:val="0"/>
        <w:adjustRightInd w:val="0"/>
        <w:ind w:firstLine="480" w:firstLineChars="0"/>
        <w:rPr>
          <w:rFonts w:cs="Times New Roman"/>
          <w:color w:val="auto"/>
          <w:kern w:val="21"/>
          <w:szCs w:val="24"/>
          <w:highlight w:val="none"/>
        </w:rPr>
      </w:pPr>
      <w:r>
        <w:rPr>
          <w:rFonts w:hint="eastAsia" w:cs="Times New Roman"/>
          <w:color w:val="auto"/>
          <w:kern w:val="21"/>
          <w:szCs w:val="24"/>
          <w:highlight w:val="none"/>
        </w:rPr>
        <w:t>（</w:t>
      </w:r>
      <w:r>
        <w:rPr>
          <w:rFonts w:cs="Times New Roman"/>
          <w:color w:val="auto"/>
          <w:kern w:val="21"/>
          <w:szCs w:val="24"/>
          <w:highlight w:val="none"/>
        </w:rPr>
        <w:t>1</w:t>
      </w:r>
      <w:r>
        <w:rPr>
          <w:rFonts w:hint="eastAsia" w:cs="Times New Roman"/>
          <w:color w:val="auto"/>
          <w:kern w:val="21"/>
          <w:szCs w:val="24"/>
          <w:highlight w:val="none"/>
        </w:rPr>
        <w:t>）</w:t>
      </w:r>
      <w:r>
        <w:rPr>
          <w:rFonts w:cs="Times New Roman"/>
          <w:color w:val="auto"/>
          <w:kern w:val="21"/>
          <w:szCs w:val="24"/>
          <w:highlight w:val="none"/>
        </w:rPr>
        <w:t>认真贯彻执行国家和四川省的各项环保法规和要求，建立健全各项环保规章制度，严格执行</w:t>
      </w:r>
      <w:r>
        <w:rPr>
          <w:rFonts w:hint="eastAsia" w:cs="Times New Roman"/>
          <w:color w:val="auto"/>
          <w:kern w:val="21"/>
          <w:szCs w:val="24"/>
          <w:highlight w:val="none"/>
        </w:rPr>
        <w:t>“</w:t>
      </w:r>
      <w:r>
        <w:rPr>
          <w:rFonts w:cs="Times New Roman"/>
          <w:color w:val="auto"/>
          <w:kern w:val="21"/>
          <w:szCs w:val="24"/>
          <w:highlight w:val="none"/>
        </w:rPr>
        <w:t>三同时</w:t>
      </w:r>
      <w:r>
        <w:rPr>
          <w:rFonts w:hint="eastAsia" w:cs="Times New Roman"/>
          <w:color w:val="auto"/>
          <w:kern w:val="21"/>
          <w:szCs w:val="24"/>
          <w:highlight w:val="none"/>
        </w:rPr>
        <w:t>”</w:t>
      </w:r>
      <w:r>
        <w:rPr>
          <w:rFonts w:cs="Times New Roman"/>
          <w:color w:val="auto"/>
          <w:kern w:val="21"/>
          <w:szCs w:val="24"/>
          <w:highlight w:val="none"/>
        </w:rPr>
        <w:t>。</w:t>
      </w:r>
    </w:p>
    <w:p w14:paraId="53C88620">
      <w:pPr>
        <w:overflowPunct w:val="0"/>
        <w:adjustRightInd w:val="0"/>
        <w:ind w:firstLine="480" w:firstLineChars="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2</w:t>
      </w:r>
      <w:r>
        <w:rPr>
          <w:rFonts w:hint="eastAsia" w:cs="Times New Roman"/>
          <w:color w:val="auto"/>
          <w:kern w:val="21"/>
          <w:szCs w:val="22"/>
          <w:highlight w:val="none"/>
        </w:rPr>
        <w:t>）</w:t>
      </w:r>
      <w:r>
        <w:rPr>
          <w:rFonts w:cs="Times New Roman"/>
          <w:color w:val="auto"/>
          <w:kern w:val="21"/>
          <w:szCs w:val="22"/>
          <w:highlight w:val="none"/>
        </w:rPr>
        <w:t>企业要加强环保设施的维护及管理，保证环保设施的正常运行，加强对烟粉尘无组织排放控制，确保污染物达标排放。</w:t>
      </w:r>
    </w:p>
    <w:p w14:paraId="4ECE6D77">
      <w:pPr>
        <w:overflowPunct w:val="0"/>
        <w:adjustRightInd w:val="0"/>
        <w:ind w:firstLine="480" w:firstLineChars="0"/>
        <w:rPr>
          <w:rFonts w:cs="Times New Roman"/>
          <w:color w:val="auto"/>
          <w:kern w:val="21"/>
          <w:szCs w:val="22"/>
          <w:highlight w:val="none"/>
        </w:rPr>
      </w:pPr>
      <w:r>
        <w:rPr>
          <w:rFonts w:hint="eastAsia" w:cs="Times New Roman"/>
          <w:color w:val="auto"/>
          <w:kern w:val="21"/>
          <w:szCs w:val="22"/>
          <w:highlight w:val="none"/>
        </w:rPr>
        <w:t>（</w:t>
      </w:r>
      <w:r>
        <w:rPr>
          <w:rFonts w:cs="Times New Roman"/>
          <w:color w:val="auto"/>
          <w:kern w:val="21"/>
          <w:szCs w:val="22"/>
          <w:highlight w:val="none"/>
        </w:rPr>
        <w:t>3</w:t>
      </w:r>
      <w:r>
        <w:rPr>
          <w:rFonts w:hint="eastAsia" w:cs="Times New Roman"/>
          <w:color w:val="auto"/>
          <w:kern w:val="21"/>
          <w:szCs w:val="22"/>
          <w:highlight w:val="none"/>
        </w:rPr>
        <w:t>）</w:t>
      </w:r>
      <w:r>
        <w:rPr>
          <w:rFonts w:cs="Times New Roman"/>
          <w:color w:val="auto"/>
          <w:kern w:val="21"/>
          <w:szCs w:val="22"/>
          <w:highlight w:val="none"/>
        </w:rPr>
        <w:t>建议厂区内的绿化和美化要以乔、灌、草结合进行，厂界周边应以乔木为主，形成一道防尘、隔声绿色防护林带屏障，以减少厂界内外的相互影响。</w:t>
      </w:r>
    </w:p>
    <w:p w14:paraId="604A4106">
      <w:pPr>
        <w:pStyle w:val="42"/>
        <w:adjustRightInd w:val="0"/>
        <w:ind w:firstLine="480"/>
        <w:rPr>
          <w:color w:val="auto"/>
          <w:highlight w:val="none"/>
        </w:rPr>
      </w:pPr>
    </w:p>
    <w:p w14:paraId="1BAD785F">
      <w:pPr>
        <w:pStyle w:val="42"/>
        <w:adjustRightInd w:val="0"/>
        <w:ind w:firstLine="480"/>
        <w:rPr>
          <w:color w:val="auto"/>
          <w:highlight w:val="none"/>
        </w:rPr>
      </w:pPr>
    </w:p>
    <w:p w14:paraId="68EF8B48">
      <w:pPr>
        <w:pStyle w:val="42"/>
        <w:adjustRightInd w:val="0"/>
        <w:ind w:firstLine="480"/>
        <w:rPr>
          <w:color w:val="auto"/>
          <w:highlight w:val="none"/>
        </w:rPr>
      </w:pPr>
    </w:p>
    <w:sectPr>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8B4DA">
    <w:pPr>
      <w:pStyle w:val="21"/>
      <w:ind w:firstLine="360"/>
      <w:jc w:val="center"/>
    </w:pPr>
  </w:p>
  <w:p w14:paraId="1F9ECAEA">
    <w:pPr>
      <w:pStyle w:val="2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27E015">
    <w:pPr>
      <w:pStyle w:val="2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0FBB5">
    <w:pPr>
      <w:pStyle w:val="2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68217"/>
    </w:sdtPr>
    <w:sdtContent>
      <w:p w14:paraId="306DCA74">
        <w:pPr>
          <w:pStyle w:val="21"/>
          <w:ind w:firstLine="360"/>
          <w:jc w:val="center"/>
        </w:pPr>
        <w:r>
          <w:fldChar w:fldCharType="begin"/>
        </w:r>
        <w:r>
          <w:instrText xml:space="preserve">PAGE   \* MERGEFORMAT</w:instrText>
        </w:r>
        <w:r>
          <w:fldChar w:fldCharType="separate"/>
        </w:r>
        <w:r>
          <w:rPr>
            <w:lang w:val="zh-CN"/>
          </w:rPr>
          <w:t>8</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48124876"/>
    </w:sdtPr>
    <w:sdtContent>
      <w:p w14:paraId="3D58280F">
        <w:pPr>
          <w:pStyle w:val="21"/>
          <w:ind w:firstLine="360"/>
          <w:jc w:val="center"/>
        </w:pPr>
        <w:r>
          <w:fldChar w:fldCharType="begin"/>
        </w:r>
        <w:r>
          <w:instrText xml:space="preserve">PAGE   \* MERGEFORMAT</w:instrText>
        </w:r>
        <w:r>
          <w:fldChar w:fldCharType="separate"/>
        </w:r>
        <w:r>
          <w:rPr>
            <w:lang w:val="zh-CN"/>
          </w:rPr>
          <w:t>316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D6F16">
    <w:pPr>
      <w:pStyle w:val="2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D668E">
    <w:pPr>
      <w:pStyle w:val="2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9E1E4">
    <w:pPr>
      <w:pStyle w:val="22"/>
      <w:pBdr>
        <w:bottom w:val="none" w:color="auto" w:sz="0" w:space="0"/>
      </w:pBdr>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93BFA">
    <w:pPr>
      <w:pStyle w:val="22"/>
      <w:ind w:firstLine="360"/>
    </w:pPr>
    <w:r>
      <w:rPr>
        <w:rFonts w:hint="eastAsia"/>
      </w:rPr>
      <w:t>乐山市豪宸新能源科技有限公司沙湾豪宸新建36万吨锂矿综合利用项目环境影响报告书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1CBD6">
    <w:pPr>
      <w:pStyle w:val="22"/>
      <w:ind w:firstLine="360"/>
    </w:pPr>
    <w:r>
      <w:rPr>
        <w:rFonts w:hint="eastAsia"/>
      </w:rPr>
      <w:t>乐山市豪宸新能源科技有限公司沙湾豪宸新建36万吨锂矿综合利用项目环境影响报告书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191243"/>
    <w:multiLevelType w:val="singleLevel"/>
    <w:tmpl w:val="80191243"/>
    <w:lvl w:ilvl="0" w:tentative="0">
      <w:start w:val="1"/>
      <w:numFmt w:val="decimal"/>
      <w:suff w:val="nothing"/>
      <w:lvlText w:val="（%1）"/>
      <w:lvlJc w:val="left"/>
    </w:lvl>
  </w:abstractNum>
  <w:abstractNum w:abstractNumId="1">
    <w:nsid w:val="865200D7"/>
    <w:multiLevelType w:val="singleLevel"/>
    <w:tmpl w:val="865200D7"/>
    <w:lvl w:ilvl="0" w:tentative="0">
      <w:start w:val="1"/>
      <w:numFmt w:val="decimal"/>
      <w:suff w:val="nothing"/>
      <w:lvlText w:val="（%1）"/>
      <w:lvlJc w:val="left"/>
    </w:lvl>
  </w:abstractNum>
  <w:abstractNum w:abstractNumId="2">
    <w:nsid w:val="A9AEA812"/>
    <w:multiLevelType w:val="singleLevel"/>
    <w:tmpl w:val="A9AEA812"/>
    <w:lvl w:ilvl="0" w:tentative="0">
      <w:start w:val="1"/>
      <w:numFmt w:val="decimal"/>
      <w:suff w:val="nothing"/>
      <w:lvlText w:val="（%1）"/>
      <w:lvlJc w:val="left"/>
    </w:lvl>
  </w:abstractNum>
  <w:abstractNum w:abstractNumId="3">
    <w:nsid w:val="BBE5B1B4"/>
    <w:multiLevelType w:val="multilevel"/>
    <w:tmpl w:val="BBE5B1B4"/>
    <w:lvl w:ilvl="0" w:tentative="0">
      <w:start w:val="1"/>
      <w:numFmt w:val="decimal"/>
      <w:suff w:val="space"/>
      <w:lvlText w:val="%1"/>
      <w:lvlJc w:val="left"/>
      <w:pPr>
        <w:ind w:left="0" w:firstLine="0"/>
      </w:pPr>
      <w:rPr>
        <w:rFonts w:hint="default" w:ascii="Times New Roman" w:hAnsi="Times New Roman" w:eastAsia="宋体"/>
        <w:b/>
        <w:i w:val="0"/>
      </w:rPr>
    </w:lvl>
    <w:lvl w:ilvl="1" w:tentative="0">
      <w:start w:val="1"/>
      <w:numFmt w:val="decimal"/>
      <w:suff w:val="space"/>
      <w:lvlText w:val="%1.%2"/>
      <w:lvlJc w:val="left"/>
      <w:pPr>
        <w:ind w:left="0" w:firstLine="0"/>
      </w:pPr>
      <w:rPr>
        <w:rFonts w:hint="default" w:ascii="Times New Roman" w:hAnsi="Times New Roman"/>
      </w:rPr>
    </w:lvl>
    <w:lvl w:ilvl="2" w:tentative="0">
      <w:start w:val="1"/>
      <w:numFmt w:val="decimal"/>
      <w:suff w:val="space"/>
      <w:lvlText w:val="%1.%2.%3"/>
      <w:lvlJc w:val="left"/>
      <w:pPr>
        <w:ind w:left="0" w:firstLine="0"/>
      </w:pPr>
      <w:rPr>
        <w:rFonts w:hint="default" w:ascii="Times New Roman" w:hAnsi="Times New Roman"/>
      </w:rPr>
    </w:lvl>
    <w:lvl w:ilvl="3" w:tentative="0">
      <w:start w:val="1"/>
      <w:numFmt w:val="decimal"/>
      <w:lvlText w:val="%1.%2.%3.%4"/>
      <w:lvlJc w:val="left"/>
      <w:pPr>
        <w:ind w:left="864" w:hanging="864"/>
      </w:pPr>
      <w:rPr>
        <w:rFonts w:hint="eastAsia"/>
      </w:rPr>
    </w:lvl>
    <w:lvl w:ilvl="4" w:tentative="0">
      <w:start w:val="1"/>
      <w:numFmt w:val="decimal"/>
      <w:pStyle w:val="6"/>
      <w:suff w:val="space"/>
      <w:lvlText w:val="%1.%2.%3.%4.%5"/>
      <w:lvlJc w:val="left"/>
      <w:pPr>
        <w:tabs>
          <w:tab w:val="left" w:pos="0"/>
        </w:tabs>
        <w:ind w:left="0" w:firstLine="0"/>
      </w:pPr>
      <w:rPr>
        <w:rFonts w:hint="default"/>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4">
    <w:nsid w:val="D06D281F"/>
    <w:multiLevelType w:val="singleLevel"/>
    <w:tmpl w:val="D06D281F"/>
    <w:lvl w:ilvl="0" w:tentative="0">
      <w:start w:val="1"/>
      <w:numFmt w:val="decimal"/>
      <w:suff w:val="nothing"/>
      <w:lvlText w:val="（%1）"/>
      <w:lvlJc w:val="left"/>
    </w:lvl>
  </w:abstractNum>
  <w:abstractNum w:abstractNumId="5">
    <w:nsid w:val="DC45C784"/>
    <w:multiLevelType w:val="singleLevel"/>
    <w:tmpl w:val="DC45C784"/>
    <w:lvl w:ilvl="0" w:tentative="0">
      <w:start w:val="1"/>
      <w:numFmt w:val="decimal"/>
      <w:suff w:val="nothing"/>
      <w:lvlText w:val="（%1）"/>
      <w:lvlJc w:val="left"/>
      <w:rPr>
        <w:rFonts w:hint="default"/>
        <w:sz w:val="24"/>
        <w:szCs w:val="24"/>
      </w:rPr>
    </w:lvl>
  </w:abstractNum>
  <w:abstractNum w:abstractNumId="6">
    <w:nsid w:val="E82893EA"/>
    <w:multiLevelType w:val="singleLevel"/>
    <w:tmpl w:val="E82893EA"/>
    <w:lvl w:ilvl="0" w:tentative="0">
      <w:start w:val="1"/>
      <w:numFmt w:val="decimal"/>
      <w:suff w:val="nothing"/>
      <w:lvlText w:val="%1、"/>
      <w:lvlJc w:val="left"/>
    </w:lvl>
  </w:abstractNum>
  <w:abstractNum w:abstractNumId="7">
    <w:nsid w:val="FEB5BA49"/>
    <w:multiLevelType w:val="singleLevel"/>
    <w:tmpl w:val="FEB5BA49"/>
    <w:lvl w:ilvl="0" w:tentative="0">
      <w:start w:val="1"/>
      <w:numFmt w:val="decimal"/>
      <w:suff w:val="nothing"/>
      <w:lvlText w:val="（%1）"/>
      <w:lvlJc w:val="left"/>
    </w:lvl>
  </w:abstractNum>
  <w:abstractNum w:abstractNumId="8">
    <w:nsid w:val="01D1661E"/>
    <w:multiLevelType w:val="multilevel"/>
    <w:tmpl w:val="01D1661E"/>
    <w:lvl w:ilvl="0" w:tentative="0">
      <w:start w:val="1"/>
      <w:numFmt w:val="decimal"/>
      <w:suff w:val="nothing"/>
      <w:lvlText w:val="（%1）"/>
      <w:lvlJc w:val="left"/>
      <w:pPr>
        <w:ind w:left="0" w:firstLine="48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043D0299"/>
    <w:multiLevelType w:val="singleLevel"/>
    <w:tmpl w:val="043D0299"/>
    <w:lvl w:ilvl="0" w:tentative="0">
      <w:start w:val="8"/>
      <w:numFmt w:val="upperLetter"/>
      <w:lvlText w:val="%1."/>
      <w:lvlJc w:val="left"/>
      <w:pPr>
        <w:tabs>
          <w:tab w:val="left" w:pos="312"/>
        </w:tabs>
      </w:pPr>
    </w:lvl>
  </w:abstractNum>
  <w:abstractNum w:abstractNumId="10">
    <w:nsid w:val="12631409"/>
    <w:multiLevelType w:val="multilevel"/>
    <w:tmpl w:val="12631409"/>
    <w:lvl w:ilvl="0" w:tentative="0">
      <w:start w:val="1"/>
      <w:numFmt w:val="decimal"/>
      <w:pStyle w:val="90"/>
      <w:suff w:val="space"/>
      <w:lvlText w:val="表1-%1"/>
      <w:lvlJc w:val="center"/>
      <w:pPr>
        <w:ind w:left="420" w:hanging="420"/>
      </w:pPr>
      <w:rPr>
        <w:rFonts w:hint="default" w:ascii="Times New Roman" w:hAnsi="Times New Roman" w:eastAsia="宋体"/>
        <w:b/>
        <w:bCs/>
        <w:i w:val="0"/>
        <w:sz w:val="21"/>
        <w:szCs w:val="21"/>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25E89AD8"/>
    <w:multiLevelType w:val="singleLevel"/>
    <w:tmpl w:val="25E89AD8"/>
    <w:lvl w:ilvl="0" w:tentative="0">
      <w:start w:val="1"/>
      <w:numFmt w:val="decimal"/>
      <w:suff w:val="nothing"/>
      <w:lvlText w:val="%1、"/>
      <w:lvlJc w:val="left"/>
    </w:lvl>
  </w:abstractNum>
  <w:abstractNum w:abstractNumId="12">
    <w:nsid w:val="3F2FA0FB"/>
    <w:multiLevelType w:val="multilevel"/>
    <w:tmpl w:val="3F2FA0FB"/>
    <w:lvl w:ilvl="0" w:tentative="0">
      <w:start w:val="1"/>
      <w:numFmt w:val="decimal"/>
      <w:pStyle w:val="2"/>
      <w:suff w:val="space"/>
      <w:lvlText w:val="%1."/>
      <w:lvlJc w:val="left"/>
      <w:pPr>
        <w:tabs>
          <w:tab w:val="left" w:pos="420"/>
        </w:tabs>
        <w:ind w:left="0" w:firstLine="0"/>
      </w:pPr>
      <w:rPr>
        <w:rFonts w:hint="default"/>
      </w:rPr>
    </w:lvl>
    <w:lvl w:ilvl="1" w:tentative="0">
      <w:start w:val="1"/>
      <w:numFmt w:val="decimal"/>
      <w:pStyle w:val="3"/>
      <w:suff w:val="space"/>
      <w:lvlText w:val="%1.%2."/>
      <w:lvlJc w:val="left"/>
      <w:pPr>
        <w:tabs>
          <w:tab w:val="left" w:pos="420"/>
        </w:tabs>
        <w:ind w:left="0" w:firstLine="0"/>
      </w:pPr>
      <w:rPr>
        <w:rFonts w:hint="default"/>
      </w:rPr>
    </w:lvl>
    <w:lvl w:ilvl="2" w:tentative="0">
      <w:start w:val="1"/>
      <w:numFmt w:val="decimal"/>
      <w:pStyle w:val="4"/>
      <w:suff w:val="space"/>
      <w:lvlText w:val="%1.%2.%3."/>
      <w:lvlJc w:val="left"/>
      <w:pPr>
        <w:tabs>
          <w:tab w:val="left" w:pos="420"/>
        </w:tabs>
        <w:ind w:left="0" w:firstLine="0"/>
      </w:pPr>
      <w:rPr>
        <w:rFonts w:hint="default"/>
      </w:rPr>
    </w:lvl>
    <w:lvl w:ilvl="3" w:tentative="0">
      <w:start w:val="1"/>
      <w:numFmt w:val="decimal"/>
      <w:pStyle w:val="5"/>
      <w:suff w:val="space"/>
      <w:lvlText w:val="%1.%2.%3.%4."/>
      <w:lvlJc w:val="left"/>
      <w:pPr>
        <w:tabs>
          <w:tab w:val="left" w:pos="0"/>
        </w:tabs>
        <w:ind w:left="0" w:firstLine="0"/>
      </w:pPr>
      <w:rPr>
        <w:rFonts w:hint="default"/>
      </w:rPr>
    </w:lvl>
    <w:lvl w:ilvl="4" w:tentative="0">
      <w:start w:val="1"/>
      <w:numFmt w:val="decimal"/>
      <w:suff w:val="space"/>
      <w:lvlText w:val="%1.%2.%3.%4.%5."/>
      <w:lvlJc w:val="left"/>
      <w:pPr>
        <w:tabs>
          <w:tab w:val="left" w:pos="420"/>
        </w:tabs>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3">
    <w:nsid w:val="43931D27"/>
    <w:multiLevelType w:val="multilevel"/>
    <w:tmpl w:val="43931D27"/>
    <w:lvl w:ilvl="0" w:tentative="0">
      <w:start w:val="1"/>
      <w:numFmt w:val="decimal"/>
      <w:suff w:val="nothing"/>
      <w:lvlText w:val="附图%1 "/>
      <w:lvlJc w:val="left"/>
      <w:pPr>
        <w:ind w:left="840" w:hanging="420"/>
      </w:pPr>
      <w:rPr>
        <w:rFonts w:hint="default" w:ascii="Times New Roman" w:hAnsi="Times New Roman" w:eastAsia="宋体"/>
        <w:b/>
        <w:i w:val="0"/>
        <w:sz w:val="24"/>
      </w:rPr>
    </w:lvl>
    <w:lvl w:ilvl="1" w:tentative="0">
      <w:start w:val="1"/>
      <w:numFmt w:val="lowerLetter"/>
      <w:lvlText w:val="%2)"/>
      <w:lvlJc w:val="left"/>
      <w:pPr>
        <w:ind w:left="1260" w:hanging="420"/>
      </w:pPr>
      <w:rPr>
        <w:rFonts w:hint="eastAsia"/>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100" w:hanging="420"/>
      </w:pPr>
      <w:rPr>
        <w:rFonts w:hint="eastAsia"/>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713A7247"/>
    <w:multiLevelType w:val="singleLevel"/>
    <w:tmpl w:val="713A7247"/>
    <w:lvl w:ilvl="0" w:tentative="0">
      <w:start w:val="1"/>
      <w:numFmt w:val="decimal"/>
      <w:suff w:val="nothing"/>
      <w:lvlText w:val="（%1）"/>
      <w:lvlJc w:val="left"/>
      <w:pPr>
        <w:ind w:left="240"/>
      </w:pPr>
    </w:lvl>
  </w:abstractNum>
  <w:abstractNum w:abstractNumId="15">
    <w:nsid w:val="73A74A94"/>
    <w:multiLevelType w:val="singleLevel"/>
    <w:tmpl w:val="73A74A94"/>
    <w:lvl w:ilvl="0" w:tentative="0">
      <w:start w:val="1"/>
      <w:numFmt w:val="decimal"/>
      <w:suff w:val="nothing"/>
      <w:lvlText w:val="（%1）"/>
      <w:lvlJc w:val="left"/>
      <w:rPr>
        <w:rFonts w:hint="default"/>
        <w:b w:val="0"/>
        <w:bCs w:val="0"/>
        <w:sz w:val="24"/>
        <w:szCs w:val="24"/>
      </w:rPr>
    </w:lvl>
  </w:abstractNum>
  <w:abstractNum w:abstractNumId="16">
    <w:nsid w:val="7B9546B3"/>
    <w:multiLevelType w:val="multilevel"/>
    <w:tmpl w:val="7B9546B3"/>
    <w:lvl w:ilvl="0" w:tentative="0">
      <w:start w:val="1"/>
      <w:numFmt w:val="decimal"/>
      <w:lvlText w:val="附件%1 "/>
      <w:lvlJc w:val="left"/>
      <w:pPr>
        <w:ind w:left="900" w:hanging="420"/>
      </w:pPr>
      <w:rPr>
        <w:rFonts w:hint="default" w:ascii="Times New Roman" w:hAnsi="Times New Roman" w:eastAsia="宋体"/>
        <w:b/>
        <w:i w:val="0"/>
        <w:sz w:val="24"/>
      </w:rPr>
    </w:lvl>
    <w:lvl w:ilvl="1" w:tentative="0">
      <w:start w:val="1"/>
      <w:numFmt w:val="decimal"/>
      <w:suff w:val="nothing"/>
      <w:lvlText w:val="附件%2 "/>
      <w:lvlJc w:val="left"/>
      <w:pPr>
        <w:ind w:left="840" w:hanging="420"/>
      </w:pPr>
      <w:rPr>
        <w:rFonts w:hint="default" w:ascii="Times New Roman" w:hAnsi="Times New Roman" w:eastAsia="宋体"/>
        <w:b/>
        <w:i w:val="0"/>
        <w:sz w:val="24"/>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2"/>
  </w:num>
  <w:num w:numId="2">
    <w:abstractNumId w:val="3"/>
  </w:num>
  <w:num w:numId="3">
    <w:abstractNumId w:val="10"/>
  </w:num>
  <w:num w:numId="4">
    <w:abstractNumId w:val="13"/>
  </w:num>
  <w:num w:numId="5">
    <w:abstractNumId w:val="16"/>
  </w:num>
  <w:num w:numId="6">
    <w:abstractNumId w:val="8"/>
  </w:num>
  <w:num w:numId="7">
    <w:abstractNumId w:val="6"/>
  </w:num>
  <w:num w:numId="8">
    <w:abstractNumId w:val="11"/>
  </w:num>
  <w:num w:numId="9">
    <w:abstractNumId w:val="9"/>
  </w:num>
  <w:num w:numId="10">
    <w:abstractNumId w:val="7"/>
  </w:num>
  <w:num w:numId="11">
    <w:abstractNumId w:val="14"/>
  </w:num>
  <w:num w:numId="12">
    <w:abstractNumId w:val="1"/>
  </w:num>
  <w:num w:numId="13">
    <w:abstractNumId w:val="4"/>
  </w:num>
  <w:num w:numId="14">
    <w:abstractNumId w:val="2"/>
  </w:num>
  <w:num w:numId="15">
    <w:abstractNumId w:val="15"/>
  </w:num>
  <w:num w:numId="16">
    <w:abstractNumId w:val="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hideSpellingErrors/>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xOWE4NjdiMDljODc2ODhlNDNiMDEwZTgwZTg1ZDMifQ=="/>
  </w:docVars>
  <w:rsids>
    <w:rsidRoot w:val="00172A27"/>
    <w:rsid w:val="000004FF"/>
    <w:rsid w:val="0000159F"/>
    <w:rsid w:val="0000247A"/>
    <w:rsid w:val="000028BB"/>
    <w:rsid w:val="00004084"/>
    <w:rsid w:val="00005F93"/>
    <w:rsid w:val="00006E39"/>
    <w:rsid w:val="00007205"/>
    <w:rsid w:val="00007E6C"/>
    <w:rsid w:val="000109A9"/>
    <w:rsid w:val="000114DA"/>
    <w:rsid w:val="000231A1"/>
    <w:rsid w:val="000235C8"/>
    <w:rsid w:val="00023F77"/>
    <w:rsid w:val="00024F7E"/>
    <w:rsid w:val="0002732A"/>
    <w:rsid w:val="00030B0D"/>
    <w:rsid w:val="00031F56"/>
    <w:rsid w:val="00032164"/>
    <w:rsid w:val="00035BA3"/>
    <w:rsid w:val="0003682E"/>
    <w:rsid w:val="00036FFE"/>
    <w:rsid w:val="00037A64"/>
    <w:rsid w:val="0004134C"/>
    <w:rsid w:val="000431DF"/>
    <w:rsid w:val="0004410E"/>
    <w:rsid w:val="00047043"/>
    <w:rsid w:val="000479C0"/>
    <w:rsid w:val="00047B50"/>
    <w:rsid w:val="000502D9"/>
    <w:rsid w:val="000506FB"/>
    <w:rsid w:val="00051C6D"/>
    <w:rsid w:val="00052253"/>
    <w:rsid w:val="00053A2E"/>
    <w:rsid w:val="00053BCD"/>
    <w:rsid w:val="00054098"/>
    <w:rsid w:val="00054C0E"/>
    <w:rsid w:val="00056543"/>
    <w:rsid w:val="0005697F"/>
    <w:rsid w:val="00057B21"/>
    <w:rsid w:val="00057E81"/>
    <w:rsid w:val="000637D6"/>
    <w:rsid w:val="00064450"/>
    <w:rsid w:val="0006686E"/>
    <w:rsid w:val="00066945"/>
    <w:rsid w:val="00066DCE"/>
    <w:rsid w:val="00070C0E"/>
    <w:rsid w:val="00071139"/>
    <w:rsid w:val="00071AE9"/>
    <w:rsid w:val="0007334C"/>
    <w:rsid w:val="00073ABB"/>
    <w:rsid w:val="000749D9"/>
    <w:rsid w:val="00075CAF"/>
    <w:rsid w:val="00081086"/>
    <w:rsid w:val="000814FE"/>
    <w:rsid w:val="000820A9"/>
    <w:rsid w:val="00083005"/>
    <w:rsid w:val="000867F8"/>
    <w:rsid w:val="00086DDF"/>
    <w:rsid w:val="00086FF7"/>
    <w:rsid w:val="00091057"/>
    <w:rsid w:val="000920CC"/>
    <w:rsid w:val="0009247E"/>
    <w:rsid w:val="00095762"/>
    <w:rsid w:val="00096284"/>
    <w:rsid w:val="00096D7C"/>
    <w:rsid w:val="000A41F3"/>
    <w:rsid w:val="000A4CBB"/>
    <w:rsid w:val="000A55BC"/>
    <w:rsid w:val="000B07AD"/>
    <w:rsid w:val="000B293F"/>
    <w:rsid w:val="000B2B00"/>
    <w:rsid w:val="000B2FAB"/>
    <w:rsid w:val="000B4206"/>
    <w:rsid w:val="000B5395"/>
    <w:rsid w:val="000B56A3"/>
    <w:rsid w:val="000B689D"/>
    <w:rsid w:val="000B7D50"/>
    <w:rsid w:val="000C0067"/>
    <w:rsid w:val="000C0591"/>
    <w:rsid w:val="000C083D"/>
    <w:rsid w:val="000C11B4"/>
    <w:rsid w:val="000C3C27"/>
    <w:rsid w:val="000C4BF3"/>
    <w:rsid w:val="000C6462"/>
    <w:rsid w:val="000C681E"/>
    <w:rsid w:val="000C6D61"/>
    <w:rsid w:val="000C6E77"/>
    <w:rsid w:val="000C6EBB"/>
    <w:rsid w:val="000C759D"/>
    <w:rsid w:val="000C76F0"/>
    <w:rsid w:val="000D2A2B"/>
    <w:rsid w:val="000D59F1"/>
    <w:rsid w:val="000D75C1"/>
    <w:rsid w:val="000D7797"/>
    <w:rsid w:val="000D7A2A"/>
    <w:rsid w:val="000E1067"/>
    <w:rsid w:val="000E45C2"/>
    <w:rsid w:val="000E5A74"/>
    <w:rsid w:val="000E5EC1"/>
    <w:rsid w:val="000E6ECE"/>
    <w:rsid w:val="000F1518"/>
    <w:rsid w:val="000F177A"/>
    <w:rsid w:val="000F6945"/>
    <w:rsid w:val="000F6AD8"/>
    <w:rsid w:val="000F765F"/>
    <w:rsid w:val="000F7CAB"/>
    <w:rsid w:val="000F7CE7"/>
    <w:rsid w:val="001021B9"/>
    <w:rsid w:val="001029A8"/>
    <w:rsid w:val="001031D5"/>
    <w:rsid w:val="00103257"/>
    <w:rsid w:val="00106ED6"/>
    <w:rsid w:val="00107D3D"/>
    <w:rsid w:val="00110299"/>
    <w:rsid w:val="0011085E"/>
    <w:rsid w:val="001109D3"/>
    <w:rsid w:val="00111ECB"/>
    <w:rsid w:val="0011261F"/>
    <w:rsid w:val="0011296F"/>
    <w:rsid w:val="00112F32"/>
    <w:rsid w:val="00114808"/>
    <w:rsid w:val="00114AE0"/>
    <w:rsid w:val="0012006B"/>
    <w:rsid w:val="0012061A"/>
    <w:rsid w:val="0012123F"/>
    <w:rsid w:val="00122021"/>
    <w:rsid w:val="00122C69"/>
    <w:rsid w:val="00122DAA"/>
    <w:rsid w:val="00122F2D"/>
    <w:rsid w:val="00123286"/>
    <w:rsid w:val="0012363C"/>
    <w:rsid w:val="0012392F"/>
    <w:rsid w:val="00124F76"/>
    <w:rsid w:val="00125DDD"/>
    <w:rsid w:val="00130A0A"/>
    <w:rsid w:val="00130A6A"/>
    <w:rsid w:val="00130FC5"/>
    <w:rsid w:val="001320EF"/>
    <w:rsid w:val="0013238B"/>
    <w:rsid w:val="00132741"/>
    <w:rsid w:val="00133B78"/>
    <w:rsid w:val="0013527D"/>
    <w:rsid w:val="00137859"/>
    <w:rsid w:val="001401DA"/>
    <w:rsid w:val="00141267"/>
    <w:rsid w:val="001418F6"/>
    <w:rsid w:val="0014436F"/>
    <w:rsid w:val="001449ED"/>
    <w:rsid w:val="00147E00"/>
    <w:rsid w:val="001504F4"/>
    <w:rsid w:val="00150CB5"/>
    <w:rsid w:val="00150EB1"/>
    <w:rsid w:val="00151648"/>
    <w:rsid w:val="00152EDE"/>
    <w:rsid w:val="00153723"/>
    <w:rsid w:val="00154A0E"/>
    <w:rsid w:val="001572FE"/>
    <w:rsid w:val="00157BEB"/>
    <w:rsid w:val="00163857"/>
    <w:rsid w:val="0017095B"/>
    <w:rsid w:val="00172A27"/>
    <w:rsid w:val="001741C7"/>
    <w:rsid w:val="00174D8D"/>
    <w:rsid w:val="00175C9E"/>
    <w:rsid w:val="00176DF0"/>
    <w:rsid w:val="00177BCA"/>
    <w:rsid w:val="001810DC"/>
    <w:rsid w:val="00182C64"/>
    <w:rsid w:val="0018328A"/>
    <w:rsid w:val="00183A71"/>
    <w:rsid w:val="001840DF"/>
    <w:rsid w:val="0018434E"/>
    <w:rsid w:val="001847B1"/>
    <w:rsid w:val="00185B2E"/>
    <w:rsid w:val="00186087"/>
    <w:rsid w:val="00186565"/>
    <w:rsid w:val="00187315"/>
    <w:rsid w:val="001904EE"/>
    <w:rsid w:val="001908F8"/>
    <w:rsid w:val="00190C2D"/>
    <w:rsid w:val="001912FF"/>
    <w:rsid w:val="00191537"/>
    <w:rsid w:val="0019221A"/>
    <w:rsid w:val="00192B8D"/>
    <w:rsid w:val="0019764A"/>
    <w:rsid w:val="001A02FF"/>
    <w:rsid w:val="001A07C6"/>
    <w:rsid w:val="001A1A6D"/>
    <w:rsid w:val="001A1B87"/>
    <w:rsid w:val="001A23C5"/>
    <w:rsid w:val="001A301B"/>
    <w:rsid w:val="001A3363"/>
    <w:rsid w:val="001A5F09"/>
    <w:rsid w:val="001A7777"/>
    <w:rsid w:val="001B0242"/>
    <w:rsid w:val="001B087A"/>
    <w:rsid w:val="001B1096"/>
    <w:rsid w:val="001B2CF1"/>
    <w:rsid w:val="001B34A8"/>
    <w:rsid w:val="001B525F"/>
    <w:rsid w:val="001B5390"/>
    <w:rsid w:val="001B6EF1"/>
    <w:rsid w:val="001B73B5"/>
    <w:rsid w:val="001C0DFA"/>
    <w:rsid w:val="001C0F8F"/>
    <w:rsid w:val="001C1809"/>
    <w:rsid w:val="001C2459"/>
    <w:rsid w:val="001C4F37"/>
    <w:rsid w:val="001C5E6F"/>
    <w:rsid w:val="001C65EF"/>
    <w:rsid w:val="001C70C7"/>
    <w:rsid w:val="001D0636"/>
    <w:rsid w:val="001D09D6"/>
    <w:rsid w:val="001D1599"/>
    <w:rsid w:val="001D1874"/>
    <w:rsid w:val="001D29D9"/>
    <w:rsid w:val="001D2E22"/>
    <w:rsid w:val="001D3BFA"/>
    <w:rsid w:val="001D4897"/>
    <w:rsid w:val="001D4C13"/>
    <w:rsid w:val="001D4DF8"/>
    <w:rsid w:val="001D50AD"/>
    <w:rsid w:val="001D56B7"/>
    <w:rsid w:val="001D6592"/>
    <w:rsid w:val="001D6F10"/>
    <w:rsid w:val="001D72B4"/>
    <w:rsid w:val="001D74B4"/>
    <w:rsid w:val="001D7550"/>
    <w:rsid w:val="001D7945"/>
    <w:rsid w:val="001D7E9F"/>
    <w:rsid w:val="001E040D"/>
    <w:rsid w:val="001E3A4A"/>
    <w:rsid w:val="001E3C34"/>
    <w:rsid w:val="001E505D"/>
    <w:rsid w:val="001E5138"/>
    <w:rsid w:val="001E747B"/>
    <w:rsid w:val="001E7692"/>
    <w:rsid w:val="001F0C2E"/>
    <w:rsid w:val="001F0D54"/>
    <w:rsid w:val="001F118B"/>
    <w:rsid w:val="001F2DA6"/>
    <w:rsid w:val="001F2F05"/>
    <w:rsid w:val="001F5974"/>
    <w:rsid w:val="001F5F71"/>
    <w:rsid w:val="00201E5F"/>
    <w:rsid w:val="00203B19"/>
    <w:rsid w:val="00204AE6"/>
    <w:rsid w:val="00204E6F"/>
    <w:rsid w:val="002064EA"/>
    <w:rsid w:val="002067B7"/>
    <w:rsid w:val="00207011"/>
    <w:rsid w:val="00207375"/>
    <w:rsid w:val="00210740"/>
    <w:rsid w:val="00210AD1"/>
    <w:rsid w:val="00210B4C"/>
    <w:rsid w:val="002114D7"/>
    <w:rsid w:val="00212E59"/>
    <w:rsid w:val="00213254"/>
    <w:rsid w:val="00213360"/>
    <w:rsid w:val="00214406"/>
    <w:rsid w:val="00216738"/>
    <w:rsid w:val="00221157"/>
    <w:rsid w:val="002219CB"/>
    <w:rsid w:val="002226B5"/>
    <w:rsid w:val="002233DD"/>
    <w:rsid w:val="0022341C"/>
    <w:rsid w:val="002304C0"/>
    <w:rsid w:val="00230A6D"/>
    <w:rsid w:val="00230B88"/>
    <w:rsid w:val="0023183A"/>
    <w:rsid w:val="002319EC"/>
    <w:rsid w:val="00231D11"/>
    <w:rsid w:val="00232079"/>
    <w:rsid w:val="00232A4C"/>
    <w:rsid w:val="00232B10"/>
    <w:rsid w:val="00232BA9"/>
    <w:rsid w:val="00232D1F"/>
    <w:rsid w:val="002364A8"/>
    <w:rsid w:val="00237A77"/>
    <w:rsid w:val="002407E5"/>
    <w:rsid w:val="00242974"/>
    <w:rsid w:val="0024315B"/>
    <w:rsid w:val="00244EB5"/>
    <w:rsid w:val="00246D4C"/>
    <w:rsid w:val="00247A62"/>
    <w:rsid w:val="00251619"/>
    <w:rsid w:val="00252588"/>
    <w:rsid w:val="002526B1"/>
    <w:rsid w:val="00253B88"/>
    <w:rsid w:val="00255450"/>
    <w:rsid w:val="00255FCF"/>
    <w:rsid w:val="0025767E"/>
    <w:rsid w:val="00257B51"/>
    <w:rsid w:val="00260FC6"/>
    <w:rsid w:val="002623E0"/>
    <w:rsid w:val="00263406"/>
    <w:rsid w:val="0026515C"/>
    <w:rsid w:val="002676F3"/>
    <w:rsid w:val="002702A9"/>
    <w:rsid w:val="002707AF"/>
    <w:rsid w:val="00270E8D"/>
    <w:rsid w:val="00271F24"/>
    <w:rsid w:val="00272234"/>
    <w:rsid w:val="002730AB"/>
    <w:rsid w:val="00273478"/>
    <w:rsid w:val="0027349C"/>
    <w:rsid w:val="00273ECF"/>
    <w:rsid w:val="0027453F"/>
    <w:rsid w:val="0027458F"/>
    <w:rsid w:val="002804E2"/>
    <w:rsid w:val="00282BE3"/>
    <w:rsid w:val="00282EE6"/>
    <w:rsid w:val="00286FEE"/>
    <w:rsid w:val="00287546"/>
    <w:rsid w:val="0029116A"/>
    <w:rsid w:val="00293A3F"/>
    <w:rsid w:val="002945A7"/>
    <w:rsid w:val="0029520D"/>
    <w:rsid w:val="0029601A"/>
    <w:rsid w:val="00297ACD"/>
    <w:rsid w:val="002A0117"/>
    <w:rsid w:val="002A1473"/>
    <w:rsid w:val="002A7A88"/>
    <w:rsid w:val="002B1A95"/>
    <w:rsid w:val="002B3084"/>
    <w:rsid w:val="002B32F9"/>
    <w:rsid w:val="002B443A"/>
    <w:rsid w:val="002B6E2A"/>
    <w:rsid w:val="002C0568"/>
    <w:rsid w:val="002C3157"/>
    <w:rsid w:val="002C381F"/>
    <w:rsid w:val="002C3D4B"/>
    <w:rsid w:val="002C3FF2"/>
    <w:rsid w:val="002D033A"/>
    <w:rsid w:val="002D344F"/>
    <w:rsid w:val="002D5052"/>
    <w:rsid w:val="002D546B"/>
    <w:rsid w:val="002D54FB"/>
    <w:rsid w:val="002E04FC"/>
    <w:rsid w:val="002E100C"/>
    <w:rsid w:val="002E113B"/>
    <w:rsid w:val="002E25CA"/>
    <w:rsid w:val="002E2636"/>
    <w:rsid w:val="002E356C"/>
    <w:rsid w:val="002E3743"/>
    <w:rsid w:val="002E5758"/>
    <w:rsid w:val="002E61EF"/>
    <w:rsid w:val="002E7D30"/>
    <w:rsid w:val="002F0728"/>
    <w:rsid w:val="002F23E1"/>
    <w:rsid w:val="002F24D8"/>
    <w:rsid w:val="002F2988"/>
    <w:rsid w:val="002F2FA3"/>
    <w:rsid w:val="002F4190"/>
    <w:rsid w:val="00300031"/>
    <w:rsid w:val="00301919"/>
    <w:rsid w:val="00301BEF"/>
    <w:rsid w:val="0030217C"/>
    <w:rsid w:val="003053D9"/>
    <w:rsid w:val="00307723"/>
    <w:rsid w:val="00307CD0"/>
    <w:rsid w:val="00310D13"/>
    <w:rsid w:val="003132A9"/>
    <w:rsid w:val="0031469E"/>
    <w:rsid w:val="003147F7"/>
    <w:rsid w:val="00315101"/>
    <w:rsid w:val="00323E9C"/>
    <w:rsid w:val="003242D7"/>
    <w:rsid w:val="0032644D"/>
    <w:rsid w:val="00332259"/>
    <w:rsid w:val="00332D25"/>
    <w:rsid w:val="00335B29"/>
    <w:rsid w:val="00336356"/>
    <w:rsid w:val="00336554"/>
    <w:rsid w:val="00337257"/>
    <w:rsid w:val="0033769A"/>
    <w:rsid w:val="00337B8A"/>
    <w:rsid w:val="00340A01"/>
    <w:rsid w:val="00341465"/>
    <w:rsid w:val="00341A99"/>
    <w:rsid w:val="00342161"/>
    <w:rsid w:val="00342194"/>
    <w:rsid w:val="003426B5"/>
    <w:rsid w:val="00343DB2"/>
    <w:rsid w:val="0034500F"/>
    <w:rsid w:val="00345EF8"/>
    <w:rsid w:val="00346D69"/>
    <w:rsid w:val="00347024"/>
    <w:rsid w:val="00347274"/>
    <w:rsid w:val="003479A4"/>
    <w:rsid w:val="003501EC"/>
    <w:rsid w:val="003505BB"/>
    <w:rsid w:val="00351A48"/>
    <w:rsid w:val="00351C10"/>
    <w:rsid w:val="00352CF7"/>
    <w:rsid w:val="00353288"/>
    <w:rsid w:val="00354D08"/>
    <w:rsid w:val="00356B50"/>
    <w:rsid w:val="00356C84"/>
    <w:rsid w:val="00360BE1"/>
    <w:rsid w:val="003610F8"/>
    <w:rsid w:val="00363939"/>
    <w:rsid w:val="00364313"/>
    <w:rsid w:val="00364668"/>
    <w:rsid w:val="003658FE"/>
    <w:rsid w:val="00365BD5"/>
    <w:rsid w:val="0036658F"/>
    <w:rsid w:val="003667A8"/>
    <w:rsid w:val="003705A5"/>
    <w:rsid w:val="003705AF"/>
    <w:rsid w:val="00370D78"/>
    <w:rsid w:val="003712D8"/>
    <w:rsid w:val="0037251A"/>
    <w:rsid w:val="00372D35"/>
    <w:rsid w:val="00373800"/>
    <w:rsid w:val="00374798"/>
    <w:rsid w:val="003749D3"/>
    <w:rsid w:val="0037751A"/>
    <w:rsid w:val="00377DF6"/>
    <w:rsid w:val="0038397D"/>
    <w:rsid w:val="00385614"/>
    <w:rsid w:val="00386E17"/>
    <w:rsid w:val="0038734A"/>
    <w:rsid w:val="00390EFC"/>
    <w:rsid w:val="003915BE"/>
    <w:rsid w:val="00392196"/>
    <w:rsid w:val="0039387E"/>
    <w:rsid w:val="00394F8D"/>
    <w:rsid w:val="00395239"/>
    <w:rsid w:val="00395BCD"/>
    <w:rsid w:val="00396183"/>
    <w:rsid w:val="003A06CF"/>
    <w:rsid w:val="003A18F4"/>
    <w:rsid w:val="003A1AA0"/>
    <w:rsid w:val="003A1E88"/>
    <w:rsid w:val="003A40AC"/>
    <w:rsid w:val="003A4D3D"/>
    <w:rsid w:val="003A712D"/>
    <w:rsid w:val="003A7929"/>
    <w:rsid w:val="003B2BA7"/>
    <w:rsid w:val="003B4B10"/>
    <w:rsid w:val="003B5737"/>
    <w:rsid w:val="003C1447"/>
    <w:rsid w:val="003C2676"/>
    <w:rsid w:val="003C459D"/>
    <w:rsid w:val="003C75F3"/>
    <w:rsid w:val="003C7B1F"/>
    <w:rsid w:val="003D0AD6"/>
    <w:rsid w:val="003D1C62"/>
    <w:rsid w:val="003D4391"/>
    <w:rsid w:val="003D4573"/>
    <w:rsid w:val="003D554B"/>
    <w:rsid w:val="003D68CF"/>
    <w:rsid w:val="003D6E32"/>
    <w:rsid w:val="003D7960"/>
    <w:rsid w:val="003E1560"/>
    <w:rsid w:val="003E18C8"/>
    <w:rsid w:val="003E28E2"/>
    <w:rsid w:val="003E29A8"/>
    <w:rsid w:val="003E3BE3"/>
    <w:rsid w:val="003E4063"/>
    <w:rsid w:val="003E6C08"/>
    <w:rsid w:val="003E6FCC"/>
    <w:rsid w:val="003E7574"/>
    <w:rsid w:val="003F02A1"/>
    <w:rsid w:val="003F0FED"/>
    <w:rsid w:val="003F10AF"/>
    <w:rsid w:val="003F26C6"/>
    <w:rsid w:val="003F32CC"/>
    <w:rsid w:val="003F421A"/>
    <w:rsid w:val="003F4630"/>
    <w:rsid w:val="003F4A61"/>
    <w:rsid w:val="003F687B"/>
    <w:rsid w:val="00400495"/>
    <w:rsid w:val="00400B72"/>
    <w:rsid w:val="00402125"/>
    <w:rsid w:val="00403A09"/>
    <w:rsid w:val="0040415C"/>
    <w:rsid w:val="00405291"/>
    <w:rsid w:val="0040705E"/>
    <w:rsid w:val="00410ECE"/>
    <w:rsid w:val="0041142C"/>
    <w:rsid w:val="00411F72"/>
    <w:rsid w:val="004134FA"/>
    <w:rsid w:val="00413853"/>
    <w:rsid w:val="0041438A"/>
    <w:rsid w:val="00417895"/>
    <w:rsid w:val="00417E48"/>
    <w:rsid w:val="004212B0"/>
    <w:rsid w:val="00422042"/>
    <w:rsid w:val="004221EA"/>
    <w:rsid w:val="00422FB8"/>
    <w:rsid w:val="004245C1"/>
    <w:rsid w:val="00425188"/>
    <w:rsid w:val="00425490"/>
    <w:rsid w:val="00427968"/>
    <w:rsid w:val="00430970"/>
    <w:rsid w:val="00430B0D"/>
    <w:rsid w:val="004317F0"/>
    <w:rsid w:val="004324CE"/>
    <w:rsid w:val="00434DA6"/>
    <w:rsid w:val="00436BA2"/>
    <w:rsid w:val="00440D37"/>
    <w:rsid w:val="0044173F"/>
    <w:rsid w:val="00444224"/>
    <w:rsid w:val="00445018"/>
    <w:rsid w:val="00447C59"/>
    <w:rsid w:val="0045014A"/>
    <w:rsid w:val="00451E6C"/>
    <w:rsid w:val="00452E77"/>
    <w:rsid w:val="00453FCD"/>
    <w:rsid w:val="00454CE1"/>
    <w:rsid w:val="004564AB"/>
    <w:rsid w:val="004609A8"/>
    <w:rsid w:val="004621B9"/>
    <w:rsid w:val="00463252"/>
    <w:rsid w:val="00463293"/>
    <w:rsid w:val="00465EAC"/>
    <w:rsid w:val="00465F7C"/>
    <w:rsid w:val="004674AD"/>
    <w:rsid w:val="004675B6"/>
    <w:rsid w:val="00470C54"/>
    <w:rsid w:val="00470CAD"/>
    <w:rsid w:val="00471E84"/>
    <w:rsid w:val="00473D1D"/>
    <w:rsid w:val="004743BE"/>
    <w:rsid w:val="00474570"/>
    <w:rsid w:val="00474829"/>
    <w:rsid w:val="00474982"/>
    <w:rsid w:val="00474AD3"/>
    <w:rsid w:val="00477C1E"/>
    <w:rsid w:val="004814B6"/>
    <w:rsid w:val="0048251E"/>
    <w:rsid w:val="00483EA6"/>
    <w:rsid w:val="004852B8"/>
    <w:rsid w:val="004862FF"/>
    <w:rsid w:val="0048658D"/>
    <w:rsid w:val="004874B8"/>
    <w:rsid w:val="004903B6"/>
    <w:rsid w:val="00490484"/>
    <w:rsid w:val="00491455"/>
    <w:rsid w:val="00492278"/>
    <w:rsid w:val="00494C12"/>
    <w:rsid w:val="00495E4A"/>
    <w:rsid w:val="00495E5C"/>
    <w:rsid w:val="00496081"/>
    <w:rsid w:val="00496361"/>
    <w:rsid w:val="004A01BB"/>
    <w:rsid w:val="004A209A"/>
    <w:rsid w:val="004A34AC"/>
    <w:rsid w:val="004A34C1"/>
    <w:rsid w:val="004A45C3"/>
    <w:rsid w:val="004A4665"/>
    <w:rsid w:val="004A61D9"/>
    <w:rsid w:val="004A7B7B"/>
    <w:rsid w:val="004B0342"/>
    <w:rsid w:val="004B0BFB"/>
    <w:rsid w:val="004B186E"/>
    <w:rsid w:val="004B1EA7"/>
    <w:rsid w:val="004B20F4"/>
    <w:rsid w:val="004B3549"/>
    <w:rsid w:val="004B3B26"/>
    <w:rsid w:val="004B4622"/>
    <w:rsid w:val="004B5899"/>
    <w:rsid w:val="004B5B34"/>
    <w:rsid w:val="004B66E9"/>
    <w:rsid w:val="004B6B44"/>
    <w:rsid w:val="004C2264"/>
    <w:rsid w:val="004C2BD4"/>
    <w:rsid w:val="004C2FEA"/>
    <w:rsid w:val="004C3F24"/>
    <w:rsid w:val="004C47E5"/>
    <w:rsid w:val="004C5070"/>
    <w:rsid w:val="004D0147"/>
    <w:rsid w:val="004D0249"/>
    <w:rsid w:val="004D039B"/>
    <w:rsid w:val="004D17D4"/>
    <w:rsid w:val="004D18F1"/>
    <w:rsid w:val="004D1DA3"/>
    <w:rsid w:val="004D2FB0"/>
    <w:rsid w:val="004D3E64"/>
    <w:rsid w:val="004D4069"/>
    <w:rsid w:val="004D4BA4"/>
    <w:rsid w:val="004D4C3D"/>
    <w:rsid w:val="004D4C5F"/>
    <w:rsid w:val="004D6486"/>
    <w:rsid w:val="004D676A"/>
    <w:rsid w:val="004D6D04"/>
    <w:rsid w:val="004E2B58"/>
    <w:rsid w:val="004E4C14"/>
    <w:rsid w:val="004E7BAF"/>
    <w:rsid w:val="004F0593"/>
    <w:rsid w:val="004F0DF9"/>
    <w:rsid w:val="004F2AA8"/>
    <w:rsid w:val="004F4CC0"/>
    <w:rsid w:val="004F52BC"/>
    <w:rsid w:val="004F539B"/>
    <w:rsid w:val="004F5A23"/>
    <w:rsid w:val="004F6756"/>
    <w:rsid w:val="005002F0"/>
    <w:rsid w:val="00502187"/>
    <w:rsid w:val="0050231D"/>
    <w:rsid w:val="0050508B"/>
    <w:rsid w:val="005056D7"/>
    <w:rsid w:val="00507FCE"/>
    <w:rsid w:val="0051108E"/>
    <w:rsid w:val="00511196"/>
    <w:rsid w:val="00512049"/>
    <w:rsid w:val="00512B3C"/>
    <w:rsid w:val="0051406D"/>
    <w:rsid w:val="00514360"/>
    <w:rsid w:val="00514C5A"/>
    <w:rsid w:val="00516D58"/>
    <w:rsid w:val="00517591"/>
    <w:rsid w:val="00521246"/>
    <w:rsid w:val="00521247"/>
    <w:rsid w:val="00527F6E"/>
    <w:rsid w:val="00532025"/>
    <w:rsid w:val="00533885"/>
    <w:rsid w:val="005344D9"/>
    <w:rsid w:val="005351A6"/>
    <w:rsid w:val="005351D6"/>
    <w:rsid w:val="00537A90"/>
    <w:rsid w:val="00540947"/>
    <w:rsid w:val="0054131D"/>
    <w:rsid w:val="005416D3"/>
    <w:rsid w:val="005435D3"/>
    <w:rsid w:val="00544752"/>
    <w:rsid w:val="00545757"/>
    <w:rsid w:val="00545B1C"/>
    <w:rsid w:val="005471CE"/>
    <w:rsid w:val="005500AD"/>
    <w:rsid w:val="0055017A"/>
    <w:rsid w:val="00552046"/>
    <w:rsid w:val="00552851"/>
    <w:rsid w:val="00552B78"/>
    <w:rsid w:val="005539DD"/>
    <w:rsid w:val="00554871"/>
    <w:rsid w:val="005558DF"/>
    <w:rsid w:val="00555A34"/>
    <w:rsid w:val="00555AD0"/>
    <w:rsid w:val="0055689E"/>
    <w:rsid w:val="00556B53"/>
    <w:rsid w:val="005618A5"/>
    <w:rsid w:val="005620BE"/>
    <w:rsid w:val="0056432F"/>
    <w:rsid w:val="005656D8"/>
    <w:rsid w:val="005666F5"/>
    <w:rsid w:val="00566B22"/>
    <w:rsid w:val="00567EDA"/>
    <w:rsid w:val="00570D64"/>
    <w:rsid w:val="00571ED1"/>
    <w:rsid w:val="00572A10"/>
    <w:rsid w:val="00572E89"/>
    <w:rsid w:val="00573286"/>
    <w:rsid w:val="005737D9"/>
    <w:rsid w:val="00581E5B"/>
    <w:rsid w:val="00583405"/>
    <w:rsid w:val="00584683"/>
    <w:rsid w:val="00584E26"/>
    <w:rsid w:val="0058514E"/>
    <w:rsid w:val="00586226"/>
    <w:rsid w:val="005862D7"/>
    <w:rsid w:val="0058715D"/>
    <w:rsid w:val="00591E50"/>
    <w:rsid w:val="00592254"/>
    <w:rsid w:val="00592609"/>
    <w:rsid w:val="005935FE"/>
    <w:rsid w:val="005938BB"/>
    <w:rsid w:val="00594E16"/>
    <w:rsid w:val="00594F9A"/>
    <w:rsid w:val="0059510B"/>
    <w:rsid w:val="005A27EB"/>
    <w:rsid w:val="005A4519"/>
    <w:rsid w:val="005A4E27"/>
    <w:rsid w:val="005A6435"/>
    <w:rsid w:val="005A6589"/>
    <w:rsid w:val="005A6CBD"/>
    <w:rsid w:val="005A6F44"/>
    <w:rsid w:val="005B02F1"/>
    <w:rsid w:val="005B1C2F"/>
    <w:rsid w:val="005B1E69"/>
    <w:rsid w:val="005B25B6"/>
    <w:rsid w:val="005B2E7D"/>
    <w:rsid w:val="005B3D18"/>
    <w:rsid w:val="005B5D6F"/>
    <w:rsid w:val="005B6C39"/>
    <w:rsid w:val="005B7E43"/>
    <w:rsid w:val="005C075C"/>
    <w:rsid w:val="005C0C7E"/>
    <w:rsid w:val="005C1271"/>
    <w:rsid w:val="005C34BA"/>
    <w:rsid w:val="005C505B"/>
    <w:rsid w:val="005C77CF"/>
    <w:rsid w:val="005D1979"/>
    <w:rsid w:val="005D2F68"/>
    <w:rsid w:val="005D3F2F"/>
    <w:rsid w:val="005D5709"/>
    <w:rsid w:val="005D6D66"/>
    <w:rsid w:val="005D76CF"/>
    <w:rsid w:val="005E22DD"/>
    <w:rsid w:val="005E4CEE"/>
    <w:rsid w:val="005E4D8D"/>
    <w:rsid w:val="005E5323"/>
    <w:rsid w:val="005E5FBA"/>
    <w:rsid w:val="005E6453"/>
    <w:rsid w:val="005E7007"/>
    <w:rsid w:val="005E70AF"/>
    <w:rsid w:val="005E7B99"/>
    <w:rsid w:val="005F0A8B"/>
    <w:rsid w:val="005F1E5C"/>
    <w:rsid w:val="005F3AD0"/>
    <w:rsid w:val="005F4477"/>
    <w:rsid w:val="005F480D"/>
    <w:rsid w:val="00600310"/>
    <w:rsid w:val="006015CF"/>
    <w:rsid w:val="006040A8"/>
    <w:rsid w:val="006046FC"/>
    <w:rsid w:val="00607C37"/>
    <w:rsid w:val="006106B6"/>
    <w:rsid w:val="00611F2D"/>
    <w:rsid w:val="00612A26"/>
    <w:rsid w:val="00613103"/>
    <w:rsid w:val="00613506"/>
    <w:rsid w:val="00613615"/>
    <w:rsid w:val="006146DB"/>
    <w:rsid w:val="00615194"/>
    <w:rsid w:val="006159A7"/>
    <w:rsid w:val="006206C2"/>
    <w:rsid w:val="006207D2"/>
    <w:rsid w:val="006216AC"/>
    <w:rsid w:val="00621C74"/>
    <w:rsid w:val="00621D99"/>
    <w:rsid w:val="006232DE"/>
    <w:rsid w:val="00624674"/>
    <w:rsid w:val="006250BF"/>
    <w:rsid w:val="00632942"/>
    <w:rsid w:val="00632AC7"/>
    <w:rsid w:val="00633CE5"/>
    <w:rsid w:val="00633EEB"/>
    <w:rsid w:val="00634F73"/>
    <w:rsid w:val="00636DE1"/>
    <w:rsid w:val="00637CB9"/>
    <w:rsid w:val="006408D2"/>
    <w:rsid w:val="00643E9C"/>
    <w:rsid w:val="00644A07"/>
    <w:rsid w:val="00645632"/>
    <w:rsid w:val="00645654"/>
    <w:rsid w:val="006465BE"/>
    <w:rsid w:val="00646AC4"/>
    <w:rsid w:val="00646FDA"/>
    <w:rsid w:val="006526A7"/>
    <w:rsid w:val="006535CB"/>
    <w:rsid w:val="00653734"/>
    <w:rsid w:val="00653F3F"/>
    <w:rsid w:val="00660B7A"/>
    <w:rsid w:val="00660DA3"/>
    <w:rsid w:val="00661B4C"/>
    <w:rsid w:val="00662B62"/>
    <w:rsid w:val="006630B3"/>
    <w:rsid w:val="00664658"/>
    <w:rsid w:val="00664703"/>
    <w:rsid w:val="00664DC5"/>
    <w:rsid w:val="00670230"/>
    <w:rsid w:val="00670582"/>
    <w:rsid w:val="00670CCA"/>
    <w:rsid w:val="006716B7"/>
    <w:rsid w:val="006717B6"/>
    <w:rsid w:val="00673EDA"/>
    <w:rsid w:val="00675AAD"/>
    <w:rsid w:val="00676186"/>
    <w:rsid w:val="00676DEB"/>
    <w:rsid w:val="00677C73"/>
    <w:rsid w:val="00681690"/>
    <w:rsid w:val="0068696F"/>
    <w:rsid w:val="006901EC"/>
    <w:rsid w:val="00690521"/>
    <w:rsid w:val="006915F0"/>
    <w:rsid w:val="00692E77"/>
    <w:rsid w:val="006938B7"/>
    <w:rsid w:val="00693DF9"/>
    <w:rsid w:val="0069545E"/>
    <w:rsid w:val="00696457"/>
    <w:rsid w:val="00697034"/>
    <w:rsid w:val="006A0ABC"/>
    <w:rsid w:val="006A0F41"/>
    <w:rsid w:val="006A2373"/>
    <w:rsid w:val="006A420E"/>
    <w:rsid w:val="006A4249"/>
    <w:rsid w:val="006A4462"/>
    <w:rsid w:val="006A45AC"/>
    <w:rsid w:val="006A4B09"/>
    <w:rsid w:val="006A5B0A"/>
    <w:rsid w:val="006A5FD6"/>
    <w:rsid w:val="006A66C9"/>
    <w:rsid w:val="006A7A20"/>
    <w:rsid w:val="006A7AEE"/>
    <w:rsid w:val="006A7BF2"/>
    <w:rsid w:val="006B102C"/>
    <w:rsid w:val="006B1F74"/>
    <w:rsid w:val="006B2672"/>
    <w:rsid w:val="006B2901"/>
    <w:rsid w:val="006B5265"/>
    <w:rsid w:val="006B5D3E"/>
    <w:rsid w:val="006B603E"/>
    <w:rsid w:val="006B67D5"/>
    <w:rsid w:val="006B6E0A"/>
    <w:rsid w:val="006B72ED"/>
    <w:rsid w:val="006B7B66"/>
    <w:rsid w:val="006B7B84"/>
    <w:rsid w:val="006C0725"/>
    <w:rsid w:val="006C111C"/>
    <w:rsid w:val="006C2673"/>
    <w:rsid w:val="006C44A4"/>
    <w:rsid w:val="006C5914"/>
    <w:rsid w:val="006C5BE1"/>
    <w:rsid w:val="006C726E"/>
    <w:rsid w:val="006C7C58"/>
    <w:rsid w:val="006C7D5F"/>
    <w:rsid w:val="006D0FCA"/>
    <w:rsid w:val="006D2A98"/>
    <w:rsid w:val="006D6954"/>
    <w:rsid w:val="006D6A51"/>
    <w:rsid w:val="006D7013"/>
    <w:rsid w:val="006D725B"/>
    <w:rsid w:val="006D7DBC"/>
    <w:rsid w:val="006E0C93"/>
    <w:rsid w:val="006E0E98"/>
    <w:rsid w:val="006E11AE"/>
    <w:rsid w:val="006E125C"/>
    <w:rsid w:val="006E2375"/>
    <w:rsid w:val="006E2D9F"/>
    <w:rsid w:val="006E36D3"/>
    <w:rsid w:val="006E3AE0"/>
    <w:rsid w:val="006E4091"/>
    <w:rsid w:val="006E594C"/>
    <w:rsid w:val="006E7340"/>
    <w:rsid w:val="006E7A2F"/>
    <w:rsid w:val="006F0CDB"/>
    <w:rsid w:val="006F2725"/>
    <w:rsid w:val="006F3B33"/>
    <w:rsid w:val="006F532F"/>
    <w:rsid w:val="006F59B7"/>
    <w:rsid w:val="0070045F"/>
    <w:rsid w:val="007058B3"/>
    <w:rsid w:val="00705FC9"/>
    <w:rsid w:val="0071219D"/>
    <w:rsid w:val="007128AA"/>
    <w:rsid w:val="00713678"/>
    <w:rsid w:val="00713954"/>
    <w:rsid w:val="00715393"/>
    <w:rsid w:val="00715B33"/>
    <w:rsid w:val="0071645D"/>
    <w:rsid w:val="007168FE"/>
    <w:rsid w:val="00721F37"/>
    <w:rsid w:val="0072224E"/>
    <w:rsid w:val="0072552E"/>
    <w:rsid w:val="00727823"/>
    <w:rsid w:val="00731F6F"/>
    <w:rsid w:val="00735AE4"/>
    <w:rsid w:val="00737F36"/>
    <w:rsid w:val="0074115A"/>
    <w:rsid w:val="00741541"/>
    <w:rsid w:val="00741B2F"/>
    <w:rsid w:val="00742672"/>
    <w:rsid w:val="00742F75"/>
    <w:rsid w:val="007438CF"/>
    <w:rsid w:val="0074598E"/>
    <w:rsid w:val="0074667E"/>
    <w:rsid w:val="0074746F"/>
    <w:rsid w:val="00753228"/>
    <w:rsid w:val="007543AC"/>
    <w:rsid w:val="00754A7D"/>
    <w:rsid w:val="00755EE4"/>
    <w:rsid w:val="00756153"/>
    <w:rsid w:val="007579A5"/>
    <w:rsid w:val="007610BF"/>
    <w:rsid w:val="007614B6"/>
    <w:rsid w:val="00762C0F"/>
    <w:rsid w:val="007637C1"/>
    <w:rsid w:val="00763CA6"/>
    <w:rsid w:val="00765451"/>
    <w:rsid w:val="00766B37"/>
    <w:rsid w:val="0076740B"/>
    <w:rsid w:val="00767FC2"/>
    <w:rsid w:val="00771FB0"/>
    <w:rsid w:val="00773DC2"/>
    <w:rsid w:val="00773E7E"/>
    <w:rsid w:val="00774204"/>
    <w:rsid w:val="0078191E"/>
    <w:rsid w:val="00781C79"/>
    <w:rsid w:val="007832C5"/>
    <w:rsid w:val="0078495A"/>
    <w:rsid w:val="00784FC1"/>
    <w:rsid w:val="00787449"/>
    <w:rsid w:val="00787CB8"/>
    <w:rsid w:val="007909DC"/>
    <w:rsid w:val="007918E7"/>
    <w:rsid w:val="00793052"/>
    <w:rsid w:val="007951E3"/>
    <w:rsid w:val="0079528C"/>
    <w:rsid w:val="0079734E"/>
    <w:rsid w:val="007974D3"/>
    <w:rsid w:val="007A0BC9"/>
    <w:rsid w:val="007A1106"/>
    <w:rsid w:val="007A2581"/>
    <w:rsid w:val="007A494E"/>
    <w:rsid w:val="007A4C92"/>
    <w:rsid w:val="007A79CA"/>
    <w:rsid w:val="007B00C8"/>
    <w:rsid w:val="007B0492"/>
    <w:rsid w:val="007B1E57"/>
    <w:rsid w:val="007B2498"/>
    <w:rsid w:val="007B2511"/>
    <w:rsid w:val="007B2DD9"/>
    <w:rsid w:val="007B45C0"/>
    <w:rsid w:val="007B45E9"/>
    <w:rsid w:val="007B50D8"/>
    <w:rsid w:val="007B52EB"/>
    <w:rsid w:val="007B6AC4"/>
    <w:rsid w:val="007B7219"/>
    <w:rsid w:val="007B751F"/>
    <w:rsid w:val="007C1330"/>
    <w:rsid w:val="007C1FE5"/>
    <w:rsid w:val="007C1FF3"/>
    <w:rsid w:val="007C2A3D"/>
    <w:rsid w:val="007C377B"/>
    <w:rsid w:val="007C40FD"/>
    <w:rsid w:val="007C5272"/>
    <w:rsid w:val="007C5788"/>
    <w:rsid w:val="007C5BE8"/>
    <w:rsid w:val="007C6C5F"/>
    <w:rsid w:val="007D0F61"/>
    <w:rsid w:val="007D422C"/>
    <w:rsid w:val="007D4B51"/>
    <w:rsid w:val="007D5B37"/>
    <w:rsid w:val="007D5E8A"/>
    <w:rsid w:val="007D6DA4"/>
    <w:rsid w:val="007D7C5C"/>
    <w:rsid w:val="007E0380"/>
    <w:rsid w:val="007E088F"/>
    <w:rsid w:val="007E0B3D"/>
    <w:rsid w:val="007E0BFF"/>
    <w:rsid w:val="007E10CD"/>
    <w:rsid w:val="007E1216"/>
    <w:rsid w:val="007E1AC4"/>
    <w:rsid w:val="007E24D8"/>
    <w:rsid w:val="007E2D5B"/>
    <w:rsid w:val="007E2DED"/>
    <w:rsid w:val="007E30BE"/>
    <w:rsid w:val="007E31A9"/>
    <w:rsid w:val="007E49B9"/>
    <w:rsid w:val="007E4DDC"/>
    <w:rsid w:val="007E4F59"/>
    <w:rsid w:val="007E7233"/>
    <w:rsid w:val="007E75CC"/>
    <w:rsid w:val="007F0A4A"/>
    <w:rsid w:val="007F1B32"/>
    <w:rsid w:val="007F1DAC"/>
    <w:rsid w:val="007F2E34"/>
    <w:rsid w:val="007F30CF"/>
    <w:rsid w:val="007F3338"/>
    <w:rsid w:val="007F3FA8"/>
    <w:rsid w:val="007F467F"/>
    <w:rsid w:val="007F59FD"/>
    <w:rsid w:val="008017DA"/>
    <w:rsid w:val="00802F58"/>
    <w:rsid w:val="008045B7"/>
    <w:rsid w:val="00804C45"/>
    <w:rsid w:val="00804E5E"/>
    <w:rsid w:val="00805BD9"/>
    <w:rsid w:val="008076C8"/>
    <w:rsid w:val="00810F9B"/>
    <w:rsid w:val="00811EF1"/>
    <w:rsid w:val="00813164"/>
    <w:rsid w:val="0081643A"/>
    <w:rsid w:val="008164A3"/>
    <w:rsid w:val="008204C6"/>
    <w:rsid w:val="00820A96"/>
    <w:rsid w:val="00820FAE"/>
    <w:rsid w:val="00821001"/>
    <w:rsid w:val="00826E46"/>
    <w:rsid w:val="0083011A"/>
    <w:rsid w:val="00830FE6"/>
    <w:rsid w:val="00832A55"/>
    <w:rsid w:val="008330E4"/>
    <w:rsid w:val="008345C0"/>
    <w:rsid w:val="00837DE0"/>
    <w:rsid w:val="0084071B"/>
    <w:rsid w:val="008433E4"/>
    <w:rsid w:val="00846DA4"/>
    <w:rsid w:val="0084752B"/>
    <w:rsid w:val="008478DB"/>
    <w:rsid w:val="00851286"/>
    <w:rsid w:val="00851A7B"/>
    <w:rsid w:val="00851B3E"/>
    <w:rsid w:val="00851C69"/>
    <w:rsid w:val="00854250"/>
    <w:rsid w:val="00854320"/>
    <w:rsid w:val="008548B4"/>
    <w:rsid w:val="00855D95"/>
    <w:rsid w:val="00857A3F"/>
    <w:rsid w:val="008602B3"/>
    <w:rsid w:val="008625A9"/>
    <w:rsid w:val="008628C5"/>
    <w:rsid w:val="008632CD"/>
    <w:rsid w:val="0086545E"/>
    <w:rsid w:val="00865AC3"/>
    <w:rsid w:val="00870666"/>
    <w:rsid w:val="00870B7D"/>
    <w:rsid w:val="00870F87"/>
    <w:rsid w:val="00871517"/>
    <w:rsid w:val="0087224D"/>
    <w:rsid w:val="00874172"/>
    <w:rsid w:val="00875808"/>
    <w:rsid w:val="00875DA0"/>
    <w:rsid w:val="0087731B"/>
    <w:rsid w:val="008778D6"/>
    <w:rsid w:val="00880BF2"/>
    <w:rsid w:val="00880E1A"/>
    <w:rsid w:val="00881426"/>
    <w:rsid w:val="00882D0A"/>
    <w:rsid w:val="00883309"/>
    <w:rsid w:val="00883900"/>
    <w:rsid w:val="0088390A"/>
    <w:rsid w:val="00884850"/>
    <w:rsid w:val="00884B00"/>
    <w:rsid w:val="008867D9"/>
    <w:rsid w:val="0089501E"/>
    <w:rsid w:val="00896149"/>
    <w:rsid w:val="008A0881"/>
    <w:rsid w:val="008A1DF1"/>
    <w:rsid w:val="008A4121"/>
    <w:rsid w:val="008A4D20"/>
    <w:rsid w:val="008A5020"/>
    <w:rsid w:val="008A5D56"/>
    <w:rsid w:val="008A62DF"/>
    <w:rsid w:val="008A707F"/>
    <w:rsid w:val="008A7149"/>
    <w:rsid w:val="008A7761"/>
    <w:rsid w:val="008A77C0"/>
    <w:rsid w:val="008B1132"/>
    <w:rsid w:val="008B116E"/>
    <w:rsid w:val="008B1F9D"/>
    <w:rsid w:val="008B2C42"/>
    <w:rsid w:val="008B4121"/>
    <w:rsid w:val="008B540B"/>
    <w:rsid w:val="008B5BFD"/>
    <w:rsid w:val="008C0BEA"/>
    <w:rsid w:val="008C0C62"/>
    <w:rsid w:val="008C12F9"/>
    <w:rsid w:val="008C1412"/>
    <w:rsid w:val="008C28F8"/>
    <w:rsid w:val="008C3EE4"/>
    <w:rsid w:val="008C45AA"/>
    <w:rsid w:val="008C6F27"/>
    <w:rsid w:val="008C7FF0"/>
    <w:rsid w:val="008D3337"/>
    <w:rsid w:val="008D4F17"/>
    <w:rsid w:val="008D52B8"/>
    <w:rsid w:val="008D5814"/>
    <w:rsid w:val="008D727A"/>
    <w:rsid w:val="008D7C0E"/>
    <w:rsid w:val="008E1817"/>
    <w:rsid w:val="008E195C"/>
    <w:rsid w:val="008E574F"/>
    <w:rsid w:val="008E57AB"/>
    <w:rsid w:val="008E71A2"/>
    <w:rsid w:val="008E7C31"/>
    <w:rsid w:val="008F027A"/>
    <w:rsid w:val="008F098A"/>
    <w:rsid w:val="008F0C9D"/>
    <w:rsid w:val="008F233A"/>
    <w:rsid w:val="008F3208"/>
    <w:rsid w:val="008F40FE"/>
    <w:rsid w:val="008F44BD"/>
    <w:rsid w:val="008F5651"/>
    <w:rsid w:val="008F7AE9"/>
    <w:rsid w:val="0090022D"/>
    <w:rsid w:val="009004B7"/>
    <w:rsid w:val="0090125C"/>
    <w:rsid w:val="00903846"/>
    <w:rsid w:val="00903DCF"/>
    <w:rsid w:val="00904078"/>
    <w:rsid w:val="00904B7A"/>
    <w:rsid w:val="009062A2"/>
    <w:rsid w:val="00906577"/>
    <w:rsid w:val="00906905"/>
    <w:rsid w:val="00906FC6"/>
    <w:rsid w:val="00907151"/>
    <w:rsid w:val="009104C5"/>
    <w:rsid w:val="009104E4"/>
    <w:rsid w:val="009116ED"/>
    <w:rsid w:val="00911F85"/>
    <w:rsid w:val="00912E7A"/>
    <w:rsid w:val="00913F28"/>
    <w:rsid w:val="00914DFB"/>
    <w:rsid w:val="00920B4E"/>
    <w:rsid w:val="00921BC4"/>
    <w:rsid w:val="00923396"/>
    <w:rsid w:val="00927A89"/>
    <w:rsid w:val="009314CA"/>
    <w:rsid w:val="00932999"/>
    <w:rsid w:val="00933C1A"/>
    <w:rsid w:val="009343F9"/>
    <w:rsid w:val="00935E00"/>
    <w:rsid w:val="00937973"/>
    <w:rsid w:val="0094099B"/>
    <w:rsid w:val="009420E0"/>
    <w:rsid w:val="00942C01"/>
    <w:rsid w:val="00942DE4"/>
    <w:rsid w:val="009468C1"/>
    <w:rsid w:val="009475E5"/>
    <w:rsid w:val="009477A2"/>
    <w:rsid w:val="00950271"/>
    <w:rsid w:val="00950B3B"/>
    <w:rsid w:val="00951079"/>
    <w:rsid w:val="00951730"/>
    <w:rsid w:val="00951D6E"/>
    <w:rsid w:val="00954875"/>
    <w:rsid w:val="00954C2F"/>
    <w:rsid w:val="00955995"/>
    <w:rsid w:val="00957317"/>
    <w:rsid w:val="0095780B"/>
    <w:rsid w:val="009578DE"/>
    <w:rsid w:val="00960779"/>
    <w:rsid w:val="00961AF0"/>
    <w:rsid w:val="00962E73"/>
    <w:rsid w:val="009646BE"/>
    <w:rsid w:val="0096491D"/>
    <w:rsid w:val="00965E1E"/>
    <w:rsid w:val="00966868"/>
    <w:rsid w:val="009710CD"/>
    <w:rsid w:val="00974747"/>
    <w:rsid w:val="00974DF7"/>
    <w:rsid w:val="00975DAB"/>
    <w:rsid w:val="009767FB"/>
    <w:rsid w:val="009834C5"/>
    <w:rsid w:val="00984FF3"/>
    <w:rsid w:val="00985535"/>
    <w:rsid w:val="009864B8"/>
    <w:rsid w:val="00986E63"/>
    <w:rsid w:val="00986F70"/>
    <w:rsid w:val="00990799"/>
    <w:rsid w:val="00991C61"/>
    <w:rsid w:val="00991F83"/>
    <w:rsid w:val="009923B0"/>
    <w:rsid w:val="00992BDE"/>
    <w:rsid w:val="009937BD"/>
    <w:rsid w:val="00993E2E"/>
    <w:rsid w:val="0099441E"/>
    <w:rsid w:val="009965C9"/>
    <w:rsid w:val="009972F5"/>
    <w:rsid w:val="00997A21"/>
    <w:rsid w:val="00997A2A"/>
    <w:rsid w:val="00997FBC"/>
    <w:rsid w:val="009A224A"/>
    <w:rsid w:val="009A2FA8"/>
    <w:rsid w:val="009A3753"/>
    <w:rsid w:val="009A417E"/>
    <w:rsid w:val="009A4D6E"/>
    <w:rsid w:val="009A5965"/>
    <w:rsid w:val="009A62D5"/>
    <w:rsid w:val="009A6425"/>
    <w:rsid w:val="009A6914"/>
    <w:rsid w:val="009A6A2F"/>
    <w:rsid w:val="009A7241"/>
    <w:rsid w:val="009B1386"/>
    <w:rsid w:val="009B207E"/>
    <w:rsid w:val="009B2311"/>
    <w:rsid w:val="009B2E35"/>
    <w:rsid w:val="009B3201"/>
    <w:rsid w:val="009B37F1"/>
    <w:rsid w:val="009B40BB"/>
    <w:rsid w:val="009B4E9C"/>
    <w:rsid w:val="009B56D9"/>
    <w:rsid w:val="009B6912"/>
    <w:rsid w:val="009C06D1"/>
    <w:rsid w:val="009C0B3D"/>
    <w:rsid w:val="009C2745"/>
    <w:rsid w:val="009C488C"/>
    <w:rsid w:val="009C515D"/>
    <w:rsid w:val="009C7A1A"/>
    <w:rsid w:val="009C7E58"/>
    <w:rsid w:val="009D0245"/>
    <w:rsid w:val="009D056D"/>
    <w:rsid w:val="009D0E8D"/>
    <w:rsid w:val="009D101C"/>
    <w:rsid w:val="009D4DBF"/>
    <w:rsid w:val="009D558D"/>
    <w:rsid w:val="009D6A53"/>
    <w:rsid w:val="009D7067"/>
    <w:rsid w:val="009D7A8A"/>
    <w:rsid w:val="009E0412"/>
    <w:rsid w:val="009E18FB"/>
    <w:rsid w:val="009E23C8"/>
    <w:rsid w:val="009E49F1"/>
    <w:rsid w:val="009E55EC"/>
    <w:rsid w:val="009E6B97"/>
    <w:rsid w:val="009E7B88"/>
    <w:rsid w:val="009F012E"/>
    <w:rsid w:val="009F0FAD"/>
    <w:rsid w:val="009F1D6C"/>
    <w:rsid w:val="009F21E3"/>
    <w:rsid w:val="009F2F16"/>
    <w:rsid w:val="009F3023"/>
    <w:rsid w:val="009F655B"/>
    <w:rsid w:val="009F6FFA"/>
    <w:rsid w:val="009F79B4"/>
    <w:rsid w:val="009F7BE0"/>
    <w:rsid w:val="00A00146"/>
    <w:rsid w:val="00A01D8F"/>
    <w:rsid w:val="00A026B8"/>
    <w:rsid w:val="00A03B55"/>
    <w:rsid w:val="00A046E6"/>
    <w:rsid w:val="00A05391"/>
    <w:rsid w:val="00A068D3"/>
    <w:rsid w:val="00A07D79"/>
    <w:rsid w:val="00A103BD"/>
    <w:rsid w:val="00A11922"/>
    <w:rsid w:val="00A13681"/>
    <w:rsid w:val="00A13A6A"/>
    <w:rsid w:val="00A14F77"/>
    <w:rsid w:val="00A15BAD"/>
    <w:rsid w:val="00A1668F"/>
    <w:rsid w:val="00A17044"/>
    <w:rsid w:val="00A1737A"/>
    <w:rsid w:val="00A223DD"/>
    <w:rsid w:val="00A22817"/>
    <w:rsid w:val="00A22C5E"/>
    <w:rsid w:val="00A22CAA"/>
    <w:rsid w:val="00A24563"/>
    <w:rsid w:val="00A24AF7"/>
    <w:rsid w:val="00A2526D"/>
    <w:rsid w:val="00A2581B"/>
    <w:rsid w:val="00A25B57"/>
    <w:rsid w:val="00A2611F"/>
    <w:rsid w:val="00A30A7E"/>
    <w:rsid w:val="00A31CBA"/>
    <w:rsid w:val="00A31F2A"/>
    <w:rsid w:val="00A321AE"/>
    <w:rsid w:val="00A3278B"/>
    <w:rsid w:val="00A351D1"/>
    <w:rsid w:val="00A3583B"/>
    <w:rsid w:val="00A35F39"/>
    <w:rsid w:val="00A3624E"/>
    <w:rsid w:val="00A40394"/>
    <w:rsid w:val="00A44AFF"/>
    <w:rsid w:val="00A454D5"/>
    <w:rsid w:val="00A46080"/>
    <w:rsid w:val="00A4707F"/>
    <w:rsid w:val="00A5232A"/>
    <w:rsid w:val="00A53055"/>
    <w:rsid w:val="00A53FE9"/>
    <w:rsid w:val="00A54D60"/>
    <w:rsid w:val="00A56666"/>
    <w:rsid w:val="00A56F0E"/>
    <w:rsid w:val="00A573A6"/>
    <w:rsid w:val="00A57E21"/>
    <w:rsid w:val="00A6043B"/>
    <w:rsid w:val="00A643CE"/>
    <w:rsid w:val="00A6477C"/>
    <w:rsid w:val="00A64CF8"/>
    <w:rsid w:val="00A71F05"/>
    <w:rsid w:val="00A72CB2"/>
    <w:rsid w:val="00A7458E"/>
    <w:rsid w:val="00A76772"/>
    <w:rsid w:val="00A772E6"/>
    <w:rsid w:val="00A776D5"/>
    <w:rsid w:val="00A809D9"/>
    <w:rsid w:val="00A80CD9"/>
    <w:rsid w:val="00A81078"/>
    <w:rsid w:val="00A8109D"/>
    <w:rsid w:val="00A85C2E"/>
    <w:rsid w:val="00A85C73"/>
    <w:rsid w:val="00A87683"/>
    <w:rsid w:val="00A87D55"/>
    <w:rsid w:val="00A87FBE"/>
    <w:rsid w:val="00A87FC5"/>
    <w:rsid w:val="00A90AE9"/>
    <w:rsid w:val="00A914D6"/>
    <w:rsid w:val="00A92900"/>
    <w:rsid w:val="00A929F8"/>
    <w:rsid w:val="00A93170"/>
    <w:rsid w:val="00A96AE4"/>
    <w:rsid w:val="00A971B1"/>
    <w:rsid w:val="00A977EE"/>
    <w:rsid w:val="00AA06F2"/>
    <w:rsid w:val="00AA22FD"/>
    <w:rsid w:val="00AB03C6"/>
    <w:rsid w:val="00AB0838"/>
    <w:rsid w:val="00AB0F7F"/>
    <w:rsid w:val="00AB20B2"/>
    <w:rsid w:val="00AB2695"/>
    <w:rsid w:val="00AB2BB7"/>
    <w:rsid w:val="00AB2D84"/>
    <w:rsid w:val="00AB3140"/>
    <w:rsid w:val="00AB32FA"/>
    <w:rsid w:val="00AB52F3"/>
    <w:rsid w:val="00AB563E"/>
    <w:rsid w:val="00AB5A71"/>
    <w:rsid w:val="00AB5BE7"/>
    <w:rsid w:val="00AB7835"/>
    <w:rsid w:val="00AB7FD3"/>
    <w:rsid w:val="00AC0B4F"/>
    <w:rsid w:val="00AC249F"/>
    <w:rsid w:val="00AC4602"/>
    <w:rsid w:val="00AC4EE4"/>
    <w:rsid w:val="00AC5038"/>
    <w:rsid w:val="00AC5E1F"/>
    <w:rsid w:val="00AC69F1"/>
    <w:rsid w:val="00AD1AB6"/>
    <w:rsid w:val="00AD24A1"/>
    <w:rsid w:val="00AD400F"/>
    <w:rsid w:val="00AD4160"/>
    <w:rsid w:val="00AD4B14"/>
    <w:rsid w:val="00AD557F"/>
    <w:rsid w:val="00AD5BFA"/>
    <w:rsid w:val="00AD6B08"/>
    <w:rsid w:val="00AD715B"/>
    <w:rsid w:val="00AD77CC"/>
    <w:rsid w:val="00AD7996"/>
    <w:rsid w:val="00AD7ABE"/>
    <w:rsid w:val="00AE5221"/>
    <w:rsid w:val="00AE58F0"/>
    <w:rsid w:val="00AE5B50"/>
    <w:rsid w:val="00AE664E"/>
    <w:rsid w:val="00AE7B89"/>
    <w:rsid w:val="00AF09BB"/>
    <w:rsid w:val="00AF109E"/>
    <w:rsid w:val="00AF1E11"/>
    <w:rsid w:val="00AF46B0"/>
    <w:rsid w:val="00AF60ED"/>
    <w:rsid w:val="00AF65AD"/>
    <w:rsid w:val="00AF65F4"/>
    <w:rsid w:val="00B01BA3"/>
    <w:rsid w:val="00B04E84"/>
    <w:rsid w:val="00B05D79"/>
    <w:rsid w:val="00B06DB4"/>
    <w:rsid w:val="00B0793A"/>
    <w:rsid w:val="00B10776"/>
    <w:rsid w:val="00B12498"/>
    <w:rsid w:val="00B12CD1"/>
    <w:rsid w:val="00B130B3"/>
    <w:rsid w:val="00B1365F"/>
    <w:rsid w:val="00B204F8"/>
    <w:rsid w:val="00B207DD"/>
    <w:rsid w:val="00B25808"/>
    <w:rsid w:val="00B2686F"/>
    <w:rsid w:val="00B2691D"/>
    <w:rsid w:val="00B27EB9"/>
    <w:rsid w:val="00B27F7C"/>
    <w:rsid w:val="00B302C1"/>
    <w:rsid w:val="00B31058"/>
    <w:rsid w:val="00B31627"/>
    <w:rsid w:val="00B31953"/>
    <w:rsid w:val="00B31EFC"/>
    <w:rsid w:val="00B32021"/>
    <w:rsid w:val="00B322B8"/>
    <w:rsid w:val="00B33591"/>
    <w:rsid w:val="00B34127"/>
    <w:rsid w:val="00B36546"/>
    <w:rsid w:val="00B36B5D"/>
    <w:rsid w:val="00B4031A"/>
    <w:rsid w:val="00B42A8B"/>
    <w:rsid w:val="00B42FF2"/>
    <w:rsid w:val="00B435C8"/>
    <w:rsid w:val="00B43965"/>
    <w:rsid w:val="00B46AA5"/>
    <w:rsid w:val="00B46EF1"/>
    <w:rsid w:val="00B503D6"/>
    <w:rsid w:val="00B50E48"/>
    <w:rsid w:val="00B51133"/>
    <w:rsid w:val="00B51CA6"/>
    <w:rsid w:val="00B53BB8"/>
    <w:rsid w:val="00B54E7D"/>
    <w:rsid w:val="00B55725"/>
    <w:rsid w:val="00B57800"/>
    <w:rsid w:val="00B63371"/>
    <w:rsid w:val="00B63F91"/>
    <w:rsid w:val="00B669F3"/>
    <w:rsid w:val="00B6791A"/>
    <w:rsid w:val="00B701A6"/>
    <w:rsid w:val="00B70A32"/>
    <w:rsid w:val="00B72587"/>
    <w:rsid w:val="00B72A6C"/>
    <w:rsid w:val="00B737EA"/>
    <w:rsid w:val="00B75370"/>
    <w:rsid w:val="00B75DD5"/>
    <w:rsid w:val="00B760D3"/>
    <w:rsid w:val="00B77203"/>
    <w:rsid w:val="00B77441"/>
    <w:rsid w:val="00B779E9"/>
    <w:rsid w:val="00B80DEA"/>
    <w:rsid w:val="00B82227"/>
    <w:rsid w:val="00B825D4"/>
    <w:rsid w:val="00B83E12"/>
    <w:rsid w:val="00B8489F"/>
    <w:rsid w:val="00B851B6"/>
    <w:rsid w:val="00B92720"/>
    <w:rsid w:val="00B927DD"/>
    <w:rsid w:val="00B94724"/>
    <w:rsid w:val="00B947B8"/>
    <w:rsid w:val="00B94E81"/>
    <w:rsid w:val="00BA06CC"/>
    <w:rsid w:val="00BA0746"/>
    <w:rsid w:val="00BA165A"/>
    <w:rsid w:val="00BA1701"/>
    <w:rsid w:val="00BA1F69"/>
    <w:rsid w:val="00BA3266"/>
    <w:rsid w:val="00BA6749"/>
    <w:rsid w:val="00BA71B3"/>
    <w:rsid w:val="00BB17F4"/>
    <w:rsid w:val="00BB21B3"/>
    <w:rsid w:val="00BB260D"/>
    <w:rsid w:val="00BB3E21"/>
    <w:rsid w:val="00BB50EF"/>
    <w:rsid w:val="00BB60EB"/>
    <w:rsid w:val="00BB6460"/>
    <w:rsid w:val="00BB677D"/>
    <w:rsid w:val="00BB70AD"/>
    <w:rsid w:val="00BB743B"/>
    <w:rsid w:val="00BC0486"/>
    <w:rsid w:val="00BC1B5A"/>
    <w:rsid w:val="00BC2227"/>
    <w:rsid w:val="00BC2A94"/>
    <w:rsid w:val="00BC4041"/>
    <w:rsid w:val="00BC409D"/>
    <w:rsid w:val="00BC6C4F"/>
    <w:rsid w:val="00BC757B"/>
    <w:rsid w:val="00BC7584"/>
    <w:rsid w:val="00BD00C3"/>
    <w:rsid w:val="00BD0B3E"/>
    <w:rsid w:val="00BD1D5C"/>
    <w:rsid w:val="00BD3255"/>
    <w:rsid w:val="00BD3258"/>
    <w:rsid w:val="00BD3582"/>
    <w:rsid w:val="00BD5AC6"/>
    <w:rsid w:val="00BD6095"/>
    <w:rsid w:val="00BE1469"/>
    <w:rsid w:val="00BE413C"/>
    <w:rsid w:val="00BE607B"/>
    <w:rsid w:val="00BF21BE"/>
    <w:rsid w:val="00BF2A96"/>
    <w:rsid w:val="00BF2DFC"/>
    <w:rsid w:val="00BF3E1D"/>
    <w:rsid w:val="00BF43B6"/>
    <w:rsid w:val="00BF63E7"/>
    <w:rsid w:val="00BF6DA3"/>
    <w:rsid w:val="00BF7176"/>
    <w:rsid w:val="00BF7482"/>
    <w:rsid w:val="00C01691"/>
    <w:rsid w:val="00C02179"/>
    <w:rsid w:val="00C03717"/>
    <w:rsid w:val="00C055B5"/>
    <w:rsid w:val="00C05F5D"/>
    <w:rsid w:val="00C06674"/>
    <w:rsid w:val="00C074F2"/>
    <w:rsid w:val="00C1057E"/>
    <w:rsid w:val="00C10AF5"/>
    <w:rsid w:val="00C12D5D"/>
    <w:rsid w:val="00C131A5"/>
    <w:rsid w:val="00C138A8"/>
    <w:rsid w:val="00C14088"/>
    <w:rsid w:val="00C1589C"/>
    <w:rsid w:val="00C1599E"/>
    <w:rsid w:val="00C16B40"/>
    <w:rsid w:val="00C2096E"/>
    <w:rsid w:val="00C20FC3"/>
    <w:rsid w:val="00C30152"/>
    <w:rsid w:val="00C325F1"/>
    <w:rsid w:val="00C355A3"/>
    <w:rsid w:val="00C35922"/>
    <w:rsid w:val="00C36FC6"/>
    <w:rsid w:val="00C3791A"/>
    <w:rsid w:val="00C40C71"/>
    <w:rsid w:val="00C41BF4"/>
    <w:rsid w:val="00C426BA"/>
    <w:rsid w:val="00C42B0F"/>
    <w:rsid w:val="00C43F91"/>
    <w:rsid w:val="00C45516"/>
    <w:rsid w:val="00C466AE"/>
    <w:rsid w:val="00C5085A"/>
    <w:rsid w:val="00C5111C"/>
    <w:rsid w:val="00C51EF1"/>
    <w:rsid w:val="00C5370E"/>
    <w:rsid w:val="00C54768"/>
    <w:rsid w:val="00C55B19"/>
    <w:rsid w:val="00C55B23"/>
    <w:rsid w:val="00C565D4"/>
    <w:rsid w:val="00C5716F"/>
    <w:rsid w:val="00C600C0"/>
    <w:rsid w:val="00C62E55"/>
    <w:rsid w:val="00C63EE1"/>
    <w:rsid w:val="00C67871"/>
    <w:rsid w:val="00C72A0A"/>
    <w:rsid w:val="00C72CFB"/>
    <w:rsid w:val="00C75170"/>
    <w:rsid w:val="00C75924"/>
    <w:rsid w:val="00C77D07"/>
    <w:rsid w:val="00C81EE3"/>
    <w:rsid w:val="00C8231E"/>
    <w:rsid w:val="00C83FF9"/>
    <w:rsid w:val="00C84980"/>
    <w:rsid w:val="00C87A95"/>
    <w:rsid w:val="00C87B02"/>
    <w:rsid w:val="00C87BFE"/>
    <w:rsid w:val="00C9085E"/>
    <w:rsid w:val="00C928AD"/>
    <w:rsid w:val="00C92E88"/>
    <w:rsid w:val="00C934EB"/>
    <w:rsid w:val="00C9479F"/>
    <w:rsid w:val="00C94F86"/>
    <w:rsid w:val="00C96040"/>
    <w:rsid w:val="00C9694E"/>
    <w:rsid w:val="00CA0EF6"/>
    <w:rsid w:val="00CA3053"/>
    <w:rsid w:val="00CA420F"/>
    <w:rsid w:val="00CA48C7"/>
    <w:rsid w:val="00CA5D65"/>
    <w:rsid w:val="00CA62E6"/>
    <w:rsid w:val="00CA6353"/>
    <w:rsid w:val="00CA6DBB"/>
    <w:rsid w:val="00CA6E74"/>
    <w:rsid w:val="00CB0229"/>
    <w:rsid w:val="00CB052E"/>
    <w:rsid w:val="00CB27ED"/>
    <w:rsid w:val="00CB520D"/>
    <w:rsid w:val="00CB53F9"/>
    <w:rsid w:val="00CB6DA5"/>
    <w:rsid w:val="00CC0EB8"/>
    <w:rsid w:val="00CC2790"/>
    <w:rsid w:val="00CC2B8A"/>
    <w:rsid w:val="00CC3821"/>
    <w:rsid w:val="00CD226D"/>
    <w:rsid w:val="00CD32ED"/>
    <w:rsid w:val="00CD4A01"/>
    <w:rsid w:val="00CD6090"/>
    <w:rsid w:val="00CD6D5D"/>
    <w:rsid w:val="00CD6E63"/>
    <w:rsid w:val="00CD73B4"/>
    <w:rsid w:val="00CE0A86"/>
    <w:rsid w:val="00CE1AD8"/>
    <w:rsid w:val="00CE396E"/>
    <w:rsid w:val="00CE401D"/>
    <w:rsid w:val="00CE4BB4"/>
    <w:rsid w:val="00CE5DB5"/>
    <w:rsid w:val="00CE7D4B"/>
    <w:rsid w:val="00CF0A38"/>
    <w:rsid w:val="00CF0B89"/>
    <w:rsid w:val="00CF19E5"/>
    <w:rsid w:val="00CF1B56"/>
    <w:rsid w:val="00CF2D1B"/>
    <w:rsid w:val="00CF2D88"/>
    <w:rsid w:val="00CF5746"/>
    <w:rsid w:val="00CF6A8F"/>
    <w:rsid w:val="00CF6FE5"/>
    <w:rsid w:val="00CF7CFE"/>
    <w:rsid w:val="00D019C7"/>
    <w:rsid w:val="00D0320F"/>
    <w:rsid w:val="00D06431"/>
    <w:rsid w:val="00D0742B"/>
    <w:rsid w:val="00D07E8D"/>
    <w:rsid w:val="00D1031C"/>
    <w:rsid w:val="00D1295D"/>
    <w:rsid w:val="00D13D12"/>
    <w:rsid w:val="00D14338"/>
    <w:rsid w:val="00D26F15"/>
    <w:rsid w:val="00D27EBA"/>
    <w:rsid w:val="00D31C60"/>
    <w:rsid w:val="00D32482"/>
    <w:rsid w:val="00D32B52"/>
    <w:rsid w:val="00D330AF"/>
    <w:rsid w:val="00D33568"/>
    <w:rsid w:val="00D342D7"/>
    <w:rsid w:val="00D3514C"/>
    <w:rsid w:val="00D3706C"/>
    <w:rsid w:val="00D37BCB"/>
    <w:rsid w:val="00D424C2"/>
    <w:rsid w:val="00D42986"/>
    <w:rsid w:val="00D445FE"/>
    <w:rsid w:val="00D44DDB"/>
    <w:rsid w:val="00D4710B"/>
    <w:rsid w:val="00D507AB"/>
    <w:rsid w:val="00D5126B"/>
    <w:rsid w:val="00D51999"/>
    <w:rsid w:val="00D520E6"/>
    <w:rsid w:val="00D544AD"/>
    <w:rsid w:val="00D55228"/>
    <w:rsid w:val="00D5658B"/>
    <w:rsid w:val="00D56EDF"/>
    <w:rsid w:val="00D601CE"/>
    <w:rsid w:val="00D60908"/>
    <w:rsid w:val="00D615E2"/>
    <w:rsid w:val="00D61620"/>
    <w:rsid w:val="00D61CB8"/>
    <w:rsid w:val="00D6556B"/>
    <w:rsid w:val="00D6596A"/>
    <w:rsid w:val="00D66D08"/>
    <w:rsid w:val="00D66F2C"/>
    <w:rsid w:val="00D7139E"/>
    <w:rsid w:val="00D72A27"/>
    <w:rsid w:val="00D72C85"/>
    <w:rsid w:val="00D75A50"/>
    <w:rsid w:val="00D80A60"/>
    <w:rsid w:val="00D82969"/>
    <w:rsid w:val="00D838B0"/>
    <w:rsid w:val="00D8420C"/>
    <w:rsid w:val="00D86DF7"/>
    <w:rsid w:val="00D879B5"/>
    <w:rsid w:val="00D91C24"/>
    <w:rsid w:val="00D93CF8"/>
    <w:rsid w:val="00D93EA3"/>
    <w:rsid w:val="00D945A2"/>
    <w:rsid w:val="00D9510A"/>
    <w:rsid w:val="00D96655"/>
    <w:rsid w:val="00D96C68"/>
    <w:rsid w:val="00D974E9"/>
    <w:rsid w:val="00D97E55"/>
    <w:rsid w:val="00DA03DA"/>
    <w:rsid w:val="00DA0521"/>
    <w:rsid w:val="00DA06FD"/>
    <w:rsid w:val="00DA16A4"/>
    <w:rsid w:val="00DA199D"/>
    <w:rsid w:val="00DA2A72"/>
    <w:rsid w:val="00DA41EF"/>
    <w:rsid w:val="00DA4BC4"/>
    <w:rsid w:val="00DA4FBE"/>
    <w:rsid w:val="00DA5B6E"/>
    <w:rsid w:val="00DA5E66"/>
    <w:rsid w:val="00DA6619"/>
    <w:rsid w:val="00DB012C"/>
    <w:rsid w:val="00DB1DCC"/>
    <w:rsid w:val="00DB33F8"/>
    <w:rsid w:val="00DB51A8"/>
    <w:rsid w:val="00DB5EE3"/>
    <w:rsid w:val="00DC1922"/>
    <w:rsid w:val="00DC1F34"/>
    <w:rsid w:val="00DC2165"/>
    <w:rsid w:val="00DC2B2B"/>
    <w:rsid w:val="00DC2DA0"/>
    <w:rsid w:val="00DC2E07"/>
    <w:rsid w:val="00DC3367"/>
    <w:rsid w:val="00DC4B26"/>
    <w:rsid w:val="00DC52F1"/>
    <w:rsid w:val="00DC5312"/>
    <w:rsid w:val="00DC649C"/>
    <w:rsid w:val="00DC67E8"/>
    <w:rsid w:val="00DC6A0B"/>
    <w:rsid w:val="00DC6F8E"/>
    <w:rsid w:val="00DC74ED"/>
    <w:rsid w:val="00DD3A4B"/>
    <w:rsid w:val="00DD5214"/>
    <w:rsid w:val="00DD5220"/>
    <w:rsid w:val="00DD54DE"/>
    <w:rsid w:val="00DD5634"/>
    <w:rsid w:val="00DD569A"/>
    <w:rsid w:val="00DD776E"/>
    <w:rsid w:val="00DD79CC"/>
    <w:rsid w:val="00DE5DF0"/>
    <w:rsid w:val="00DE5FC1"/>
    <w:rsid w:val="00DE61DC"/>
    <w:rsid w:val="00DE707B"/>
    <w:rsid w:val="00DF1570"/>
    <w:rsid w:val="00DF18DC"/>
    <w:rsid w:val="00DF2216"/>
    <w:rsid w:val="00DF3D86"/>
    <w:rsid w:val="00DF44D1"/>
    <w:rsid w:val="00DF4571"/>
    <w:rsid w:val="00DF4FCE"/>
    <w:rsid w:val="00DF501E"/>
    <w:rsid w:val="00DF5169"/>
    <w:rsid w:val="00DF70EC"/>
    <w:rsid w:val="00E00148"/>
    <w:rsid w:val="00E0135B"/>
    <w:rsid w:val="00E0155B"/>
    <w:rsid w:val="00E024C6"/>
    <w:rsid w:val="00E10271"/>
    <w:rsid w:val="00E104F3"/>
    <w:rsid w:val="00E114D2"/>
    <w:rsid w:val="00E11D0F"/>
    <w:rsid w:val="00E12806"/>
    <w:rsid w:val="00E12B34"/>
    <w:rsid w:val="00E13E54"/>
    <w:rsid w:val="00E15492"/>
    <w:rsid w:val="00E15C99"/>
    <w:rsid w:val="00E17149"/>
    <w:rsid w:val="00E178CA"/>
    <w:rsid w:val="00E209DB"/>
    <w:rsid w:val="00E241F6"/>
    <w:rsid w:val="00E275F6"/>
    <w:rsid w:val="00E27911"/>
    <w:rsid w:val="00E30005"/>
    <w:rsid w:val="00E317FD"/>
    <w:rsid w:val="00E33C10"/>
    <w:rsid w:val="00E33C81"/>
    <w:rsid w:val="00E37B1A"/>
    <w:rsid w:val="00E400C5"/>
    <w:rsid w:val="00E404BC"/>
    <w:rsid w:val="00E40833"/>
    <w:rsid w:val="00E408E7"/>
    <w:rsid w:val="00E41FFC"/>
    <w:rsid w:val="00E441E6"/>
    <w:rsid w:val="00E50F5A"/>
    <w:rsid w:val="00E520B1"/>
    <w:rsid w:val="00E52490"/>
    <w:rsid w:val="00E52846"/>
    <w:rsid w:val="00E528AF"/>
    <w:rsid w:val="00E5304E"/>
    <w:rsid w:val="00E53BB0"/>
    <w:rsid w:val="00E550CF"/>
    <w:rsid w:val="00E5688F"/>
    <w:rsid w:val="00E5695B"/>
    <w:rsid w:val="00E5719E"/>
    <w:rsid w:val="00E60344"/>
    <w:rsid w:val="00E60A5B"/>
    <w:rsid w:val="00E61D8C"/>
    <w:rsid w:val="00E62AA8"/>
    <w:rsid w:val="00E62B87"/>
    <w:rsid w:val="00E64310"/>
    <w:rsid w:val="00E6683B"/>
    <w:rsid w:val="00E67079"/>
    <w:rsid w:val="00E670B1"/>
    <w:rsid w:val="00E67558"/>
    <w:rsid w:val="00E67953"/>
    <w:rsid w:val="00E73A3F"/>
    <w:rsid w:val="00E74FBF"/>
    <w:rsid w:val="00E77C6C"/>
    <w:rsid w:val="00E80370"/>
    <w:rsid w:val="00E811B9"/>
    <w:rsid w:val="00E819E3"/>
    <w:rsid w:val="00E821C8"/>
    <w:rsid w:val="00E82D33"/>
    <w:rsid w:val="00E82EA7"/>
    <w:rsid w:val="00E83205"/>
    <w:rsid w:val="00E84B98"/>
    <w:rsid w:val="00E857BF"/>
    <w:rsid w:val="00E8618D"/>
    <w:rsid w:val="00E873C3"/>
    <w:rsid w:val="00E9013E"/>
    <w:rsid w:val="00E9094D"/>
    <w:rsid w:val="00E910B5"/>
    <w:rsid w:val="00E91193"/>
    <w:rsid w:val="00E91690"/>
    <w:rsid w:val="00E91CD9"/>
    <w:rsid w:val="00E91D6D"/>
    <w:rsid w:val="00E92183"/>
    <w:rsid w:val="00E93C48"/>
    <w:rsid w:val="00E96F68"/>
    <w:rsid w:val="00E97913"/>
    <w:rsid w:val="00EA1997"/>
    <w:rsid w:val="00EA1A29"/>
    <w:rsid w:val="00EA2B8C"/>
    <w:rsid w:val="00EA3AA6"/>
    <w:rsid w:val="00EA7349"/>
    <w:rsid w:val="00EB08BE"/>
    <w:rsid w:val="00EB1D7E"/>
    <w:rsid w:val="00EB2112"/>
    <w:rsid w:val="00EB252D"/>
    <w:rsid w:val="00EB3798"/>
    <w:rsid w:val="00EB5093"/>
    <w:rsid w:val="00EB6748"/>
    <w:rsid w:val="00EB7582"/>
    <w:rsid w:val="00EB778E"/>
    <w:rsid w:val="00EB790D"/>
    <w:rsid w:val="00EB7DA7"/>
    <w:rsid w:val="00EC02B1"/>
    <w:rsid w:val="00EC0830"/>
    <w:rsid w:val="00EC172A"/>
    <w:rsid w:val="00EC1E90"/>
    <w:rsid w:val="00EC4A5F"/>
    <w:rsid w:val="00EC53EE"/>
    <w:rsid w:val="00EC5A44"/>
    <w:rsid w:val="00EC7B93"/>
    <w:rsid w:val="00ED08C7"/>
    <w:rsid w:val="00ED0CB3"/>
    <w:rsid w:val="00ED1B77"/>
    <w:rsid w:val="00ED2915"/>
    <w:rsid w:val="00ED4C12"/>
    <w:rsid w:val="00ED5203"/>
    <w:rsid w:val="00ED5B62"/>
    <w:rsid w:val="00ED67AF"/>
    <w:rsid w:val="00ED6C3A"/>
    <w:rsid w:val="00EE093C"/>
    <w:rsid w:val="00EE0C93"/>
    <w:rsid w:val="00EE1A5E"/>
    <w:rsid w:val="00EE1B68"/>
    <w:rsid w:val="00EE2339"/>
    <w:rsid w:val="00EE46BD"/>
    <w:rsid w:val="00EE69C0"/>
    <w:rsid w:val="00EE6A01"/>
    <w:rsid w:val="00EE6BC9"/>
    <w:rsid w:val="00EF0107"/>
    <w:rsid w:val="00EF142A"/>
    <w:rsid w:val="00EF21C4"/>
    <w:rsid w:val="00EF541D"/>
    <w:rsid w:val="00EF618B"/>
    <w:rsid w:val="00EF62CD"/>
    <w:rsid w:val="00EF6847"/>
    <w:rsid w:val="00EF7BCD"/>
    <w:rsid w:val="00EF7F13"/>
    <w:rsid w:val="00F0068F"/>
    <w:rsid w:val="00F00C29"/>
    <w:rsid w:val="00F020CD"/>
    <w:rsid w:val="00F02257"/>
    <w:rsid w:val="00F027B9"/>
    <w:rsid w:val="00F03EBC"/>
    <w:rsid w:val="00F04FA0"/>
    <w:rsid w:val="00F101C7"/>
    <w:rsid w:val="00F11D1C"/>
    <w:rsid w:val="00F12607"/>
    <w:rsid w:val="00F12D8B"/>
    <w:rsid w:val="00F13421"/>
    <w:rsid w:val="00F13AC4"/>
    <w:rsid w:val="00F13BA7"/>
    <w:rsid w:val="00F146AC"/>
    <w:rsid w:val="00F15590"/>
    <w:rsid w:val="00F15616"/>
    <w:rsid w:val="00F16D8A"/>
    <w:rsid w:val="00F170DC"/>
    <w:rsid w:val="00F17356"/>
    <w:rsid w:val="00F17A28"/>
    <w:rsid w:val="00F17D79"/>
    <w:rsid w:val="00F21C82"/>
    <w:rsid w:val="00F22278"/>
    <w:rsid w:val="00F22F02"/>
    <w:rsid w:val="00F23E8D"/>
    <w:rsid w:val="00F24370"/>
    <w:rsid w:val="00F24A45"/>
    <w:rsid w:val="00F24AA2"/>
    <w:rsid w:val="00F26389"/>
    <w:rsid w:val="00F26873"/>
    <w:rsid w:val="00F26E63"/>
    <w:rsid w:val="00F27C4C"/>
    <w:rsid w:val="00F301E1"/>
    <w:rsid w:val="00F304E5"/>
    <w:rsid w:val="00F311E4"/>
    <w:rsid w:val="00F31845"/>
    <w:rsid w:val="00F31A87"/>
    <w:rsid w:val="00F32D45"/>
    <w:rsid w:val="00F333AD"/>
    <w:rsid w:val="00F35565"/>
    <w:rsid w:val="00F36ACE"/>
    <w:rsid w:val="00F36CE5"/>
    <w:rsid w:val="00F36D6C"/>
    <w:rsid w:val="00F40277"/>
    <w:rsid w:val="00F41148"/>
    <w:rsid w:val="00F42435"/>
    <w:rsid w:val="00F425A2"/>
    <w:rsid w:val="00F43495"/>
    <w:rsid w:val="00F46421"/>
    <w:rsid w:val="00F5131A"/>
    <w:rsid w:val="00F52A29"/>
    <w:rsid w:val="00F569B1"/>
    <w:rsid w:val="00F56B42"/>
    <w:rsid w:val="00F60E71"/>
    <w:rsid w:val="00F61433"/>
    <w:rsid w:val="00F617FB"/>
    <w:rsid w:val="00F63461"/>
    <w:rsid w:val="00F63ACE"/>
    <w:rsid w:val="00F661E9"/>
    <w:rsid w:val="00F7222A"/>
    <w:rsid w:val="00F743D3"/>
    <w:rsid w:val="00F7451A"/>
    <w:rsid w:val="00F768FF"/>
    <w:rsid w:val="00F76A89"/>
    <w:rsid w:val="00F804BE"/>
    <w:rsid w:val="00F80697"/>
    <w:rsid w:val="00F80776"/>
    <w:rsid w:val="00F80BCD"/>
    <w:rsid w:val="00F839A2"/>
    <w:rsid w:val="00F8622C"/>
    <w:rsid w:val="00F87B7B"/>
    <w:rsid w:val="00F87F34"/>
    <w:rsid w:val="00F90591"/>
    <w:rsid w:val="00F90C21"/>
    <w:rsid w:val="00F9187A"/>
    <w:rsid w:val="00F91937"/>
    <w:rsid w:val="00F91EAD"/>
    <w:rsid w:val="00F92955"/>
    <w:rsid w:val="00F95E3D"/>
    <w:rsid w:val="00F97A3D"/>
    <w:rsid w:val="00FA04E9"/>
    <w:rsid w:val="00FA0784"/>
    <w:rsid w:val="00FA10BA"/>
    <w:rsid w:val="00FA2488"/>
    <w:rsid w:val="00FA2C34"/>
    <w:rsid w:val="00FA3092"/>
    <w:rsid w:val="00FA53A8"/>
    <w:rsid w:val="00FA5595"/>
    <w:rsid w:val="00FA5E3E"/>
    <w:rsid w:val="00FA683F"/>
    <w:rsid w:val="00FA7C9D"/>
    <w:rsid w:val="00FB08C8"/>
    <w:rsid w:val="00FB0C54"/>
    <w:rsid w:val="00FB22AF"/>
    <w:rsid w:val="00FB2972"/>
    <w:rsid w:val="00FB3256"/>
    <w:rsid w:val="00FB4F26"/>
    <w:rsid w:val="00FB51F1"/>
    <w:rsid w:val="00FB6B08"/>
    <w:rsid w:val="00FB74AA"/>
    <w:rsid w:val="00FB769B"/>
    <w:rsid w:val="00FC070E"/>
    <w:rsid w:val="00FC1272"/>
    <w:rsid w:val="00FC1529"/>
    <w:rsid w:val="00FC2357"/>
    <w:rsid w:val="00FC2B95"/>
    <w:rsid w:val="00FC3D70"/>
    <w:rsid w:val="00FC4B19"/>
    <w:rsid w:val="00FC50EC"/>
    <w:rsid w:val="00FC59F0"/>
    <w:rsid w:val="00FC62FD"/>
    <w:rsid w:val="00FC720A"/>
    <w:rsid w:val="00FC7B93"/>
    <w:rsid w:val="00FD0978"/>
    <w:rsid w:val="00FD0C7B"/>
    <w:rsid w:val="00FD24E2"/>
    <w:rsid w:val="00FD4102"/>
    <w:rsid w:val="00FD4AE6"/>
    <w:rsid w:val="00FE082E"/>
    <w:rsid w:val="00FE15BD"/>
    <w:rsid w:val="00FE1B0B"/>
    <w:rsid w:val="00FE22CE"/>
    <w:rsid w:val="00FE265E"/>
    <w:rsid w:val="00FE2A7A"/>
    <w:rsid w:val="00FE6D43"/>
    <w:rsid w:val="00FF01CD"/>
    <w:rsid w:val="00FF0201"/>
    <w:rsid w:val="00FF0307"/>
    <w:rsid w:val="00FF0A1A"/>
    <w:rsid w:val="00FF1662"/>
    <w:rsid w:val="00FF337A"/>
    <w:rsid w:val="00FF371A"/>
    <w:rsid w:val="00FF3D20"/>
    <w:rsid w:val="00FF41AE"/>
    <w:rsid w:val="00FF685F"/>
    <w:rsid w:val="00FF6A39"/>
    <w:rsid w:val="00FF761C"/>
    <w:rsid w:val="00FF7911"/>
    <w:rsid w:val="011D12F1"/>
    <w:rsid w:val="01282E62"/>
    <w:rsid w:val="0134169F"/>
    <w:rsid w:val="017D6F03"/>
    <w:rsid w:val="01924994"/>
    <w:rsid w:val="01D80157"/>
    <w:rsid w:val="01DE0278"/>
    <w:rsid w:val="01E74ACC"/>
    <w:rsid w:val="02022305"/>
    <w:rsid w:val="021A09FD"/>
    <w:rsid w:val="0232093E"/>
    <w:rsid w:val="02327E75"/>
    <w:rsid w:val="027D2D3A"/>
    <w:rsid w:val="028204C2"/>
    <w:rsid w:val="02AA30B8"/>
    <w:rsid w:val="02AE00DE"/>
    <w:rsid w:val="02B20C36"/>
    <w:rsid w:val="02CE17E8"/>
    <w:rsid w:val="02EB73E1"/>
    <w:rsid w:val="02FC2F32"/>
    <w:rsid w:val="02FC6355"/>
    <w:rsid w:val="030B570E"/>
    <w:rsid w:val="03563CB7"/>
    <w:rsid w:val="035F1BB9"/>
    <w:rsid w:val="03672714"/>
    <w:rsid w:val="03A44F74"/>
    <w:rsid w:val="03A477AF"/>
    <w:rsid w:val="03BD1A8B"/>
    <w:rsid w:val="03CE7CF1"/>
    <w:rsid w:val="03E52554"/>
    <w:rsid w:val="03F359AA"/>
    <w:rsid w:val="0404723F"/>
    <w:rsid w:val="04150DD2"/>
    <w:rsid w:val="04152DE3"/>
    <w:rsid w:val="041D577A"/>
    <w:rsid w:val="04292B4C"/>
    <w:rsid w:val="045F3810"/>
    <w:rsid w:val="04926F71"/>
    <w:rsid w:val="04B743C8"/>
    <w:rsid w:val="04D055E9"/>
    <w:rsid w:val="04D70BEA"/>
    <w:rsid w:val="04DD5A32"/>
    <w:rsid w:val="04E71358"/>
    <w:rsid w:val="04F27A0F"/>
    <w:rsid w:val="05074713"/>
    <w:rsid w:val="050E411D"/>
    <w:rsid w:val="05483AD3"/>
    <w:rsid w:val="054A066D"/>
    <w:rsid w:val="0562184D"/>
    <w:rsid w:val="056D7096"/>
    <w:rsid w:val="05936F3F"/>
    <w:rsid w:val="059E4334"/>
    <w:rsid w:val="05AB7BBE"/>
    <w:rsid w:val="05B06327"/>
    <w:rsid w:val="05D02392"/>
    <w:rsid w:val="061559BE"/>
    <w:rsid w:val="062C51A3"/>
    <w:rsid w:val="06304C93"/>
    <w:rsid w:val="064A5629"/>
    <w:rsid w:val="064F2C3F"/>
    <w:rsid w:val="067032E2"/>
    <w:rsid w:val="06A53C9D"/>
    <w:rsid w:val="06C053BA"/>
    <w:rsid w:val="06C55EA8"/>
    <w:rsid w:val="06D179D1"/>
    <w:rsid w:val="06E61196"/>
    <w:rsid w:val="07041C7C"/>
    <w:rsid w:val="07322345"/>
    <w:rsid w:val="07465FFC"/>
    <w:rsid w:val="07666E64"/>
    <w:rsid w:val="07676056"/>
    <w:rsid w:val="076C770B"/>
    <w:rsid w:val="07D337A2"/>
    <w:rsid w:val="083640B7"/>
    <w:rsid w:val="0859758B"/>
    <w:rsid w:val="08684E0C"/>
    <w:rsid w:val="086E5C4C"/>
    <w:rsid w:val="08962DA7"/>
    <w:rsid w:val="08B647E3"/>
    <w:rsid w:val="08BD39B5"/>
    <w:rsid w:val="08F94E10"/>
    <w:rsid w:val="08FF26FB"/>
    <w:rsid w:val="09095327"/>
    <w:rsid w:val="090F0777"/>
    <w:rsid w:val="091B5EEE"/>
    <w:rsid w:val="09254691"/>
    <w:rsid w:val="0950163F"/>
    <w:rsid w:val="098058F5"/>
    <w:rsid w:val="09873953"/>
    <w:rsid w:val="09907AC0"/>
    <w:rsid w:val="09931095"/>
    <w:rsid w:val="09973642"/>
    <w:rsid w:val="09AF2F54"/>
    <w:rsid w:val="09C53944"/>
    <w:rsid w:val="09CF6C7B"/>
    <w:rsid w:val="09DE68D9"/>
    <w:rsid w:val="09F204B1"/>
    <w:rsid w:val="0A1D5E7B"/>
    <w:rsid w:val="0A4A381B"/>
    <w:rsid w:val="0A4F2521"/>
    <w:rsid w:val="0A5F771C"/>
    <w:rsid w:val="0A8F1CF6"/>
    <w:rsid w:val="0AAF0151"/>
    <w:rsid w:val="0ABE3FAA"/>
    <w:rsid w:val="0ACC3362"/>
    <w:rsid w:val="0B0A3B2F"/>
    <w:rsid w:val="0B3A021C"/>
    <w:rsid w:val="0B647D8F"/>
    <w:rsid w:val="0B653C40"/>
    <w:rsid w:val="0B6A48A4"/>
    <w:rsid w:val="0B6A6843"/>
    <w:rsid w:val="0B75783B"/>
    <w:rsid w:val="0B8415DD"/>
    <w:rsid w:val="0B8B471A"/>
    <w:rsid w:val="0BBA4779"/>
    <w:rsid w:val="0BD82F27"/>
    <w:rsid w:val="0BEA7692"/>
    <w:rsid w:val="0BFA514F"/>
    <w:rsid w:val="0BFD437F"/>
    <w:rsid w:val="0C0B585A"/>
    <w:rsid w:val="0C462139"/>
    <w:rsid w:val="0C4764A5"/>
    <w:rsid w:val="0C486A95"/>
    <w:rsid w:val="0C9D4705"/>
    <w:rsid w:val="0CA27F6D"/>
    <w:rsid w:val="0CC71781"/>
    <w:rsid w:val="0CC93D5C"/>
    <w:rsid w:val="0CE459DB"/>
    <w:rsid w:val="0CEE4CF4"/>
    <w:rsid w:val="0D0201EA"/>
    <w:rsid w:val="0D555691"/>
    <w:rsid w:val="0D556D8D"/>
    <w:rsid w:val="0D634416"/>
    <w:rsid w:val="0D9E5A0B"/>
    <w:rsid w:val="0DAB2E51"/>
    <w:rsid w:val="0DBC4A88"/>
    <w:rsid w:val="0DEF0A04"/>
    <w:rsid w:val="0DFA729B"/>
    <w:rsid w:val="0E1B7FD7"/>
    <w:rsid w:val="0E2D7D0A"/>
    <w:rsid w:val="0E461B36"/>
    <w:rsid w:val="0E4A1275"/>
    <w:rsid w:val="0E6C0832"/>
    <w:rsid w:val="0E7F2EFE"/>
    <w:rsid w:val="0EA84FF4"/>
    <w:rsid w:val="0ED53792"/>
    <w:rsid w:val="0EE201E0"/>
    <w:rsid w:val="0EF430D7"/>
    <w:rsid w:val="0EFD1F31"/>
    <w:rsid w:val="0F3C1993"/>
    <w:rsid w:val="0F5552D9"/>
    <w:rsid w:val="0F6915EB"/>
    <w:rsid w:val="0F7D47F1"/>
    <w:rsid w:val="0F832302"/>
    <w:rsid w:val="0FB606C8"/>
    <w:rsid w:val="0FBB2CC7"/>
    <w:rsid w:val="0FD52D35"/>
    <w:rsid w:val="0FE146AC"/>
    <w:rsid w:val="0FE4264A"/>
    <w:rsid w:val="101E1360"/>
    <w:rsid w:val="10453057"/>
    <w:rsid w:val="10477289"/>
    <w:rsid w:val="1060794F"/>
    <w:rsid w:val="107740C1"/>
    <w:rsid w:val="107D529F"/>
    <w:rsid w:val="109E0B2F"/>
    <w:rsid w:val="109E4EEF"/>
    <w:rsid w:val="10BF53C6"/>
    <w:rsid w:val="10CA75AC"/>
    <w:rsid w:val="10DD1320"/>
    <w:rsid w:val="10E20B17"/>
    <w:rsid w:val="10FD1C16"/>
    <w:rsid w:val="11080A3D"/>
    <w:rsid w:val="112228D1"/>
    <w:rsid w:val="113D673D"/>
    <w:rsid w:val="114107FE"/>
    <w:rsid w:val="11511F61"/>
    <w:rsid w:val="118D077F"/>
    <w:rsid w:val="11E14A24"/>
    <w:rsid w:val="11E26764"/>
    <w:rsid w:val="12096398"/>
    <w:rsid w:val="12445622"/>
    <w:rsid w:val="12843C71"/>
    <w:rsid w:val="12A165D1"/>
    <w:rsid w:val="12B72298"/>
    <w:rsid w:val="12B7523C"/>
    <w:rsid w:val="12E017EF"/>
    <w:rsid w:val="12FD1A7A"/>
    <w:rsid w:val="12FD788F"/>
    <w:rsid w:val="130C4392"/>
    <w:rsid w:val="13210E17"/>
    <w:rsid w:val="1337544A"/>
    <w:rsid w:val="137F147B"/>
    <w:rsid w:val="1396552E"/>
    <w:rsid w:val="139D14E3"/>
    <w:rsid w:val="13F15336"/>
    <w:rsid w:val="13F93FE1"/>
    <w:rsid w:val="14092FD9"/>
    <w:rsid w:val="14366498"/>
    <w:rsid w:val="14394E19"/>
    <w:rsid w:val="143D7E34"/>
    <w:rsid w:val="14444D5E"/>
    <w:rsid w:val="145A737F"/>
    <w:rsid w:val="14794F90"/>
    <w:rsid w:val="148F31F3"/>
    <w:rsid w:val="14AB708B"/>
    <w:rsid w:val="14E924E5"/>
    <w:rsid w:val="14EA74B8"/>
    <w:rsid w:val="1504304E"/>
    <w:rsid w:val="15155054"/>
    <w:rsid w:val="151B3786"/>
    <w:rsid w:val="15316332"/>
    <w:rsid w:val="154642DC"/>
    <w:rsid w:val="15896705"/>
    <w:rsid w:val="15A8294B"/>
    <w:rsid w:val="15AC760C"/>
    <w:rsid w:val="15B32F7A"/>
    <w:rsid w:val="15C761EC"/>
    <w:rsid w:val="15CF16A7"/>
    <w:rsid w:val="160C4CF2"/>
    <w:rsid w:val="160E19FB"/>
    <w:rsid w:val="16165F18"/>
    <w:rsid w:val="162502C9"/>
    <w:rsid w:val="16353C00"/>
    <w:rsid w:val="16393A8D"/>
    <w:rsid w:val="16654BC7"/>
    <w:rsid w:val="168C441F"/>
    <w:rsid w:val="16DC1BBA"/>
    <w:rsid w:val="17017F86"/>
    <w:rsid w:val="17042B65"/>
    <w:rsid w:val="170D75F8"/>
    <w:rsid w:val="1726346E"/>
    <w:rsid w:val="17296CF6"/>
    <w:rsid w:val="17582B66"/>
    <w:rsid w:val="17854642"/>
    <w:rsid w:val="17910BB6"/>
    <w:rsid w:val="17946704"/>
    <w:rsid w:val="17981BD3"/>
    <w:rsid w:val="179F64A3"/>
    <w:rsid w:val="17A51B0E"/>
    <w:rsid w:val="17B31280"/>
    <w:rsid w:val="17C251E1"/>
    <w:rsid w:val="17CB1614"/>
    <w:rsid w:val="17D20FAB"/>
    <w:rsid w:val="17D31922"/>
    <w:rsid w:val="17E02E26"/>
    <w:rsid w:val="17EF06F4"/>
    <w:rsid w:val="183121A5"/>
    <w:rsid w:val="183A72AB"/>
    <w:rsid w:val="184C3483"/>
    <w:rsid w:val="187B5F15"/>
    <w:rsid w:val="187C5791"/>
    <w:rsid w:val="18C354F3"/>
    <w:rsid w:val="19365251"/>
    <w:rsid w:val="194505FE"/>
    <w:rsid w:val="19520625"/>
    <w:rsid w:val="196B174B"/>
    <w:rsid w:val="19793E03"/>
    <w:rsid w:val="199C41FA"/>
    <w:rsid w:val="199C7AF2"/>
    <w:rsid w:val="199E1ABC"/>
    <w:rsid w:val="19B0499B"/>
    <w:rsid w:val="19B238D5"/>
    <w:rsid w:val="19B66E06"/>
    <w:rsid w:val="19BD0194"/>
    <w:rsid w:val="19D47304"/>
    <w:rsid w:val="19DB7F6A"/>
    <w:rsid w:val="19E322D2"/>
    <w:rsid w:val="19F745E3"/>
    <w:rsid w:val="19FA25FA"/>
    <w:rsid w:val="19FB6F0E"/>
    <w:rsid w:val="1A197C85"/>
    <w:rsid w:val="1A3A6F65"/>
    <w:rsid w:val="1A6870CA"/>
    <w:rsid w:val="1A787533"/>
    <w:rsid w:val="1A9172BB"/>
    <w:rsid w:val="1A98475D"/>
    <w:rsid w:val="1A9923CA"/>
    <w:rsid w:val="1A9C2008"/>
    <w:rsid w:val="1A9C51A3"/>
    <w:rsid w:val="1ACC3FEB"/>
    <w:rsid w:val="1AD339E7"/>
    <w:rsid w:val="1ADD528F"/>
    <w:rsid w:val="1AEC17C4"/>
    <w:rsid w:val="1AF77057"/>
    <w:rsid w:val="1AFA6510"/>
    <w:rsid w:val="1B087B35"/>
    <w:rsid w:val="1B1E0609"/>
    <w:rsid w:val="1B3E3C04"/>
    <w:rsid w:val="1B495DC9"/>
    <w:rsid w:val="1B617463"/>
    <w:rsid w:val="1B8E3619"/>
    <w:rsid w:val="1B8F440D"/>
    <w:rsid w:val="1BAA299A"/>
    <w:rsid w:val="1BAB226E"/>
    <w:rsid w:val="1BAC3628"/>
    <w:rsid w:val="1BC31CAE"/>
    <w:rsid w:val="1BC7354C"/>
    <w:rsid w:val="1BD21EF1"/>
    <w:rsid w:val="1BE211A8"/>
    <w:rsid w:val="1BF04193"/>
    <w:rsid w:val="1C220782"/>
    <w:rsid w:val="1C5134DB"/>
    <w:rsid w:val="1C55317B"/>
    <w:rsid w:val="1C5C2227"/>
    <w:rsid w:val="1C796CC0"/>
    <w:rsid w:val="1C8B457A"/>
    <w:rsid w:val="1C957AEB"/>
    <w:rsid w:val="1CB37426"/>
    <w:rsid w:val="1CC211DE"/>
    <w:rsid w:val="1CDA72AF"/>
    <w:rsid w:val="1CE978DB"/>
    <w:rsid w:val="1D2F42ED"/>
    <w:rsid w:val="1D3E15EC"/>
    <w:rsid w:val="1D5337BB"/>
    <w:rsid w:val="1D7019C1"/>
    <w:rsid w:val="1D720138"/>
    <w:rsid w:val="1D9C08F7"/>
    <w:rsid w:val="1DBA12AF"/>
    <w:rsid w:val="1DD65D5A"/>
    <w:rsid w:val="1DF95A8A"/>
    <w:rsid w:val="1DFE0D7B"/>
    <w:rsid w:val="1E0A10B6"/>
    <w:rsid w:val="1E0D0FBE"/>
    <w:rsid w:val="1E193E07"/>
    <w:rsid w:val="1E5905ED"/>
    <w:rsid w:val="1E595D30"/>
    <w:rsid w:val="1E9A0F0B"/>
    <w:rsid w:val="1E9C4C5A"/>
    <w:rsid w:val="1EBB1A4A"/>
    <w:rsid w:val="1EC65D3D"/>
    <w:rsid w:val="1EE12B77"/>
    <w:rsid w:val="1F1620F4"/>
    <w:rsid w:val="1F1C2654"/>
    <w:rsid w:val="1F2D49E2"/>
    <w:rsid w:val="1F38650F"/>
    <w:rsid w:val="1F582103"/>
    <w:rsid w:val="1F5B7F6C"/>
    <w:rsid w:val="1F7645A1"/>
    <w:rsid w:val="1F996FAD"/>
    <w:rsid w:val="1FAE7172"/>
    <w:rsid w:val="1FB27F1C"/>
    <w:rsid w:val="1FB522CF"/>
    <w:rsid w:val="1FDE2C12"/>
    <w:rsid w:val="1FFF6B11"/>
    <w:rsid w:val="20202405"/>
    <w:rsid w:val="20320856"/>
    <w:rsid w:val="20353A90"/>
    <w:rsid w:val="204E0C87"/>
    <w:rsid w:val="20522D9F"/>
    <w:rsid w:val="20781E95"/>
    <w:rsid w:val="20911E55"/>
    <w:rsid w:val="20994D8B"/>
    <w:rsid w:val="20A0778C"/>
    <w:rsid w:val="20AE5D0D"/>
    <w:rsid w:val="20DB75CF"/>
    <w:rsid w:val="211A2370"/>
    <w:rsid w:val="211B258C"/>
    <w:rsid w:val="21226E0A"/>
    <w:rsid w:val="2133507B"/>
    <w:rsid w:val="21566164"/>
    <w:rsid w:val="217F21D3"/>
    <w:rsid w:val="21A649AF"/>
    <w:rsid w:val="21B76550"/>
    <w:rsid w:val="21D20C28"/>
    <w:rsid w:val="21E27271"/>
    <w:rsid w:val="220628F4"/>
    <w:rsid w:val="22235254"/>
    <w:rsid w:val="22257C75"/>
    <w:rsid w:val="224A458F"/>
    <w:rsid w:val="22543660"/>
    <w:rsid w:val="22633057"/>
    <w:rsid w:val="22717D6E"/>
    <w:rsid w:val="228256F9"/>
    <w:rsid w:val="228A6D24"/>
    <w:rsid w:val="228B5B84"/>
    <w:rsid w:val="22A2261D"/>
    <w:rsid w:val="22B4289B"/>
    <w:rsid w:val="22C956B0"/>
    <w:rsid w:val="22D64075"/>
    <w:rsid w:val="23045169"/>
    <w:rsid w:val="2318468D"/>
    <w:rsid w:val="23333275"/>
    <w:rsid w:val="23410AC3"/>
    <w:rsid w:val="235D37CE"/>
    <w:rsid w:val="23614A5A"/>
    <w:rsid w:val="239E1037"/>
    <w:rsid w:val="23C71FAA"/>
    <w:rsid w:val="23C913C7"/>
    <w:rsid w:val="23FA0986"/>
    <w:rsid w:val="24303C58"/>
    <w:rsid w:val="24334C2E"/>
    <w:rsid w:val="24381904"/>
    <w:rsid w:val="24433C55"/>
    <w:rsid w:val="244E38BF"/>
    <w:rsid w:val="24537CA2"/>
    <w:rsid w:val="24572CD2"/>
    <w:rsid w:val="24637E07"/>
    <w:rsid w:val="246D706B"/>
    <w:rsid w:val="248E3B5F"/>
    <w:rsid w:val="24910A30"/>
    <w:rsid w:val="24A0797B"/>
    <w:rsid w:val="24A51F50"/>
    <w:rsid w:val="24F000D9"/>
    <w:rsid w:val="24F829C8"/>
    <w:rsid w:val="24FA580C"/>
    <w:rsid w:val="24FC17A2"/>
    <w:rsid w:val="24FD4C8D"/>
    <w:rsid w:val="25311A36"/>
    <w:rsid w:val="254052C8"/>
    <w:rsid w:val="254E5A12"/>
    <w:rsid w:val="257340E3"/>
    <w:rsid w:val="258E6E89"/>
    <w:rsid w:val="25BB74B0"/>
    <w:rsid w:val="25C14ADA"/>
    <w:rsid w:val="25E133B0"/>
    <w:rsid w:val="25F41BC1"/>
    <w:rsid w:val="26153106"/>
    <w:rsid w:val="26252D3B"/>
    <w:rsid w:val="26916DC2"/>
    <w:rsid w:val="26971963"/>
    <w:rsid w:val="26A47769"/>
    <w:rsid w:val="26D740F4"/>
    <w:rsid w:val="26F478F9"/>
    <w:rsid w:val="2707504F"/>
    <w:rsid w:val="2712044B"/>
    <w:rsid w:val="271E248E"/>
    <w:rsid w:val="273A290F"/>
    <w:rsid w:val="274912B9"/>
    <w:rsid w:val="27561209"/>
    <w:rsid w:val="276B03BF"/>
    <w:rsid w:val="277B67FC"/>
    <w:rsid w:val="27BA031B"/>
    <w:rsid w:val="27C546B8"/>
    <w:rsid w:val="27FF7BCA"/>
    <w:rsid w:val="28173165"/>
    <w:rsid w:val="28186EDD"/>
    <w:rsid w:val="28463DE9"/>
    <w:rsid w:val="284F12A1"/>
    <w:rsid w:val="28506677"/>
    <w:rsid w:val="28643BAC"/>
    <w:rsid w:val="287F0D0A"/>
    <w:rsid w:val="28A66829"/>
    <w:rsid w:val="28B704A4"/>
    <w:rsid w:val="28BC1659"/>
    <w:rsid w:val="28D63020"/>
    <w:rsid w:val="28FD4E2D"/>
    <w:rsid w:val="290D53D4"/>
    <w:rsid w:val="29513542"/>
    <w:rsid w:val="29624950"/>
    <w:rsid w:val="297C23E4"/>
    <w:rsid w:val="2990582C"/>
    <w:rsid w:val="299F2C80"/>
    <w:rsid w:val="29AF561F"/>
    <w:rsid w:val="29D55086"/>
    <w:rsid w:val="29D67050"/>
    <w:rsid w:val="29DC7DB6"/>
    <w:rsid w:val="2A2D4EC2"/>
    <w:rsid w:val="2A694C89"/>
    <w:rsid w:val="2A823ABD"/>
    <w:rsid w:val="2A846041"/>
    <w:rsid w:val="2A9F2754"/>
    <w:rsid w:val="2AAD72A5"/>
    <w:rsid w:val="2ABB774C"/>
    <w:rsid w:val="2ACB46DB"/>
    <w:rsid w:val="2AD01CF1"/>
    <w:rsid w:val="2AD359D3"/>
    <w:rsid w:val="2AF56546"/>
    <w:rsid w:val="2AF83C5A"/>
    <w:rsid w:val="2B0F45C8"/>
    <w:rsid w:val="2B30421D"/>
    <w:rsid w:val="2B3202B6"/>
    <w:rsid w:val="2B455ED0"/>
    <w:rsid w:val="2B471FB3"/>
    <w:rsid w:val="2B6369BD"/>
    <w:rsid w:val="2B6B0121"/>
    <w:rsid w:val="2B7A2497"/>
    <w:rsid w:val="2B934DDF"/>
    <w:rsid w:val="2BA32F62"/>
    <w:rsid w:val="2BC817F9"/>
    <w:rsid w:val="2BCF1FA9"/>
    <w:rsid w:val="2BDF773B"/>
    <w:rsid w:val="2C332A92"/>
    <w:rsid w:val="2C4C0CD1"/>
    <w:rsid w:val="2C4E1120"/>
    <w:rsid w:val="2C4F7963"/>
    <w:rsid w:val="2C750975"/>
    <w:rsid w:val="2C7E7C57"/>
    <w:rsid w:val="2C864D5D"/>
    <w:rsid w:val="2C8B6806"/>
    <w:rsid w:val="2C931228"/>
    <w:rsid w:val="2C9E3E55"/>
    <w:rsid w:val="2CA43435"/>
    <w:rsid w:val="2D1759B5"/>
    <w:rsid w:val="2D232E5E"/>
    <w:rsid w:val="2D4744ED"/>
    <w:rsid w:val="2D9139BA"/>
    <w:rsid w:val="2D9D235F"/>
    <w:rsid w:val="2DCF48E9"/>
    <w:rsid w:val="2DD12840"/>
    <w:rsid w:val="2DF60A99"/>
    <w:rsid w:val="2E073C7C"/>
    <w:rsid w:val="2E0B33BE"/>
    <w:rsid w:val="2E0C688C"/>
    <w:rsid w:val="2E3539E9"/>
    <w:rsid w:val="2E474078"/>
    <w:rsid w:val="2E517A87"/>
    <w:rsid w:val="2E6B559E"/>
    <w:rsid w:val="2E700A6A"/>
    <w:rsid w:val="2EB758E5"/>
    <w:rsid w:val="2EB77450"/>
    <w:rsid w:val="2EDB1BAF"/>
    <w:rsid w:val="2EE94CB5"/>
    <w:rsid w:val="2EF84D3C"/>
    <w:rsid w:val="2F0F6197"/>
    <w:rsid w:val="2F125CDF"/>
    <w:rsid w:val="2F1C72B3"/>
    <w:rsid w:val="2F204FF5"/>
    <w:rsid w:val="2F225DC0"/>
    <w:rsid w:val="2F3740ED"/>
    <w:rsid w:val="2F3916CE"/>
    <w:rsid w:val="2F465678"/>
    <w:rsid w:val="2F513A01"/>
    <w:rsid w:val="2F7013AD"/>
    <w:rsid w:val="2F725125"/>
    <w:rsid w:val="2F8D6421"/>
    <w:rsid w:val="2F923A19"/>
    <w:rsid w:val="2F971030"/>
    <w:rsid w:val="2F9B5D64"/>
    <w:rsid w:val="2FE017DD"/>
    <w:rsid w:val="2FEB0144"/>
    <w:rsid w:val="2FF804EC"/>
    <w:rsid w:val="302A4269"/>
    <w:rsid w:val="302E54F0"/>
    <w:rsid w:val="304A6646"/>
    <w:rsid w:val="307015F8"/>
    <w:rsid w:val="307B625B"/>
    <w:rsid w:val="308B46F0"/>
    <w:rsid w:val="308E2433"/>
    <w:rsid w:val="30B17ECF"/>
    <w:rsid w:val="30BD6DB1"/>
    <w:rsid w:val="30D140CD"/>
    <w:rsid w:val="30D7237A"/>
    <w:rsid w:val="310A7A3B"/>
    <w:rsid w:val="310F1BD4"/>
    <w:rsid w:val="312A5E31"/>
    <w:rsid w:val="312D62F7"/>
    <w:rsid w:val="314A1422"/>
    <w:rsid w:val="314D3E18"/>
    <w:rsid w:val="317B29B7"/>
    <w:rsid w:val="31912DF9"/>
    <w:rsid w:val="3197376F"/>
    <w:rsid w:val="31C224E3"/>
    <w:rsid w:val="31E97269"/>
    <w:rsid w:val="31F67505"/>
    <w:rsid w:val="322F0E60"/>
    <w:rsid w:val="32330C82"/>
    <w:rsid w:val="32342B66"/>
    <w:rsid w:val="327911C5"/>
    <w:rsid w:val="327F0285"/>
    <w:rsid w:val="3290135F"/>
    <w:rsid w:val="329D4BAF"/>
    <w:rsid w:val="32A17C6C"/>
    <w:rsid w:val="32A36BD3"/>
    <w:rsid w:val="32C1089D"/>
    <w:rsid w:val="32DC0352"/>
    <w:rsid w:val="32ED6124"/>
    <w:rsid w:val="331F600C"/>
    <w:rsid w:val="332E1CAB"/>
    <w:rsid w:val="333332A5"/>
    <w:rsid w:val="3374121F"/>
    <w:rsid w:val="338E167C"/>
    <w:rsid w:val="338E1DDC"/>
    <w:rsid w:val="33AA7583"/>
    <w:rsid w:val="33AC7A27"/>
    <w:rsid w:val="33D12D62"/>
    <w:rsid w:val="33DC1707"/>
    <w:rsid w:val="33E25105"/>
    <w:rsid w:val="33EA3E24"/>
    <w:rsid w:val="33F14E3F"/>
    <w:rsid w:val="34063A1F"/>
    <w:rsid w:val="342B51E1"/>
    <w:rsid w:val="34392FE5"/>
    <w:rsid w:val="34574C85"/>
    <w:rsid w:val="34684D49"/>
    <w:rsid w:val="349F0AC4"/>
    <w:rsid w:val="34A277E4"/>
    <w:rsid w:val="34A8670B"/>
    <w:rsid w:val="34AA1521"/>
    <w:rsid w:val="34D92ABF"/>
    <w:rsid w:val="34E6552D"/>
    <w:rsid w:val="350E718F"/>
    <w:rsid w:val="353C0A11"/>
    <w:rsid w:val="35411821"/>
    <w:rsid w:val="35731D6B"/>
    <w:rsid w:val="35962526"/>
    <w:rsid w:val="35A3072E"/>
    <w:rsid w:val="35B30245"/>
    <w:rsid w:val="35C12A47"/>
    <w:rsid w:val="35C675BD"/>
    <w:rsid w:val="35CD1B07"/>
    <w:rsid w:val="35D924C6"/>
    <w:rsid w:val="35D94150"/>
    <w:rsid w:val="35E054DE"/>
    <w:rsid w:val="35EB1C72"/>
    <w:rsid w:val="36107EE4"/>
    <w:rsid w:val="361A467A"/>
    <w:rsid w:val="3656625B"/>
    <w:rsid w:val="365E28A7"/>
    <w:rsid w:val="365F288E"/>
    <w:rsid w:val="36762DC3"/>
    <w:rsid w:val="36801476"/>
    <w:rsid w:val="36DF7C11"/>
    <w:rsid w:val="36E508D2"/>
    <w:rsid w:val="37040D59"/>
    <w:rsid w:val="371352AA"/>
    <w:rsid w:val="37204C83"/>
    <w:rsid w:val="376161AB"/>
    <w:rsid w:val="37637ECD"/>
    <w:rsid w:val="37687319"/>
    <w:rsid w:val="37781747"/>
    <w:rsid w:val="37841E99"/>
    <w:rsid w:val="378B76CC"/>
    <w:rsid w:val="379629C2"/>
    <w:rsid w:val="37C130EE"/>
    <w:rsid w:val="37D7581C"/>
    <w:rsid w:val="383D602F"/>
    <w:rsid w:val="384E38F0"/>
    <w:rsid w:val="386A4ACA"/>
    <w:rsid w:val="388D4D7E"/>
    <w:rsid w:val="38B744E6"/>
    <w:rsid w:val="38BF6A19"/>
    <w:rsid w:val="38C43E25"/>
    <w:rsid w:val="38C546D8"/>
    <w:rsid w:val="38C56F36"/>
    <w:rsid w:val="3911775D"/>
    <w:rsid w:val="392E7E3C"/>
    <w:rsid w:val="39755F3E"/>
    <w:rsid w:val="39783C80"/>
    <w:rsid w:val="39825B8D"/>
    <w:rsid w:val="39A405D1"/>
    <w:rsid w:val="39A72F25"/>
    <w:rsid w:val="39D215E2"/>
    <w:rsid w:val="39DE785E"/>
    <w:rsid w:val="3A0C518B"/>
    <w:rsid w:val="3A321DFB"/>
    <w:rsid w:val="3A3F1455"/>
    <w:rsid w:val="3A437DEA"/>
    <w:rsid w:val="3A5C534F"/>
    <w:rsid w:val="3A6E3FCE"/>
    <w:rsid w:val="3A782216"/>
    <w:rsid w:val="3A88789B"/>
    <w:rsid w:val="3AA05D94"/>
    <w:rsid w:val="3AA52033"/>
    <w:rsid w:val="3AA627B4"/>
    <w:rsid w:val="3AC27831"/>
    <w:rsid w:val="3AC802EF"/>
    <w:rsid w:val="3ADF3D0C"/>
    <w:rsid w:val="3AED4868"/>
    <w:rsid w:val="3AF46712"/>
    <w:rsid w:val="3B040EB4"/>
    <w:rsid w:val="3B1B6E04"/>
    <w:rsid w:val="3B2D0303"/>
    <w:rsid w:val="3B3F2CA7"/>
    <w:rsid w:val="3B4A1BD1"/>
    <w:rsid w:val="3B4E4CB3"/>
    <w:rsid w:val="3B677B08"/>
    <w:rsid w:val="3B6A47A8"/>
    <w:rsid w:val="3B747DE4"/>
    <w:rsid w:val="3B800EA0"/>
    <w:rsid w:val="3B837E39"/>
    <w:rsid w:val="3B92363C"/>
    <w:rsid w:val="3B9528C7"/>
    <w:rsid w:val="3BA96B71"/>
    <w:rsid w:val="3BB23479"/>
    <w:rsid w:val="3BE7142E"/>
    <w:rsid w:val="3BE95913"/>
    <w:rsid w:val="3C12216A"/>
    <w:rsid w:val="3C153A08"/>
    <w:rsid w:val="3C332CD5"/>
    <w:rsid w:val="3C432323"/>
    <w:rsid w:val="3C51784C"/>
    <w:rsid w:val="3C7C4014"/>
    <w:rsid w:val="3CA21425"/>
    <w:rsid w:val="3CC943A8"/>
    <w:rsid w:val="3CDC4526"/>
    <w:rsid w:val="3D432D04"/>
    <w:rsid w:val="3D4C1EC5"/>
    <w:rsid w:val="3D6F7148"/>
    <w:rsid w:val="3D913C2B"/>
    <w:rsid w:val="3D9A4E5C"/>
    <w:rsid w:val="3DA9265A"/>
    <w:rsid w:val="3DBB413B"/>
    <w:rsid w:val="3DC2419A"/>
    <w:rsid w:val="3DD36586"/>
    <w:rsid w:val="3DD75419"/>
    <w:rsid w:val="3DD86A9B"/>
    <w:rsid w:val="3DE713D4"/>
    <w:rsid w:val="3E0553DD"/>
    <w:rsid w:val="3E261EFC"/>
    <w:rsid w:val="3E2C6A74"/>
    <w:rsid w:val="3E3204A5"/>
    <w:rsid w:val="3E3E0BE3"/>
    <w:rsid w:val="3E4239E7"/>
    <w:rsid w:val="3E5D51F2"/>
    <w:rsid w:val="3E682515"/>
    <w:rsid w:val="3E6B715C"/>
    <w:rsid w:val="3E7F29FA"/>
    <w:rsid w:val="3E907C2F"/>
    <w:rsid w:val="3EA65C66"/>
    <w:rsid w:val="3EF73899"/>
    <w:rsid w:val="3EF94F1B"/>
    <w:rsid w:val="3F0A41D0"/>
    <w:rsid w:val="3F115250"/>
    <w:rsid w:val="3F1958EE"/>
    <w:rsid w:val="3F641238"/>
    <w:rsid w:val="3F6451F9"/>
    <w:rsid w:val="3FBA368F"/>
    <w:rsid w:val="3FBC23E3"/>
    <w:rsid w:val="3FC81972"/>
    <w:rsid w:val="3FE45BCB"/>
    <w:rsid w:val="3FFB3122"/>
    <w:rsid w:val="40977ED4"/>
    <w:rsid w:val="40A602F0"/>
    <w:rsid w:val="40AB66E9"/>
    <w:rsid w:val="40D52288"/>
    <w:rsid w:val="40DC2896"/>
    <w:rsid w:val="40F97629"/>
    <w:rsid w:val="41094F1C"/>
    <w:rsid w:val="410C1D1E"/>
    <w:rsid w:val="41483F38"/>
    <w:rsid w:val="41562AF9"/>
    <w:rsid w:val="415816DF"/>
    <w:rsid w:val="416074D3"/>
    <w:rsid w:val="418D0EE4"/>
    <w:rsid w:val="41966C29"/>
    <w:rsid w:val="41FD4D22"/>
    <w:rsid w:val="41FE5DA9"/>
    <w:rsid w:val="420844F7"/>
    <w:rsid w:val="42353CCD"/>
    <w:rsid w:val="425A02DC"/>
    <w:rsid w:val="42823479"/>
    <w:rsid w:val="428F1C3F"/>
    <w:rsid w:val="429F0FB5"/>
    <w:rsid w:val="42C85330"/>
    <w:rsid w:val="42D40179"/>
    <w:rsid w:val="42D8610B"/>
    <w:rsid w:val="42F565DF"/>
    <w:rsid w:val="430622FC"/>
    <w:rsid w:val="43360481"/>
    <w:rsid w:val="43610B91"/>
    <w:rsid w:val="43837135"/>
    <w:rsid w:val="438763AD"/>
    <w:rsid w:val="43B26FCD"/>
    <w:rsid w:val="43C30EF6"/>
    <w:rsid w:val="43D607D4"/>
    <w:rsid w:val="441618BE"/>
    <w:rsid w:val="449D1FC8"/>
    <w:rsid w:val="44A14E43"/>
    <w:rsid w:val="44A87A1D"/>
    <w:rsid w:val="44DC3315"/>
    <w:rsid w:val="44EF6415"/>
    <w:rsid w:val="44F038FE"/>
    <w:rsid w:val="44F508DD"/>
    <w:rsid w:val="44F55434"/>
    <w:rsid w:val="450F7D9B"/>
    <w:rsid w:val="451B0F59"/>
    <w:rsid w:val="45362C85"/>
    <w:rsid w:val="45476C11"/>
    <w:rsid w:val="457F0E19"/>
    <w:rsid w:val="458D0F6A"/>
    <w:rsid w:val="45B93567"/>
    <w:rsid w:val="45C955FE"/>
    <w:rsid w:val="45D93CF8"/>
    <w:rsid w:val="45DD5472"/>
    <w:rsid w:val="46036683"/>
    <w:rsid w:val="461B60BF"/>
    <w:rsid w:val="463032CE"/>
    <w:rsid w:val="46364E41"/>
    <w:rsid w:val="46A2233C"/>
    <w:rsid w:val="46BD0F24"/>
    <w:rsid w:val="46C341AC"/>
    <w:rsid w:val="46EF28D4"/>
    <w:rsid w:val="46F03D96"/>
    <w:rsid w:val="470B62A1"/>
    <w:rsid w:val="47307948"/>
    <w:rsid w:val="474F4B46"/>
    <w:rsid w:val="475950F1"/>
    <w:rsid w:val="47743CD8"/>
    <w:rsid w:val="47952D9A"/>
    <w:rsid w:val="47D11A95"/>
    <w:rsid w:val="47D227AD"/>
    <w:rsid w:val="47E56984"/>
    <w:rsid w:val="47FA1A52"/>
    <w:rsid w:val="48117C08"/>
    <w:rsid w:val="48170F29"/>
    <w:rsid w:val="482F19AD"/>
    <w:rsid w:val="483E5A6A"/>
    <w:rsid w:val="48715186"/>
    <w:rsid w:val="48964808"/>
    <w:rsid w:val="489C3DB1"/>
    <w:rsid w:val="48A874B9"/>
    <w:rsid w:val="48B90820"/>
    <w:rsid w:val="48D32C81"/>
    <w:rsid w:val="48D57B5D"/>
    <w:rsid w:val="4916491B"/>
    <w:rsid w:val="49184B37"/>
    <w:rsid w:val="4929734E"/>
    <w:rsid w:val="49391AFA"/>
    <w:rsid w:val="4948564E"/>
    <w:rsid w:val="497A62BD"/>
    <w:rsid w:val="49C41B92"/>
    <w:rsid w:val="4A473499"/>
    <w:rsid w:val="4A544C06"/>
    <w:rsid w:val="4A673A9B"/>
    <w:rsid w:val="4A6C513B"/>
    <w:rsid w:val="4A747D51"/>
    <w:rsid w:val="4A9563B7"/>
    <w:rsid w:val="4AA85A47"/>
    <w:rsid w:val="4AAA69F5"/>
    <w:rsid w:val="4ABF547E"/>
    <w:rsid w:val="4AD16D02"/>
    <w:rsid w:val="4AE009F2"/>
    <w:rsid w:val="4AE44CD1"/>
    <w:rsid w:val="4AF8458F"/>
    <w:rsid w:val="4B310015"/>
    <w:rsid w:val="4B367AD7"/>
    <w:rsid w:val="4B4146BD"/>
    <w:rsid w:val="4B7A3887"/>
    <w:rsid w:val="4B85080B"/>
    <w:rsid w:val="4B8B7843"/>
    <w:rsid w:val="4BAC677A"/>
    <w:rsid w:val="4BEE77D0"/>
    <w:rsid w:val="4C1F32D5"/>
    <w:rsid w:val="4C361BCD"/>
    <w:rsid w:val="4C54567F"/>
    <w:rsid w:val="4C6023E1"/>
    <w:rsid w:val="4C6F44E8"/>
    <w:rsid w:val="4C88083D"/>
    <w:rsid w:val="4C8F6EBF"/>
    <w:rsid w:val="4CBD7BAC"/>
    <w:rsid w:val="4CC27294"/>
    <w:rsid w:val="4CDC3EC8"/>
    <w:rsid w:val="4D0E0101"/>
    <w:rsid w:val="4D117765"/>
    <w:rsid w:val="4D183358"/>
    <w:rsid w:val="4D1963E7"/>
    <w:rsid w:val="4D243649"/>
    <w:rsid w:val="4D2F72A2"/>
    <w:rsid w:val="4D471547"/>
    <w:rsid w:val="4D483F7A"/>
    <w:rsid w:val="4D714816"/>
    <w:rsid w:val="4D7B062E"/>
    <w:rsid w:val="4D905BEF"/>
    <w:rsid w:val="4D9D56D5"/>
    <w:rsid w:val="4DD94895"/>
    <w:rsid w:val="4DF711BF"/>
    <w:rsid w:val="4DFC0582"/>
    <w:rsid w:val="4E9569A3"/>
    <w:rsid w:val="4E983DC2"/>
    <w:rsid w:val="4EBB4C36"/>
    <w:rsid w:val="4ED268AA"/>
    <w:rsid w:val="4EF61477"/>
    <w:rsid w:val="4F2D0C2D"/>
    <w:rsid w:val="4F2F15CE"/>
    <w:rsid w:val="4F483CAF"/>
    <w:rsid w:val="4F702B5E"/>
    <w:rsid w:val="4F92725F"/>
    <w:rsid w:val="4FA6195F"/>
    <w:rsid w:val="4FAB400F"/>
    <w:rsid w:val="4FB22DE6"/>
    <w:rsid w:val="4FC306E3"/>
    <w:rsid w:val="4FC42CA6"/>
    <w:rsid w:val="4FCD667C"/>
    <w:rsid w:val="50112C49"/>
    <w:rsid w:val="5031354A"/>
    <w:rsid w:val="50692B61"/>
    <w:rsid w:val="50811C90"/>
    <w:rsid w:val="50901457"/>
    <w:rsid w:val="509727E6"/>
    <w:rsid w:val="50A318BC"/>
    <w:rsid w:val="50B859D2"/>
    <w:rsid w:val="50E07940"/>
    <w:rsid w:val="50F22C36"/>
    <w:rsid w:val="50F33CA8"/>
    <w:rsid w:val="516C1007"/>
    <w:rsid w:val="519F0BA9"/>
    <w:rsid w:val="51E5137E"/>
    <w:rsid w:val="51EA79F9"/>
    <w:rsid w:val="51F872B4"/>
    <w:rsid w:val="5225307E"/>
    <w:rsid w:val="523302EC"/>
    <w:rsid w:val="5233653E"/>
    <w:rsid w:val="523C201A"/>
    <w:rsid w:val="523F4EE3"/>
    <w:rsid w:val="526459C1"/>
    <w:rsid w:val="528944AB"/>
    <w:rsid w:val="52C2095F"/>
    <w:rsid w:val="52CD013E"/>
    <w:rsid w:val="52F14134"/>
    <w:rsid w:val="53085A69"/>
    <w:rsid w:val="532145E9"/>
    <w:rsid w:val="532B0CA4"/>
    <w:rsid w:val="534F73A8"/>
    <w:rsid w:val="536E56FF"/>
    <w:rsid w:val="538533F3"/>
    <w:rsid w:val="53963229"/>
    <w:rsid w:val="53A5346C"/>
    <w:rsid w:val="53AA2758"/>
    <w:rsid w:val="53AB1EBF"/>
    <w:rsid w:val="53B81710"/>
    <w:rsid w:val="53CA57B7"/>
    <w:rsid w:val="53E43F94"/>
    <w:rsid w:val="54136627"/>
    <w:rsid w:val="541A6600"/>
    <w:rsid w:val="544D1731"/>
    <w:rsid w:val="54A07B2F"/>
    <w:rsid w:val="54A83213"/>
    <w:rsid w:val="54CC7B84"/>
    <w:rsid w:val="54D67D81"/>
    <w:rsid w:val="54ED00C2"/>
    <w:rsid w:val="54FF1A7A"/>
    <w:rsid w:val="55005717"/>
    <w:rsid w:val="55272FFF"/>
    <w:rsid w:val="55367DEE"/>
    <w:rsid w:val="55494FB9"/>
    <w:rsid w:val="559112BE"/>
    <w:rsid w:val="559B1C90"/>
    <w:rsid w:val="55A16F92"/>
    <w:rsid w:val="55BA1844"/>
    <w:rsid w:val="55D87FDF"/>
    <w:rsid w:val="55E87F4A"/>
    <w:rsid w:val="562A33BC"/>
    <w:rsid w:val="567333AD"/>
    <w:rsid w:val="56872EAB"/>
    <w:rsid w:val="5697353F"/>
    <w:rsid w:val="56BC4D54"/>
    <w:rsid w:val="56CC564D"/>
    <w:rsid w:val="56D27CC5"/>
    <w:rsid w:val="56D57BC4"/>
    <w:rsid w:val="56F269C8"/>
    <w:rsid w:val="56FE417C"/>
    <w:rsid w:val="57414F2A"/>
    <w:rsid w:val="57893385"/>
    <w:rsid w:val="57A15DF8"/>
    <w:rsid w:val="57D60097"/>
    <w:rsid w:val="57E95AE0"/>
    <w:rsid w:val="57F47672"/>
    <w:rsid w:val="57F66847"/>
    <w:rsid w:val="58452C0B"/>
    <w:rsid w:val="58636A16"/>
    <w:rsid w:val="58675193"/>
    <w:rsid w:val="58804092"/>
    <w:rsid w:val="588D4BFA"/>
    <w:rsid w:val="588F5523"/>
    <w:rsid w:val="58C85C32"/>
    <w:rsid w:val="58E34EEC"/>
    <w:rsid w:val="5908391E"/>
    <w:rsid w:val="5910251A"/>
    <w:rsid w:val="59240D1F"/>
    <w:rsid w:val="59246BE1"/>
    <w:rsid w:val="592D3CE7"/>
    <w:rsid w:val="5932754F"/>
    <w:rsid w:val="59575208"/>
    <w:rsid w:val="597C4297"/>
    <w:rsid w:val="59900A6E"/>
    <w:rsid w:val="59AC0C7C"/>
    <w:rsid w:val="59B72375"/>
    <w:rsid w:val="59DE4FE1"/>
    <w:rsid w:val="59F20A8D"/>
    <w:rsid w:val="5A091585"/>
    <w:rsid w:val="5A4F6ADF"/>
    <w:rsid w:val="5A72571A"/>
    <w:rsid w:val="5AA61094"/>
    <w:rsid w:val="5AC069DD"/>
    <w:rsid w:val="5AE115E0"/>
    <w:rsid w:val="5AF97892"/>
    <w:rsid w:val="5B142F8A"/>
    <w:rsid w:val="5B166238"/>
    <w:rsid w:val="5B481F20"/>
    <w:rsid w:val="5B4A6DD2"/>
    <w:rsid w:val="5B527A35"/>
    <w:rsid w:val="5B561CFC"/>
    <w:rsid w:val="5BA746EF"/>
    <w:rsid w:val="5BB619DF"/>
    <w:rsid w:val="5BB92BF9"/>
    <w:rsid w:val="5BC71DD8"/>
    <w:rsid w:val="5BC732D5"/>
    <w:rsid w:val="5C060F2A"/>
    <w:rsid w:val="5C11169E"/>
    <w:rsid w:val="5C1E5D13"/>
    <w:rsid w:val="5C3F1E9B"/>
    <w:rsid w:val="5C444B32"/>
    <w:rsid w:val="5C4674DC"/>
    <w:rsid w:val="5C4B51A2"/>
    <w:rsid w:val="5C5736FC"/>
    <w:rsid w:val="5C76637A"/>
    <w:rsid w:val="5C875CF6"/>
    <w:rsid w:val="5C914DC7"/>
    <w:rsid w:val="5CA1148D"/>
    <w:rsid w:val="5CAF2C65"/>
    <w:rsid w:val="5CC826A5"/>
    <w:rsid w:val="5CDC749D"/>
    <w:rsid w:val="5CF50FC0"/>
    <w:rsid w:val="5D0F6CD8"/>
    <w:rsid w:val="5D1A7B93"/>
    <w:rsid w:val="5D2067BA"/>
    <w:rsid w:val="5D333896"/>
    <w:rsid w:val="5D4F6922"/>
    <w:rsid w:val="5D8D744A"/>
    <w:rsid w:val="5DA54794"/>
    <w:rsid w:val="5DA950A2"/>
    <w:rsid w:val="5DBF512A"/>
    <w:rsid w:val="5DD155AC"/>
    <w:rsid w:val="5DEF3BC9"/>
    <w:rsid w:val="5E39312E"/>
    <w:rsid w:val="5E4749DA"/>
    <w:rsid w:val="5E68756F"/>
    <w:rsid w:val="5E6B29ED"/>
    <w:rsid w:val="5E7A5C10"/>
    <w:rsid w:val="5E7F2E20"/>
    <w:rsid w:val="5E7F4FE5"/>
    <w:rsid w:val="5E922AF8"/>
    <w:rsid w:val="5E940C65"/>
    <w:rsid w:val="5EA54D62"/>
    <w:rsid w:val="5EDB5F93"/>
    <w:rsid w:val="5EEA5E1F"/>
    <w:rsid w:val="5EFD0FC9"/>
    <w:rsid w:val="5F01512C"/>
    <w:rsid w:val="5F0279C4"/>
    <w:rsid w:val="5F1576F7"/>
    <w:rsid w:val="5F347A7B"/>
    <w:rsid w:val="5F506981"/>
    <w:rsid w:val="5F7614B4"/>
    <w:rsid w:val="5FAA6092"/>
    <w:rsid w:val="5FB46F10"/>
    <w:rsid w:val="5FBE7B0B"/>
    <w:rsid w:val="5FD01870"/>
    <w:rsid w:val="603718B5"/>
    <w:rsid w:val="60374B3F"/>
    <w:rsid w:val="60430294"/>
    <w:rsid w:val="608A74B3"/>
    <w:rsid w:val="60A01243"/>
    <w:rsid w:val="60A731D9"/>
    <w:rsid w:val="60B3565E"/>
    <w:rsid w:val="60BA0556"/>
    <w:rsid w:val="60C3496E"/>
    <w:rsid w:val="60CA4511"/>
    <w:rsid w:val="60D042C3"/>
    <w:rsid w:val="60DA29A7"/>
    <w:rsid w:val="60E16678"/>
    <w:rsid w:val="60E27AAD"/>
    <w:rsid w:val="60E56EC7"/>
    <w:rsid w:val="60FB291D"/>
    <w:rsid w:val="611D2893"/>
    <w:rsid w:val="612F2D71"/>
    <w:rsid w:val="614918DA"/>
    <w:rsid w:val="61626C8D"/>
    <w:rsid w:val="61A37673"/>
    <w:rsid w:val="61B17F00"/>
    <w:rsid w:val="61B466A2"/>
    <w:rsid w:val="61B93F35"/>
    <w:rsid w:val="61C3343B"/>
    <w:rsid w:val="61D25CC7"/>
    <w:rsid w:val="620121B5"/>
    <w:rsid w:val="62023C8E"/>
    <w:rsid w:val="62056657"/>
    <w:rsid w:val="62487D14"/>
    <w:rsid w:val="625B3673"/>
    <w:rsid w:val="6292105F"/>
    <w:rsid w:val="629E3F30"/>
    <w:rsid w:val="62B80AC5"/>
    <w:rsid w:val="62C0797A"/>
    <w:rsid w:val="62E47B0C"/>
    <w:rsid w:val="62EC3C96"/>
    <w:rsid w:val="62FA091B"/>
    <w:rsid w:val="62FF5390"/>
    <w:rsid w:val="63247F09"/>
    <w:rsid w:val="63422A85"/>
    <w:rsid w:val="634A04F6"/>
    <w:rsid w:val="63554566"/>
    <w:rsid w:val="637D586B"/>
    <w:rsid w:val="63A01501"/>
    <w:rsid w:val="63AD6150"/>
    <w:rsid w:val="63B31DA0"/>
    <w:rsid w:val="63C72D2D"/>
    <w:rsid w:val="63DB1688"/>
    <w:rsid w:val="63EA5D2C"/>
    <w:rsid w:val="6454481E"/>
    <w:rsid w:val="646605F9"/>
    <w:rsid w:val="64C115D1"/>
    <w:rsid w:val="64D23995"/>
    <w:rsid w:val="64DB4988"/>
    <w:rsid w:val="64DF0E21"/>
    <w:rsid w:val="64E831B8"/>
    <w:rsid w:val="64F45E8A"/>
    <w:rsid w:val="64FD6C64"/>
    <w:rsid w:val="650754DB"/>
    <w:rsid w:val="650C1C66"/>
    <w:rsid w:val="6521282F"/>
    <w:rsid w:val="65711D2D"/>
    <w:rsid w:val="65716E00"/>
    <w:rsid w:val="65A4547A"/>
    <w:rsid w:val="65DD0843"/>
    <w:rsid w:val="66161045"/>
    <w:rsid w:val="66490E8D"/>
    <w:rsid w:val="6655487D"/>
    <w:rsid w:val="66630D48"/>
    <w:rsid w:val="669C25F6"/>
    <w:rsid w:val="66A03280"/>
    <w:rsid w:val="66A6332B"/>
    <w:rsid w:val="66C832A1"/>
    <w:rsid w:val="66CC3515"/>
    <w:rsid w:val="66DB1226"/>
    <w:rsid w:val="66DC0AFB"/>
    <w:rsid w:val="66E856F1"/>
    <w:rsid w:val="670653A4"/>
    <w:rsid w:val="670F163E"/>
    <w:rsid w:val="67222094"/>
    <w:rsid w:val="672F072B"/>
    <w:rsid w:val="674A1F08"/>
    <w:rsid w:val="674A2CE7"/>
    <w:rsid w:val="67634C5C"/>
    <w:rsid w:val="676C6322"/>
    <w:rsid w:val="676F7BC1"/>
    <w:rsid w:val="677671A1"/>
    <w:rsid w:val="678B26B3"/>
    <w:rsid w:val="67937CE3"/>
    <w:rsid w:val="679E25E9"/>
    <w:rsid w:val="67B24FE9"/>
    <w:rsid w:val="67BB30D1"/>
    <w:rsid w:val="67BC1058"/>
    <w:rsid w:val="67F24A7A"/>
    <w:rsid w:val="68123F77"/>
    <w:rsid w:val="684572FE"/>
    <w:rsid w:val="68467818"/>
    <w:rsid w:val="684E35E8"/>
    <w:rsid w:val="68525D99"/>
    <w:rsid w:val="68795C73"/>
    <w:rsid w:val="68802085"/>
    <w:rsid w:val="689822D1"/>
    <w:rsid w:val="689B3CD0"/>
    <w:rsid w:val="68CA225D"/>
    <w:rsid w:val="68D908BC"/>
    <w:rsid w:val="694664F0"/>
    <w:rsid w:val="695C4D96"/>
    <w:rsid w:val="69694879"/>
    <w:rsid w:val="698E07D2"/>
    <w:rsid w:val="69B12712"/>
    <w:rsid w:val="69BA0A6B"/>
    <w:rsid w:val="69C83BBA"/>
    <w:rsid w:val="69F83E9D"/>
    <w:rsid w:val="6A1A7CF2"/>
    <w:rsid w:val="6A20538B"/>
    <w:rsid w:val="6A411085"/>
    <w:rsid w:val="6A521859"/>
    <w:rsid w:val="6A7B05DF"/>
    <w:rsid w:val="6A880094"/>
    <w:rsid w:val="6A9D3B1B"/>
    <w:rsid w:val="6AE109CF"/>
    <w:rsid w:val="6AEA7C8A"/>
    <w:rsid w:val="6AF27161"/>
    <w:rsid w:val="6B005F12"/>
    <w:rsid w:val="6B20545A"/>
    <w:rsid w:val="6B321631"/>
    <w:rsid w:val="6B3C3E59"/>
    <w:rsid w:val="6B584199"/>
    <w:rsid w:val="6B5A275F"/>
    <w:rsid w:val="6B5A47FF"/>
    <w:rsid w:val="6B703894"/>
    <w:rsid w:val="6B741C4A"/>
    <w:rsid w:val="6B7F72E4"/>
    <w:rsid w:val="6B9A27D8"/>
    <w:rsid w:val="6BAF40B2"/>
    <w:rsid w:val="6BD6158B"/>
    <w:rsid w:val="6BE576C4"/>
    <w:rsid w:val="6BFB7C75"/>
    <w:rsid w:val="6C270BD8"/>
    <w:rsid w:val="6C411B2C"/>
    <w:rsid w:val="6C457D6E"/>
    <w:rsid w:val="6C8477D1"/>
    <w:rsid w:val="6CA1081C"/>
    <w:rsid w:val="6CB542C8"/>
    <w:rsid w:val="6CC25475"/>
    <w:rsid w:val="6CD23EED"/>
    <w:rsid w:val="6CF723A3"/>
    <w:rsid w:val="6D056FFD"/>
    <w:rsid w:val="6D1172EA"/>
    <w:rsid w:val="6D192AA9"/>
    <w:rsid w:val="6D233E90"/>
    <w:rsid w:val="6D3C22F3"/>
    <w:rsid w:val="6D4F2026"/>
    <w:rsid w:val="6D8C5028"/>
    <w:rsid w:val="6DC35B05"/>
    <w:rsid w:val="6DDA2238"/>
    <w:rsid w:val="6E1C2757"/>
    <w:rsid w:val="6E3F209B"/>
    <w:rsid w:val="6E637CE1"/>
    <w:rsid w:val="6E6A5093"/>
    <w:rsid w:val="6E82642B"/>
    <w:rsid w:val="6EBE02E9"/>
    <w:rsid w:val="6EF47329"/>
    <w:rsid w:val="6F140C0C"/>
    <w:rsid w:val="6F375289"/>
    <w:rsid w:val="6F411E43"/>
    <w:rsid w:val="6F4479A1"/>
    <w:rsid w:val="6F490A01"/>
    <w:rsid w:val="6F7B6240"/>
    <w:rsid w:val="6F912DCA"/>
    <w:rsid w:val="6F991C7F"/>
    <w:rsid w:val="6F992F1A"/>
    <w:rsid w:val="6FA74053"/>
    <w:rsid w:val="6FD155B7"/>
    <w:rsid w:val="6FEC1DAE"/>
    <w:rsid w:val="70167365"/>
    <w:rsid w:val="70182BA3"/>
    <w:rsid w:val="701D465E"/>
    <w:rsid w:val="704274E7"/>
    <w:rsid w:val="705C6A47"/>
    <w:rsid w:val="70670BDF"/>
    <w:rsid w:val="70966BC3"/>
    <w:rsid w:val="70C40F7D"/>
    <w:rsid w:val="70ED740A"/>
    <w:rsid w:val="710310C0"/>
    <w:rsid w:val="711710AD"/>
    <w:rsid w:val="711F4406"/>
    <w:rsid w:val="71265794"/>
    <w:rsid w:val="71392A4C"/>
    <w:rsid w:val="713D663A"/>
    <w:rsid w:val="71BE3C1E"/>
    <w:rsid w:val="721F3324"/>
    <w:rsid w:val="7242215A"/>
    <w:rsid w:val="727B2BBA"/>
    <w:rsid w:val="72C15008"/>
    <w:rsid w:val="72CA3923"/>
    <w:rsid w:val="72CC79C8"/>
    <w:rsid w:val="72F0605A"/>
    <w:rsid w:val="730C582F"/>
    <w:rsid w:val="731B00BA"/>
    <w:rsid w:val="731E0AAA"/>
    <w:rsid w:val="732018F3"/>
    <w:rsid w:val="73204D86"/>
    <w:rsid w:val="733F2B3D"/>
    <w:rsid w:val="7342048C"/>
    <w:rsid w:val="73567EA1"/>
    <w:rsid w:val="736A14A5"/>
    <w:rsid w:val="736A69E3"/>
    <w:rsid w:val="738242B7"/>
    <w:rsid w:val="738430F5"/>
    <w:rsid w:val="73881548"/>
    <w:rsid w:val="7393520A"/>
    <w:rsid w:val="7399224D"/>
    <w:rsid w:val="73B9469D"/>
    <w:rsid w:val="73B9644B"/>
    <w:rsid w:val="740416F7"/>
    <w:rsid w:val="74065ABE"/>
    <w:rsid w:val="74392200"/>
    <w:rsid w:val="743C278E"/>
    <w:rsid w:val="743D6194"/>
    <w:rsid w:val="743F5C73"/>
    <w:rsid w:val="74411A20"/>
    <w:rsid w:val="747F58E7"/>
    <w:rsid w:val="748603E1"/>
    <w:rsid w:val="749A2C87"/>
    <w:rsid w:val="74C27582"/>
    <w:rsid w:val="74C40757"/>
    <w:rsid w:val="74E4574A"/>
    <w:rsid w:val="7521699E"/>
    <w:rsid w:val="75271A80"/>
    <w:rsid w:val="75740EEC"/>
    <w:rsid w:val="757D78EE"/>
    <w:rsid w:val="75BB7BB3"/>
    <w:rsid w:val="75DC2487"/>
    <w:rsid w:val="75E74C1F"/>
    <w:rsid w:val="760A5DF4"/>
    <w:rsid w:val="760C25E7"/>
    <w:rsid w:val="760D6F22"/>
    <w:rsid w:val="763058B8"/>
    <w:rsid w:val="76677F73"/>
    <w:rsid w:val="767147EA"/>
    <w:rsid w:val="76770B9E"/>
    <w:rsid w:val="7686417E"/>
    <w:rsid w:val="76982C90"/>
    <w:rsid w:val="76BA6247"/>
    <w:rsid w:val="76C43A85"/>
    <w:rsid w:val="76D40AEE"/>
    <w:rsid w:val="76DE6D2F"/>
    <w:rsid w:val="76E301FF"/>
    <w:rsid w:val="770C71DA"/>
    <w:rsid w:val="771A3164"/>
    <w:rsid w:val="773B01D5"/>
    <w:rsid w:val="77525F03"/>
    <w:rsid w:val="77577509"/>
    <w:rsid w:val="776B64ED"/>
    <w:rsid w:val="776F69E1"/>
    <w:rsid w:val="77C11FB8"/>
    <w:rsid w:val="77DC6BAC"/>
    <w:rsid w:val="77EB58A3"/>
    <w:rsid w:val="77FB0C25"/>
    <w:rsid w:val="7830052A"/>
    <w:rsid w:val="78364E63"/>
    <w:rsid w:val="78455928"/>
    <w:rsid w:val="78BA32A4"/>
    <w:rsid w:val="78EC2E1F"/>
    <w:rsid w:val="79194C37"/>
    <w:rsid w:val="793E0BA1"/>
    <w:rsid w:val="79420C91"/>
    <w:rsid w:val="794E3ADA"/>
    <w:rsid w:val="7958042D"/>
    <w:rsid w:val="795B1E9D"/>
    <w:rsid w:val="79733540"/>
    <w:rsid w:val="79761491"/>
    <w:rsid w:val="79876FC5"/>
    <w:rsid w:val="79905F2C"/>
    <w:rsid w:val="799D236B"/>
    <w:rsid w:val="79B078F9"/>
    <w:rsid w:val="79B07F95"/>
    <w:rsid w:val="79B7167F"/>
    <w:rsid w:val="79FD49B1"/>
    <w:rsid w:val="7A410474"/>
    <w:rsid w:val="7A546ECE"/>
    <w:rsid w:val="7AAE2C70"/>
    <w:rsid w:val="7AD95CFB"/>
    <w:rsid w:val="7ADC162B"/>
    <w:rsid w:val="7B082423"/>
    <w:rsid w:val="7B0F7F16"/>
    <w:rsid w:val="7B1B31B9"/>
    <w:rsid w:val="7B37783E"/>
    <w:rsid w:val="7B426863"/>
    <w:rsid w:val="7B64254E"/>
    <w:rsid w:val="7B720B64"/>
    <w:rsid w:val="7B7C112F"/>
    <w:rsid w:val="7B8E434B"/>
    <w:rsid w:val="7B9E7542"/>
    <w:rsid w:val="7BB874EA"/>
    <w:rsid w:val="7BBE480C"/>
    <w:rsid w:val="7BC863BA"/>
    <w:rsid w:val="7BD302C6"/>
    <w:rsid w:val="7BDE639C"/>
    <w:rsid w:val="7BE20509"/>
    <w:rsid w:val="7BFA6773"/>
    <w:rsid w:val="7C0D684F"/>
    <w:rsid w:val="7C0F27A9"/>
    <w:rsid w:val="7C1D7794"/>
    <w:rsid w:val="7C255834"/>
    <w:rsid w:val="7C2B21A8"/>
    <w:rsid w:val="7C407EDA"/>
    <w:rsid w:val="7C596A1E"/>
    <w:rsid w:val="7C7234B9"/>
    <w:rsid w:val="7CE0081C"/>
    <w:rsid w:val="7CE00EED"/>
    <w:rsid w:val="7CE132E2"/>
    <w:rsid w:val="7D014423"/>
    <w:rsid w:val="7D0428EB"/>
    <w:rsid w:val="7D3D00ED"/>
    <w:rsid w:val="7D4416C4"/>
    <w:rsid w:val="7D4A288D"/>
    <w:rsid w:val="7D512D9B"/>
    <w:rsid w:val="7D525932"/>
    <w:rsid w:val="7D5448B9"/>
    <w:rsid w:val="7D694056"/>
    <w:rsid w:val="7DCF4ABD"/>
    <w:rsid w:val="7DE62533"/>
    <w:rsid w:val="7E1C4247"/>
    <w:rsid w:val="7E2B3864"/>
    <w:rsid w:val="7E357C51"/>
    <w:rsid w:val="7E782AF5"/>
    <w:rsid w:val="7E9337DC"/>
    <w:rsid w:val="7E9755DB"/>
    <w:rsid w:val="7EB30231"/>
    <w:rsid w:val="7EC24845"/>
    <w:rsid w:val="7ED74465"/>
    <w:rsid w:val="7EF91D8A"/>
    <w:rsid w:val="7F2857BB"/>
    <w:rsid w:val="7F344D76"/>
    <w:rsid w:val="7F493EB1"/>
    <w:rsid w:val="7F606FAC"/>
    <w:rsid w:val="7F621437"/>
    <w:rsid w:val="7F746414"/>
    <w:rsid w:val="7F8E2E82"/>
    <w:rsid w:val="7F9F508F"/>
    <w:rsid w:val="7FAC3558"/>
    <w:rsid w:val="7FB04AAA"/>
    <w:rsid w:val="7FB759EB"/>
    <w:rsid w:val="7FC01BBA"/>
    <w:rsid w:val="7FF72AAA"/>
    <w:rsid w:val="7FF76C79"/>
    <w:rsid w:val="7FFD3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60" w:lineRule="auto"/>
      <w:ind w:firstLine="200" w:firstLineChars="200"/>
      <w:jc w:val="both"/>
    </w:pPr>
    <w:rPr>
      <w:rFonts w:ascii="Times New Roman" w:hAnsi="Times New Roman" w:eastAsia="宋体" w:cstheme="minorBidi"/>
      <w:kern w:val="2"/>
      <w:sz w:val="24"/>
      <w:szCs w:val="21"/>
      <w:lang w:val="en-US" w:eastAsia="zh-CN" w:bidi="ar-SA"/>
    </w:rPr>
  </w:style>
  <w:style w:type="paragraph" w:styleId="2">
    <w:name w:val="heading 1"/>
    <w:basedOn w:val="3"/>
    <w:next w:val="1"/>
    <w:link w:val="43"/>
    <w:qFormat/>
    <w:uiPriority w:val="9"/>
    <w:pPr>
      <w:numPr>
        <w:ilvl w:val="0"/>
      </w:numPr>
      <w:tabs>
        <w:tab w:val="left" w:pos="420"/>
      </w:tabs>
      <w:outlineLvl w:val="0"/>
    </w:pPr>
    <w:rPr>
      <w:sz w:val="30"/>
    </w:rPr>
  </w:style>
  <w:style w:type="paragraph" w:styleId="3">
    <w:name w:val="heading 2"/>
    <w:basedOn w:val="1"/>
    <w:next w:val="1"/>
    <w:link w:val="44"/>
    <w:unhideWhenUsed/>
    <w:qFormat/>
    <w:uiPriority w:val="9"/>
    <w:pPr>
      <w:keepNext/>
      <w:keepLines/>
      <w:numPr>
        <w:ilvl w:val="1"/>
        <w:numId w:val="1"/>
      </w:numPr>
      <w:ind w:firstLineChars="0"/>
      <w:outlineLvl w:val="1"/>
    </w:pPr>
    <w:rPr>
      <w:rFonts w:cstheme="majorBidi"/>
      <w:b/>
      <w:bCs/>
      <w:sz w:val="28"/>
      <w:szCs w:val="32"/>
    </w:rPr>
  </w:style>
  <w:style w:type="paragraph" w:styleId="4">
    <w:name w:val="heading 3"/>
    <w:basedOn w:val="3"/>
    <w:next w:val="1"/>
    <w:link w:val="38"/>
    <w:unhideWhenUsed/>
    <w:qFormat/>
    <w:uiPriority w:val="9"/>
    <w:pPr>
      <w:numPr>
        <w:ilvl w:val="2"/>
      </w:numPr>
      <w:outlineLvl w:val="2"/>
    </w:pPr>
  </w:style>
  <w:style w:type="paragraph" w:styleId="5">
    <w:name w:val="heading 4"/>
    <w:basedOn w:val="1"/>
    <w:next w:val="1"/>
    <w:link w:val="50"/>
    <w:unhideWhenUsed/>
    <w:qFormat/>
    <w:uiPriority w:val="9"/>
    <w:pPr>
      <w:keepNext/>
      <w:keepLines/>
      <w:numPr>
        <w:ilvl w:val="3"/>
        <w:numId w:val="1"/>
      </w:numPr>
      <w:tabs>
        <w:tab w:val="left" w:pos="420"/>
        <w:tab w:val="clear" w:pos="0"/>
      </w:tabs>
      <w:ind w:firstLineChars="0"/>
      <w:outlineLvl w:val="3"/>
    </w:pPr>
    <w:rPr>
      <w:rFonts w:cstheme="majorBidi"/>
      <w:b/>
      <w:bCs/>
      <w:sz w:val="28"/>
      <w:szCs w:val="28"/>
    </w:rPr>
  </w:style>
  <w:style w:type="paragraph" w:styleId="6">
    <w:name w:val="heading 5"/>
    <w:basedOn w:val="1"/>
    <w:next w:val="1"/>
    <w:link w:val="51"/>
    <w:unhideWhenUsed/>
    <w:qFormat/>
    <w:uiPriority w:val="9"/>
    <w:pPr>
      <w:keepNext/>
      <w:keepLines/>
      <w:numPr>
        <w:ilvl w:val="4"/>
        <w:numId w:val="2"/>
      </w:numPr>
      <w:adjustRightInd w:val="0"/>
      <w:spacing w:line="240" w:lineRule="auto"/>
      <w:outlineLvl w:val="4"/>
    </w:pPr>
    <w:rPr>
      <w:b/>
      <w:bCs/>
      <w:sz w:val="28"/>
      <w:szCs w:val="28"/>
    </w:rPr>
  </w:style>
  <w:style w:type="paragraph" w:styleId="7">
    <w:name w:val="heading 6"/>
    <w:basedOn w:val="1"/>
    <w:next w:val="1"/>
    <w:link w:val="52"/>
    <w:semiHidden/>
    <w:unhideWhenUsed/>
    <w:qFormat/>
    <w:uiPriority w:val="9"/>
    <w:pPr>
      <w:keepNext/>
      <w:keepLines/>
      <w:numPr>
        <w:ilvl w:val="5"/>
        <w:numId w:val="2"/>
      </w:numPr>
      <w:spacing w:before="240" w:after="64" w:line="320" w:lineRule="auto"/>
      <w:ind w:firstLine="0" w:firstLineChars="0"/>
      <w:outlineLvl w:val="5"/>
    </w:pPr>
    <w:rPr>
      <w:rFonts w:asciiTheme="majorHAnsi" w:hAnsiTheme="majorHAnsi" w:eastAsiaTheme="majorEastAsia" w:cstheme="majorBidi"/>
      <w:b/>
      <w:bCs/>
      <w:szCs w:val="24"/>
    </w:rPr>
  </w:style>
  <w:style w:type="paragraph" w:styleId="8">
    <w:name w:val="heading 7"/>
    <w:basedOn w:val="1"/>
    <w:next w:val="1"/>
    <w:link w:val="53"/>
    <w:semiHidden/>
    <w:unhideWhenUsed/>
    <w:qFormat/>
    <w:uiPriority w:val="9"/>
    <w:pPr>
      <w:keepNext/>
      <w:keepLines/>
      <w:numPr>
        <w:ilvl w:val="6"/>
        <w:numId w:val="2"/>
      </w:numPr>
      <w:spacing w:before="240" w:after="64" w:line="320" w:lineRule="auto"/>
      <w:ind w:firstLine="0" w:firstLineChars="0"/>
      <w:outlineLvl w:val="6"/>
    </w:pPr>
    <w:rPr>
      <w:b/>
      <w:bCs/>
      <w:szCs w:val="24"/>
    </w:rPr>
  </w:style>
  <w:style w:type="paragraph" w:styleId="9">
    <w:name w:val="heading 8"/>
    <w:basedOn w:val="1"/>
    <w:next w:val="1"/>
    <w:link w:val="54"/>
    <w:semiHidden/>
    <w:unhideWhenUsed/>
    <w:qFormat/>
    <w:uiPriority w:val="9"/>
    <w:pPr>
      <w:keepNext/>
      <w:keepLines/>
      <w:numPr>
        <w:ilvl w:val="7"/>
        <w:numId w:val="2"/>
      </w:numPr>
      <w:spacing w:before="240" w:after="64" w:line="320" w:lineRule="auto"/>
      <w:ind w:firstLine="0" w:firstLineChars="0"/>
      <w:outlineLvl w:val="7"/>
    </w:pPr>
    <w:rPr>
      <w:rFonts w:asciiTheme="majorHAnsi" w:hAnsiTheme="majorHAnsi" w:eastAsiaTheme="majorEastAsia" w:cstheme="majorBidi"/>
      <w:szCs w:val="24"/>
    </w:rPr>
  </w:style>
  <w:style w:type="paragraph" w:styleId="10">
    <w:name w:val="heading 9"/>
    <w:basedOn w:val="1"/>
    <w:next w:val="1"/>
    <w:link w:val="55"/>
    <w:semiHidden/>
    <w:unhideWhenUsed/>
    <w:qFormat/>
    <w:uiPriority w:val="9"/>
    <w:pPr>
      <w:keepNext/>
      <w:keepLines/>
      <w:numPr>
        <w:ilvl w:val="8"/>
        <w:numId w:val="2"/>
      </w:numPr>
      <w:spacing w:before="240" w:after="64" w:line="320" w:lineRule="auto"/>
      <w:ind w:firstLine="0" w:firstLineChars="0"/>
      <w:outlineLvl w:val="8"/>
    </w:pPr>
    <w:rPr>
      <w:rFonts w:asciiTheme="majorHAnsi" w:hAnsiTheme="majorHAnsi" w:eastAsiaTheme="majorEastAsia" w:cstheme="majorBidi"/>
      <w:sz w:val="21"/>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szCs w:val="22"/>
    </w:rPr>
  </w:style>
  <w:style w:type="paragraph" w:styleId="12">
    <w:name w:val="caption"/>
    <w:basedOn w:val="1"/>
    <w:next w:val="1"/>
    <w:link w:val="77"/>
    <w:unhideWhenUsed/>
    <w:qFormat/>
    <w:uiPriority w:val="35"/>
    <w:pPr>
      <w:keepNext/>
      <w:spacing w:line="240" w:lineRule="auto"/>
      <w:ind w:firstLine="0" w:firstLineChars="0"/>
      <w:jc w:val="center"/>
    </w:pPr>
    <w:rPr>
      <w:rFonts w:cstheme="majorBidi"/>
      <w:b/>
      <w:sz w:val="21"/>
      <w:szCs w:val="20"/>
    </w:rPr>
  </w:style>
  <w:style w:type="paragraph" w:styleId="13">
    <w:name w:val="annotation text"/>
    <w:basedOn w:val="1"/>
    <w:link w:val="71"/>
    <w:semiHidden/>
    <w:unhideWhenUsed/>
    <w:qFormat/>
    <w:uiPriority w:val="99"/>
    <w:pPr>
      <w:jc w:val="left"/>
    </w:pPr>
  </w:style>
  <w:style w:type="paragraph" w:styleId="14">
    <w:name w:val="Body Text"/>
    <w:basedOn w:val="1"/>
    <w:next w:val="1"/>
    <w:link w:val="56"/>
    <w:qFormat/>
    <w:uiPriority w:val="1"/>
    <w:pPr>
      <w:spacing w:before="135" w:line="240" w:lineRule="auto"/>
      <w:ind w:left="120" w:firstLine="0" w:firstLineChars="0"/>
    </w:pPr>
    <w:rPr>
      <w:rFonts w:ascii="宋体" w:hAnsi="宋体" w:cs="宋体" w:eastAsiaTheme="minorEastAsia"/>
      <w:szCs w:val="24"/>
      <w:lang w:eastAsia="en-US"/>
    </w:rPr>
  </w:style>
  <w:style w:type="paragraph" w:styleId="15">
    <w:name w:val="Body Text Indent"/>
    <w:basedOn w:val="1"/>
    <w:qFormat/>
    <w:uiPriority w:val="99"/>
    <w:pPr>
      <w:spacing w:after="120"/>
      <w:ind w:left="420" w:leftChars="200"/>
    </w:pPr>
    <w:rPr>
      <w:kern w:val="0"/>
    </w:rPr>
  </w:style>
  <w:style w:type="paragraph" w:styleId="16">
    <w:name w:val="toc 5"/>
    <w:basedOn w:val="1"/>
    <w:next w:val="1"/>
    <w:unhideWhenUsed/>
    <w:qFormat/>
    <w:uiPriority w:val="39"/>
    <w:pPr>
      <w:spacing w:line="240" w:lineRule="auto"/>
      <w:ind w:left="1680" w:leftChars="800" w:firstLine="0" w:firstLineChars="0"/>
    </w:pPr>
    <w:rPr>
      <w:rFonts w:asciiTheme="minorHAnsi" w:hAnsiTheme="minorHAnsi" w:eastAsiaTheme="minorEastAsia"/>
      <w:sz w:val="21"/>
      <w:szCs w:val="22"/>
    </w:rPr>
  </w:style>
  <w:style w:type="paragraph" w:styleId="17">
    <w:name w:val="toc 3"/>
    <w:basedOn w:val="1"/>
    <w:next w:val="1"/>
    <w:unhideWhenUsed/>
    <w:qFormat/>
    <w:uiPriority w:val="39"/>
    <w:pPr>
      <w:tabs>
        <w:tab w:val="right" w:leader="dot" w:pos="8296"/>
      </w:tabs>
      <w:ind w:left="960" w:leftChars="400" w:firstLine="0" w:firstLineChars="0"/>
    </w:pPr>
  </w:style>
  <w:style w:type="paragraph" w:styleId="18">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szCs w:val="22"/>
    </w:rPr>
  </w:style>
  <w:style w:type="paragraph" w:styleId="19">
    <w:name w:val="endnote text"/>
    <w:basedOn w:val="1"/>
    <w:link w:val="59"/>
    <w:semiHidden/>
    <w:unhideWhenUsed/>
    <w:qFormat/>
    <w:uiPriority w:val="99"/>
    <w:pPr>
      <w:jc w:val="left"/>
    </w:pPr>
  </w:style>
  <w:style w:type="paragraph" w:styleId="20">
    <w:name w:val="Balloon Text"/>
    <w:basedOn w:val="1"/>
    <w:link w:val="60"/>
    <w:semiHidden/>
    <w:unhideWhenUsed/>
    <w:qFormat/>
    <w:uiPriority w:val="99"/>
    <w:pPr>
      <w:spacing w:line="240" w:lineRule="auto"/>
    </w:pPr>
    <w:rPr>
      <w:sz w:val="18"/>
      <w:szCs w:val="18"/>
    </w:rPr>
  </w:style>
  <w:style w:type="paragraph" w:styleId="21">
    <w:name w:val="footer"/>
    <w:basedOn w:val="1"/>
    <w:link w:val="45"/>
    <w:unhideWhenUsed/>
    <w:qFormat/>
    <w:uiPriority w:val="99"/>
    <w:pPr>
      <w:tabs>
        <w:tab w:val="center" w:pos="4153"/>
        <w:tab w:val="right" w:pos="8306"/>
      </w:tabs>
      <w:adjustRightInd w:val="0"/>
      <w:spacing w:line="240" w:lineRule="auto"/>
      <w:ind w:firstLine="880"/>
      <w:jc w:val="left"/>
    </w:pPr>
    <w:rPr>
      <w:rFonts w:ascii="Calibri" w:hAnsi="Calibri" w:cs="Times New Roman"/>
      <w:sz w:val="18"/>
      <w:szCs w:val="18"/>
    </w:rPr>
  </w:style>
  <w:style w:type="paragraph" w:styleId="22">
    <w:name w:val="header"/>
    <w:basedOn w:val="1"/>
    <w:link w:val="46"/>
    <w:unhideWhenUsed/>
    <w:qFormat/>
    <w:uiPriority w:val="0"/>
    <w:pPr>
      <w:pBdr>
        <w:bottom w:val="single" w:color="auto" w:sz="4" w:space="1"/>
      </w:pBdr>
      <w:tabs>
        <w:tab w:val="center" w:pos="4153"/>
        <w:tab w:val="right" w:pos="8306"/>
      </w:tabs>
      <w:adjustRightInd w:val="0"/>
      <w:spacing w:line="240" w:lineRule="auto"/>
      <w:ind w:firstLine="880"/>
      <w:jc w:val="center"/>
    </w:pPr>
    <w:rPr>
      <w:rFonts w:ascii="Calibri" w:hAnsi="Calibri" w:cs="Times New Roman"/>
      <w:sz w:val="18"/>
      <w:szCs w:val="18"/>
    </w:rPr>
  </w:style>
  <w:style w:type="paragraph" w:styleId="23">
    <w:name w:val="toc 1"/>
    <w:basedOn w:val="1"/>
    <w:next w:val="1"/>
    <w:unhideWhenUsed/>
    <w:qFormat/>
    <w:uiPriority w:val="39"/>
    <w:pPr>
      <w:tabs>
        <w:tab w:val="right" w:leader="dot" w:pos="8296"/>
      </w:tabs>
      <w:ind w:firstLine="0" w:firstLineChars="0"/>
    </w:pPr>
    <w:rPr>
      <w:b/>
    </w:rPr>
  </w:style>
  <w:style w:type="paragraph" w:styleId="24">
    <w:name w:val="toc 4"/>
    <w:basedOn w:val="1"/>
    <w:next w:val="1"/>
    <w:unhideWhenUsed/>
    <w:qFormat/>
    <w:uiPriority w:val="39"/>
    <w:pPr>
      <w:spacing w:line="240" w:lineRule="auto"/>
      <w:ind w:left="1260" w:leftChars="600" w:firstLine="0" w:firstLineChars="0"/>
    </w:pPr>
    <w:rPr>
      <w:rFonts w:asciiTheme="minorHAnsi" w:hAnsiTheme="minorHAnsi" w:eastAsiaTheme="minorEastAsia"/>
      <w:sz w:val="21"/>
      <w:szCs w:val="22"/>
    </w:rPr>
  </w:style>
  <w:style w:type="paragraph" w:styleId="25">
    <w:name w:val="toc 6"/>
    <w:basedOn w:val="1"/>
    <w:next w:val="1"/>
    <w:unhideWhenUsed/>
    <w:qFormat/>
    <w:uiPriority w:val="39"/>
    <w:pPr>
      <w:spacing w:line="240" w:lineRule="auto"/>
      <w:ind w:left="2100" w:leftChars="1000" w:firstLine="0" w:firstLineChars="0"/>
    </w:pPr>
    <w:rPr>
      <w:rFonts w:asciiTheme="minorHAnsi" w:hAnsiTheme="minorHAnsi" w:eastAsiaTheme="minorEastAsia"/>
      <w:sz w:val="21"/>
      <w:szCs w:val="22"/>
    </w:rPr>
  </w:style>
  <w:style w:type="paragraph" w:styleId="26">
    <w:name w:val="toc 2"/>
    <w:basedOn w:val="1"/>
    <w:next w:val="1"/>
    <w:unhideWhenUsed/>
    <w:qFormat/>
    <w:uiPriority w:val="39"/>
    <w:pPr>
      <w:tabs>
        <w:tab w:val="right" w:leader="dot" w:pos="8296"/>
      </w:tabs>
      <w:ind w:left="480" w:leftChars="200" w:firstLine="0" w:firstLineChars="0"/>
    </w:pPr>
  </w:style>
  <w:style w:type="paragraph" w:styleId="27">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szCs w:val="22"/>
    </w:rPr>
  </w:style>
  <w:style w:type="paragraph" w:styleId="28">
    <w:name w:val="annotation subject"/>
    <w:basedOn w:val="13"/>
    <w:next w:val="13"/>
    <w:link w:val="72"/>
    <w:semiHidden/>
    <w:unhideWhenUsed/>
    <w:qFormat/>
    <w:uiPriority w:val="99"/>
    <w:rPr>
      <w:b/>
      <w:bCs/>
    </w:rPr>
  </w:style>
  <w:style w:type="paragraph" w:styleId="29">
    <w:name w:val="Body Text First Indent"/>
    <w:basedOn w:val="14"/>
    <w:next w:val="1"/>
    <w:qFormat/>
    <w:uiPriority w:val="99"/>
    <w:pPr>
      <w:ind w:firstLine="420" w:firstLineChars="100"/>
    </w:pPr>
    <w:rPr>
      <w:rFonts w:asciiTheme="minorHAnsi" w:hAnsiTheme="minorHAnsi" w:cstheme="minorBidi"/>
    </w:rPr>
  </w:style>
  <w:style w:type="paragraph" w:styleId="30">
    <w:name w:val="Body Text First Indent 2"/>
    <w:basedOn w:val="15"/>
    <w:qFormat/>
    <w:uiPriority w:val="99"/>
    <w:pPr>
      <w:ind w:left="0" w:leftChars="0" w:firstLine="0" w:firstLineChars="0"/>
    </w:pPr>
  </w:style>
  <w:style w:type="table" w:styleId="32">
    <w:name w:val="Table Grid"/>
    <w:basedOn w:val="31"/>
    <w:qFormat/>
    <w:uiPriority w:val="39"/>
    <w:pPr>
      <w:spacing w:before="20" w:beforeLines="20" w:after="20" w:afterLines="20"/>
    </w:pPr>
    <w:tblPr>
      <w:jc w:val="cente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character" w:styleId="34">
    <w:name w:val="endnote reference"/>
    <w:basedOn w:val="33"/>
    <w:semiHidden/>
    <w:unhideWhenUsed/>
    <w:qFormat/>
    <w:uiPriority w:val="99"/>
    <w:rPr>
      <w:vertAlign w:val="superscript"/>
    </w:rPr>
  </w:style>
  <w:style w:type="character" w:styleId="35">
    <w:name w:val="Hyperlink"/>
    <w:basedOn w:val="33"/>
    <w:unhideWhenUsed/>
    <w:qFormat/>
    <w:uiPriority w:val="99"/>
    <w:rPr>
      <w:color w:val="0563C1" w:themeColor="hyperlink"/>
      <w:u w:val="single"/>
      <w14:textFill>
        <w14:solidFill>
          <w14:schemeClr w14:val="hlink"/>
        </w14:solidFill>
      </w14:textFill>
    </w:rPr>
  </w:style>
  <w:style w:type="character" w:styleId="36">
    <w:name w:val="annotation reference"/>
    <w:basedOn w:val="33"/>
    <w:semiHidden/>
    <w:unhideWhenUsed/>
    <w:qFormat/>
    <w:uiPriority w:val="99"/>
    <w:rPr>
      <w:sz w:val="21"/>
      <w:szCs w:val="21"/>
    </w:rPr>
  </w:style>
  <w:style w:type="paragraph" w:customStyle="1" w:styleId="37">
    <w:name w:val="表格"/>
    <w:basedOn w:val="1"/>
    <w:link w:val="92"/>
    <w:qFormat/>
    <w:uiPriority w:val="0"/>
    <w:pPr>
      <w:spacing w:before="65" w:beforeLines="20" w:after="65" w:afterLines="20" w:line="240" w:lineRule="auto"/>
      <w:ind w:firstLine="0" w:firstLineChars="0"/>
      <w:jc w:val="center"/>
    </w:pPr>
    <w:rPr>
      <w:rFonts w:cs="Times New Roman"/>
      <w:sz w:val="21"/>
    </w:rPr>
  </w:style>
  <w:style w:type="character" w:customStyle="1" w:styleId="38">
    <w:name w:val="标题 3 Char"/>
    <w:basedOn w:val="33"/>
    <w:link w:val="4"/>
    <w:qFormat/>
    <w:uiPriority w:val="9"/>
    <w:rPr>
      <w:rFonts w:ascii="Times New Roman" w:hAnsi="Times New Roman" w:eastAsia="宋体" w:cstheme="majorBidi"/>
      <w:b/>
      <w:bCs/>
      <w:sz w:val="28"/>
      <w:szCs w:val="32"/>
    </w:rPr>
  </w:style>
  <w:style w:type="paragraph" w:customStyle="1" w:styleId="39">
    <w:name w:val="Default"/>
    <w:basedOn w:val="40"/>
    <w:next w:val="41"/>
    <w:qFormat/>
    <w:uiPriority w:val="0"/>
    <w:pPr>
      <w:autoSpaceDE w:val="0"/>
      <w:autoSpaceDN w:val="0"/>
      <w:jc w:val="left"/>
    </w:pPr>
    <w:rPr>
      <w:rFonts w:hAnsi="宋体" w:cs="宋体"/>
      <w:color w:val="000000"/>
      <w:kern w:val="0"/>
    </w:rPr>
  </w:style>
  <w:style w:type="paragraph" w:customStyle="1" w:styleId="40">
    <w:name w:val="纯文本1"/>
    <w:basedOn w:val="1"/>
    <w:qFormat/>
    <w:uiPriority w:val="0"/>
    <w:pPr>
      <w:adjustRightInd w:val="0"/>
    </w:pPr>
    <w:rPr>
      <w:rFonts w:ascii="宋体" w:hAnsi="Courier New"/>
      <w:szCs w:val="20"/>
    </w:rPr>
  </w:style>
  <w:style w:type="paragraph" w:customStyle="1" w:styleId="41">
    <w:name w:val="正文文字 6"/>
    <w:next w:val="1"/>
    <w:qFormat/>
    <w:uiPriority w:val="0"/>
    <w:pPr>
      <w:widowControl w:val="0"/>
      <w:ind w:left="240"/>
      <w:jc w:val="both"/>
    </w:pPr>
    <w:rPr>
      <w:rFonts w:ascii="宋体" w:hAnsi="Times New Roman" w:eastAsia="宋体" w:cs="Calibri"/>
      <w:b/>
      <w:bCs/>
      <w:kern w:val="2"/>
      <w:sz w:val="32"/>
      <w:szCs w:val="32"/>
      <w:lang w:val="en-US" w:eastAsia="zh-CN" w:bidi="ar-SA"/>
    </w:rPr>
  </w:style>
  <w:style w:type="paragraph" w:customStyle="1" w:styleId="42">
    <w:name w:val="！正文"/>
    <w:basedOn w:val="1"/>
    <w:qFormat/>
    <w:uiPriority w:val="0"/>
    <w:rPr>
      <w:rFonts w:cs="Times New Roman"/>
      <w:szCs w:val="22"/>
    </w:rPr>
  </w:style>
  <w:style w:type="character" w:customStyle="1" w:styleId="43">
    <w:name w:val="标题 1 Char"/>
    <w:basedOn w:val="33"/>
    <w:link w:val="2"/>
    <w:qFormat/>
    <w:uiPriority w:val="9"/>
    <w:rPr>
      <w:rFonts w:eastAsia="宋体" w:asciiTheme="majorHAnsi" w:hAnsiTheme="majorHAnsi" w:cstheme="majorBidi"/>
      <w:b/>
      <w:bCs/>
      <w:sz w:val="30"/>
      <w:szCs w:val="32"/>
    </w:rPr>
  </w:style>
  <w:style w:type="character" w:customStyle="1" w:styleId="44">
    <w:name w:val="标题 2 Char"/>
    <w:basedOn w:val="33"/>
    <w:link w:val="3"/>
    <w:qFormat/>
    <w:uiPriority w:val="9"/>
    <w:rPr>
      <w:rFonts w:ascii="Times New Roman" w:hAnsi="Times New Roman" w:eastAsia="宋体" w:cstheme="majorBidi"/>
      <w:b/>
      <w:bCs/>
      <w:sz w:val="28"/>
      <w:szCs w:val="32"/>
    </w:rPr>
  </w:style>
  <w:style w:type="character" w:customStyle="1" w:styleId="45">
    <w:name w:val="页脚 Char"/>
    <w:basedOn w:val="33"/>
    <w:link w:val="21"/>
    <w:qFormat/>
    <w:uiPriority w:val="99"/>
    <w:rPr>
      <w:rFonts w:ascii="Calibri" w:hAnsi="Calibri" w:eastAsia="宋体" w:cs="Times New Roman"/>
      <w:sz w:val="18"/>
      <w:szCs w:val="18"/>
    </w:rPr>
  </w:style>
  <w:style w:type="character" w:customStyle="1" w:styleId="46">
    <w:name w:val="页眉 Char"/>
    <w:basedOn w:val="33"/>
    <w:link w:val="22"/>
    <w:qFormat/>
    <w:uiPriority w:val="0"/>
    <w:rPr>
      <w:rFonts w:ascii="Calibri" w:hAnsi="Calibri" w:eastAsia="宋体" w:cs="Times New Roman"/>
      <w:kern w:val="2"/>
      <w:sz w:val="18"/>
      <w:szCs w:val="18"/>
    </w:rPr>
  </w:style>
  <w:style w:type="paragraph" w:customStyle="1" w:styleId="47">
    <w:name w:val="TOC 标题1"/>
    <w:basedOn w:val="2"/>
    <w:next w:val="1"/>
    <w:unhideWhenUsed/>
    <w:qFormat/>
    <w:uiPriority w:val="39"/>
    <w:pPr>
      <w:widowControl/>
      <w:numPr>
        <w:numId w:val="0"/>
      </w:numPr>
      <w:spacing w:before="240" w:line="259" w:lineRule="auto"/>
      <w:jc w:val="left"/>
      <w:outlineLvl w:val="9"/>
    </w:pPr>
    <w:rPr>
      <w:rFonts w:eastAsiaTheme="majorEastAsia"/>
      <w:b w:val="0"/>
      <w:bCs w:val="0"/>
      <w:color w:val="2E75B6" w:themeColor="accent1" w:themeShade="BF"/>
      <w:kern w:val="0"/>
    </w:rPr>
  </w:style>
  <w:style w:type="paragraph" w:customStyle="1" w:styleId="48">
    <w:name w:val="列表段落1"/>
    <w:basedOn w:val="1"/>
    <w:link w:val="83"/>
    <w:qFormat/>
    <w:uiPriority w:val="0"/>
    <w:pPr>
      <w:adjustRightInd w:val="0"/>
      <w:ind w:firstLine="420"/>
    </w:pPr>
    <w:rPr>
      <w:rFonts w:cs="Times New Roman"/>
      <w:szCs w:val="22"/>
    </w:rPr>
  </w:style>
  <w:style w:type="paragraph" w:styleId="49">
    <w:name w:val="List Paragraph"/>
    <w:basedOn w:val="1"/>
    <w:qFormat/>
    <w:uiPriority w:val="34"/>
  </w:style>
  <w:style w:type="character" w:customStyle="1" w:styleId="50">
    <w:name w:val="标题 4 Char"/>
    <w:basedOn w:val="33"/>
    <w:link w:val="5"/>
    <w:qFormat/>
    <w:uiPriority w:val="9"/>
    <w:rPr>
      <w:rFonts w:ascii="Times New Roman" w:hAnsi="Times New Roman" w:eastAsia="宋体" w:cstheme="majorBidi"/>
      <w:b/>
      <w:bCs/>
      <w:kern w:val="2"/>
      <w:sz w:val="28"/>
      <w:szCs w:val="28"/>
    </w:rPr>
  </w:style>
  <w:style w:type="character" w:customStyle="1" w:styleId="51">
    <w:name w:val="标题 5 Char"/>
    <w:basedOn w:val="33"/>
    <w:link w:val="6"/>
    <w:semiHidden/>
    <w:qFormat/>
    <w:uiPriority w:val="9"/>
    <w:rPr>
      <w:rFonts w:ascii="Times New Roman" w:hAnsi="Times New Roman" w:eastAsia="宋体"/>
      <w:b/>
      <w:bCs/>
      <w:sz w:val="28"/>
      <w:szCs w:val="28"/>
    </w:rPr>
  </w:style>
  <w:style w:type="character" w:customStyle="1" w:styleId="52">
    <w:name w:val="标题 6 Char"/>
    <w:basedOn w:val="33"/>
    <w:link w:val="7"/>
    <w:semiHidden/>
    <w:qFormat/>
    <w:uiPriority w:val="9"/>
    <w:rPr>
      <w:rFonts w:asciiTheme="majorHAnsi" w:hAnsiTheme="majorHAnsi" w:eastAsiaTheme="majorEastAsia" w:cstheme="majorBidi"/>
      <w:b/>
      <w:bCs/>
      <w:sz w:val="24"/>
      <w:szCs w:val="24"/>
    </w:rPr>
  </w:style>
  <w:style w:type="character" w:customStyle="1" w:styleId="53">
    <w:name w:val="标题 7 Char"/>
    <w:basedOn w:val="33"/>
    <w:link w:val="8"/>
    <w:semiHidden/>
    <w:qFormat/>
    <w:uiPriority w:val="9"/>
    <w:rPr>
      <w:rFonts w:ascii="Times New Roman" w:hAnsi="Times New Roman" w:eastAsia="宋体"/>
      <w:b/>
      <w:bCs/>
      <w:sz w:val="24"/>
      <w:szCs w:val="24"/>
    </w:rPr>
  </w:style>
  <w:style w:type="character" w:customStyle="1" w:styleId="54">
    <w:name w:val="标题 8 Char"/>
    <w:basedOn w:val="33"/>
    <w:link w:val="9"/>
    <w:semiHidden/>
    <w:qFormat/>
    <w:uiPriority w:val="9"/>
    <w:rPr>
      <w:rFonts w:asciiTheme="majorHAnsi" w:hAnsiTheme="majorHAnsi" w:eastAsiaTheme="majorEastAsia" w:cstheme="majorBidi"/>
      <w:sz w:val="24"/>
      <w:szCs w:val="24"/>
    </w:rPr>
  </w:style>
  <w:style w:type="character" w:customStyle="1" w:styleId="55">
    <w:name w:val="标题 9 Char"/>
    <w:basedOn w:val="33"/>
    <w:link w:val="10"/>
    <w:semiHidden/>
    <w:qFormat/>
    <w:uiPriority w:val="9"/>
    <w:rPr>
      <w:rFonts w:asciiTheme="majorHAnsi" w:hAnsiTheme="majorHAnsi" w:eastAsiaTheme="majorEastAsia" w:cstheme="majorBidi"/>
    </w:rPr>
  </w:style>
  <w:style w:type="character" w:customStyle="1" w:styleId="56">
    <w:name w:val="正文文本 Char"/>
    <w:link w:val="14"/>
    <w:qFormat/>
    <w:uiPriority w:val="1"/>
    <w:rPr>
      <w:rFonts w:ascii="宋体" w:hAnsi="宋体" w:cs="宋体"/>
      <w:sz w:val="24"/>
      <w:szCs w:val="24"/>
      <w:lang w:eastAsia="en-US"/>
    </w:rPr>
  </w:style>
  <w:style w:type="character" w:customStyle="1" w:styleId="57">
    <w:name w:val="正文文本 字符1"/>
    <w:basedOn w:val="33"/>
    <w:semiHidden/>
    <w:qFormat/>
    <w:uiPriority w:val="99"/>
    <w:rPr>
      <w:rFonts w:ascii="Times New Roman" w:hAnsi="Times New Roman" w:eastAsia="宋体"/>
      <w:sz w:val="24"/>
    </w:rPr>
  </w:style>
  <w:style w:type="paragraph" w:customStyle="1" w:styleId="58">
    <w:name w:val="Table Paragraph"/>
    <w:basedOn w:val="1"/>
    <w:qFormat/>
    <w:uiPriority w:val="0"/>
    <w:pPr>
      <w:spacing w:line="240" w:lineRule="auto"/>
      <w:ind w:firstLine="0" w:firstLineChars="0"/>
      <w:jc w:val="center"/>
    </w:pPr>
    <w:rPr>
      <w:rFonts w:ascii="Calibri" w:hAnsi="Calibri" w:cs="Times New Roman"/>
      <w:sz w:val="21"/>
    </w:rPr>
  </w:style>
  <w:style w:type="character" w:customStyle="1" w:styleId="59">
    <w:name w:val="尾注文本 Char"/>
    <w:basedOn w:val="33"/>
    <w:link w:val="19"/>
    <w:semiHidden/>
    <w:qFormat/>
    <w:uiPriority w:val="99"/>
    <w:rPr>
      <w:rFonts w:ascii="Times New Roman" w:hAnsi="Times New Roman" w:eastAsia="宋体"/>
      <w:sz w:val="24"/>
    </w:rPr>
  </w:style>
  <w:style w:type="character" w:customStyle="1" w:styleId="60">
    <w:name w:val="批注框文本 Char"/>
    <w:basedOn w:val="33"/>
    <w:link w:val="20"/>
    <w:semiHidden/>
    <w:qFormat/>
    <w:uiPriority w:val="99"/>
    <w:rPr>
      <w:rFonts w:ascii="Times New Roman" w:hAnsi="Times New Roman" w:eastAsia="宋体"/>
      <w:sz w:val="18"/>
      <w:szCs w:val="18"/>
    </w:rPr>
  </w:style>
  <w:style w:type="table" w:customStyle="1" w:styleId="61">
    <w:name w:val="网格型1"/>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2">
    <w:name w:val="网格型2"/>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网格型3"/>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4">
    <w:name w:val="网格型4"/>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5">
    <w:name w:val="Table Normal"/>
    <w:semiHidden/>
    <w:unhideWhenUsed/>
    <w:qFormat/>
    <w:uiPriority w:val="0"/>
    <w:rPr>
      <w:rFonts w:ascii="Arial" w:hAnsi="Arial" w:cs="Arial"/>
      <w:snapToGrid w:val="0"/>
      <w:color w:val="000000"/>
    </w:rPr>
    <w:tblPr>
      <w:tblCellMar>
        <w:top w:w="0" w:type="dxa"/>
        <w:left w:w="0" w:type="dxa"/>
        <w:bottom w:w="0" w:type="dxa"/>
        <w:right w:w="0" w:type="dxa"/>
      </w:tblCellMar>
    </w:tblPr>
  </w:style>
  <w:style w:type="table" w:customStyle="1" w:styleId="66">
    <w:name w:val="网格型5"/>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网格型6"/>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8">
    <w:name w:val="网格型7"/>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9">
    <w:name w:val="表格内容"/>
    <w:next w:val="2"/>
    <w:link w:val="70"/>
    <w:qFormat/>
    <w:uiPriority w:val="0"/>
    <w:pPr>
      <w:adjustRightInd w:val="0"/>
      <w:snapToGrid w:val="0"/>
      <w:spacing w:before="20" w:beforeLines="20" w:after="20" w:afterLines="20"/>
      <w:jc w:val="center"/>
    </w:pPr>
    <w:rPr>
      <w:rFonts w:ascii="Times New Roman" w:hAnsi="Times New Roman" w:eastAsia="宋体" w:cs="Arial"/>
      <w:bCs/>
      <w:kern w:val="2"/>
      <w:sz w:val="21"/>
      <w:szCs w:val="22"/>
      <w:lang w:val="en-US" w:eastAsia="zh-CN" w:bidi="ar-SA"/>
    </w:rPr>
  </w:style>
  <w:style w:type="character" w:customStyle="1" w:styleId="70">
    <w:name w:val="表格内容 字符"/>
    <w:link w:val="69"/>
    <w:qFormat/>
    <w:uiPriority w:val="0"/>
    <w:rPr>
      <w:rFonts w:ascii="Times New Roman" w:hAnsi="Times New Roman" w:eastAsia="宋体" w:cs="Arial"/>
      <w:bCs/>
      <w:kern w:val="2"/>
      <w:sz w:val="21"/>
      <w:szCs w:val="22"/>
      <w:lang w:val="en-US" w:eastAsia="zh-CN" w:bidi="ar-SA"/>
    </w:rPr>
  </w:style>
  <w:style w:type="character" w:customStyle="1" w:styleId="71">
    <w:name w:val="批注文字 Char"/>
    <w:basedOn w:val="33"/>
    <w:link w:val="13"/>
    <w:semiHidden/>
    <w:qFormat/>
    <w:uiPriority w:val="99"/>
    <w:rPr>
      <w:rFonts w:ascii="Times New Roman" w:hAnsi="Times New Roman" w:eastAsia="宋体"/>
      <w:kern w:val="2"/>
      <w:sz w:val="24"/>
      <w:szCs w:val="21"/>
    </w:rPr>
  </w:style>
  <w:style w:type="character" w:customStyle="1" w:styleId="72">
    <w:name w:val="批注主题 Char"/>
    <w:basedOn w:val="71"/>
    <w:link w:val="28"/>
    <w:semiHidden/>
    <w:qFormat/>
    <w:uiPriority w:val="99"/>
    <w:rPr>
      <w:rFonts w:ascii="Times New Roman" w:hAnsi="Times New Roman" w:eastAsia="宋体"/>
      <w:b/>
      <w:bCs/>
      <w:kern w:val="2"/>
      <w:sz w:val="24"/>
      <w:szCs w:val="21"/>
    </w:rPr>
  </w:style>
  <w:style w:type="table" w:customStyle="1" w:styleId="73">
    <w:name w:val="网格型8"/>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4">
    <w:name w:val="网格型9"/>
    <w:basedOn w:val="3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5">
    <w:name w:val="网格型10"/>
    <w:basedOn w:val="31"/>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6">
    <w:name w:val="网格型11"/>
    <w:basedOn w:val="31"/>
    <w:qFormat/>
    <w:uiPriority w:val="39"/>
    <w:pPr>
      <w:spacing w:before="20" w:beforeLines="20" w:after="20" w:afterLines="20"/>
    </w:pPr>
    <w:rPr>
      <w:rFonts w:cstheme="minorBidi"/>
    </w:rPr>
    <w:tblPr>
      <w:jc w:val="center"/>
      <w:tblBorders>
        <w:top w:val="single" w:color="auto" w:sz="12" w:space="0"/>
        <w:bottom w:val="single" w:color="auto" w:sz="12"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character" w:customStyle="1" w:styleId="77">
    <w:name w:val="题注 Char"/>
    <w:link w:val="12"/>
    <w:qFormat/>
    <w:uiPriority w:val="35"/>
    <w:rPr>
      <w:rFonts w:cstheme="majorBidi"/>
      <w:b/>
      <w:sz w:val="21"/>
      <w:szCs w:val="20"/>
    </w:rPr>
  </w:style>
  <w:style w:type="table" w:customStyle="1" w:styleId="78">
    <w:name w:val="表环评格式11"/>
    <w:qFormat/>
    <w:uiPriority w:val="59"/>
    <w:pPr>
      <w:adjustRightInd w:val="0"/>
      <w:snapToGrid w:val="0"/>
      <w:spacing w:beforeLines="20" w:afterLines="2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79">
    <w:name w:val="工作表格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0">
    <w:name w:val="网格型刘4"/>
    <w:qFormat/>
    <w:uiPriority w:val="0"/>
    <w:pPr>
      <w:widowControl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1">
    <w:name w:val="网格型刘26"/>
    <w:qFormat/>
    <w:uiPriority w:val="59"/>
    <w:pPr>
      <w:widowControl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82">
    <w:name w:val="网格型刘33"/>
    <w:qFormat/>
    <w:uiPriority w:val="59"/>
    <w:pPr>
      <w:widowControl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3">
    <w:name w:val="列表段落1 Char"/>
    <w:link w:val="48"/>
    <w:qFormat/>
    <w:uiPriority w:val="0"/>
    <w:rPr>
      <w:rFonts w:cs="Times New Roman"/>
      <w:szCs w:val="22"/>
    </w:rPr>
  </w:style>
  <w:style w:type="character" w:customStyle="1" w:styleId="84">
    <w:name w:val="font21"/>
    <w:basedOn w:val="33"/>
    <w:qFormat/>
    <w:uiPriority w:val="0"/>
    <w:rPr>
      <w:rFonts w:hint="eastAsia" w:ascii="宋体" w:hAnsi="宋体" w:eastAsia="宋体" w:cs="宋体"/>
      <w:color w:val="000000"/>
      <w:sz w:val="21"/>
      <w:szCs w:val="21"/>
      <w:u w:val="none"/>
    </w:rPr>
  </w:style>
  <w:style w:type="character" w:customStyle="1" w:styleId="85">
    <w:name w:val="font11"/>
    <w:basedOn w:val="33"/>
    <w:qFormat/>
    <w:uiPriority w:val="0"/>
    <w:rPr>
      <w:rFonts w:hint="default" w:ascii="Times New Roman" w:hAnsi="Times New Roman" w:cs="Times New Roman"/>
      <w:color w:val="000000"/>
      <w:sz w:val="21"/>
      <w:szCs w:val="21"/>
      <w:u w:val="none"/>
    </w:rPr>
  </w:style>
  <w:style w:type="table" w:customStyle="1" w:styleId="86">
    <w:name w:val="网格型刘35"/>
    <w:qFormat/>
    <w:uiPriority w:val="59"/>
    <w:pPr>
      <w:widowControl w:val="0"/>
      <w:spacing w:line="36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7">
    <w:name w:val="font51"/>
    <w:basedOn w:val="33"/>
    <w:qFormat/>
    <w:uiPriority w:val="0"/>
    <w:rPr>
      <w:rFonts w:hint="eastAsia" w:ascii="宋体" w:hAnsi="宋体" w:eastAsia="宋体" w:cs="宋体"/>
      <w:color w:val="000000"/>
      <w:sz w:val="21"/>
      <w:szCs w:val="21"/>
      <w:u w:val="none"/>
    </w:rPr>
  </w:style>
  <w:style w:type="character" w:customStyle="1" w:styleId="88">
    <w:name w:val="font41"/>
    <w:basedOn w:val="33"/>
    <w:qFormat/>
    <w:uiPriority w:val="0"/>
    <w:rPr>
      <w:rFonts w:hint="eastAsia" w:ascii="宋体" w:hAnsi="宋体" w:eastAsia="宋体" w:cs="宋体"/>
      <w:color w:val="000000"/>
      <w:sz w:val="21"/>
      <w:szCs w:val="21"/>
      <w:u w:val="none"/>
    </w:rPr>
  </w:style>
  <w:style w:type="character" w:customStyle="1" w:styleId="89">
    <w:name w:val="font31"/>
    <w:basedOn w:val="33"/>
    <w:qFormat/>
    <w:uiPriority w:val="0"/>
    <w:rPr>
      <w:rFonts w:hint="default" w:ascii="Times New Roman" w:hAnsi="Times New Roman" w:cs="Times New Roman"/>
      <w:color w:val="000000"/>
      <w:sz w:val="21"/>
      <w:szCs w:val="21"/>
      <w:u w:val="none"/>
    </w:rPr>
  </w:style>
  <w:style w:type="paragraph" w:customStyle="1" w:styleId="90">
    <w:name w:val="表头1"/>
    <w:basedOn w:val="1"/>
    <w:qFormat/>
    <w:uiPriority w:val="0"/>
    <w:pPr>
      <w:numPr>
        <w:ilvl w:val="0"/>
        <w:numId w:val="3"/>
      </w:numPr>
      <w:adjustRightInd w:val="0"/>
      <w:spacing w:line="240" w:lineRule="auto"/>
      <w:ind w:left="0" w:firstLine="0" w:firstLineChars="0"/>
      <w:jc w:val="center"/>
    </w:pPr>
    <w:rPr>
      <w:b/>
      <w:sz w:val="21"/>
    </w:rPr>
  </w:style>
  <w:style w:type="paragraph" w:customStyle="1" w:styleId="91">
    <w:name w:val="A表格"/>
    <w:basedOn w:val="1"/>
    <w:qFormat/>
    <w:uiPriority w:val="0"/>
    <w:pPr>
      <w:jc w:val="center"/>
    </w:pPr>
  </w:style>
  <w:style w:type="character" w:customStyle="1" w:styleId="92">
    <w:name w:val="表格 Char"/>
    <w:link w:val="37"/>
    <w:qFormat/>
    <w:uiPriority w:val="0"/>
    <w:rPr>
      <w:rFonts w:cs="Times New Roman"/>
      <w:sz w:val="21"/>
    </w:rPr>
  </w:style>
  <w:style w:type="paragraph" w:customStyle="1" w:styleId="93">
    <w:name w:val="我的正文"/>
    <w:qFormat/>
    <w:uiPriority w:val="0"/>
    <w:pPr>
      <w:autoSpaceDE w:val="0"/>
      <w:autoSpaceDN w:val="0"/>
      <w:spacing w:line="360" w:lineRule="auto"/>
      <w:ind w:firstLine="200" w:firstLineChars="200"/>
      <w:jc w:val="both"/>
    </w:pPr>
    <w:rPr>
      <w:rFonts w:ascii="Times New Roman" w:hAnsi="Times New Roman" w:eastAsia="宋体" w:cs="Times New Roman"/>
      <w:kern w:val="2"/>
      <w:sz w:val="24"/>
      <w:szCs w:val="21"/>
      <w:lang w:val="en-US" w:eastAsia="zh-CN" w:bidi="ar-SA"/>
    </w:rPr>
  </w:style>
  <w:style w:type="table" w:customStyle="1" w:styleId="94">
    <w:name w:val="样式1"/>
    <w:autoRedefine/>
    <w:qFormat/>
    <w:uiPriority w:val="0"/>
    <w:pPr>
      <w:adjustRightInd w:val="0"/>
      <w:snapToGrid w:val="0"/>
      <w:jc w:val="center"/>
    </w:pPr>
    <w:rPr>
      <w:sz w:val="21"/>
    </w:rPr>
    <w:tblPr>
      <w:tblBorders>
        <w:top w:val="single" w:color="auto" w:sz="12" w:space="0"/>
        <w:bottom w:val="single" w:color="auto" w:sz="12" w:space="0"/>
        <w:insideH w:val="single" w:color="auto" w:sz="4" w:space="0"/>
        <w:insideV w:val="single" w:color="auto" w:sz="4" w:space="0"/>
      </w:tblBorders>
      <w:tblCellMar>
        <w:top w:w="0" w:type="dxa"/>
        <w:left w:w="0" w:type="dxa"/>
        <w:bottom w:w="0" w:type="dxa"/>
        <w:right w:w="0" w:type="dxa"/>
      </w:tblCellMar>
    </w:tblPr>
    <w:tcPr>
      <w:vAlign w:val="center"/>
    </w:tcPr>
    <w:tblStylePr w:type="firstRow">
      <w:pPr>
        <w:jc w:val="center"/>
      </w:pPr>
      <w:rPr>
        <w:rFonts w:eastAsia="黑体"/>
      </w:rPr>
    </w:tblStylePr>
  </w:style>
  <w:style w:type="paragraph" w:customStyle="1" w:styleId="95">
    <w:name w:val="表头"/>
    <w:qFormat/>
    <w:uiPriority w:val="0"/>
    <w:pPr>
      <w:widowControl w:val="0"/>
      <w:adjustRightInd w:val="0"/>
      <w:snapToGrid w:val="0"/>
      <w:spacing w:line="360" w:lineRule="auto"/>
      <w:jc w:val="center"/>
      <w:textAlignment w:val="baseline"/>
    </w:pPr>
    <w:rPr>
      <w:rFonts w:ascii="宋体" w:hAnsi="宋体" w:eastAsia="宋体" w:cs="Times New Roman"/>
      <w:snapToGrid w:val="0"/>
      <w:spacing w:val="6"/>
      <w:kern w:val="10"/>
      <w:sz w:val="24"/>
      <w:szCs w:val="24"/>
      <w:lang w:val="en-US" w:eastAsia="zh-CN" w:bidi="ar-SA"/>
    </w:rPr>
  </w:style>
  <w:style w:type="paragraph" w:customStyle="1" w:styleId="96">
    <w:name w:val="表格居中"/>
    <w:qFormat/>
    <w:uiPriority w:val="0"/>
    <w:pPr>
      <w:widowControl w:val="0"/>
      <w:jc w:val="center"/>
    </w:pPr>
    <w:rPr>
      <w:rFonts w:ascii="宋体" w:hAnsi="宋体" w:eastAsia="宋体" w:cs="宋体"/>
      <w:snapToGrid w:val="0"/>
      <w:spacing w:val="-4"/>
      <w:w w:val="90"/>
      <w:sz w:val="24"/>
      <w:szCs w:val="24"/>
      <w:lang w:val="en-US" w:eastAsia="zh-CN" w:bidi="ar-SA"/>
    </w:rPr>
  </w:style>
  <w:style w:type="character" w:customStyle="1" w:styleId="97">
    <w:name w:val="font61"/>
    <w:basedOn w:val="33"/>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0" Type="http://schemas.openxmlformats.org/officeDocument/2006/relationships/fontTable" Target="fontTable.xml"/><Relationship Id="rId7" Type="http://schemas.openxmlformats.org/officeDocument/2006/relationships/header" Target="header3.xml"/><Relationship Id="rId69" Type="http://schemas.openxmlformats.org/officeDocument/2006/relationships/customXml" Target="../customXml/item2.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image" Target="media/image39.png"/><Relationship Id="rId65" Type="http://schemas.openxmlformats.org/officeDocument/2006/relationships/image" Target="media/image38.png"/><Relationship Id="rId64" Type="http://schemas.openxmlformats.org/officeDocument/2006/relationships/image" Target="media/image37.png"/><Relationship Id="rId63" Type="http://schemas.openxmlformats.org/officeDocument/2006/relationships/image" Target="media/image36.png"/><Relationship Id="rId62" Type="http://schemas.openxmlformats.org/officeDocument/2006/relationships/image" Target="media/image35.png"/><Relationship Id="rId61" Type="http://schemas.openxmlformats.org/officeDocument/2006/relationships/image" Target="media/image34.png"/><Relationship Id="rId60" Type="http://schemas.openxmlformats.org/officeDocument/2006/relationships/image" Target="media/image33.png"/><Relationship Id="rId6" Type="http://schemas.openxmlformats.org/officeDocument/2006/relationships/header" Target="header2.xml"/><Relationship Id="rId59" Type="http://schemas.openxmlformats.org/officeDocument/2006/relationships/image" Target="media/image32.png"/><Relationship Id="rId58" Type="http://schemas.openxmlformats.org/officeDocument/2006/relationships/image" Target="media/image31.png"/><Relationship Id="rId57" Type="http://schemas.openxmlformats.org/officeDocument/2006/relationships/image" Target="media/image30.png"/><Relationship Id="rId56" Type="http://schemas.openxmlformats.org/officeDocument/2006/relationships/image" Target="media/image29.png"/><Relationship Id="rId55" Type="http://schemas.openxmlformats.org/officeDocument/2006/relationships/image" Target="media/image28.png"/><Relationship Id="rId54" Type="http://schemas.openxmlformats.org/officeDocument/2006/relationships/image" Target="media/image27.wmf"/><Relationship Id="rId53" Type="http://schemas.openxmlformats.org/officeDocument/2006/relationships/oleObject" Target="embeddings/oleObject9.bin"/><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media/image24.png"/><Relationship Id="rId5" Type="http://schemas.openxmlformats.org/officeDocument/2006/relationships/header" Target="header1.xml"/><Relationship Id="rId49" Type="http://schemas.openxmlformats.org/officeDocument/2006/relationships/image" Target="media/image23.wmf"/><Relationship Id="rId48" Type="http://schemas.openxmlformats.org/officeDocument/2006/relationships/oleObject" Target="embeddings/oleObject8.bin"/><Relationship Id="rId47" Type="http://schemas.openxmlformats.org/officeDocument/2006/relationships/image" Target="media/image22.png"/><Relationship Id="rId46" Type="http://schemas.openxmlformats.org/officeDocument/2006/relationships/image" Target="media/image21.png"/><Relationship Id="rId45" Type="http://schemas.openxmlformats.org/officeDocument/2006/relationships/image" Target="media/image20.png"/><Relationship Id="rId44" Type="http://schemas.openxmlformats.org/officeDocument/2006/relationships/image" Target="media/image19.wmf"/><Relationship Id="rId43" Type="http://schemas.openxmlformats.org/officeDocument/2006/relationships/oleObject" Target="embeddings/oleObject7.bin"/><Relationship Id="rId42" Type="http://schemas.openxmlformats.org/officeDocument/2006/relationships/image" Target="media/image18.wmf"/><Relationship Id="rId41" Type="http://schemas.openxmlformats.org/officeDocument/2006/relationships/oleObject" Target="embeddings/oleObject6.bin"/><Relationship Id="rId40" Type="http://schemas.openxmlformats.org/officeDocument/2006/relationships/image" Target="media/image17.wmf"/><Relationship Id="rId4" Type="http://schemas.openxmlformats.org/officeDocument/2006/relationships/endnotes" Target="endnotes.xml"/><Relationship Id="rId39" Type="http://schemas.openxmlformats.org/officeDocument/2006/relationships/oleObject" Target="embeddings/oleObject5.bin"/><Relationship Id="rId38" Type="http://schemas.openxmlformats.org/officeDocument/2006/relationships/image" Target="media/image16.wmf"/><Relationship Id="rId37" Type="http://schemas.openxmlformats.org/officeDocument/2006/relationships/oleObject" Target="embeddings/oleObject4.bin"/><Relationship Id="rId36" Type="http://schemas.openxmlformats.org/officeDocument/2006/relationships/image" Target="media/image15.emf"/><Relationship Id="rId35" Type="http://schemas.openxmlformats.org/officeDocument/2006/relationships/oleObject" Target="embeddings/Microsoft_Visio_2003-2010___3.vsd"/><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png"/><Relationship Id="rId31" Type="http://schemas.openxmlformats.org/officeDocument/2006/relationships/image" Target="media/image11.png"/><Relationship Id="rId30" Type="http://schemas.openxmlformats.org/officeDocument/2006/relationships/image" Target="media/image10.png"/><Relationship Id="rId3" Type="http://schemas.openxmlformats.org/officeDocument/2006/relationships/footnotes" Target="footnotes.xml"/><Relationship Id="rId29" Type="http://schemas.openxmlformats.org/officeDocument/2006/relationships/image" Target="media/image9.emf"/><Relationship Id="rId28" Type="http://schemas.openxmlformats.org/officeDocument/2006/relationships/package" Target="embeddings/Microsoft_Visio___2.vsdx"/><Relationship Id="rId27" Type="http://schemas.openxmlformats.org/officeDocument/2006/relationships/image" Target="media/image8.emf"/><Relationship Id="rId26" Type="http://schemas.openxmlformats.org/officeDocument/2006/relationships/oleObject" Target="embeddings/Microsoft_Visio_2003-2010___1.vsd"/><Relationship Id="rId25" Type="http://schemas.openxmlformats.org/officeDocument/2006/relationships/image" Target="media/image7.png"/><Relationship Id="rId24" Type="http://schemas.openxmlformats.org/officeDocument/2006/relationships/image" Target="media/image6.wmf"/><Relationship Id="rId23" Type="http://schemas.openxmlformats.org/officeDocument/2006/relationships/oleObject" Target="embeddings/oleObject3.bin"/><Relationship Id="rId22" Type="http://schemas.openxmlformats.org/officeDocument/2006/relationships/image" Target="media/image5.jpeg"/><Relationship Id="rId21" Type="http://schemas.openxmlformats.org/officeDocument/2006/relationships/image" Target="media/image4.wmf"/><Relationship Id="rId20" Type="http://schemas.openxmlformats.org/officeDocument/2006/relationships/oleObject" Target="embeddings/oleObject2.bin"/><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wmf"/><Relationship Id="rId17" Type="http://schemas.openxmlformats.org/officeDocument/2006/relationships/oleObject" Target="embeddings/oleObject1.bin"/><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29d703aa-9b0a-448b-92c4-7c99f90ffdcd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3EAC31A7</paraID>
      <start>0</start>
      <end>2</end>
      <status>ignored</status>
      <modifiedWord/>
      <trackRevisions>false</trackRevisions>
    </reviewItem>
    <reviewItem>
      <errorID>8dccbff2-e9dc-49ac-953e-5b5aa3a743d9</errorID>
      <errorWord>领域中</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7DE3C5D9</paraID>
      <start>32</start>
      <end>34</end>
      <status>modified</status>
      <modifiedWord>领域</modifiedWord>
      <trackRevisions>false</trackRevisions>
    </reviewItem>
    <reviewItem>
      <errorID>5dd6199b-8e2a-418f-94bd-2d2e442ae550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7DE3C5D9</paraID>
      <start>51</start>
      <end>52</end>
      <status>ignored</status>
      <modifiedWord/>
      <trackRevisions>false</trackRevisions>
    </reviewItem>
    <reviewItem>
      <errorID>20330f02-eadd-4fd4-a35a-7822e0bddbcd</errorID>
      <errorWord>（</errorWord>
      <group>L1_Punc</group>
      <groupName>标点问题</groupName>
      <ability>L2_Punc</ability>
      <abilityName>标点符号检查</abilityName>
      <candidateList/>
      <explain>同一形式括号套用。</explain>
      <paraID>1536A101</paraID>
      <start>39</start>
      <end>40</end>
      <status>ignored</status>
      <modifiedWord/>
      <trackRevisions>false</trackRevisions>
    </reviewItem>
    <reviewItem>
      <errorID>8bd3e22d-2645-46e7-83c6-dd4f6f403259</errorID>
      <errorWord>）</errorWord>
      <group>L1_Punc</group>
      <groupName>标点问题</groupName>
      <ability>L2_Punc</ability>
      <abilityName>标点符号检查</abilityName>
      <candidateList/>
      <explain>同一形式括号套用。</explain>
      <paraID>1536A101</paraID>
      <start>42</start>
      <end>43</end>
      <status>ignored</status>
      <modifiedWord/>
      <trackRevisions>false</trackRevisions>
    </reviewItem>
    <reviewItem>
      <errorID>4f07f435-34d6-4040-89f2-34688fdc651c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D56CC4B</paraID>
      <start>0</start>
      <end>2</end>
      <status>ignored</status>
      <modifiedWord/>
      <trackRevisions>false</trackRevisions>
    </reviewItem>
    <reviewItem>
      <errorID>0362b2fe-5153-4eae-b6ae-a93bde0b074f</errorID>
      <errorWord>达</errorWord>
      <group>L1_Word</group>
      <groupName>字词问题</groupName>
      <ability>L2_Typo</ability>
      <abilityName>字词错误</abilityName>
      <candidateList>
        <item>达到</item>
      </candidateList>
      <explain>〈动〉到（多指抽象事物或程度）：达得到｜达不到｜目的没有～｜～国际水平。</explain>
      <paraID>7AADC33B</paraID>
      <start>93</start>
      <end>94</end>
      <status>ignored</status>
      <modifiedWord/>
      <trackRevisions>false</trackRevisions>
    </reviewItem>
    <reviewItem>
      <errorID>e87cfdd9-8d3c-48b7-bb71-27b01bea5254</errorID>
      <errorWord>（</errorWord>
      <group>L1_Punc</group>
      <groupName>标点问题</groupName>
      <ability>L2_Punc</ability>
      <abilityName>标点符号检查</abilityName>
      <candidateList/>
      <explain>同一形式括号套用。</explain>
      <paraID>44D43E08</paraID>
      <start>70</start>
      <end>71</end>
      <status>ignored</status>
      <modifiedWord/>
      <trackRevisions>false</trackRevisions>
    </reviewItem>
    <reviewItem>
      <errorID>bf2fbbe3-8113-4c64-ab27-e1936209e20b</errorID>
      <errorWord>）</errorWord>
      <group>L1_Punc</group>
      <groupName>标点问题</groupName>
      <ability>L2_Punc</ability>
      <abilityName>标点符号检查</abilityName>
      <candidateList/>
      <explain>同一形式括号套用。</explain>
      <paraID>44D43E08</paraID>
      <start>75</start>
      <end>76</end>
      <status>ignored</status>
      <modifiedWord/>
      <trackRevisions>false</trackRevisions>
    </reviewItem>
    <reviewItem>
      <errorID>f80c2703-197e-4d1d-bfa4-8bce1d106312</errorID>
      <errorWord>（</errorWord>
      <group>L1_Punc</group>
      <groupName>标点问题</groupName>
      <ability>L2_Punc</ability>
      <abilityName>标点符号检查</abilityName>
      <candidateList/>
      <explain>同一形式括号套用。</explain>
      <paraID>1D5CA255</paraID>
      <start>42</start>
      <end>43</end>
      <status>ignored</status>
      <modifiedWord/>
      <trackRevisions>false</trackRevisions>
    </reviewItem>
    <reviewItem>
      <errorID>f4c1c5ee-2bca-4ed7-af59-65c7bc138f25</errorID>
      <errorWord>）</errorWord>
      <group>L1_Punc</group>
      <groupName>标点问题</groupName>
      <ability>L2_Punc</ability>
      <abilityName>标点符号检查</abilityName>
      <candidateList/>
      <explain>同一形式括号套用。</explain>
      <paraID>1D5CA255</paraID>
      <start>47</start>
      <end>48</end>
      <status>ignored</status>
      <modifiedWord/>
      <trackRevisions>false</trackRevisions>
    </reviewItem>
    <reviewItem>
      <errorID>6c83af12-ab3a-4b44-8f61-e187550693b6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C91D11A</paraID>
      <start>0</start>
      <end>2</end>
      <status>ignored</status>
      <modifiedWord/>
      <trackRevisions>false</trackRevisions>
    </reviewItem>
    <reviewItem>
      <errorID>8355b123-d4bf-472a-ae8d-860d43fb87b4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470DA814</paraID>
      <start>0</start>
      <end>2</end>
      <status>ignored</status>
      <modifiedWord/>
      <trackRevisions>false</trackRevisions>
    </reviewItem>
    <reviewItem>
      <errorID>611bfa1f-ede1-4dd1-82fb-bbb422bb1ae9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4B07199A</paraID>
      <start>71</start>
      <end>74</end>
      <status>ignored</status>
      <modifiedWord/>
      <trackRevisions>false</trackRevisions>
    </reviewItem>
    <reviewItem>
      <errorID>c8a58b63-e0a1-41e6-acfb-00685827c871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4B07199A</paraID>
      <start>77</start>
      <end>80</end>
      <status>ignored</status>
      <modifiedWord/>
      <trackRevisions>false</trackRevisions>
    </reviewItem>
    <reviewItem>
      <errorID>3cb35434-6eb9-4bcd-952d-224eceea16b0</errorID>
      <errorWord>（</errorWord>
      <group>L1_Punc</group>
      <groupName>标点问题</groupName>
      <ability>L2_Punc</ability>
      <abilityName>标点符号检查</abilityName>
      <candidateList/>
      <explain>同一形式括号套用。</explain>
      <paraID>6AC7B687</paraID>
      <start>20</start>
      <end>21</end>
      <status>ignored</status>
      <modifiedWord/>
      <trackRevisions>false</trackRevisions>
    </reviewItem>
    <reviewItem>
      <errorID>4e01bad9-92f6-4736-b557-06803dd75dd2</errorID>
      <errorWord>）</errorWord>
      <group>L1_Punc</group>
      <groupName>标点问题</groupName>
      <ability>L2_Punc</ability>
      <abilityName>标点符号检查</abilityName>
      <candidateList/>
      <explain>同一形式括号套用。</explain>
      <paraID>6AC7B687</paraID>
      <start>23</start>
      <end>24</end>
      <status>ignored</status>
      <modifiedWord/>
      <trackRevisions>false</trackRevisions>
    </reviewItem>
    <reviewItem>
      <errorID>54c9d42b-1ee0-421d-98d0-4ba5a917ab9a</errorID>
      <errorWord>&lt;</errorWord>
      <group>L1_Format</group>
      <groupName>格式问题</groupName>
      <ability>L2_HalfPunc</ability>
      <abilityName>全半角检查</abilityName>
      <candidateList>
        <item>〈</item>
      </candidateList>
      <explain>文本全半角错误。</explain>
      <paraID>6AC7B687</paraID>
      <start>68</start>
      <end>69</end>
      <status>ignored</status>
      <modifiedWord/>
      <trackRevisions>false</trackRevisions>
    </reviewItem>
    <reviewItem>
      <errorID>56cfbd59-0eee-40e8-a4c8-dff46bc17669</errorID>
      <errorWord>&gt;</errorWord>
      <group>L1_Format</group>
      <groupName>格式问题</groupName>
      <ability>L2_HalfPunc</ability>
      <abilityName>全半角检查</abilityName>
      <candidateList>
        <item>〉</item>
      </candidateList>
      <explain>文本全半角错误。</explain>
      <paraID>6AC7B687</paraID>
      <start>97</start>
      <end>98</end>
      <status>ignored</status>
      <modifiedWord/>
      <trackRevisions>false</trackRevisions>
    </reviewItem>
    <reviewItem>
      <errorID>1bf5066c-76ea-4aa0-95ea-c32a681010de</errorID>
      <errorWord>&lt;</errorWord>
      <group>L1_Format</group>
      <groupName>格式问题</groupName>
      <ability>L2_HalfPunc</ability>
      <abilityName>全半角检查</abilityName>
      <candidateList>
        <item>〈</item>
      </candidateList>
      <explain>文本全半角错误。</explain>
      <paraID> 784251F</paraID>
      <start>67</start>
      <end>68</end>
      <status>ignored</status>
      <modifiedWord/>
      <trackRevisions>false</trackRevisions>
    </reviewItem>
    <reviewItem>
      <errorID>dadd301e-5baa-425f-b490-6bff3269a5a5</errorID>
      <errorWord>&gt;</errorWord>
      <group>L1_Format</group>
      <groupName>格式问题</groupName>
      <ability>L2_HalfPunc</ability>
      <abilityName>全半角检查</abilityName>
      <candidateList>
        <item>〉</item>
      </candidateList>
      <explain>文本全半角错误。</explain>
      <paraID> 784251F</paraID>
      <start>96</start>
      <end>97</end>
      <status>ignored</status>
      <modifiedWord/>
      <trackRevisions>false</trackRevisions>
    </reviewItem>
    <reviewItem>
      <errorID>5d5189cf-361c-4ef3-855a-b14b2834c407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7390BDBF</paraID>
      <start>0</start>
      <end>2</end>
      <status>ignored</status>
      <modifiedWord/>
      <trackRevisions>false</trackRevisions>
    </reviewItem>
    <reviewItem>
      <errorID>7dae4491-4350-456d-b3ae-ad9d01703719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10B2545B</paraID>
      <start>0</start>
      <end>2</end>
      <status>ignored</status>
      <modifiedWord/>
      <trackRevisions>false</trackRevisions>
    </reviewItem>
    <reviewItem>
      <errorID>406a61ba-a127-4157-96b9-80cfa1d248bd</errorID>
      <errorWord>&lt;</errorWord>
      <group>L1_Format</group>
      <groupName>格式问题</groupName>
      <ability>L2_HalfPunc</ability>
      <abilityName>全半角检查</abilityName>
      <candidateList>
        <item>〈</item>
      </candidateList>
      <explain>文本全半角错误。</explain>
      <paraID>27CAC47B</paraID>
      <start>5</start>
      <end>6</end>
      <status>ignored</status>
      <modifiedWord/>
      <trackRevisions>false</trackRevisions>
    </reviewItem>
    <reviewItem>
      <errorID>8a9aef52-f52d-4163-b45e-b0d8f061ed7d</errorID>
      <errorWord>&gt;</errorWord>
      <group>L1_Format</group>
      <groupName>格式问题</groupName>
      <ability>L2_HalfPunc</ability>
      <abilityName>全半角检查</abilityName>
      <candidateList>
        <item>〉</item>
      </candidateList>
      <explain>文本全半角错误。</explain>
      <paraID>27CAC47B</paraID>
      <start>34</start>
      <end>35</end>
      <status>ignored</status>
      <modifiedWord/>
      <trackRevisions>false</trackRevisions>
    </reviewItem>
    <reviewItem>
      <errorID>370e68bb-1420-4c9b-b9a1-40fa0fc76cb7</errorID>
      <errorWord>&lt;</errorWord>
      <group>L1_Format</group>
      <groupName>格式问题</groupName>
      <ability>L2_HalfPunc</ability>
      <abilityName>全半角检查</abilityName>
      <candidateList>
        <item>〈</item>
      </candidateList>
      <explain>文本全半角错误。</explain>
      <paraID>5DCE1CA6</paraID>
      <start>9</start>
      <end>10</end>
      <status>ignored</status>
      <modifiedWord/>
      <trackRevisions>false</trackRevisions>
    </reviewItem>
    <reviewItem>
      <errorID>4740c99c-682a-46b4-8763-d097332ca29e</errorID>
      <errorWord>&gt;的通知》</errorWord>
      <group>L1_Punc</group>
      <groupName>标点问题</groupName>
      <ability>L2_Punc</ability>
      <abilityName>标点符号检查</abilityName>
      <candidateList>
        <item>〉的通知》</item>
      </candidateList>
      <explain/>
      <paraID>5DCE1CA6</paraID>
      <start>32</start>
      <end>37</end>
      <status>ignored</status>
      <modifiedWord/>
      <trackRevisions>false</trackRevisions>
    </reviewItem>
    <reviewItem>
      <errorID>e6d88ac4-cc99-495f-8415-43d720a8edb9</errorID>
      <errorWord>&lt;</errorWord>
      <group>L1_Format</group>
      <groupName>格式问题</groupName>
      <ability>L2_HalfPunc</ability>
      <abilityName>全半角检查</abilityName>
      <candidateList>
        <item>〈</item>
      </candidateList>
      <explain>文本全半角错误。</explain>
      <paraID>25D93D34</paraID>
      <start>9</start>
      <end>10</end>
      <status>ignored</status>
      <modifiedWord/>
      <trackRevisions>false</trackRevisions>
    </reviewItem>
    <reviewItem>
      <errorID>c1d78e85-9546-4d4a-b1c3-4c4ddcb26fba</errorID>
      <errorWord>&gt;的通知》</errorWord>
      <group>L1_Punc</group>
      <groupName>标点问题</groupName>
      <ability>L2_Punc</ability>
      <abilityName>标点符号检查</abilityName>
      <candidateList>
        <item>〉的通知》</item>
      </candidateList>
      <explain/>
      <paraID>25D93D34</paraID>
      <start>22</start>
      <end>27</end>
      <status>ignored</status>
      <modifiedWord/>
      <trackRevisions>false</trackRevisions>
    </reviewItem>
    <reviewItem>
      <errorID>5718c615-0fe3-4d6e-810e-bdd7cc66f03a</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1E4F93F8</paraID>
      <start>33</start>
      <end>40</end>
      <status>ignored</status>
      <modifiedWord/>
      <trackRevisions>false</trackRevisions>
    </reviewItem>
    <reviewItem>
      <errorID>460d20e9-c12a-4b1e-8121-bef96ebf1962</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6DEC628A</paraID>
      <start>5</start>
      <end>12</end>
      <status>ignored</status>
      <modifiedWord/>
      <trackRevisions>false</trackRevisions>
    </reviewItem>
    <reviewItem>
      <errorID>75c83540-cc52-415b-82bd-a7fea1661760</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6DEC628A</paraID>
      <start>30</start>
      <end>37</end>
      <status>ignored</status>
      <modifiedWord/>
      <trackRevisions>false</trackRevisions>
    </reviewItem>
    <reviewItem>
      <errorID>d5769252-d45b-46f8-8654-b17a14e6df4d</errorID>
      <errorWord>&lt;</errorWord>
      <group>L1_Format</group>
      <groupName>格式问题</groupName>
      <ability>L2_HalfPunc</ability>
      <abilityName>全半角检查</abilityName>
      <candidateList>
        <item>〈</item>
      </candidateList>
      <explain>文本全半角错误。</explain>
      <paraID>6818EBB0</paraID>
      <start>10</start>
      <end>11</end>
      <status>ignored</status>
      <modifiedWord/>
      <trackRevisions>false</trackRevisions>
    </reviewItem>
    <reviewItem>
      <errorID>04f13076-8717-4157-ad28-f2dd6c6b562d</errorID>
      <errorWord>&gt;</errorWord>
      <group>L1_Format</group>
      <groupName>格式问题</groupName>
      <ability>L2_HalfPunc</ability>
      <abilityName>全半角检查</abilityName>
      <candidateList>
        <item>〉</item>
      </candidateList>
      <explain>文本全半角错误。</explain>
      <paraID>6818EBB0</paraID>
      <start>51</start>
      <end>52</end>
      <status>ignored</status>
      <modifiedWord/>
      <trackRevisions>false</trackRevisions>
    </reviewItem>
    <reviewItem>
      <errorID>bbcbf0e1-3129-4b8a-b189-44cabaee5504</errorID>
      <errorWord>地方法规</errorWord>
      <group>L1_Political</group>
      <groupName>政治性问题</groupName>
      <ability>L2_Unpolitical</ability>
      <abilityName>政治敏感错误</abilityName>
      <candidateList>
        <item>地方性法规</item>
      </candidateList>
      <explain/>
      <paraID>40932F0D</paraID>
      <start>0</start>
      <end>4</end>
      <status>ignored</status>
      <modifiedWord/>
      <trackRevisions>false</trackRevisions>
    </reviewItem>
    <reviewItem>
      <errorID>b6b6ad5c-db5a-4f98-9ebf-c6aabacdfd13</errorID>
      <errorWord>四川省环境保护条例</errorWord>
      <group>L1_Knowledge</group>
      <groupName>知识性问题</groupName>
      <ability>L2_Knowledge</ability>
      <abilityName>其他知识</abilityName>
      <candidateList/>
      <explain>该法规已废止，请注意检查引用是否正确。</explain>
      <paraID> DF3E12C</paraID>
      <start>4</start>
      <end>13</end>
      <status>ignored</status>
      <modifiedWord/>
      <trackRevisions>false</trackRevisions>
    </reviewItem>
    <reviewItem>
      <errorID>cc411364-319b-4224-a14d-00a511391f0b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3A53E4F9</paraID>
      <start>21</start>
      <end>22</end>
      <status>ignored</status>
      <modifiedWord/>
      <trackRevisions>false</trackRevisions>
    </reviewItem>
    <reviewItem>
      <errorID>7f1673a4-1ced-4fad-a2ac-5b4a371e9864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53F5F938</paraID>
      <start>24</start>
      <end>25</end>
      <status>ignored</status>
      <modifiedWord/>
      <trackRevisions>false</trackRevisions>
    </reviewItem>
    <reviewItem>
      <errorID>911c9609-8074-4bf9-8a0c-84862a03a7e0</errorID>
      <errorWord>&lt;</errorWord>
      <group>L1_Format</group>
      <groupName>格式问题</groupName>
      <ability>L2_HalfPunc</ability>
      <abilityName>全半角检查</abilityName>
      <candidateList>
        <item>〈</item>
      </candidateList>
      <explain>文本全半角错误。</explain>
      <paraID>4906247C</paraID>
      <start>9</start>
      <end>10</end>
      <status>ignored</status>
      <modifiedWord/>
      <trackRevisions>false</trackRevisions>
    </reviewItem>
    <reviewItem>
      <errorID>389bcd54-a323-470a-8288-677346f0a126</errorID>
      <errorWord>&gt;的通知》</errorWord>
      <group>L1_Punc</group>
      <groupName>标点问题</groupName>
      <ability>L2_Punc</ability>
      <abilityName>标点符号检查</abilityName>
      <candidateList>
        <item>〉的通知》</item>
      </candidateList>
      <explain/>
      <paraID>4906247C</paraID>
      <start>36</start>
      <end>41</end>
      <status>ignored</status>
      <modifiedWord/>
      <trackRevisions>false</trackRevisions>
    </reviewItem>
    <reviewItem>
      <errorID>406a61ba-a127-4157-96b9-80cfa1d248bd</errorID>
      <errorWord>&lt;</errorWord>
      <group>L1_Format</group>
      <groupName>格式问题</groupName>
      <ability>L2_HalfPunc</ability>
      <abilityName>全半角检查</abilityName>
      <candidateList>
        <item>〈</item>
      </candidateList>
      <explain>文本全半角错误。</explain>
      <paraID>2A1E0B48</paraID>
      <start>5</start>
      <end>6</end>
      <status>ignored</status>
      <modifiedWord/>
      <trackRevisions>false</trackRevisions>
    </reviewItem>
    <reviewItem>
      <errorID>8a9aef52-f52d-4163-b45e-b0d8f061ed7d</errorID>
      <errorWord>&gt;</errorWord>
      <group>L1_Format</group>
      <groupName>格式问题</groupName>
      <ability>L2_HalfPunc</ability>
      <abilityName>全半角检查</abilityName>
      <candidateList>
        <item>〉</item>
      </candidateList>
      <explain>文本全半角错误。</explain>
      <paraID>2A1E0B48</paraID>
      <start>34</start>
      <end>35</end>
      <status>ignored</status>
      <modifiedWord/>
      <trackRevisions>false</trackRevisions>
    </reviewItem>
    <reviewItem>
      <errorID>911ee929-6b01-4a1e-b2d7-98a6af3cf3d4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E85485C</paraID>
      <start>111</start>
      <end>114</end>
      <status>ignored</status>
      <modifiedWord/>
      <trackRevisions>false</trackRevisions>
    </reviewItem>
    <reviewItem>
      <errorID>1cbb6f9a-5615-45d0-922b-2a9bf5295621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E85485C</paraID>
      <start>117</start>
      <end>120</end>
      <status>ignored</status>
      <modifiedWord/>
      <trackRevisions>false</trackRevisions>
    </reviewItem>
    <reviewItem>
      <errorID>ef682f9f-5da5-400e-adfc-d956103fa617</errorID>
      <errorWord>胜</errorWord>
      <group>L1_Word</group>
      <groupName>字词问题</groupName>
      <ability>L2_Typo</ability>
      <abilityName>字词错误</abilityName>
      <candidateList>
        <item>胜区</item>
      </candidateList>
      <explain/>
      <paraID>7F35DF74</paraID>
      <start>69</start>
      <end>70</end>
      <status>ignored</status>
      <modifiedWord/>
      <trackRevisions>false</trackRevisions>
    </reviewItem>
    <reviewItem>
      <errorID>f391a4f5-70b6-45bd-8f8a-26f238522da9</errorID>
      <errorWord>&lt;</errorWord>
      <group>L1_Format</group>
      <groupName>格式问题</groupName>
      <ability>L2_HalfPunc</ability>
      <abilityName>全半角检查</abilityName>
      <candidateList>
        <item>〈</item>
      </candidateList>
      <explain>文本全半角错误。</explain>
      <paraID> 7ABD5A8</paraID>
      <start>7</start>
      <end>8</end>
      <status>ignored</status>
      <modifiedWord/>
      <trackRevisions>false</trackRevisions>
    </reviewItem>
    <reviewItem>
      <errorID>2711fe3d-1717-462d-a64b-0c88286e8969</errorID>
      <errorWord>&gt;的通知》</errorWord>
      <group>L1_Punc</group>
      <groupName>标点问题</groupName>
      <ability>L2_Punc</ability>
      <abilityName>标点符号检查</abilityName>
      <candidateList>
        <item>〉的通知》</item>
      </candidateList>
      <explain/>
      <paraID> 7ABD5A8</paraID>
      <start>25</start>
      <end>30</end>
      <status>ignored</status>
      <modifiedWord/>
      <trackRevisions>false</trackRevisions>
    </reviewItem>
    <reviewItem>
      <errorID>852fab53-e2ca-4fb6-b652-d99b2682184e</errorID>
      <errorWord>自然保护区的</errorWord>
      <group>L1_Word</group>
      <groupName>字词问题</groupName>
      <ability>L2_Typo</ability>
      <abilityName>字词错误</abilityName>
      <candidateList>
        <item>自然保护区</item>
      </candidateList>
      <explain/>
      <paraID>7FDD655C</paraID>
      <start>42</start>
      <end>48</end>
      <status>ignored</status>
      <modifiedWord/>
      <trackRevisions>false</trackRevisions>
    </reviewItem>
    <reviewItem>
      <errorID>dc37e069-2ee7-4bd7-a57d-5bae67409731</errorID>
      <errorWord>胜</errorWord>
      <group>L1_Word</group>
      <groupName>字词问题</groupName>
      <ability>L2_Typo</ability>
      <abilityName>字词错误</abilityName>
      <candidateList>
        <item>胜区</item>
      </candidateList>
      <explain/>
      <paraID>6838B9D2</paraID>
      <start>75</start>
      <end>76</end>
      <status>ignored</status>
      <modifiedWord/>
      <trackRevisions>false</trackRevisions>
    </reviewItem>
    <reviewItem>
      <errorID>74f42a09-b3fe-42e4-9df6-7403c107f6d6</errorID>
      <errorWord>水源准</errorWord>
      <group>L1_Word</group>
      <groupName>字词问题</groupName>
      <ability>L2_Typo</ability>
      <abilityName>字词错误</abilityName>
      <candidateList>
        <item>水源</item>
      </candidateList>
      <explain/>
      <paraID>  98820D</paraID>
      <start>10</start>
      <end>13</end>
      <status>ignored</status>
      <modifiedWord/>
      <trackRevisions>false</trackRevisions>
    </reviewItem>
    <reviewItem>
      <errorID>41ba7b8d-adfd-4fd2-a2c8-918344b23c78</errorID>
      <errorWord>；</errorWord>
      <group>L1_Word</group>
      <groupName>字词问题</groupName>
      <ability>L2_Typo</ability>
      <abilityName>字词错误</abilityName>
      <candidateList>
        <item>；对</item>
      </candidateList>
      <explain/>
      <paraID> 58F6182</paraID>
      <start>58</start>
      <end>59</end>
      <status>ignored</status>
      <modifiedWord/>
      <trackRevisions>false</trackRevisions>
    </reviewItem>
    <reviewItem>
      <errorID>6ef11c63-277e-4b01-ad0e-3884ab03e4d7</errorID>
      <errorWord>《产业结构调整指导目录》（2024年本）</errorWord>
      <group>L1_Knowledge</group>
      <groupName>知识性问题</groupName>
      <ability>L2_Knowledge</ability>
      <abilityName>其他知识</abilityName>
      <candidateList>
        <item>《产业结构调整指导目录（2024年本）》</item>
      </candidateList>
      <explain>疑似政策文件、法律法规名称等书写不规范，请注意检查。</explain>
      <paraID>689C60FC</paraID>
      <start>30</start>
      <end>50</end>
      <status>ignored</status>
      <modifiedWord/>
      <trackRevisions>false</trackRevisions>
    </reviewItem>
    <reviewItem>
      <errorID>d0d23309-2593-42fd-860c-cd2186397dda</errorID>
      <errorWord>&lt;</errorWord>
      <group>L1_Format</group>
      <groupName>格式问题</groupName>
      <ability>L2_HalfPunc</ability>
      <abilityName>全半角检查</abilityName>
      <candidateList>
        <item>〈</item>
      </candidateList>
      <explain>文本全半角错误。</explain>
      <paraID>207F3FD2</paraID>
      <start>7</start>
      <end>8</end>
      <status>ignored</status>
      <modifiedWord/>
      <trackRevisions>false</trackRevisions>
    </reviewItem>
    <reviewItem>
      <errorID>4cc9f26a-c143-40f4-85ff-9e7ba479987e</errorID>
      <errorWord>&gt;的通知》</errorWord>
      <group>L1_Punc</group>
      <groupName>标点问题</groupName>
      <ability>L2_Punc</ability>
      <abilityName>标点符号检查</abilityName>
      <candidateList>
        <item>〉的通知》</item>
      </candidateList>
      <explain/>
      <paraID>207F3FD2</paraID>
      <start>25</start>
      <end>30</end>
      <status>ignored</status>
      <modifiedWord/>
      <trackRevisions>false</trackRevisions>
    </reviewItem>
    <reviewItem>
      <errorID>c4fffc06-a697-423b-b879-db32f30a2e80</errorID>
      <errorWord>达</errorWord>
      <group>L1_Word</group>
      <groupName>字词问题</groupName>
      <ability>L2_Typo</ability>
      <abilityName>字词错误</abilityName>
      <candidateList>
        <item>达到</item>
      </candidateList>
      <explain>〈动〉到（多指抽象事物或程度）：达得到｜达不到｜目的没有～｜～国际水平。</explain>
      <paraID>63A8ECF4</paraID>
      <start>149</start>
      <end>150</end>
      <status>ignored</status>
      <modifiedWord/>
      <trackRevisions>false</trackRevisions>
    </reviewItem>
    <reviewItem>
      <errorID>e98f49f6-268c-41b4-ad1d-3d99983d2a19</errorID>
      <errorWord>&lt;</errorWord>
      <group>L1_Format</group>
      <groupName>格式问题</groupName>
      <ability>L2_HalfPunc</ability>
      <abilityName>全半角检查</abilityName>
      <candidateList>
        <item>〈</item>
      </candidateList>
      <explain>文本全半角错误。</explain>
      <paraID>63187D5D</paraID>
      <start>6</start>
      <end>7</end>
      <status>ignored</status>
      <modifiedWord/>
      <trackRevisions>false</trackRevisions>
    </reviewItem>
    <reviewItem>
      <errorID>ca38f853-f4bc-4b1e-acad-f49c76b2d540</errorID>
      <errorWord>&gt;</errorWord>
      <group>L1_Format</group>
      <groupName>格式问题</groupName>
      <ability>L2_HalfPunc</ability>
      <abilityName>全半角检查</abilityName>
      <candidateList>
        <item>〉</item>
      </candidateList>
      <explain>文本全半角错误。</explain>
      <paraID>63187D5D</paraID>
      <start>47</start>
      <end>48</end>
      <status>ignored</status>
      <modifiedWord/>
      <trackRevisions>false</trackRevisions>
    </reviewItem>
    <reviewItem>
      <errorID>f029e3a8-da58-40f4-803a-bae89f7e3018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713FA57C</paraID>
      <start>18</start>
      <end>19</end>
      <status>ignored</status>
      <modifiedWord/>
      <trackRevisions>false</trackRevisions>
    </reviewItem>
    <reviewItem>
      <errorID>b3ea0871-c678-434b-849d-c694df2a791a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77D6D1D1</paraID>
      <start>21</start>
      <end>22</end>
      <status>ignored</status>
      <modifiedWord/>
      <trackRevisions>false</trackRevisions>
    </reviewItem>
    <reviewItem>
      <errorID>a0ce13ad-61d4-43c7-bea3-5dfd418db4fb</errorID>
      <errorWord>&lt;</errorWord>
      <group>L1_Format</group>
      <groupName>格式问题</groupName>
      <ability>L2_HalfPunc</ability>
      <abilityName>全半角检查</abilityName>
      <candidateList>
        <item>〈</item>
      </candidateList>
      <explain>文本全半角错误。</explain>
      <paraID>5568DF85</paraID>
      <start>5</start>
      <end>6</end>
      <status>ignored</status>
      <modifiedWord/>
      <trackRevisions>false</trackRevisions>
    </reviewItem>
    <reviewItem>
      <errorID>7063f691-6bb1-4c93-ba3f-8d8379edcca1</errorID>
      <errorWord>&gt;的通知》</errorWord>
      <group>L1_Punc</group>
      <groupName>标点问题</groupName>
      <ability>L2_Punc</ability>
      <abilityName>标点符号检查</abilityName>
      <candidateList>
        <item>〉的通知》</item>
      </candidateList>
      <explain/>
      <paraID>5568DF85</paraID>
      <start>32</start>
      <end>37</end>
      <status>ignored</status>
      <modifiedWord/>
      <trackRevisions>false</trackRevisions>
    </reviewItem>
    <reviewItem>
      <errorID>9ae4dead-251b-4b24-a377-2440d87ba00b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21B110BD</paraID>
      <start>16</start>
      <end>17</end>
      <status>ignored</status>
      <modifiedWord/>
      <trackRevisions>false</trackRevisions>
    </reviewItem>
    <reviewItem>
      <errorID>189d5d70-62d6-44bb-87b0-a574b89f6141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6D1B4331</paraID>
      <start>16</start>
      <end>17</end>
      <status>ignored</status>
      <modifiedWord/>
      <trackRevisions>false</trackRevisions>
    </reviewItem>
    <reviewItem>
      <errorID>79406da5-b3b1-4488-9cbb-7a7b71a42c29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7EA5E418</paraID>
      <start>16</start>
      <end>17</end>
      <status>ignored</status>
      <modifiedWord/>
      <trackRevisions>false</trackRevisions>
    </reviewItem>
    <reviewItem>
      <errorID>18de998c-ad79-4a5f-8b20-dad818c207fe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70E6A637</paraID>
      <start>38</start>
      <end>39</end>
      <status>ignored</status>
      <modifiedWord/>
      <trackRevisions>false</trackRevisions>
    </reviewItem>
    <reviewItem>
      <errorID>d4b6a58b-f498-4774-8da2-3ae5438061b5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6EFD102D</paraID>
      <start>67</start>
      <end>68</end>
      <status>ignored</status>
      <modifiedWord/>
      <trackRevisions>false</trackRevisions>
    </reviewItem>
    <reviewItem>
      <errorID>49c9b97b-7353-4031-87f7-b4acd4f7782c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B3E5FC7</paraID>
      <start>25</start>
      <end>26</end>
      <status>ignored</status>
      <modifiedWord/>
      <trackRevisions>false</trackRevisions>
    </reviewItem>
    <reviewItem>
      <errorID>c9266954-da98-42e6-9781-e1060d4ec3e4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4D02F2A2</paraID>
      <start>71</start>
      <end>72</end>
      <status>ignored</status>
      <modifiedWord/>
      <trackRevisions>false</trackRevisions>
    </reviewItem>
    <reviewItem>
      <errorID>76bfcd45-64b6-4e4a-b872-62eff46fae2d</errorID>
      <errorWord>引进消化吸收再创新</errorWord>
      <group>L1_Word</group>
      <groupName>字词问题</groupName>
      <ability>L2_Typo</ability>
      <abilityName>字词错误</abilityName>
      <candidateList>
        <item>二次创新</item>
      </candidateList>
      <explain/>
      <paraID>671AC044</paraID>
      <start>36</start>
      <end>45</end>
      <status>ignored</status>
      <modifiedWord/>
      <trackRevisions>false</trackRevisions>
    </reviewItem>
    <reviewItem>
      <errorID>1b541a07-d48c-4c05-938f-d8746a71365c</errorID>
      <errorWord>&lt;</errorWord>
      <group>L1_Format</group>
      <groupName>格式问题</groupName>
      <ability>L2_HalfPunc</ability>
      <abilityName>全半角检查</abilityName>
      <candidateList>
        <item>〈</item>
      </candidateList>
      <explain>文本全半角错误。</explain>
      <paraID> E787847</paraID>
      <start>102</start>
      <end>103</end>
      <status>ignored</status>
      <modifiedWord/>
      <trackRevisions>false</trackRevisions>
    </reviewItem>
    <reviewItem>
      <errorID>49802779-dbee-4cfc-94c5-39a47ef23927</errorID>
      <errorWord>&gt;的通知》</errorWord>
      <group>L1_Punc</group>
      <groupName>标点问题</groupName>
      <ability>L2_Punc</ability>
      <abilityName>标点符号检查</abilityName>
      <candidateList>
        <item>〉的通知》</item>
      </candidateList>
      <explain/>
      <paraID> E787847</paraID>
      <start>129</start>
      <end>134</end>
      <status>ignored</status>
      <modifiedWord/>
      <trackRevisions>false</trackRevisions>
    </reviewItem>
    <reviewItem>
      <errorID>3e91a130-7b05-4421-870e-c7cd8e05d029</errorID>
      <errorWord>&lt;</errorWord>
      <group>L1_Format</group>
      <groupName>格式问题</groupName>
      <ability>L2_HalfPunc</ability>
      <abilityName>全半角检查</abilityName>
      <candidateList>
        <item>〈</item>
      </candidateList>
      <explain>文本全半角错误。</explain>
      <paraID>3B4DEAC7</paraID>
      <start>55</start>
      <end>56</end>
      <status>ignored</status>
      <modifiedWord/>
      <trackRevisions>false</trackRevisions>
    </reviewItem>
    <reviewItem>
      <errorID>1457c53f-a22e-4288-9aa4-d76c54764c6f</errorID>
      <errorWord>&gt;的通知》</errorWord>
      <group>L1_Punc</group>
      <groupName>标点问题</groupName>
      <ability>L2_Punc</ability>
      <abilityName>标点符号检查</abilityName>
      <candidateList>
        <item>〉的通知》</item>
      </candidateList>
      <explain/>
      <paraID>3B4DEAC7</paraID>
      <start>82</start>
      <end>87</end>
      <status>ignored</status>
      <modifiedWord/>
      <trackRevisions>false</trackRevisions>
    </reviewItem>
    <reviewItem>
      <errorID>71fb306f-2447-4f06-b0f8-395822d637ea</errorID>
      <errorWord>&lt;</errorWord>
      <group>L1_Format</group>
      <groupName>格式问题</groupName>
      <ability>L2_HalfPunc</ability>
      <abilityName>全半角检查</abilityName>
      <candidateList>
        <item>〈</item>
      </candidateList>
      <explain>文本全半角错误。</explain>
      <paraID>5D7B1EEA</paraID>
      <start>29</start>
      <end>30</end>
      <status>ignored</status>
      <modifiedWord/>
      <trackRevisions>false</trackRevisions>
    </reviewItem>
    <reviewItem>
      <errorID>4b5c83ca-31ce-452a-9c6f-98d33590e23c</errorID>
      <errorWord>&gt;</errorWord>
      <group>L1_Format</group>
      <groupName>格式问题</groupName>
      <ability>L2_HalfPunc</ability>
      <abilityName>全半角检查</abilityName>
      <candidateList>
        <item>〉</item>
      </candidateList>
      <explain>文本全半角错误。</explain>
      <paraID>5D7B1EEA</paraID>
      <start>70</start>
      <end>71</end>
      <status>ignored</status>
      <modifiedWord/>
      <trackRevisions>false</trackRevisions>
    </reviewItem>
    <reviewItem>
      <errorID>14da29b6-fccb-4327-8646-e85fff9b79b2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5D7B1EEA</paraID>
      <start>97</start>
      <end>98</end>
      <status>ignored</status>
      <modifiedWord/>
      <trackRevisions>false</trackRevisions>
    </reviewItem>
    <reviewItem>
      <errorID>a2eda5d8-5d54-4d24-a4f7-8fbe4d59c3dc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5D7B1EEA</paraID>
      <start>126</start>
      <end>127</end>
      <status>ignored</status>
      <modifiedWord/>
      <trackRevisions>false</trackRevisions>
    </reviewItem>
    <reviewItem>
      <errorID>9a8afee3-782b-41a2-993b-3134688338da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5D7B1EEA</paraID>
      <start>151</start>
      <end>154</end>
      <status>ignored</status>
      <modifiedWord/>
      <trackRevisions>false</trackRevisions>
    </reviewItem>
    <reviewItem>
      <errorID>42bcfaa4-712d-4c3f-a7dc-796c8560d94e</errorID>
      <errorWord>&lt;</errorWord>
      <group>L1_Format</group>
      <groupName>格式问题</groupName>
      <ability>L2_HalfPunc</ability>
      <abilityName>全半角检查</abilityName>
      <candidateList>
        <item>〈</item>
      </candidateList>
      <explain>文本全半角错误。</explain>
      <paraID>5D7B1EEA</paraID>
      <start>158</start>
      <end>159</end>
      <status>ignored</status>
      <modifiedWord/>
      <trackRevisions>false</trackRevisions>
    </reviewItem>
    <reviewItem>
      <errorID>f92a29f0-ffbd-430e-8cb2-3386b1ef09d5</errorID>
      <errorWord>&gt;的通知》</errorWord>
      <group>L1_Punc</group>
      <groupName>标点问题</groupName>
      <ability>L2_Punc</ability>
      <abilityName>标点符号检查</abilityName>
      <candidateList>
        <item>〉的通知》</item>
      </candidateList>
      <explain/>
      <paraID>5D7B1EEA</paraID>
      <start>185</start>
      <end>190</end>
      <status>ignored</status>
      <modifiedWord/>
      <trackRevisions>false</trackRevisions>
    </reviewItem>
    <reviewItem>
      <errorID>2437a888-c4bf-4f84-82ae-cd8d89e8e945</errorID>
      <errorWord>,</errorWord>
      <group>L1_Format</group>
      <groupName>格式问题</groupName>
      <ability>L2_HalfPunc</ability>
      <abilityName>全半角检查</abilityName>
      <candidateList>
        <item>，</item>
      </candidateList>
      <explain>文本全半角错误。</explain>
      <paraID>72885877</paraID>
      <start>10</start>
      <end>11</end>
      <status>modified</status>
      <modifiedWord>，</modifiedWord>
      <trackRevisions>false</trackRevisions>
    </reviewItem>
    <reviewItem>
      <errorID>32f445c1-524f-4bb6-b5cf-64d5f21f5ca3</errorID>
      <errorWord>,</errorWord>
      <group>L1_Format</group>
      <groupName>格式问题</groupName>
      <ability>L2_HalfPunc</ability>
      <abilityName>全半角检查</abilityName>
      <candidateList>
        <item>，</item>
      </candidateList>
      <explain>文本全半角错误。</explain>
      <paraID> A7F0A27</paraID>
      <start>59</start>
      <end>60</end>
      <status>modified</status>
      <modifiedWord>，</modifiedWord>
      <trackRevisions>false</trackRevisions>
    </reviewItem>
    <reviewItem>
      <errorID>c9b25ce8-cdf2-4993-a5b1-4d88bc4d594f</errorID>
      <errorWord>,</errorWord>
      <group>L1_Format</group>
      <groupName>格式问题</groupName>
      <ability>L2_HalfPunc</ability>
      <abilityName>全半角检查</abilityName>
      <candidateList>
        <item>，</item>
      </candidateList>
      <explain>文本全半角错误。</explain>
      <paraID> A7F0A27</paraID>
      <start>105</start>
      <end>106</end>
      <status>modified</status>
      <modifiedWord>，</modifiedWord>
      <trackRevisions>false</trackRevisions>
    </reviewItem>
    <reviewItem>
      <errorID>686f8041-e9e9-49ed-8f24-8a5106584683</errorID>
      <errorWord>,</errorWord>
      <group>L1_Format</group>
      <groupName>格式问题</groupName>
      <ability>L2_HalfPunc</ability>
      <abilityName>全半角检查</abilityName>
      <candidateList>
        <item>，</item>
      </candidateList>
      <explain>文本全半角错误。</explain>
      <paraID> A7F0A27</paraID>
      <start>154</start>
      <end>155</end>
      <status>modified</status>
      <modifiedWord>，</modifiedWord>
      <trackRevisions>false</trackRevisions>
    </reviewItem>
    <reviewItem>
      <errorID>7816a431-06c9-45ff-a68d-45c3c1cfc812</errorID>
      <errorWord>,</errorWord>
      <group>L1_Format</group>
      <groupName>格式问题</groupName>
      <ability>L2_HalfPunc</ability>
      <abilityName>全半角检查</abilityName>
      <candidateList>
        <item>，</item>
      </candidateList>
      <explain>文本全半角错误。</explain>
      <paraID> A7F0A27</paraID>
      <start>285</start>
      <end>286</end>
      <status>modified</status>
      <modifiedWord>，</modifiedWord>
      <trackRevisions>false</trackRevisions>
    </reviewItem>
    <reviewItem>
      <errorID>ba279b2f-0693-499c-9e51-a0d23b11b3ba</errorID>
      <errorWord>,</errorWord>
      <group>L1_Format</group>
      <groupName>格式问题</groupName>
      <ability>L2_HalfPunc</ability>
      <abilityName>全半角检查</abilityName>
      <candidateList>
        <item>，</item>
      </candidateList>
      <explain>文本全半角错误。</explain>
      <paraID> A7F0A27</paraID>
      <start>300</start>
      <end>301</end>
      <status>modified</status>
      <modifiedWord>，</modifiedWord>
      <trackRevisions>false</trackRevisions>
    </reviewItem>
    <reviewItem>
      <errorID>e1b2d20a-59fe-4d28-a9b3-f9e3812ef110</errorID>
      <errorWord>,</errorWord>
      <group>L1_Format</group>
      <groupName>格式问题</groupName>
      <ability>L2_HalfPunc</ability>
      <abilityName>全半角检查</abilityName>
      <candidateList>
        <item>，</item>
      </candidateList>
      <explain>文本全半角错误。</explain>
      <paraID> A7F0A27</paraID>
      <start>325</start>
      <end>326</end>
      <status>modified</status>
      <modifiedWord>，</modifiedWord>
      <trackRevisions>false</trackRevisions>
    </reviewItem>
    <reviewItem>
      <errorID>99a87d84-e743-4a1d-be28-906ef6d2a98d</errorID>
      <errorWord>鼓励由</errorWord>
      <group>L1_Word</group>
      <groupName>字词问题</groupName>
      <ability>L2_Typo</ability>
      <abilityName>字词错误</abilityName>
      <candidateList>
        <item>鼓励</item>
      </candidateList>
      <explain/>
      <paraID>35296021</paraID>
      <start>151</start>
      <end>154</end>
      <status>ignored</status>
      <modifiedWord/>
      <trackRevisions>false</trackRevisions>
    </reviewItem>
    <reviewItem>
      <errorID>cd934256-38d0-44f3-a263-7e3875175828</errorID>
      <errorWord>管理台帐</errorWord>
      <group>L1_Word</group>
      <groupName>字词问题</groupName>
      <ability>L2_Alias</ability>
      <abilityName>也作/曾用词</abilityName>
      <candidateList>
        <item>管理台账</item>
      </candidateList>
      <explain>词汇[管理台帐]为不规范表述或旧称，其规范书面表述为[管理台账]。</explain>
      <paraID>4994CBE4</paraID>
      <start>37</start>
      <end>41</end>
      <status>modified</status>
      <modifiedWord>管理台账</modifiedWord>
      <trackRevisions>false</trackRevisions>
    </reviewItem>
    <reviewItem>
      <errorID>27a71ae3-9acf-47ed-b920-5757323d66f9</errorID>
      <errorWord>成份</errorWord>
      <group>L1_Knowledge</group>
      <groupName>知识性问题</groupName>
      <ability>L2_Knowledge</ability>
      <abilityName>其他知识</abilityName>
      <candidateList>
        <item>成分</item>
      </candidateList>
      <explain>（成份）chénɡ•fèn〈名〉❶指构成事物的各种不同的物质或因素：化学～｜营养～｜减轻了心里不安的～。❷指个人早先的主要经历或职业：工人～｜他的个人～是学生。</explain>
      <paraID>4994CBE4</paraID>
      <start>199</start>
      <end>201</end>
      <status>ignored</status>
      <modifiedWord/>
      <trackRevisions>false</trackRevisions>
    </reviewItem>
    <reviewItem>
      <errorID>65f1d3bc-29af-45bd-9a84-b7a1c95b9005</errorID>
      <errorWord>污水厂</errorWord>
      <group>L1_Word</group>
      <groupName>字词问题</groupName>
      <ability>L2_Typo</ability>
      <abilityName>字词错误</abilityName>
      <candidateList>
        <item>污水处理厂</item>
      </candidateList>
      <explain/>
      <paraID>4994CBE4</paraID>
      <start>316</start>
      <end>319</end>
      <status>ignored</status>
      <modifiedWord/>
      <trackRevisions>false</trackRevisions>
    </reviewItem>
    <reviewItem>
      <errorID>e1055d60-aa53-49c2-90ef-e0651d48a43b</errorID>
      <errorWord>交有</errorWord>
      <group>L1_Word</group>
      <groupName>字词问题</groupName>
      <ability>L2_Typo</ability>
      <abilityName>字词错误</abilityName>
      <candidateList>
        <item>交由</item>
      </candidateList>
      <explain>存在发音相同字词的误用。</explain>
      <paraID>61EC986C</paraID>
      <start>46</start>
      <end>48</end>
      <status>ignored</status>
      <modifiedWord/>
      <trackRevisions>false</trackRevisions>
    </reviewItem>
    <reviewItem>
      <errorID>5bdfc31d-9659-428a-a2f5-719f937ddda8</errorID>
      <errorWord>。....</errorWord>
      <group>L1_Punc</group>
      <groupName>标点问题</groupName>
      <ability>L2_Punc</ability>
      <abilityName>标点符号检查</abilityName>
      <candidateList>
        <item>。</item>
      </candidateList>
      <explain/>
      <paraID>167861D3</paraID>
      <start>131</start>
      <end>136</end>
      <status>ignored</status>
      <modifiedWord/>
      <trackRevisions>false</trackRevisions>
    </reviewItem>
    <reviewItem>
      <errorID>f95e26b2-d703-42e5-bcb2-1f42bed08f39</errorID>
      <errorWord>达</errorWord>
      <group>L1_Word</group>
      <groupName>字词问题</groupName>
      <ability>L2_Typo</ability>
      <abilityName>字词错误</abilityName>
      <candidateList>
        <item>达到</item>
      </candidateList>
      <explain>〈动〉到（多指抽象事物或程度）：达得到｜达不到｜目的没有～｜～国际水平。</explain>
      <paraID>4D7C3002</paraID>
      <start>148</start>
      <end>149</end>
      <status>ignored</status>
      <modifiedWord/>
      <trackRevisions>false</trackRevisions>
    </reviewItem>
    <reviewItem>
      <errorID>5bd569c3-770f-4cd9-b835-80d7047e71b5</errorID>
      <errorWord>胜</errorWord>
      <group>L1_Word</group>
      <groupName>字词问题</groupName>
      <ability>L2_Typo</ability>
      <abilityName>字词错误</abilityName>
      <candidateList>
        <item>胜区</item>
      </candidateList>
      <explain/>
      <paraID>724D337B</paraID>
      <start>56</start>
      <end>57</end>
      <status>ignored</status>
      <modifiedWord/>
      <trackRevisions>false</trackRevisions>
    </reviewItem>
    <reviewItem>
      <errorID>0441737f-ac7d-45b9-88f5-a6fa8ef84cdb</errorID>
      <errorWord>其它建筑物</errorWord>
      <group>L1_Word</group>
      <groupName>字词问题</groupName>
      <ability>L2_Alias</ability>
      <abilityName>也作/曾用词</abilityName>
      <candidateList>
        <item>其他建筑物</item>
      </candidateList>
      <explain>词汇[其它建筑物]为不规范表述或旧称，其规范书面表述为[其他建筑物]。</explain>
      <paraID>724D337B</paraID>
      <start>64</start>
      <end>69</end>
      <status>ignored</status>
      <modifiedWord/>
      <trackRevisions>false</trackRevisions>
    </reviewItem>
    <reviewItem>
      <errorID>11b205b4-ec11-4687-a5c5-de0dc4df9150</errorID>
      <errorWord>》</errorWord>
      <group>L1_Word</group>
      <groupName>字词问题</groupName>
      <ability>L2_Typo</ability>
      <abilityName>字词错误</abilityName>
      <candidateList>
        <item>》等</item>
      </candidateList>
      <explain/>
      <paraID>1FCDA57B</paraID>
      <start>43</start>
      <end>44</end>
      <status>ignored</status>
      <modifiedWord/>
      <trackRevisions>false</trackRevisions>
    </reviewItem>
    <reviewItem>
      <errorID>f7635d4c-9507-47c0-89d2-6471917cda7a</errorID>
      <errorWord>、以及</errorWord>
      <group>L1_Punc</group>
      <groupName>标点问题</groupName>
      <ability>L2_Punc</ability>
      <abilityName>标点符号检查</abilityName>
      <candidateList>
        <item>，以及</item>
      </candidateList>
      <explain>连接词前后不宜使用顿号，建议使用逗号。</explain>
      <paraID>3B7B7289</paraID>
      <start>56</start>
      <end>59</end>
      <status>ignored</status>
      <modifiedWord/>
      <trackRevisions>false</trackRevisions>
    </reviewItem>
    <reviewItem>
      <errorID>a5f9e114-a9a9-4703-8351-d3776417ff04</errorID>
      <errorWord>长江保护法</errorWord>
      <group>L1_Knowledge</group>
      <groupName>知识性问题</groupName>
      <ability>L2_Knowledge</ability>
      <abilityName>其他知识</abilityName>
      <candidateList>
        <item>中华人民共和国长江保护法</item>
      </candidateList>
      <explain>当前法律法规名称使用简称，请注意是否应当使用全称。</explain>
      <paraID>3048037B</paraID>
      <start>4</start>
      <end>9</end>
      <status>ignored</status>
      <modifiedWord/>
      <trackRevisions>false</trackRevisions>
    </reviewItem>
    <reviewItem>
      <errorID>0d28df17-e772-4e9c-bccb-ff3097f4bc23</errorID>
      <errorWord>水法</errorWord>
      <group>L1_Knowledge</group>
      <groupName>知识性问题</groupName>
      <ability>L2_Knowledge</ability>
      <abilityName>其他知识</abilityName>
      <candidateList>
        <item>中华人民共和国水法</item>
      </candidateList>
      <explain>当前法律法规名称使用简称，请注意是否应当使用全称。</explain>
      <paraID>3048037B</paraID>
      <start>11</start>
      <end>13</end>
      <status>ignored</status>
      <modifiedWord/>
      <trackRevisions>false</trackRevisions>
    </reviewItem>
    <reviewItem>
      <errorID>0dd62624-4ef2-4639-b30b-ef044858a722</errorID>
      <errorWord>防洪法</errorWord>
      <group>L1_Knowledge</group>
      <groupName>知识性问题</groupName>
      <ability>L2_Knowledge</ability>
      <abilityName>其他知识</abilityName>
      <candidateList>
        <item>中华人民共和国防洪法</item>
      </candidateList>
      <explain>当前法律法规名称使用简称，请注意是否应当使用全称。</explain>
      <paraID>3048037B</paraID>
      <start>15</start>
      <end>18</end>
      <status>ignored</status>
      <modifiedWord/>
      <trackRevisions>false</trackRevisions>
    </reviewItem>
    <reviewItem>
      <errorID>2b499aee-18d2-4a26-b4b8-36c4f71f7102</errorID>
      <errorWord>环境保护法</errorWord>
      <group>L1_Knowledge</group>
      <groupName>知识性问题</groupName>
      <ability>L2_Knowledge</ability>
      <abilityName>其他知识</abilityName>
      <candidateList>
        <item>中华人民共和国环境保护法</item>
      </candidateList>
      <explain>当前法律法规名称使用简称，请注意是否应当使用全称。</explain>
      <paraID>3048037B</paraID>
      <start>20</start>
      <end>25</end>
      <status>ignored</status>
      <modifiedWord/>
      <trackRevisions>false</trackRevisions>
    </reviewItem>
    <reviewItem>
      <errorID>464d05cf-056c-4de7-b1f7-bf139beedce1</errorID>
      <errorWord>港口法</errorWord>
      <group>L1_Knowledge</group>
      <groupName>知识性问题</groupName>
      <ability>L2_Knowledge</ability>
      <abilityName>其他知识</abilityName>
      <candidateList>
        <item>中华人民共和国港口法</item>
      </candidateList>
      <explain>当前法律法规名称使用简称，请注意是否应当使用全称。</explain>
      <paraID>3048037B</paraID>
      <start>27</start>
      <end>30</end>
      <status>ignored</status>
      <modifiedWord/>
      <trackRevisions>false</trackRevisions>
    </reviewItem>
    <reviewItem>
      <errorID>b64bbf30-8407-403b-92d4-fa8901ea37c1</errorID>
      <errorWord>航道法</errorWord>
      <group>L1_Knowledge</group>
      <groupName>知识性问题</groupName>
      <ability>L2_Knowledge</ability>
      <abilityName>其他知识</abilityName>
      <candidateList>
        <item>中华人民共和国航道法</item>
      </candidateList>
      <explain>当前法律法规名称使用简称，请注意是否应当使用全称。</explain>
      <paraID>3048037B</paraID>
      <start>32</start>
      <end>35</end>
      <status>ignored</status>
      <modifiedWord/>
      <trackRevisions>false</trackRevisions>
    </reviewItem>
    <reviewItem>
      <errorID>15289937-82af-4ee5-8eb4-949e11f7fead</errorID>
      <errorWord>河道管理条例</errorWord>
      <group>L1_Knowledge</group>
      <groupName>知识性问题</groupName>
      <ability>L2_Knowledge</ability>
      <abilityName>其他知识</abilityName>
      <candidateList>
        <item>中华人民共和国河道管理条例</item>
      </candidateList>
      <explain>当前法律法规名称使用简称，请注意是否应当使用全称。</explain>
      <paraID>3048037B</paraID>
      <start>37</start>
      <end>43</end>
      <status>ignored</status>
      <modifiedWord/>
      <trackRevisions>false</trackRevisions>
    </reviewItem>
    <reviewItem>
      <errorID>da091728-e39e-446b-abe9-55856e9d98e9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213CB895</paraID>
      <start>117</start>
      <end>120</end>
      <status>ignored</status>
      <modifiedWord/>
      <trackRevisions>false</trackRevisions>
    </reviewItem>
    <reviewItem>
      <errorID>24e054df-8862-446d-9001-559e73673f40</errorID>
      <errorWord>环保治理</errorWord>
      <group>L1_Word</group>
      <groupName>字词问题</groupName>
      <ability>L2_Typo</ability>
      <abilityName>字词错误</abilityName>
      <candidateList>
        <item>环境治理</item>
      </candidateList>
      <explain/>
      <paraID>6A90CF21</paraID>
      <start>123</start>
      <end>127</end>
      <status>ignored</status>
      <modifiedWord/>
      <trackRevisions>false</trackRevisions>
    </reviewItem>
    <reviewItem>
      <errorID>00eebfa9-a54e-4bc3-bf25-37e1e9d890d4</errorID>
      <errorWord>、以及</errorWord>
      <group>L1_Punc</group>
      <groupName>标点问题</groupName>
      <ability>L2_Punc</ability>
      <abilityName>标点符号检查</abilityName>
      <candidateList>
        <item>，以及</item>
      </candidateList>
      <explain>连接词前后不宜使用顿号，建议使用逗号。</explain>
      <paraID> 8526184</paraID>
      <start>63</start>
      <end>66</end>
      <status>ignored</status>
      <modifiedWord/>
      <trackRevisions>false</trackRevisions>
    </reviewItem>
    <reviewItem>
      <errorID>d1f7e1a5-cd83-427f-8a65-d993b828cef4</errorID>
      <errorWord>。....</errorWord>
      <group>L1_Punc</group>
      <groupName>标点问题</groupName>
      <ability>L2_Punc</ability>
      <abilityName>标点符号检查</abilityName>
      <candidateList>
        <item>。</item>
      </candidateList>
      <explain/>
      <paraID>562D7039</paraID>
      <start>86</start>
      <end>91</end>
      <status>ignored</status>
      <modifiedWord/>
      <trackRevisions>false</trackRevisions>
    </reviewItem>
    <reviewItem>
      <errorID>cf908468-c03d-445c-b21f-9adb1f08811e</errorID>
      <errorWord>双碳目标</errorWord>
      <group>L1_Political</group>
      <groupName>政治性问题</groupName>
      <ability>L2_Keyword</ability>
      <abilityName>固定表述</abilityName>
      <candidateList>
        <item>“双碳”目标</item>
      </candidateList>
      <explain>注意检查当前固定表述标点是否使用规范。</explain>
      <paraID>562D7039</paraID>
      <start>115</start>
      <end>119</end>
      <status>ignored</status>
      <modifiedWord/>
      <trackRevisions>false</trackRevisions>
    </reviewItem>
    <reviewItem>
      <errorID>d3a93b14-d140-42c0-9e65-d6b0347023a3</errorID>
      <errorWord>《</errorWord>
      <group>L1_Punc</group>
      <groupName>标点问题</groupName>
      <ability>L2_Punc</ability>
      <abilityName>标点符号检查</abilityName>
      <candidateList/>
      <explain/>
      <paraID>32A45E36</paraID>
      <start>0</start>
      <end>1</end>
      <status>ignored</status>
      <modifiedWord/>
      <trackRevisions>false</trackRevisions>
    </reviewItem>
    <reviewItem>
      <errorID>4c393a75-022b-4a7a-9600-dd3229499282</errorID>
      <errorWord>镍钻</errorWord>
      <group>L1_Word</group>
      <groupName>字词问题</groupName>
      <ability>L2_Typo</ability>
      <abilityName>字词错误</abilityName>
      <candidateList>
        <item>镍钴</item>
      </candidateList>
      <explain/>
      <paraID>74685E2F</paraID>
      <start>30</start>
      <end>32</end>
      <status>ignored</status>
      <modifiedWord/>
      <trackRevisions>false</trackRevisions>
    </reviewItem>
    <reviewItem>
      <errorID>ed13a799-7f49-4705-aadd-54800b9aef53</errorID>
      <errorWord>治炼业</errorWord>
      <group>L1_Word</group>
      <groupName>字词问题</groupName>
      <ability>L2_Typo</ability>
      <abilityName>字词错误</abilityName>
      <candidateList>
        <item>冶炼业</item>
      </candidateList>
      <explain/>
      <paraID>74685E2F</paraID>
      <start>49</start>
      <end>52</end>
      <status>modified</status>
      <modifiedWord>冶炼业</modifiedWord>
      <trackRevisions>false</trackRevisions>
    </reviewItem>
    <reviewItem>
      <errorID>41f9083e-db9e-428a-9587-fdfab2c5170c</errorID>
      <errorWord>治炼业</errorWord>
      <group>L1_Word</group>
      <groupName>字词问题</groupName>
      <ability>L2_Typo</ability>
      <abilityName>字词错误</abilityName>
      <candidateList>
        <item>冶炼业</item>
      </candidateList>
      <explain/>
      <paraID>17558BA2</paraID>
      <start>27</start>
      <end>30</end>
      <status>modified</status>
      <modifiedWord>冶炼业</modifiedWord>
      <trackRevisions>false</trackRevisions>
    </reviewItem>
    <reviewItem>
      <errorID>cf62cd78-c402-436c-8c6a-8713a76f0c44</errorID>
      <errorWord>治炼业</errorWord>
      <group>L1_Word</group>
      <groupName>字词问题</groupName>
      <ability>L2_Typo</ability>
      <abilityName>字词错误</abilityName>
      <candidateList>
        <item>冶炼业</item>
      </candidateList>
      <explain/>
      <paraID>329FA8CF</paraID>
      <start>40</start>
      <end>43</end>
      <status>modified</status>
      <modifiedWord>冶炼业</modifiedWord>
      <trackRevisions>false</trackRevisions>
    </reviewItem>
    <reviewItem>
      <errorID>68df2ae9-b8e2-49cc-8070-15ac9dc23fc1</errorID>
      <errorWord>治炼业</errorWord>
      <group>L1_Word</group>
      <groupName>字词问题</groupName>
      <ability>L2_Typo</ability>
      <abilityName>字词错误</abilityName>
      <candidateList>
        <item>冶炼业</item>
      </candidateList>
      <explain/>
      <paraID>5248D947</paraID>
      <start>61</start>
      <end>64</end>
      <status>modified</status>
      <modifiedWord>冶炼业</modifiedWord>
      <trackRevisions>false</trackRevisions>
    </reviewItem>
    <reviewItem>
      <errorID>ab400815-2b56-44b7-861d-58882ef87856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44987C95</paraID>
      <start>0</start>
      <end>2</end>
      <status>ignored</status>
      <modifiedWord/>
      <trackRevisions>false</trackRevisions>
    </reviewItem>
    <reviewItem>
      <errorID>d20e9eb7-0c0c-4d96-93d1-04d92182f8e2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240050C7</paraID>
      <start>0</start>
      <end>2</end>
      <status>ignored</status>
      <modifiedWord/>
      <trackRevisions>false</trackRevisions>
    </reviewItem>
    <reviewItem>
      <errorID>774662bd-2aeb-4c91-a6d7-9e364abcdefa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4AFC71C</paraID>
      <start>0</start>
      <end>2</end>
      <status>ignored</status>
      <modifiedWord/>
      <trackRevisions>false</trackRevisions>
    </reviewItem>
    <reviewItem>
      <errorID>fce00dbb-be7c-4a28-acee-878cef3fa070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3EF64FDA</paraID>
      <start>0</start>
      <end>2</end>
      <status>ignored</status>
      <modifiedWord/>
      <trackRevisions>false</trackRevisions>
    </reviewItem>
    <reviewItem>
      <errorID>fa2b0d54-0860-4758-b55b-87c1cb160193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2CBEABD</paraID>
      <start>0</start>
      <end>2</end>
      <status>ignored</status>
      <modifiedWord/>
      <trackRevisions>false</trackRevisions>
    </reviewItem>
    <reviewItem>
      <errorID>2524e236-3f29-49af-a48e-069badc7d88c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6039650</paraID>
      <start>0</start>
      <end>2</end>
      <status>ignored</status>
      <modifiedWord/>
      <trackRevisions>false</trackRevisions>
    </reviewItem>
    <reviewItem>
      <errorID>33964d0f-1c70-4aa6-9448-c55f344316d1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7792FDEF</paraID>
      <start>0</start>
      <end>2</end>
      <status>ignored</status>
      <modifiedWord/>
      <trackRevisions>false</trackRevisions>
    </reviewItem>
    <reviewItem>
      <errorID>2bd92ef8-5fb8-4486-bc0f-dbc77ca6a5ed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48D8DA00</paraID>
      <start>0</start>
      <end>2</end>
      <status>ignored</status>
      <modifiedWord/>
      <trackRevisions>false</trackRevisions>
    </reviewItem>
    <reviewItem>
      <errorID>59aa33f4-678d-4b7e-aa36-7ff7c7c6544c</errorID>
      <errorWord>外逸</errorWord>
      <group>L1_Word</group>
      <groupName>字词问题</groupName>
      <ability>L2_Typo</ability>
      <abilityName>字词错误</abilityName>
      <candidateList>
        <item>外溢</item>
      </candidateList>
      <explain/>
      <paraID>48D8DA00</paraID>
      <start>84</start>
      <end>86</end>
      <status>ignored</status>
      <modifiedWord/>
      <trackRevisions>false</trackRevisions>
    </reviewItem>
    <reviewItem>
      <errorID>2d4ea562-6eaf-4cac-b457-aaa4656fed48</errorID>
      <errorWord>外逸</errorWord>
      <group>L1_Word</group>
      <groupName>字词问题</groupName>
      <ability>L2_Typo</ability>
      <abilityName>字词错误</abilityName>
      <candidateList>
        <item>外溢</item>
      </candidateList>
      <explain/>
      <paraID> 9CAD1ED</paraID>
      <start>201</start>
      <end>203</end>
      <status>ignored</status>
      <modifiedWord/>
      <trackRevisions>false</trackRevisions>
    </reviewItem>
    <reviewItem>
      <errorID>ec00b3c2-cc23-4b4b-bfa9-16dbb8218210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F8090EE</paraID>
      <start>0</start>
      <end>2</end>
      <status>ignored</status>
      <modifiedWord/>
      <trackRevisions>false</trackRevisions>
    </reviewItem>
    <reviewItem>
      <errorID>2fdc0b8b-6cd9-4c08-856b-6cfaa6001b7f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485EF2BD</paraID>
      <start>0</start>
      <end>2</end>
      <status>ignored</status>
      <modifiedWord/>
      <trackRevisions>false</trackRevisions>
    </reviewItem>
    <reviewItem>
      <errorID>c1a4f811-ca87-4b22-a0ac-5eaf9067fba5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738C3FEB</paraID>
      <start>0</start>
      <end>2</end>
      <status>ignored</status>
      <modifiedWord/>
      <trackRevisions>false</trackRevisions>
    </reviewItem>
    <reviewItem>
      <errorID>8dc0e694-a6da-48e3-b134-6ffa80815a3b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14C23247</paraID>
      <start>0</start>
      <end>2</end>
      <status>ignored</status>
      <modifiedWord/>
      <trackRevisions>false</trackRevisions>
    </reviewItem>
    <reviewItem>
      <errorID>e1c532e2-9d4a-43d7-a797-fb7c27da7fed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D19EE2E</paraID>
      <start>0</start>
      <end>2</end>
      <status>ignored</status>
      <modifiedWord/>
      <trackRevisions>false</trackRevisions>
    </reviewItem>
    <reviewItem>
      <errorID>0b90b6cd-8fc8-466b-b7ea-1e377cf9eb2e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2B83C3B0</paraID>
      <start>0</start>
      <end>2</end>
      <status>ignored</status>
      <modifiedWord/>
      <trackRevisions>false</trackRevisions>
    </reviewItem>
    <reviewItem>
      <errorID>38288646-7ed8-4596-a182-43732e880300</errorID>
      <errorWord>外逸</errorWord>
      <group>L1_Word</group>
      <groupName>字词问题</groupName>
      <ability>L2_Typo</ability>
      <abilityName>字词错误</abilityName>
      <candidateList>
        <item>外溢</item>
      </candidateList>
      <explain/>
      <paraID>2B83C3B0</paraID>
      <start>87</start>
      <end>89</end>
      <status>ignored</status>
      <modifiedWord/>
      <trackRevisions>false</trackRevisions>
    </reviewItem>
    <reviewItem>
      <errorID>0f1b0525-096b-4b4f-8f19-4d5feb11ecfc</errorID>
      <errorWord>外逸</errorWord>
      <group>L1_Word</group>
      <groupName>字词问题</groupName>
      <ability>L2_Typo</ability>
      <abilityName>字词错误</abilityName>
      <candidateList>
        <item>外溢</item>
      </candidateList>
      <explain/>
      <paraID> C9F5CC4</paraID>
      <start>63</start>
      <end>65</end>
      <status>ignored</status>
      <modifiedWord/>
      <trackRevisions>false</trackRevisions>
    </reviewItem>
    <reviewItem>
      <errorID>f64c449f-6030-42d2-993d-b25b9b6c6721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1759F0E8</paraID>
      <start>0</start>
      <end>2</end>
      <status>ignored</status>
      <modifiedWord/>
      <trackRevisions>false</trackRevisions>
    </reviewItem>
    <reviewItem>
      <errorID>65a2093a-4cbc-4374-8e5c-ab8a32ac7b4c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63B83807</paraID>
      <start>0</start>
      <end>2</end>
      <status>ignored</status>
      <modifiedWord/>
      <trackRevisions>false</trackRevisions>
    </reviewItem>
    <reviewItem>
      <errorID>81c0100c-5daf-4235-9104-a717154ba1e5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3AB11670</paraID>
      <start>0</start>
      <end>2</end>
      <status>ignored</status>
      <modifiedWord/>
      <trackRevisions>false</trackRevisions>
    </reviewItem>
    <reviewItem>
      <errorID>48189ab6-6259-4d6a-a05c-646428fe16b4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408B49D9</paraID>
      <start>0</start>
      <end>2</end>
      <status>ignored</status>
      <modifiedWord/>
      <trackRevisions>false</trackRevisions>
    </reviewItem>
    <reviewItem>
      <errorID>51f7d0d6-667e-4781-9c0e-edb8c91669da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7E690D67</paraID>
      <start>0</start>
      <end>2</end>
      <status>ignored</status>
      <modifiedWord/>
      <trackRevisions>false</trackRevisions>
    </reviewItem>
    <reviewItem>
      <errorID>efcdb590-3162-4678-87d0-a4eeecbd3ef2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7BF711C3</paraID>
      <start>0</start>
      <end>2</end>
      <status>ignored</status>
      <modifiedWord/>
      <trackRevisions>false</trackRevisions>
    </reviewItem>
    <reviewItem>
      <errorID>b827cf1d-9ffc-4bad-a45b-be0314e0a7e5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81E27EC</paraID>
      <start>21</start>
      <end>22</end>
      <status>ignored</status>
      <modifiedWord/>
      <trackRevisions>false</trackRevisions>
    </reviewItem>
    <reviewItem>
      <errorID>b938ec0a-7dfe-410e-a3ea-9c798632b2e5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719B69BF</paraID>
      <start>50</start>
      <end>51</end>
      <status>ignored</status>
      <modifiedWord/>
      <trackRevisions>false</trackRevisions>
    </reviewItem>
    <reviewItem>
      <errorID>e34c678e-9124-421d-8d61-f90f86fc68d1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719B69BF</paraID>
      <start>139</start>
      <end>140</end>
      <status>ignored</status>
      <modifiedWord/>
      <trackRevisions>false</trackRevisions>
    </reviewItem>
    <reviewItem>
      <errorID>f88c5fdd-6ee1-45cc-8db3-4d2e49d6c0a0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1F39E3D7</paraID>
      <start>73</start>
      <end>74</end>
      <status>ignored</status>
      <modifiedWord/>
      <trackRevisions>false</trackRevisions>
    </reviewItem>
    <reviewItem>
      <errorID>34c07755-2083-4a66-99f2-19bf8de68ea8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6F7804BB</paraID>
      <start>20</start>
      <end>21</end>
      <status>ignored</status>
      <modifiedWord/>
      <trackRevisions>false</trackRevisions>
    </reviewItem>
    <reviewItem>
      <errorID>8bc675ca-ab9e-4506-ba07-5cd5d175bf38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314CB5E8</paraID>
      <start>31</start>
      <end>32</end>
      <status>ignored</status>
      <modifiedWord/>
      <trackRevisions>false</trackRevisions>
    </reviewItem>
    <reviewItem>
      <errorID>29c42484-d6ee-4d3a-b116-df5f0927e3e7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655DF789</paraID>
      <start>104</start>
      <end>105</end>
      <status>ignored</status>
      <modifiedWord/>
      <trackRevisions>false</trackRevisions>
    </reviewItem>
    <reviewItem>
      <errorID>c28a7610-0419-4072-b133-833f720da2c0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22D378DC</paraID>
      <start>4</start>
      <end>5</end>
      <status>ignored</status>
      <modifiedWord/>
      <trackRevisions>false</trackRevisions>
    </reviewItem>
    <reviewItem>
      <errorID>a594c2c9-0396-408c-8abf-827fc9747dad</errorID>
      <errorWord>&lt;</errorWord>
      <group>L1_Format</group>
      <groupName>格式问题</groupName>
      <ability>L2_HalfPunc</ability>
      <abilityName>全半角检查</abilityName>
      <candidateList>
        <item>〈</item>
      </candidateList>
      <explain>文本全半角错误。</explain>
      <paraID>60D6FF3F</paraID>
      <start>103</start>
      <end>104</end>
      <status>ignored</status>
      <modifiedWord/>
      <trackRevisions>false</trackRevisions>
    </reviewItem>
    <reviewItem>
      <errorID>77a65397-246e-4a30-87c1-e932ba897532</errorID>
      <errorWord>&gt;</errorWord>
      <group>L1_Format</group>
      <groupName>格式问题</groupName>
      <ability>L2_HalfPunc</ability>
      <abilityName>全半角检查</abilityName>
      <candidateList>
        <item>〉</item>
      </candidateList>
      <explain>文本全半角错误。</explain>
      <paraID>60D6FF3F</paraID>
      <start>132</start>
      <end>133</end>
      <status>ignored</status>
      <modifiedWord/>
      <trackRevisions>false</trackRevisions>
    </reviewItem>
    <reviewItem>
      <errorID>0e24fb4f-721b-424c-bf21-68e68f998554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239F3067</paraID>
      <start>41</start>
      <end>42</end>
      <status>ignored</status>
      <modifiedWord/>
      <trackRevisions>false</trackRevisions>
    </reviewItem>
    <reviewItem>
      <errorID>2c4d68e8-9536-4b06-bd9b-2753621b0e2c</errorID>
      <errorWord>不新</errorWord>
      <group>L1_Word</group>
      <groupName>字词问题</groupName>
      <ability>L2_Typo</ability>
      <abilityName>字词错误</abilityName>
      <candidateList>
        <item>不</item>
      </candidateList>
      <explain/>
      <paraID>65B95178</paraID>
      <start>28</start>
      <end>30</end>
      <status>ignored</status>
      <modifiedWord/>
      <trackRevisions>false</trackRevisions>
    </reviewItem>
    <reviewItem>
      <errorID>11db62a6-9538-4d84-9e54-51e603d07fca</errorID>
      <errorWord>水污染排放</errorWord>
      <group>L1_Knowledge</group>
      <groupName>知识性问题</groupName>
      <ability>L2_Knowledge</ability>
      <abilityName>其他知识</abilityName>
      <candidateList>
        <item>水污染物排放</item>
      </candidateList>
      <explain/>
      <paraID>58B908C8</paraID>
      <start>60</start>
      <end>65</end>
      <status>ignored</status>
      <modifiedWord/>
      <trackRevisions>false</trackRevisions>
    </reviewItem>
    <reviewItem>
      <errorID>26d28a87-6148-4825-9782-2a7c040a4e28</errorID>
      <errorWord>本项目本项目</errorWord>
      <group>L1_Word</group>
      <groupName>字词问题</groupName>
      <ability>L2_Typo</ability>
      <abilityName>字词错误</abilityName>
      <candidateList>
        <item>本项目</item>
      </candidateList>
      <explain/>
      <paraID>3A3FBE62</paraID>
      <start>0</start>
      <end>3</end>
      <status>modified</status>
      <modifiedWord>本项目</modifiedWord>
      <trackRevisions>false</trackRevisions>
    </reviewItem>
    <reviewItem>
      <errorID>db379160-3970-46a9-90e7-5affd0aa2b5e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18D1761</paraID>
      <start>111</start>
      <end>114</end>
      <status>ignored</status>
      <modifiedWord/>
      <trackRevisions>false</trackRevisions>
    </reviewItem>
    <reviewItem>
      <errorID>44e2f458-bfe2-4edb-9546-a32ad8b8784d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18D1761</paraID>
      <start>117</start>
      <end>120</end>
      <status>ignored</status>
      <modifiedWord/>
      <trackRevisions>false</trackRevisions>
    </reviewItem>
    <reviewItem>
      <errorID>5a5b8db6-85e0-4928-a169-284e5a2d30ba</errorID>
      <errorWord>难于</errorWord>
      <group>L1_Word</group>
      <groupName>字词问题</groupName>
      <ability>L2_Typo</ability>
      <abilityName>字词错误</abilityName>
      <candidateList>
        <item>难以</item>
      </candidateList>
      <explain>存在发音相近字词的误用。</explain>
      <paraID>72DEF692</paraID>
      <start>34</start>
      <end>36</end>
      <status>modified</status>
      <modifiedWord>难以</modifiedWord>
      <trackRevisions>false</trackRevisions>
    </reviewItem>
    <reviewItem>
      <errorID>d2f50bc8-e4de-4521-bc9c-88b24fa7dfd1</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42BFB363</paraID>
      <start>1</start>
      <end>4</end>
      <status>ignored</status>
      <modifiedWord/>
      <trackRevisions>false</trackRevisions>
    </reviewItem>
    <reviewItem>
      <errorID>38310b92-c8e4-4a5a-abe1-48e6d21be82a</errorID>
      <errorWord>属于其它</errorWord>
      <group>L1_Word</group>
      <groupName>字词问题</groupName>
      <ability>L2_Alias</ability>
      <abilityName>也作/曾用词</abilityName>
      <candidateList>
        <item>属于其他</item>
      </candidateList>
      <explain>词汇[属于其它]为不规范表述或旧称，其规范书面表述为[属于其他]。</explain>
      <paraID>4F51B18F</paraID>
      <start>16</start>
      <end>20</end>
      <status>ignored</status>
      <modifiedWord/>
      <trackRevisions>false</trackRevisions>
    </reviewItem>
    <reviewItem>
      <errorID>86c8fa5d-675b-4e6c-8e8c-040a06ed9b64</errorID>
      <errorWord>&lt;</errorWord>
      <group>L1_Format</group>
      <groupName>格式问题</groupName>
      <ability>L2_HalfPunc</ability>
      <abilityName>全半角检查</abilityName>
      <candidateList>
        <item>〈</item>
      </candidateList>
      <explain>文本全半角错误。</explain>
      <paraID>3C90445B</paraID>
      <start>15</start>
      <end>16</end>
      <status>ignored</status>
      <modifiedWord/>
      <trackRevisions>false</trackRevisions>
    </reviewItem>
    <reviewItem>
      <errorID>33621ceb-8e76-4dbe-92b0-dbb58de2fb31</errorID>
      <errorWord>&gt;</errorWord>
      <group>L1_Format</group>
      <groupName>格式问题</groupName>
      <ability>L2_HalfPunc</ability>
      <abilityName>全半角检查</abilityName>
      <candidateList>
        <item>〉</item>
      </candidateList>
      <explain>文本全半角错误。</explain>
      <paraID>3C90445B</paraID>
      <start>44</start>
      <end>45</end>
      <status>ignored</status>
      <modifiedWord/>
      <trackRevisions>false</trackRevisions>
    </reviewItem>
    <reviewItem>
      <errorID>7c96cb50-327e-4652-9b0d-4209a57c5b15</errorID>
      <errorWord>》</errorWord>
      <group>L1_Punc</group>
      <groupName>标点问题</groupName>
      <ability>L2_Punc</ability>
      <abilityName>标点符号检查</abilityName>
      <candidateList/>
      <explain/>
      <paraID>75D2A4AF</paraID>
      <start>127</start>
      <end>128</end>
      <status>ignored</status>
      <modifiedWord/>
      <trackRevisions>false</trackRevisions>
    </reviewItem>
    <reviewItem>
      <errorID>cb0aba75-f132-475a-9640-b307a884dcd1</errorID>
      <errorWord>-</errorWord>
      <group>L1_Format</group>
      <groupName>格式问题</groupName>
      <ability>L2_HalfPunc</ability>
      <abilityName>全半角检查</abilityName>
      <candidateList>
        <item>－</item>
      </candidateList>
      <explain>文本全半角错误。</explain>
      <paraID>231DFEAD</paraID>
      <start>3</start>
      <end>4</end>
      <status>ignored</status>
      <modifiedWord/>
      <trackRevisions>false</trackRevisions>
    </reviewItem>
    <reviewItem>
      <errorID>a5c6f7bb-6dbf-460d-82f6-f9782432ae4f</errorID>
      <errorWord>-</errorWord>
      <group>L1_Format</group>
      <groupName>格式问题</groupName>
      <ability>L2_HalfPunc</ability>
      <abilityName>全半角检查</abilityName>
      <candidateList>
        <item>－</item>
      </candidateList>
      <explain>文本全半角错误。</explain>
      <paraID>231DFEAD</paraID>
      <start>7</start>
      <end>8</end>
      <status>ignored</status>
      <modifiedWord/>
      <trackRevisions>false</trackRevisions>
    </reviewItem>
    <reviewItem>
      <errorID>00a090e5-5d11-4255-9b34-981f94d5469a</errorID>
      <errorWord>-</errorWord>
      <group>L1_Format</group>
      <groupName>格式问题</groupName>
      <ability>L2_HalfPunc</ability>
      <abilityName>全半角检查</abilityName>
      <candidateList>
        <item>－</item>
      </candidateList>
      <explain>文本全半角错误。</explain>
      <paraID>231DFEAD</paraID>
      <start>17</start>
      <end>18</end>
      <status>ignored</status>
      <modifiedWord/>
      <trackRevisions>false</trackRevisions>
    </reviewItem>
    <reviewItem>
      <errorID>e61dd5f4-a831-4505-8555-776a3cc9ec64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5EBF07AC</paraID>
      <start>0</start>
      <end>2</end>
      <status>ignored</status>
      <modifiedWord/>
      <trackRevisions>false</trackRevisions>
    </reviewItem>
    <reviewItem>
      <errorID>367d3dc4-6cce-4bca-97ea-7798b40c8007</errorID>
      <errorWord>改善</errorWord>
      <group>L1_Grammar</group>
      <groupName>语法问题</groupName>
      <ability>L2_Grammar</ability>
      <abilityName>语法错误</abilityName>
      <candidateList>
        <item>缓解</item>
      </candidateList>
      <explain>“改善～压力”搭配不当，建议修改为“缓解～压力”。</explain>
      <paraID>5EBF07AC</paraID>
      <start>61</start>
      <end>63</end>
      <status>ignored</status>
      <modifiedWord/>
      <trackRevisions>false</trackRevisions>
    </reviewItem>
    <reviewItem>
      <errorID>2c0128b6-0287-4f57-a913-37788300b1de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2B7DBFA8</paraID>
      <start>0</start>
      <end>2</end>
      <status>ignored</status>
      <modifiedWord/>
      <trackRevisions>false</trackRevisions>
    </reviewItem>
    <reviewItem>
      <errorID>cd625eef-47f3-4ce2-adae-c34389913ee1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3682B430</paraID>
      <start>0</start>
      <end>2</end>
      <status>ignored</status>
      <modifiedWord/>
      <trackRevisions>false</trackRevisions>
    </reviewItem>
    <reviewItem>
      <errorID>9047117f-053c-4ae8-b2f7-94a4dbb5b778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7BB5448A</paraID>
      <start>0</start>
      <end>2</end>
      <status>ignored</status>
      <modifiedWord/>
      <trackRevisions>false</trackRevisions>
    </reviewItem>
    <reviewItem>
      <errorID>ce6822d2-5839-474b-8581-9c7ee7af6d7a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6B62B342</paraID>
      <start>0</start>
      <end>2</end>
      <status>ignored</status>
      <modifiedWord/>
      <trackRevisions>false</trackRevisions>
    </reviewItem>
    <reviewItem>
      <errorID>c95690a9-4c5d-4707-a0d2-6defcd370146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363838FA</paraID>
      <start>0</start>
      <end>2</end>
      <status>ignored</status>
      <modifiedWord/>
      <trackRevisions>false</trackRevisions>
    </reviewItem>
    <reviewItem>
      <errorID>bcc30239-9e1c-4879-be2f-41437145a24c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3270EFB</paraID>
      <start>0</start>
      <end>2</end>
      <status>ignored</status>
      <modifiedWord/>
      <trackRevisions>false</trackRevisions>
    </reviewItem>
    <reviewItem>
      <errorID>a4d41e31-593d-468d-887d-976a46def45f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6F86D147</paraID>
      <start>0</start>
      <end>2</end>
      <status>ignored</status>
      <modifiedWord/>
      <trackRevisions>false</trackRevisions>
    </reviewItem>
    <reviewItem>
      <errorID>63035acc-74fd-4de2-b76a-02955c2de1f7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50D85E8D</paraID>
      <start>0</start>
      <end>2</end>
      <status>ignored</status>
      <modifiedWord/>
      <trackRevisions>false</trackRevisions>
    </reviewItem>
    <reviewItem>
      <errorID>9dd00e6a-a2c6-466e-add1-76257428328b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145C7A9E</paraID>
      <start>0</start>
      <end>2</end>
      <status>ignored</status>
      <modifiedWord/>
      <trackRevisions>false</trackRevisions>
    </reviewItem>
    <reviewItem>
      <errorID>bd0c1ccf-44de-40c0-b2ce-55d2dc399fea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775EFAEC</paraID>
      <start>0</start>
      <end>2</end>
      <status>ignored</status>
      <modifiedWord/>
      <trackRevisions>false</trackRevisions>
    </reviewItem>
    <reviewItem>
      <errorID>68af56eb-051a-49e0-8b79-f59efe1a4e8c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77DE6DD5</paraID>
      <start>0</start>
      <end>2</end>
      <status>ignored</status>
      <modifiedWord/>
      <trackRevisions>false</trackRevisions>
    </reviewItem>
    <reviewItem>
      <errorID>e325545a-4f3e-48ef-8e05-21d677be29fa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33B58368</paraID>
      <start>0</start>
      <end>2</end>
      <status>ignored</status>
      <modifiedWord/>
      <trackRevisions>false</trackRevisions>
    </reviewItem>
    <reviewItem>
      <errorID>993485b0-ba6c-4967-ad4e-328622402e20</errorID>
      <errorWord>：/</errorWord>
      <group>L1_Punc</group>
      <groupName>标点问题</groupName>
      <ability>L2_Punc</ability>
      <abilityName>标点符号检查</abilityName>
      <candidateList>
        <item>：</item>
      </candidateList>
      <explain/>
      <paraID>58513D2B</paraID>
      <start>10</start>
      <end>12</end>
      <status>ignored</status>
      <modifiedWord/>
      <trackRevisions>false</trackRevisions>
    </reviewItem>
    <reviewItem>
      <errorID>05229abd-0a86-4947-a194-14216d09172e</errorID>
      <errorWord>达</errorWord>
      <group>L1_Word</group>
      <groupName>字词问题</groupName>
      <ability>L2_Typo</ability>
      <abilityName>字词错误</abilityName>
      <candidateList>
        <item>达到</item>
      </candidateList>
      <explain>〈动〉到（多指抽象事物或程度）：达得到｜达不到｜目的没有～｜～国际水平。</explain>
      <paraID>72ECF6E7</paraID>
      <start>17</start>
      <end>18</end>
      <status>ignored</status>
      <modifiedWord/>
      <trackRevisions>false</trackRevisions>
    </reviewItem>
    <reviewItem>
      <errorID>aa05741f-0f10-4868-9959-6c54a1545184</errorID>
      <errorWord>达</errorWord>
      <group>L1_Word</group>
      <groupName>字词问题</groupName>
      <ability>L2_Typo</ability>
      <abilityName>字词错误</abilityName>
      <candidateList>
        <item>达到</item>
      </candidateList>
      <explain>〈动〉到（多指抽象事物或程度）：达得到｜达不到｜目的没有～｜～国际水平。</explain>
      <paraID>613A2178</paraID>
      <start>157</start>
      <end>158</end>
      <status>ignored</status>
      <modifiedWord/>
      <trackRevisions>false</trackRevisions>
    </reviewItem>
    <reviewItem>
      <errorID>5660a418-17f3-4f6a-88c9-ef4fe0aad0c5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47A027A6</paraID>
      <start>0</start>
      <end>2</end>
      <status>ignored</status>
      <modifiedWord/>
      <trackRevisions>false</trackRevisions>
    </reviewItem>
    <reviewItem>
      <errorID>71e651ee-55f8-4f76-b072-a8bb764aa388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AAAC112</paraID>
      <start>0</start>
      <end>2</end>
      <status>ignored</status>
      <modifiedWord/>
      <trackRevisions>false</trackRevisions>
    </reviewItem>
    <reviewItem>
      <errorID>5dc49027-6c2f-4191-9c37-16366d169471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240706D</paraID>
      <start>0</start>
      <end>2</end>
      <status>ignored</status>
      <modifiedWord/>
      <trackRevisions>false</trackRevisions>
    </reviewItem>
    <reviewItem>
      <errorID>93e92537-0b22-4602-803e-16348e30e8d5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629B9577</paraID>
      <start>0</start>
      <end>2</end>
      <status>ignored</status>
      <modifiedWord/>
      <trackRevisions>false</trackRevisions>
    </reviewItem>
    <reviewItem>
      <errorID>19573e1a-ff96-4598-8ad3-2f007fcafe2c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113DF7AD</paraID>
      <start>0</start>
      <end>2</end>
      <status>ignored</status>
      <modifiedWord/>
      <trackRevisions>false</trackRevisions>
    </reviewItem>
    <reviewItem>
      <errorID>cfd61b8b-18f1-4552-8078-8b6d09d812e5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3211C653</paraID>
      <start>0</start>
      <end>2</end>
      <status>ignored</status>
      <modifiedWord/>
      <trackRevisions>false</trackRevisions>
    </reviewItem>
    <reviewItem>
      <errorID>957676a2-8b84-4554-ac29-2883cbd4186b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362C3A79</paraID>
      <start>0</start>
      <end>2</end>
      <status>ignored</status>
      <modifiedWord/>
      <trackRevisions>false</trackRevisions>
    </reviewItem>
    <reviewItem>
      <errorID>740f6c87-f440-48b7-b59d-2338ff7a334f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2D75A5CA</paraID>
      <start>0</start>
      <end>2</end>
      <status>ignored</status>
      <modifiedWord/>
      <trackRevisions>false</trackRevisions>
    </reviewItem>
    <reviewItem>
      <errorID>edd8a53f-af95-4f05-9936-e959efe2b24e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7295E4DC</paraID>
      <start>0</start>
      <end>2</end>
      <status>ignored</status>
      <modifiedWord/>
      <trackRevisions>false</trackRevisions>
    </reviewItem>
    <reviewItem>
      <errorID>c6d152f1-ee25-41e9-a24a-08f79ab309c3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34D38323</paraID>
      <start>0</start>
      <end>2</end>
      <status>ignored</status>
      <modifiedWord/>
      <trackRevisions>false</trackRevisions>
    </reviewItem>
    <reviewItem>
      <errorID>a6d9a2b3-e8da-43f0-af2a-74a8b279b19b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77218CB7</paraID>
      <start>0</start>
      <end>2</end>
      <status>ignored</status>
      <modifiedWord/>
      <trackRevisions>false</trackRevisions>
    </reviewItem>
    <reviewItem>
      <errorID>f135d9db-6a80-4a9b-9294-793b0b4c1225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2167620D</paraID>
      <start>0</start>
      <end>2</end>
      <status>ignored</status>
      <modifiedWord/>
      <trackRevisions>false</trackRevisions>
    </reviewItem>
    <reviewItem>
      <errorID>a006f49f-5731-412f-a567-2082cd9ac81d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4849EF2</paraID>
      <start>0</start>
      <end>2</end>
      <status>ignored</status>
      <modifiedWord/>
      <trackRevisions>false</trackRevisions>
    </reviewItem>
    <reviewItem>
      <errorID>935ff1c1-7a65-4de5-a866-649ecbc69e3b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5BCA8A0E</paraID>
      <start>0</start>
      <end>2</end>
      <status>ignored</status>
      <modifiedWord/>
      <trackRevisions>false</trackRevisions>
    </reviewItem>
    <reviewItem>
      <errorID>70313b22-7bc6-4f4a-b278-d77db44e4f15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400B17A5</paraID>
      <start>0</start>
      <end>2</end>
      <status>ignored</status>
      <modifiedWord/>
      <trackRevisions>false</trackRevisions>
    </reviewItem>
    <reviewItem>
      <errorID>e15dba89-4025-4c6c-b537-7de27b1e1fa0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6955DD2D</paraID>
      <start>0</start>
      <end>2</end>
      <status>ignored</status>
      <modifiedWord/>
      <trackRevisions>false</trackRevisions>
    </reviewItem>
    <reviewItem>
      <errorID>29de1274-353a-404a-89f2-39745c01b4b6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333559FE</paraID>
      <start>0</start>
      <end>2</end>
      <status>ignored</status>
      <modifiedWord/>
      <trackRevisions>false</trackRevisions>
    </reviewItem>
    <reviewItem>
      <errorID>9a5d70d5-1a41-4b6e-a51f-95a20e039439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FE44AD2</paraID>
      <start>0</start>
      <end>2</end>
      <status>ignored</status>
      <modifiedWord/>
      <trackRevisions>false</trackRevisions>
    </reviewItem>
    <reviewItem>
      <errorID>44979004-e317-4f4f-a9ee-f9ace506be2c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254C5DD5</paraID>
      <start>0</start>
      <end>2</end>
      <status>ignored</status>
      <modifiedWord/>
      <trackRevisions>false</trackRevisions>
    </reviewItem>
    <reviewItem>
      <errorID>3ae7d531-655f-4877-8bc5-792fdeeb827b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7BE04359</paraID>
      <start>0</start>
      <end>2</end>
      <status>ignored</status>
      <modifiedWord/>
      <trackRevisions>false</trackRevisions>
    </reviewItem>
    <reviewItem>
      <errorID>cd010380-1cce-4ca3-9fb1-7376ec63627d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667C2BF7</paraID>
      <start>0</start>
      <end>2</end>
      <status>ignored</status>
      <modifiedWord/>
      <trackRevisions>false</trackRevisions>
    </reviewItem>
    <reviewItem>
      <errorID>61b88b85-1527-4965-a79d-270b5da14f1d</errorID>
      <errorWord>-</errorWord>
      <group>L1_Format</group>
      <groupName>格式问题</groupName>
      <ability>L2_HalfPunc</ability>
      <abilityName>全半角检查</abilityName>
      <candidateList>
        <item>－</item>
      </candidateList>
      <explain>文本全半角错误。</explain>
      <paraID> 4E8EA22</paraID>
      <start>3</start>
      <end>4</end>
      <status>ignored</status>
      <modifiedWord/>
      <trackRevisions>false</trackRevisions>
    </reviewItem>
    <reviewItem>
      <errorID>b42ed333-1f5a-4516-9efe-f96b9ac28ba2</errorID>
      <errorWord>-</errorWord>
      <group>L1_Format</group>
      <groupName>格式问题</groupName>
      <ability>L2_HalfPunc</ability>
      <abilityName>全半角检查</abilityName>
      <candidateList>
        <item>－</item>
      </candidateList>
      <explain>文本全半角错误。</explain>
      <paraID> 4E8EA22</paraID>
      <start>7</start>
      <end>8</end>
      <status>ignored</status>
      <modifiedWord/>
      <trackRevisions>false</trackRevisions>
    </reviewItem>
    <reviewItem>
      <errorID>7740f469-39ab-4bcc-92a5-df7ad2ce3097</errorID>
      <errorWord>-</errorWord>
      <group>L1_Format</group>
      <groupName>格式问题</groupName>
      <ability>L2_HalfPunc</ability>
      <abilityName>全半角检查</abilityName>
      <candidateList>
        <item>－</item>
      </candidateList>
      <explain>文本全半角错误。</explain>
      <paraID> 4E8EA22</paraID>
      <start>17</start>
      <end>18</end>
      <status>ignored</status>
      <modifiedWord/>
      <trackRevisions>false</trackRevisions>
    </reviewItem>
    <reviewItem>
      <errorID>9c9507fa-7565-4b52-b7c3-e7aa3b7c0566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41489A89</paraID>
      <start>0</start>
      <end>2</end>
      <status>ignored</status>
      <modifiedWord/>
      <trackRevisions>false</trackRevisions>
    </reviewItem>
    <reviewItem>
      <errorID>646d4607-bba0-4347-8dfa-1fd52a8ef8e1</errorID>
      <errorWord>,</errorWord>
      <group>L1_Format</group>
      <groupName>格式问题</groupName>
      <ability>L2_HalfPunc</ability>
      <abilityName>全半角检查</abilityName>
      <candidateList>
        <item>，</item>
      </candidateList>
      <explain>文本全半角错误。</explain>
      <paraID>41489A89</paraID>
      <start>273</start>
      <end>274</end>
      <status>modified</status>
      <modifiedWord>，</modifiedWord>
      <trackRevisions>false</trackRevisions>
    </reviewItem>
    <reviewItem>
      <errorID>179a7164-9d2e-4e8a-8a2e-fdbbc8a6d985</errorID>
      <errorWord>达</errorWord>
      <group>L1_Word</group>
      <groupName>字词问题</groupName>
      <ability>L2_Typo</ability>
      <abilityName>字词错误</abilityName>
      <candidateList>
        <item>达到</item>
      </candidateList>
      <explain>〈动〉到（多指抽象事物或程度）：达得到｜达不到｜目的没有～｜～国际水平。</explain>
      <paraID> D1AD9FE</paraID>
      <start>157</start>
      <end>158</end>
      <status>ignored</status>
      <modifiedWord/>
      <trackRevisions>false</trackRevisions>
    </reviewItem>
    <reviewItem>
      <errorID>3460565d-c4ae-41e8-9f33-0facbec398a9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512309AD</paraID>
      <start>0</start>
      <end>2</end>
      <status>ignored</status>
      <modifiedWord/>
      <trackRevisions>false</trackRevisions>
    </reviewItem>
    <reviewItem>
      <errorID>d77f1623-861b-422e-9125-b8a37750e143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76BDAE35</paraID>
      <start>0</start>
      <end>2</end>
      <status>ignored</status>
      <modifiedWord/>
      <trackRevisions>false</trackRevisions>
    </reviewItem>
    <reviewItem>
      <errorID>d9ee6971-8306-43c2-8a22-49f3a87ce388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7FDB0BA</paraID>
      <start>0</start>
      <end>2</end>
      <status>ignored</status>
      <modifiedWord/>
      <trackRevisions>false</trackRevisions>
    </reviewItem>
    <reviewItem>
      <errorID>0d001bd1-6675-4696-a979-2c7999fdff64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53478B3</paraID>
      <start>0</start>
      <end>2</end>
      <status>ignored</status>
      <modifiedWord/>
      <trackRevisions>false</trackRevisions>
    </reviewItem>
    <reviewItem>
      <errorID>7bcf0b09-5d76-487c-b739-27cdb40d6e1d</errorID>
      <errorWord>（</errorWord>
      <group>L1_Punc</group>
      <groupName>标点问题</groupName>
      <ability>L2_Punc</ability>
      <abilityName>标点符号检查</abilityName>
      <candidateList/>
      <explain>同一形式括号套用。</explain>
      <paraID>7182715C</paraID>
      <start>42</start>
      <end>43</end>
      <status>ignored</status>
      <modifiedWord/>
      <trackRevisions>false</trackRevisions>
    </reviewItem>
    <reviewItem>
      <errorID>7d305aa1-980d-431b-a061-d187d8c4173f</errorID>
      <errorWord>）</errorWord>
      <group>L1_Punc</group>
      <groupName>标点问题</groupName>
      <ability>L2_Punc</ability>
      <abilityName>标点符号检查</abilityName>
      <candidateList/>
      <explain>同一形式括号套用。</explain>
      <paraID>7182715C</paraID>
      <start>47</start>
      <end>48</end>
      <status>ignored</status>
      <modifiedWord/>
      <trackRevisions>false</trackRevisions>
    </reviewItem>
    <reviewItem>
      <errorID>e47b2e49-204e-4b9d-bca4-a63bcbc9c978</errorID>
      <errorWord>，</errorWord>
      <group>L1_Format</group>
      <groupName>格式问题</groupName>
      <ability>L2_HalfPunc</ability>
      <abilityName>全半角检查</abilityName>
      <candidateList>
        <item>,</item>
      </candidateList>
      <explain>文本全半角错误。</explain>
      <paraID>3C9EF6CC</paraID>
      <start>7</start>
      <end>8</end>
      <status>ignored</status>
      <modifiedWord/>
      <trackRevisions>false</trackRevisions>
    </reviewItem>
    <reviewItem>
      <errorID>01d9a60a-ca51-441e-8993-f331848fbd37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36A7C7C3</paraID>
      <start>0</start>
      <end>2</end>
      <status>ignored</status>
      <modifiedWord/>
      <trackRevisions>false</trackRevisions>
    </reviewItem>
    <reviewItem>
      <errorID>2ea57825-9a34-4232-a3d5-f38ceb578eff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7C56448F</paraID>
      <start>0</start>
      <end>2</end>
      <status>ignored</status>
      <modifiedWord/>
      <trackRevisions>false</trackRevisions>
    </reviewItem>
    <reviewItem>
      <errorID>ed44324a-43b8-4895-be76-b4d80b4c0b55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6716CE35</paraID>
      <start>0</start>
      <end>2</end>
      <status>ignored</status>
      <modifiedWord/>
      <trackRevisions>false</trackRevisions>
    </reviewItem>
    <reviewItem>
      <errorID>d5ef4e24-05dc-4d87-9cbd-b0df28960ad6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2B94F85</paraID>
      <start>0</start>
      <end>2</end>
      <status>ignored</status>
      <modifiedWord/>
      <trackRevisions>false</trackRevisions>
    </reviewItem>
    <reviewItem>
      <errorID>787ff593-e393-4ba6-ac8a-2671e5be2ac0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DAA161C</paraID>
      <start>0</start>
      <end>2</end>
      <status>ignored</status>
      <modifiedWord/>
      <trackRevisions>false</trackRevisions>
    </reviewItem>
    <reviewItem>
      <errorID>ff61dab7-f581-4aa3-aef4-11380cda11d0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3E618F60</paraID>
      <start>0</start>
      <end>2</end>
      <status>ignored</status>
      <modifiedWord/>
      <trackRevisions>false</trackRevisions>
    </reviewItem>
    <reviewItem>
      <errorID>06049e10-a7c9-474a-9c93-b552fc972391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675101D8</paraID>
      <start>0</start>
      <end>2</end>
      <status>ignored</status>
      <modifiedWord/>
      <trackRevisions>false</trackRevisions>
    </reviewItem>
    <reviewItem>
      <errorID>58c92101-7020-4da7-9254-9d3d1baaa4bc</errorID>
      <errorWord>-</errorWord>
      <group>L1_Format</group>
      <groupName>格式问题</groupName>
      <ability>L2_HalfPunc</ability>
      <abilityName>全半角检查</abilityName>
      <candidateList>
        <item>－</item>
      </candidateList>
      <explain>文本全半角错误。</explain>
      <paraID>675101D8</paraID>
      <start>3</start>
      <end>4</end>
      <status>ignored</status>
      <modifiedWord/>
      <trackRevisions>false</trackRevisions>
    </reviewItem>
    <reviewItem>
      <errorID>ee94a6be-51ab-49e8-97ba-6e1a2f3c1f71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F690ABF</paraID>
      <start>0</start>
      <end>2</end>
      <status>ignored</status>
      <modifiedWord/>
      <trackRevisions>false</trackRevisions>
    </reviewItem>
    <reviewItem>
      <errorID>3c949011-5b40-460e-8f3b-ca3dceed85df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915C0E2</paraID>
      <start>0</start>
      <end>2</end>
      <status>ignored</status>
      <modifiedWord/>
      <trackRevisions>false</trackRevisions>
    </reviewItem>
    <reviewItem>
      <errorID>5c3614d5-a44e-4e30-a3c9-fd9ce22d3f6e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62DFE73E</paraID>
      <start>0</start>
      <end>2</end>
      <status>ignored</status>
      <modifiedWord/>
      <trackRevisions>false</trackRevisions>
    </reviewItem>
    <reviewItem>
      <errorID>fcf37a34-4818-40ce-b8ec-d26e456277f0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39BB35A</paraID>
      <start>0</start>
      <end>2</end>
      <status>ignored</status>
      <modifiedWord/>
      <trackRevisions>false</trackRevisions>
    </reviewItem>
    <reviewItem>
      <errorID>005c1fe7-e362-4a93-8e2e-dba81698f28e</errorID>
      <errorWord>达</errorWord>
      <group>L1_Word</group>
      <groupName>字词问题</groupName>
      <ability>L2_Typo</ability>
      <abilityName>字词错误</abilityName>
      <candidateList>
        <item>达到</item>
      </candidateList>
      <explain>〈动〉到（多指抽象事物或程度）：达得到｜达不到｜目的没有～｜～国际水平。</explain>
      <paraID>3779E0A9</paraID>
      <start>123</start>
      <end>124</end>
      <status>ignored</status>
      <modifiedWord/>
      <trackRevisions>false</trackRevisions>
    </reviewItem>
    <reviewItem>
      <errorID>801f11fc-3b69-41fa-b2b4-4394ecf825a8</errorID>
      <errorWord>（</errorWord>
      <group>L1_Format</group>
      <groupName>格式问题</groupName>
      <ability>L2_HalfPunc</ability>
      <abilityName>全半角检查</abilityName>
      <candidateList>
        <item>(</item>
      </candidateList>
      <explain>文本全半角错误。</explain>
      <paraID>2BA5D6E5</paraID>
      <start>5</start>
      <end>6</end>
      <status>ignored</status>
      <modifiedWord/>
      <trackRevisions>false</trackRevisions>
    </reviewItem>
    <reviewItem>
      <errorID>6c19c40c-52be-4d89-b774-4755f7ffd363</errorID>
      <errorWord>）</errorWord>
      <group>L1_Format</group>
      <groupName>格式问题</groupName>
      <ability>L2_HalfPunc</ability>
      <abilityName>全半角检查</abilityName>
      <candidateList>
        <item>)</item>
      </candidateList>
      <explain>文本全半角错误。</explain>
      <paraID>2BA5D6E5</paraID>
      <start>11</start>
      <end>12</end>
      <status>ignored</status>
      <modifiedWord/>
      <trackRevisions>false</trackRevisions>
    </reviewItem>
    <reviewItem>
      <errorID>5cac4eb8-b08d-4a55-9094-1ee4634ad21e</errorID>
      <errorWord>47、</errorWord>
      <group>L1_Format</group>
      <groupName>格式问题</groupName>
      <ability>L2_Ordinal</ability>
      <abilityName>序号格式</abilityName>
      <candidateList>
        <item>47.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3C774369</paraID>
      <start>0</start>
      <end>3</end>
      <status>ignored</status>
      <modifiedWord/>
      <trackRevisions>false</trackRevisions>
    </reviewItem>
    <reviewItem>
      <errorID>5fe0e915-8b25-4c7e-b186-01a9db580de4</errorID>
      <errorWord>地下</errorWord>
      <group>L1_Word</group>
      <groupName>字词问题</groupName>
      <ability>L2_Typo</ability>
      <abilityName>字词错误</abilityName>
      <candidateList>
        <item>地效</item>
      </candidateList>
      <explain/>
      <paraID>7A97CDCC</paraID>
      <start>8</start>
      <end>10</end>
      <status>ignored</status>
      <modifiedWord/>
      <trackRevisions>false</trackRevisions>
    </reviewItem>
    <reviewItem>
      <errorID>c5b15e11-4878-4faa-9b65-14a5dcc722aa</errorID>
      <errorWord>污染源源</errorWord>
      <group>L1_Word</group>
      <groupName>字词问题</groupName>
      <ability>L2_Typo</ability>
      <abilityName>字词错误</abilityName>
      <candidateList>
        <item>污染源</item>
      </candidateList>
      <explain/>
      <paraID>6A3AD3EA</paraID>
      <start>3</start>
      <end>7</end>
      <status>ignored</status>
      <modifiedWord/>
      <trackRevisions>false</trackRevisions>
    </reviewItem>
    <reviewItem>
      <errorID>a090c0b1-3340-468c-8ad9-90c24940d758</errorID>
      <errorWord>(</errorWord>
      <group>L1_Format</group>
      <groupName>格式问题</groupName>
      <ability>L2_HalfPunc</ability>
      <abilityName>全半角检查</abilityName>
      <candidateList>
        <item>（</item>
      </candidateList>
      <explain>文本全半角错误。</explain>
      <paraID>4043BEE7</paraID>
      <start>6</start>
      <end>7</end>
      <status>ignored</status>
      <modifiedWord/>
      <trackRevisions>false</trackRevisions>
    </reviewItem>
    <reviewItem>
      <errorID>69f29b70-4ec0-4286-9100-0ad7a98268f4</errorID>
      <errorWord>)</errorWord>
      <group>L1_Format</group>
      <groupName>格式问题</groupName>
      <ability>L2_HalfPunc</ability>
      <abilityName>全半角检查</abilityName>
      <candidateList>
        <item>）</item>
      </candidateList>
      <explain>文本全半角错误。</explain>
      <paraID>4043BEE7</paraID>
      <start>11</start>
      <end>12</end>
      <status>ignored</status>
      <modifiedWord/>
      <trackRevisions>false</trackRevisions>
    </reviewItem>
    <reviewItem>
      <errorID>29e9f082-1cb8-4ab5-a25e-ae437d1eed27</errorID>
      <errorWord>（</errorWord>
      <group>L1_Format</group>
      <groupName>格式问题</groupName>
      <ability>L2_HalfPunc</ability>
      <abilityName>全半角检查</abilityName>
      <candidateList>
        <item>(</item>
      </candidateList>
      <explain>文本全半角错误。</explain>
      <paraID>69779183</paraID>
      <start>0</start>
      <end>1</end>
      <status>ignored</status>
      <modifiedWord/>
      <trackRevisions>false</trackRevisions>
    </reviewItem>
    <reviewItem>
      <errorID>2a2f6b16-0fd6-4888-a457-a5c0ee92b8f9</errorID>
      <errorWord>）</errorWord>
      <group>L1_Format</group>
      <groupName>格式问题</groupName>
      <ability>L2_HalfPunc</ability>
      <abilityName>全半角检查</abilityName>
      <candidateList>
        <item>)</item>
      </candidateList>
      <explain>文本全半角错误。</explain>
      <paraID>69779183</paraID>
      <start>3</start>
      <end>4</end>
      <status>ignored</status>
      <modifiedWord/>
      <trackRevisions>false</trackRevisions>
    </reviewItem>
    <reviewItem>
      <errorID>5de7c88f-dc44-4c71-a699-354a85bf1ce1</errorID>
      <errorWord>(</errorWord>
      <group>L1_Format</group>
      <groupName>格式问题</groupName>
      <ability>L2_HalfPunc</ability>
      <abilityName>全半角检查</abilityName>
      <candidateList>
        <item>（</item>
      </candidateList>
      <explain>文本全半角错误。</explain>
      <paraID>6630D7A1</paraID>
      <start>4</start>
      <end>5</end>
      <status>ignored</status>
      <modifiedWord/>
      <trackRevisions>false</trackRevisions>
    </reviewItem>
    <reviewItem>
      <errorID>4df278d3-ca04-4bce-8a68-a0f30e717860</errorID>
      <errorWord>)</errorWord>
      <group>L1_Format</group>
      <groupName>格式问题</groupName>
      <ability>L2_HalfPunc</ability>
      <abilityName>全半角检查</abilityName>
      <candidateList>
        <item>）</item>
      </candidateList>
      <explain>文本全半角错误。</explain>
      <paraID>6630D7A1</paraID>
      <start>6</start>
      <end>7</end>
      <status>ignored</status>
      <modifiedWord/>
      <trackRevisions>false</trackRevisions>
    </reviewItem>
    <reviewItem>
      <errorID>1c55ecca-6aaa-44f3-acd0-ff0640902e7e</errorID>
      <errorWord>（</errorWord>
      <group>L1_Format</group>
      <groupName>格式问题</groupName>
      <ability>L2_HalfPunc</ability>
      <abilityName>全半角检查</abilityName>
      <candidateList>
        <item>(</item>
      </candidateList>
      <explain>文本全半角错误。</explain>
      <paraID>523074BD</paraID>
      <start>4</start>
      <end>5</end>
      <status>ignored</status>
      <modifiedWord/>
      <trackRevisions>false</trackRevisions>
    </reviewItem>
    <reviewItem>
      <errorID>65c07663-a9e2-494c-8b2f-a339898b0391</errorID>
      <errorWord>）</errorWord>
      <group>L1_Format</group>
      <groupName>格式问题</groupName>
      <ability>L2_HalfPunc</ability>
      <abilityName>全半角检查</abilityName>
      <candidateList>
        <item>)</item>
      </candidateList>
      <explain>文本全半角错误。</explain>
      <paraID>523074BD</paraID>
      <start>6</start>
      <end>7</end>
      <status>ignored</status>
      <modifiedWord/>
      <trackRevisions>false</trackRevisions>
    </reviewItem>
    <reviewItem>
      <errorID>501fd17a-ce6e-4639-8e88-0a1fa0ee2be4</errorID>
      <errorWord>（</errorWord>
      <group>L1_Punc</group>
      <groupName>标点问题</groupName>
      <ability>L2_Punc</ability>
      <abilityName>标点符号检查</abilityName>
      <candidateList/>
      <explain>同一形式括号套用。</explain>
      <paraID>5749CD35</paraID>
      <start>69</start>
      <end>70</end>
      <status>ignored</status>
      <modifiedWord/>
      <trackRevisions>false</trackRevisions>
    </reviewItem>
    <reviewItem>
      <errorID>079ab84f-574e-437b-ab3c-53e89e7b4c0b</errorID>
      <errorWord>）</errorWord>
      <group>L1_Punc</group>
      <groupName>标点问题</groupName>
      <ability>L2_Punc</ability>
      <abilityName>标点符号检查</abilityName>
      <candidateList/>
      <explain>同一形式括号套用。</explain>
      <paraID>5749CD35</paraID>
      <start>71</start>
      <end>72</end>
      <status>ignored</status>
      <modifiedWord/>
      <trackRevisions>false</trackRevisions>
    </reviewItem>
    <reviewItem>
      <errorID>bd9dd25a-d5c3-40f5-8192-a77699b639cb</errorID>
      <errorWord>~</errorWord>
      <group>L1_Format</group>
      <groupName>格式问题</groupName>
      <ability>L2_HalfPunc</ability>
      <abilityName>全半角检查</abilityName>
      <candidateList>
        <item>～</item>
      </candidateList>
      <explain>文本全半角错误。</explain>
      <paraID> CEF1DE6</paraID>
      <start>64</start>
      <end>65</end>
      <status>ignored</status>
      <modifiedWord/>
      <trackRevisions>false</trackRevisions>
    </reviewItem>
    <reviewItem>
      <errorID>c28f3067-f2da-442d-a3bc-3eb9cf10e2d5</errorID>
      <errorWord>（</errorWord>
      <group>L1_Punc</group>
      <groupName>标点问题</groupName>
      <ability>L2_Punc</ability>
      <abilityName>标点符号检查</abilityName>
      <candidateList/>
      <explain>同一形式括号套用。</explain>
      <paraID>130B25D2</paraID>
      <start>72</start>
      <end>73</end>
      <status>ignored</status>
      <modifiedWord/>
      <trackRevisions>false</trackRevisions>
    </reviewItem>
    <reviewItem>
      <errorID>ce1aba0d-1dea-4977-b659-de2863d719ff</errorID>
      <errorWord>）</errorWord>
      <group>L1_Punc</group>
      <groupName>标点问题</groupName>
      <ability>L2_Punc</ability>
      <abilityName>标点符号检查</abilityName>
      <candidateList/>
      <explain>同一形式括号套用。</explain>
      <paraID>130B25D2</paraID>
      <start>74</start>
      <end>75</end>
      <status>ignored</status>
      <modifiedWord/>
      <trackRevisions>false</trackRevisions>
    </reviewItem>
    <reviewItem>
      <errorID>43bc93b6-3e5c-4fe0-8c4c-d921a9307fa5</errorID>
      <errorWord>（</errorWord>
      <group>L1_Punc</group>
      <groupName>标点问题</groupName>
      <ability>L2_Punc</ability>
      <abilityName>标点符号检查</abilityName>
      <candidateList/>
      <explain>同一形式括号套用。</explain>
      <paraID>51A5FD01</paraID>
      <start>78</start>
      <end>79</end>
      <status>ignored</status>
      <modifiedWord/>
      <trackRevisions>false</trackRevisions>
    </reviewItem>
    <reviewItem>
      <errorID>a5dab3f3-8f7b-4dec-ae42-3fd3a5371a87</errorID>
      <errorWord>）</errorWord>
      <group>L1_Punc</group>
      <groupName>标点问题</groupName>
      <ability>L2_Punc</ability>
      <abilityName>标点符号检查</abilityName>
      <candidateList/>
      <explain>同一形式括号套用。</explain>
      <paraID>51A5FD01</paraID>
      <start>80</start>
      <end>81</end>
      <status>ignored</status>
      <modifiedWord/>
      <trackRevisions>false</trackRevisions>
    </reviewItem>
    <reviewItem>
      <errorID>96839bd9-dea2-4828-a25e-d96eb04fd036</errorID>
      <errorWord>-</errorWord>
      <group>L1_Format</group>
      <groupName>格式问题</groupName>
      <ability>L2_HalfPunc</ability>
      <abilityName>全半角检查</abilityName>
      <candidateList>
        <item>－</item>
      </candidateList>
      <explain>文本全半角错误。</explain>
      <paraID>24ACFED9</paraID>
      <start>3</start>
      <end>4</end>
      <status>ignored</status>
      <modifiedWord/>
      <trackRevisions>false</trackRevisions>
    </reviewItem>
    <reviewItem>
      <errorID>51d718b7-cb17-4c0b-8d57-ba587f9f8533</errorID>
      <errorWord>，…，</errorWord>
      <group>L1_Punc</group>
      <groupName>标点问题</groupName>
      <ability>L2_Punc</ability>
      <abilityName>标点符号检查</abilityName>
      <candidateList>
        <item>，</item>
      </candidateList>
      <explain/>
      <paraID>5337AFC0</paraID>
      <start>5</start>
      <end>8</end>
      <status>ignored</status>
      <modifiedWord/>
      <trackRevisions>false</trackRevisions>
    </reviewItem>
    <reviewItem>
      <errorID>eb02452b-577e-4801-bb9f-7fc9201778d3</errorID>
      <errorWord>，…，</errorWord>
      <group>L1_Punc</group>
      <groupName>标点问题</groupName>
      <ability>L2_Punc</ability>
      <abilityName>标点符号检查</abilityName>
      <candidateList>
        <item>，</item>
      </candidateList>
      <explain/>
      <paraID>1A5E49F8</paraID>
      <start>5</start>
      <end>8</end>
      <status>ignored</status>
      <modifiedWord/>
      <trackRevisions>false</trackRevisions>
    </reviewItem>
    <reviewItem>
      <errorID>ef285790-b8d9-456d-bf5b-fa0680a5419f</errorID>
      <errorWord>.是</errorWord>
      <group>L1_Word</group>
      <groupName>字词问题</groupName>
      <ability>L2_Typo</ability>
      <abilityName>字词错误</abilityName>
      <candidateList>
        <item>.</item>
      </candidateList>
      <explain/>
      <paraID>66F6D4FC</paraID>
      <start>1</start>
      <end>3</end>
      <status>ignored</status>
      <modifiedWord/>
      <trackRevisions>false</trackRevisions>
    </reviewItem>
    <reviewItem>
      <errorID>87ebbf41-f19d-4851-b8e1-951461b3fa14</errorID>
      <errorWord>(</errorWord>
      <group>L1_Format</group>
      <groupName>格式问题</groupName>
      <ability>L2_HalfPunc</ability>
      <abilityName>全半角检查</abilityName>
      <candidateList>
        <item>（</item>
      </candidateList>
      <explain>文本全半角错误。</explain>
      <paraID>19EFFF63</paraID>
      <start>2</start>
      <end>3</end>
      <status>ignored</status>
      <modifiedWord/>
      <trackRevisions>false</trackRevisions>
    </reviewItem>
    <reviewItem>
      <errorID>a27ab359-ab0c-4e90-9413-925e57aaed4c</errorID>
      <errorWord>)</errorWord>
      <group>L1_Format</group>
      <groupName>格式问题</groupName>
      <ability>L2_HalfPunc</ability>
      <abilityName>全半角检查</abilityName>
      <candidateList>
        <item>）</item>
      </candidateList>
      <explain>文本全半角错误。</explain>
      <paraID>19EFFF63</paraID>
      <start>4</start>
      <end>5</end>
      <status>ignored</status>
      <modifiedWord/>
      <trackRevisions>false</trackRevisions>
    </reviewItem>
    <reviewItem>
      <errorID>aefa8132-80f6-4b30-b45d-79045482631b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1F6719CF</paraID>
      <start>5</start>
      <end>6</end>
      <status>ignored</status>
      <modifiedWord/>
      <trackRevisions>false</trackRevisions>
    </reviewItem>
    <reviewItem>
      <errorID>07664f48-0718-408f-ad72-b75892a0b85b</errorID>
      <errorWord>(</errorWord>
      <group>L1_Format</group>
      <groupName>格式问题</groupName>
      <ability>L2_HalfPunc</ability>
      <abilityName>全半角检查</abilityName>
      <candidateList>
        <item>（</item>
      </candidateList>
      <explain>文本全半角错误。</explain>
      <paraID>20B9EF53</paraID>
      <start>7</start>
      <end>8</end>
      <status>ignored</status>
      <modifiedWord/>
      <trackRevisions>false</trackRevisions>
    </reviewItem>
    <reviewItem>
      <errorID>64cb3788-6e39-49ea-9695-8b06ef4b1a2a</errorID>
      <errorWord>)</errorWord>
      <group>L1_Format</group>
      <groupName>格式问题</groupName>
      <ability>L2_HalfPunc</ability>
      <abilityName>全半角检查</abilityName>
      <candidateList>
        <item>）</item>
      </candidateList>
      <explain>文本全半角错误。</explain>
      <paraID>20B9EF53</paraID>
      <start>10</start>
      <end>11</end>
      <status>ignored</status>
      <modifiedWord/>
      <trackRevisions>false</trackRevisions>
    </reviewItem>
    <reviewItem>
      <errorID>81c9f011-4dae-456c-94be-316bf9fbdbe1</errorID>
      <errorWord>聚品</errorWord>
      <group>L1_Word</group>
      <groupName>字词问题</groupName>
      <ability>L2_Typo</ability>
      <abilityName>字词错误</abilityName>
      <candidateList>
        <item>聚晶</item>
      </candidateList>
      <explain/>
      <paraID>1C44788A</paraID>
      <start>68</start>
      <end>70</end>
      <status>ignored</status>
      <modifiedWord/>
      <trackRevisions>false</trackRevisions>
    </reviewItem>
    <reviewItem>
      <errorID>ed9a5eb3-e8c1-4e03-a33e-bdc7edf72c7a</errorID>
      <errorWord>：</errorWord>
      <group>L1_Format</group>
      <groupName>格式问题</groupName>
      <ability>L2_HalfPunc</ability>
      <abilityName>全半角检查</abilityName>
      <candidateList>
        <item>:</item>
      </candidateList>
      <explain>文本全半角错误。</explain>
      <paraID>3F2213A2</paraID>
      <start>137</start>
      <end>138</end>
      <status>ignored</status>
      <modifiedWord/>
      <trackRevisions>false</trackRevisions>
    </reviewItem>
    <reviewItem>
      <errorID>bda14957-a9f5-4eab-af84-0dee2647d425</errorID>
      <errorWord>：</errorWord>
      <group>L1_Format</group>
      <groupName>格式问题</groupName>
      <ability>L2_HalfPunc</ability>
      <abilityName>全半角检查</abilityName>
      <candidateList>
        <item>:</item>
      </candidateList>
      <explain>文本全半角错误。</explain>
      <paraID>3F2213A2</paraID>
      <start>150</start>
      <end>151</end>
      <status>ignored</status>
      <modifiedWord/>
      <trackRevisions>false</trackRevisions>
    </reviewItem>
    <reviewItem>
      <errorID>48036a83-dee1-4ac1-87cc-270593d90400</errorID>
      <errorWord>：</errorWord>
      <group>L1_Format</group>
      <groupName>格式问题</groupName>
      <ability>L2_HalfPunc</ability>
      <abilityName>全半角检查</abilityName>
      <candidateList>
        <item>:</item>
      </candidateList>
      <explain>文本全半角错误。</explain>
      <paraID>3F2213A2</paraID>
      <start>162</start>
      <end>163</end>
      <status>ignored</status>
      <modifiedWord/>
      <trackRevisions>false</trackRevisions>
    </reviewItem>
    <reviewItem>
      <errorID>66ac406d-5d2a-4b39-b920-91de9b28231e</errorID>
      <errorWord>：</errorWord>
      <group>L1_Format</group>
      <groupName>格式问题</groupName>
      <ability>L2_HalfPunc</ability>
      <abilityName>全半角检查</abilityName>
      <candidateList>
        <item>:</item>
      </candidateList>
      <explain>文本全半角错误。</explain>
      <paraID>3F2213A2</paraID>
      <start>194</start>
      <end>195</end>
      <status>ignored</status>
      <modifiedWord/>
      <trackRevisions>false</trackRevisions>
    </reviewItem>
    <reviewItem>
      <errorID>c9dd3a64-8a13-4bdd-aee4-5d65d893b000</errorID>
      <errorWord>&lt;</errorWord>
      <group>L1_Format</group>
      <groupName>格式问题</groupName>
      <ability>L2_HalfPunc</ability>
      <abilityName>全半角检查</abilityName>
      <candidateList>
        <item>〈</item>
      </candidateList>
      <explain>文本全半角错误。</explain>
      <paraID>31EA9C91</paraID>
      <start>50</start>
      <end>51</end>
      <status>ignored</status>
      <modifiedWord/>
      <trackRevisions>false</trackRevisions>
    </reviewItem>
    <reviewItem>
      <errorID>2f0ff92c-1c31-4142-9b2b-1a1bf9f8e7b3</errorID>
      <errorWord>&gt;</errorWord>
      <group>L1_Format</group>
      <groupName>格式问题</groupName>
      <ability>L2_HalfPunc</ability>
      <abilityName>全半角检查</abilityName>
      <candidateList>
        <item>〉</item>
      </candidateList>
      <explain>文本全半角错误。</explain>
      <paraID>31EA9C91</paraID>
      <start>87</start>
      <end>88</end>
      <status>ignored</status>
      <modifiedWord/>
      <trackRevisions>false</trackRevisions>
    </reviewItem>
    <reviewItem>
      <errorID>f755499d-b7ae-40bc-805d-613d09b13325</errorID>
      <errorWord>&lt;</errorWord>
      <group>L1_Format</group>
      <groupName>格式问题</groupName>
      <ability>L2_HalfPunc</ability>
      <abilityName>全半角检查</abilityName>
      <candidateList>
        <item>〈</item>
      </candidateList>
      <explain>文本全半角错误。</explain>
      <paraID>31EA9C91</paraID>
      <start>163</start>
      <end>164</end>
      <status>ignored</status>
      <modifiedWord/>
      <trackRevisions>false</trackRevisions>
    </reviewItem>
    <reviewItem>
      <errorID>baa5ca06-dfd7-4167-a5da-8ff5e9a3fd03</errorID>
      <errorWord>&gt;</errorWord>
      <group>L1_Format</group>
      <groupName>格式问题</groupName>
      <ability>L2_HalfPunc</ability>
      <abilityName>全半角检查</abilityName>
      <candidateList>
        <item>〉</item>
      </candidateList>
      <explain>文本全半角错误。</explain>
      <paraID>31EA9C91</paraID>
      <start>200</start>
      <end>201</end>
      <status>ignored</status>
      <modifiedWord/>
      <trackRevisions>false</trackRevisions>
    </reviewItem>
    <reviewItem>
      <errorID>d8c7b177-9166-4e2f-bb6e-484847d38fbc</errorID>
      <errorWord>&lt;</errorWord>
      <group>L1_Format</group>
      <groupName>格式问题</groupName>
      <ability>L2_HalfPunc</ability>
      <abilityName>全半角检查</abilityName>
      <candidateList>
        <item>〈</item>
      </candidateList>
      <explain>文本全半角错误。</explain>
      <paraID>2DA54BC4</paraID>
      <start>51</start>
      <end>52</end>
      <status>ignored</status>
      <modifiedWord/>
      <trackRevisions>false</trackRevisions>
    </reviewItem>
    <reviewItem>
      <errorID>ba8d5758-e673-4a04-bd5c-6184f41cf25f</errorID>
      <errorWord>&gt;</errorWord>
      <group>L1_Format</group>
      <groupName>格式问题</groupName>
      <ability>L2_HalfPunc</ability>
      <abilityName>全半角检查</abilityName>
      <candidateList>
        <item>〉</item>
      </candidateList>
      <explain>文本全半角错误。</explain>
      <paraID>2DA54BC4</paraID>
      <start>81</start>
      <end>82</end>
      <status>ignored</status>
      <modifiedWord/>
      <trackRevisions>false</trackRevisions>
    </reviewItem>
    <reviewItem>
      <errorID>ec27dc2b-526c-4b4d-8666-0c6638d0c9a4</errorID>
      <errorWord>达</errorWord>
      <group>L1_Word</group>
      <groupName>字词问题</groupName>
      <ability>L2_Typo</ability>
      <abilityName>字词错误</abilityName>
      <candidateList>
        <item>达到</item>
      </candidateList>
      <explain>〈动〉到（多指抽象事物或程度）：达得到｜达不到｜目的没有～｜～国际水平。</explain>
      <paraID>60C3541F</paraID>
      <start>72</start>
      <end>73</end>
      <status>ignored</status>
      <modifiedWord/>
      <trackRevisions>false</trackRevisions>
    </reviewItem>
    <reviewItem>
      <errorID>7b936d9f-aa0e-4271-93c3-f2eac4059bcb</errorID>
      <errorWord>达</errorWord>
      <group>L1_Word</group>
      <groupName>字词问题</groupName>
      <ability>L2_Typo</ability>
      <abilityName>字词错误</abilityName>
      <candidateList>
        <item>达到</item>
      </candidateList>
      <explain>〈动〉到（多指抽象事物或程度）：达得到｜达不到｜目的没有～｜～国际水平。</explain>
      <paraID> 2783D33</paraID>
      <start>73</start>
      <end>74</end>
      <status>ignored</status>
      <modifiedWord/>
      <trackRevisions>false</trackRevisions>
    </reviewItem>
    <reviewItem>
      <errorID>372e23eb-c851-4566-92db-08664ec26b78</errorID>
      <errorWord>（</errorWord>
      <group>L1_Punc</group>
      <groupName>标点问题</groupName>
      <ability>L2_Punc</ability>
      <abilityName>标点符号检查</abilityName>
      <candidateList/>
      <explain>同一形式括号套用。</explain>
      <paraID>51496317</paraID>
      <start>39</start>
      <end>40</end>
      <status>ignored</status>
      <modifiedWord/>
      <trackRevisions>false</trackRevisions>
    </reviewItem>
    <reviewItem>
      <errorID>c893ef5e-f18b-4ab7-9b10-47904a1bdd00</errorID>
      <errorWord>）</errorWord>
      <group>L1_Punc</group>
      <groupName>标点问题</groupName>
      <ability>L2_Punc</ability>
      <abilityName>标点符号检查</abilityName>
      <candidateList/>
      <explain>同一形式括号套用。</explain>
      <paraID>51496317</paraID>
      <start>44</start>
      <end>45</end>
      <status>ignored</status>
      <modifiedWord/>
      <trackRevisions>false</trackRevisions>
    </reviewItem>
    <reviewItem>
      <errorID>484c681d-1a5c-4212-8891-2427314a369b</errorID>
      <errorWord>（</errorWord>
      <group>L1_Punc</group>
      <groupName>标点问题</groupName>
      <ability>L2_Punc</ability>
      <abilityName>标点符号检查</abilityName>
      <candidateList/>
      <explain>同一形式括号套用。</explain>
      <paraID>427D9A0F</paraID>
      <start>27</start>
      <end>28</end>
      <status>ignored</status>
      <modifiedWord/>
      <trackRevisions>false</trackRevisions>
    </reviewItem>
    <reviewItem>
      <errorID>0d7ce15f-f551-4589-83eb-3cd0e716f2e9</errorID>
      <errorWord>）</errorWord>
      <group>L1_Punc</group>
      <groupName>标点问题</groupName>
      <ability>L2_Punc</ability>
      <abilityName>标点符号检查</abilityName>
      <candidateList/>
      <explain>同一形式括号套用。</explain>
      <paraID>427D9A0F</paraID>
      <start>30</start>
      <end>31</end>
      <status>ignored</status>
      <modifiedWord/>
      <trackRevisions>false</trackRevisions>
    </reviewItem>
    <reviewItem>
      <errorID>b1257e6c-ca5b-43f3-a1b7-dee96fbfb26e</errorID>
      <errorWord>（</errorWord>
      <group>L1_Punc</group>
      <groupName>标点问题</groupName>
      <ability>L2_Punc</ability>
      <abilityName>标点符号检查</abilityName>
      <candidateList/>
      <explain>同一形式括号套用。</explain>
      <paraID>427D9A0F</paraID>
      <start>33</start>
      <end>34</end>
      <status>ignored</status>
      <modifiedWord/>
      <trackRevisions>false</trackRevisions>
    </reviewItem>
    <reviewItem>
      <errorID>c3d0d795-5dd9-4598-9cbe-c862754ce020</errorID>
      <errorWord>）</errorWord>
      <group>L1_Punc</group>
      <groupName>标点问题</groupName>
      <ability>L2_Punc</ability>
      <abilityName>标点符号检查</abilityName>
      <candidateList/>
      <explain>同一形式括号套用。</explain>
      <paraID>427D9A0F</paraID>
      <start>36</start>
      <end>37</end>
      <status>ignored</status>
      <modifiedWord/>
      <trackRevisions>false</trackRevisions>
    </reviewItem>
    <reviewItem>
      <errorID>df1ed771-c511-4ccc-bcb2-7e36ae4f4608</errorID>
      <errorWord>（</errorWord>
      <group>L1_Punc</group>
      <groupName>标点问题</groupName>
      <ability>L2_Punc</ability>
      <abilityName>标点符号检查</abilityName>
      <candidateList/>
      <explain>同一形式括号套用。</explain>
      <paraID>427D9A0F</paraID>
      <start>39</start>
      <end>40</end>
      <status>ignored</status>
      <modifiedWord/>
      <trackRevisions>false</trackRevisions>
    </reviewItem>
    <reviewItem>
      <errorID>18a4ed8c-8cd3-43ee-ad5f-5ff7864636cb</errorID>
      <errorWord>）</errorWord>
      <group>L1_Punc</group>
      <groupName>标点问题</groupName>
      <ability>L2_Punc</ability>
      <abilityName>标点符号检查</abilityName>
      <candidateList/>
      <explain>同一形式括号套用。</explain>
      <paraID>427D9A0F</paraID>
      <start>42</start>
      <end>43</end>
      <status>ignored</status>
      <modifiedWord/>
      <trackRevisions>false</trackRevisions>
    </reviewItem>
    <reviewItem>
      <errorID>0c6b786b-074f-4643-b460-fc58bc3cde7f</errorID>
      <errorWord>（</errorWord>
      <group>L1_Punc</group>
      <groupName>标点问题</groupName>
      <ability>L2_Punc</ability>
      <abilityName>标点符号检查</abilityName>
      <candidateList/>
      <explain>同一形式括号套用。</explain>
      <paraID>427D9A0F</paraID>
      <start>45</start>
      <end>46</end>
      <status>ignored</status>
      <modifiedWord/>
      <trackRevisions>false</trackRevisions>
    </reviewItem>
    <reviewItem>
      <errorID>52e88e70-7542-4ac1-9516-87924afc76b7</errorID>
      <errorWord>）</errorWord>
      <group>L1_Punc</group>
      <groupName>标点问题</groupName>
      <ability>L2_Punc</ability>
      <abilityName>标点符号检查</abilityName>
      <candidateList/>
      <explain>同一形式括号套用。</explain>
      <paraID>427D9A0F</paraID>
      <start>48</start>
      <end>49</end>
      <status>ignored</status>
      <modifiedWord/>
      <trackRevisions>false</trackRevisions>
    </reviewItem>
    <reviewItem>
      <errorID>d2346fc1-d712-4fdc-b443-bb162c0111b0</errorID>
      <errorWord>（</errorWord>
      <group>L1_Punc</group>
      <groupName>标点问题</groupName>
      <ability>L2_Punc</ability>
      <abilityName>标点符号检查</abilityName>
      <candidateList/>
      <explain>同一形式括号套用。</explain>
      <paraID>427D9A0F</paraID>
      <start>51</start>
      <end>52</end>
      <status>ignored</status>
      <modifiedWord/>
      <trackRevisions>false</trackRevisions>
    </reviewItem>
    <reviewItem>
      <errorID>8b3ec3ba-462d-442a-ac4c-dc0ed9d68166</errorID>
      <errorWord>）</errorWord>
      <group>L1_Punc</group>
      <groupName>标点问题</groupName>
      <ability>L2_Punc</ability>
      <abilityName>标点符号检查</abilityName>
      <candidateList/>
      <explain>同一形式括号套用。</explain>
      <paraID>427D9A0F</paraID>
      <start>54</start>
      <end>55</end>
      <status>ignored</status>
      <modifiedWord/>
      <trackRevisions>false</trackRevisions>
    </reviewItem>
    <reviewItem>
      <errorID>b6be1e3e-b694-489b-81d0-3ad30a348b2b</errorID>
      <errorWord>（</errorWord>
      <group>L1_Punc</group>
      <groupName>标点问题</groupName>
      <ability>L2_Punc</ability>
      <abilityName>标点符号检查</abilityName>
      <candidateList/>
      <explain>同一形式括号套用。</explain>
      <paraID>427D9A0F</paraID>
      <start>57</start>
      <end>58</end>
      <status>ignored</status>
      <modifiedWord/>
      <trackRevisions>false</trackRevisions>
    </reviewItem>
    <reviewItem>
      <errorID>0906fc6e-e14a-4bbd-b56f-562ded9d6292</errorID>
      <errorWord>）</errorWord>
      <group>L1_Punc</group>
      <groupName>标点问题</groupName>
      <ability>L2_Punc</ability>
      <abilityName>标点符号检查</abilityName>
      <candidateList/>
      <explain>同一形式括号套用。</explain>
      <paraID>427D9A0F</paraID>
      <start>60</start>
      <end>61</end>
      <status>ignored</status>
      <modifiedWord/>
      <trackRevisions>false</trackRevisions>
    </reviewItem>
    <reviewItem>
      <errorID>5fd62ba8-f3ec-47c5-be6b-b4e4ca40c049</errorID>
      <errorWord>（</errorWord>
      <group>L1_Punc</group>
      <groupName>标点问题</groupName>
      <ability>L2_Punc</ability>
      <abilityName>标点符号检查</abilityName>
      <candidateList/>
      <explain>同一形式括号套用。</explain>
      <paraID>427D9A0F</paraID>
      <start>63</start>
      <end>64</end>
      <status>ignored</status>
      <modifiedWord/>
      <trackRevisions>false</trackRevisions>
    </reviewItem>
    <reviewItem>
      <errorID>70b0e161-af27-4b67-a30d-400626cc309a</errorID>
      <errorWord>）</errorWord>
      <group>L1_Punc</group>
      <groupName>标点问题</groupName>
      <ability>L2_Punc</ability>
      <abilityName>标点符号检查</abilityName>
      <candidateList/>
      <explain>同一形式括号套用。</explain>
      <paraID>427D9A0F</paraID>
      <start>66</start>
      <end>67</end>
      <status>ignored</status>
      <modifiedWord/>
      <trackRevisions>false</trackRevisions>
    </reviewItem>
    <reviewItem>
      <errorID>c8c6e0d7-9a4f-425c-a967-70ee0a0c364c</errorID>
      <errorWord>：</errorWord>
      <group>L1_Format</group>
      <groupName>格式问题</groupName>
      <ability>L2_HalfPunc</ability>
      <abilityName>全半角检查</abilityName>
      <candidateList>
        <item>:</item>
      </candidateList>
      <explain>文本全半角错误。</explain>
      <paraID> 1D49E12</paraID>
      <start>113</start>
      <end>114</end>
      <status>ignored</status>
      <modifiedWord/>
      <trackRevisions>false</trackRevisions>
    </reviewItem>
    <reviewItem>
      <errorID>2b7beceb-d8fd-4120-bff6-d3bdecbc15af</errorID>
      <errorWord>：</errorWord>
      <group>L1_Format</group>
      <groupName>格式问题</groupName>
      <ability>L2_HalfPunc</ability>
      <abilityName>全半角检查</abilityName>
      <candidateList>
        <item>:</item>
      </candidateList>
      <explain>文本全半角错误。</explain>
      <paraID> 1D49E12</paraID>
      <start>117</start>
      <end>118</end>
      <status>ignored</status>
      <modifiedWord/>
      <trackRevisions>false</trackRevisions>
    </reviewItem>
    <reviewItem>
      <errorID>5c628779-b8ca-4bb6-b52e-07d0ba84a365</errorID>
      <errorWord>：</errorWord>
      <group>L1_Format</group>
      <groupName>格式问题</groupName>
      <ability>L2_HalfPunc</ability>
      <abilityName>全半角检查</abilityName>
      <candidateList>
        <item>:</item>
      </candidateList>
      <explain>文本全半角错误。</explain>
      <paraID> 1D49E12</paraID>
      <start>121</start>
      <end>122</end>
      <status>ignored</status>
      <modifiedWord/>
      <trackRevisions>false</trackRevisions>
    </reviewItem>
    <reviewItem>
      <errorID>247e9e3c-3206-47f2-8c85-975ef362c419</errorID>
      <errorWord>：</errorWord>
      <group>L1_Format</group>
      <groupName>格式问题</groupName>
      <ability>L2_HalfPunc</ability>
      <abilityName>全半角检查</abilityName>
      <candidateList>
        <item>:</item>
      </candidateList>
      <explain>文本全半角错误。</explain>
      <paraID> 1D49E12</paraID>
      <start>253</start>
      <end>254</end>
      <status>ignored</status>
      <modifiedWord/>
      <trackRevisions>false</trackRevisions>
    </reviewItem>
    <reviewItem>
      <errorID>3a534c0a-6d52-476f-86c9-278596dde2a0</errorID>
      <errorWord>：</errorWord>
      <group>L1_Format</group>
      <groupName>格式问题</groupName>
      <ability>L2_HalfPunc</ability>
      <abilityName>全半角检查</abilityName>
      <candidateList>
        <item>:</item>
      </candidateList>
      <explain>文本全半角错误。</explain>
      <paraID> 1D49E12</paraID>
      <start>257</start>
      <end>258</end>
      <status>ignored</status>
      <modifiedWord/>
      <trackRevisions>false</trackRevisions>
    </reviewItem>
    <reviewItem>
      <errorID>925ba1dc-8ef9-4347-8f90-e1fb8b8e0568</errorID>
      <errorWord>：</errorWord>
      <group>L1_Format</group>
      <groupName>格式问题</groupName>
      <ability>L2_HalfPunc</ability>
      <abilityName>全半角检查</abilityName>
      <candidateList>
        <item>:</item>
      </candidateList>
      <explain>文本全半角错误。</explain>
      <paraID> 1D49E12</paraID>
      <start>261</start>
      <end>262</end>
      <status>ignored</status>
      <modifiedWord/>
      <trackRevisions>false</trackRevisions>
    </reviewItem>
    <reviewItem>
      <errorID>a0a3495d-c8d5-475d-9a70-15472fa7fc81</errorID>
      <errorWord>，</errorWord>
      <group>L1_Word</group>
      <groupName>字词问题</groupName>
      <ability>L2_Typo</ability>
      <abilityName>字词错误</abilityName>
      <candidateList>
        <item>，是</item>
      </candidateList>
      <explain/>
      <paraID> 4485CA8</paraID>
      <start>61</start>
      <end>62</end>
      <status>ignored</status>
      <modifiedWord/>
      <trackRevisions>false</trackRevisions>
    </reviewItem>
    <reviewItem>
      <errorID>6fcadd81-2f05-4c71-9f9b-383f95a553d0</errorID>
      <errorWord>吸入其</errorWord>
      <group>L1_Word</group>
      <groupName>字词问题</groupName>
      <ability>L2_Typo</ability>
      <abilityName>字词错误</abilityName>
      <candidateList>
        <item>吸入</item>
      </candidateList>
      <explain/>
      <paraID>23BBDB22</paraID>
      <start>34</start>
      <end>37</end>
      <status>ignored</status>
      <modifiedWord/>
      <trackRevisions>false</trackRevisions>
    </reviewItem>
    <reviewItem>
      <errorID>a7f43646-2193-42e7-aa07-3e68e88a9f2a</errorID>
      <errorWord>：</errorWord>
      <group>L1_Format</group>
      <groupName>格式问题</groupName>
      <ability>L2_HalfPunc</ability>
      <abilityName>全半角检查</abilityName>
      <candidateList>
        <item>:</item>
      </candidateList>
      <explain>文本全半角错误。</explain>
      <paraID>78D26E61</paraID>
      <start>7</start>
      <end>8</end>
      <status>ignored</status>
      <modifiedWord/>
      <trackRevisions>false</trackRevisions>
    </reviewItem>
    <reviewItem>
      <errorID>d4ab6443-9a46-4df5-84d9-a6b37bf4366c</errorID>
      <errorWord>：</errorWord>
      <group>L1_Format</group>
      <groupName>格式问题</groupName>
      <ability>L2_HalfPunc</ability>
      <abilityName>全半角检查</abilityName>
      <candidateList>
        <item>:</item>
      </candidateList>
      <explain>文本全半角错误。</explain>
      <paraID>78D26E61</paraID>
      <start>28</start>
      <end>29</end>
      <status>ignored</status>
      <modifiedWord/>
      <trackRevisions>false</trackRevisions>
    </reviewItem>
    <reviewItem>
      <errorID>0ad0b84b-029c-45a0-b2ce-255cfd79065a</errorID>
      <errorWord>~</errorWord>
      <group>L1_Format</group>
      <groupName>格式问题</groupName>
      <ability>L2_HalfPunc</ability>
      <abilityName>全半角检查</abilityName>
      <candidateList>
        <item>～</item>
      </candidateList>
      <explain>文本全半角错误。</explain>
      <paraID>224A024F</paraID>
      <start>33</start>
      <end>34</end>
      <status>ignored</status>
      <modifiedWord/>
      <trackRevisions>false</trackRevisions>
    </reviewItem>
    <reviewItem>
      <errorID>2b5e8fb0-f9dc-45d2-8f95-a30abe26fc62</errorID>
      <errorWord>，</errorWord>
      <group>L1_Format</group>
      <groupName>格式问题</groupName>
      <ability>L2_HalfPunc</ability>
      <abilityName>全半角检查</abilityName>
      <candidateList>
        <item>, </item>
      </candidateList>
      <explain>文本全半角错误。</explain>
      <paraID>77DEFA10</paraID>
      <start>11</start>
      <end>12</end>
      <status>ignored</status>
      <modifiedWord/>
      <trackRevisions>false</trackRevisions>
    </reviewItem>
    <reviewItem>
      <errorID>285da495-92a2-4513-a21a-2432fcf87f0c</errorID>
      <errorWord>达</errorWord>
      <group>L1_Word</group>
      <groupName>字词问题</groupName>
      <ability>L2_Typo</ability>
      <abilityName>字词错误</abilityName>
      <candidateList>
        <item>达到</item>
      </candidateList>
      <explain>〈动〉到（多指抽象事物或程度）：达得到｜达不到｜目的没有～｜～国际水平。</explain>
      <paraID>323E1381</paraID>
      <start>98</start>
      <end>99</end>
      <status>ignored</status>
      <modifiedWord/>
      <trackRevisions>false</trackRevisions>
    </reviewItem>
    <reviewItem>
      <errorID>a9fa9357-19b6-45ac-9781-4a6d197fd94b</errorID>
      <errorWord>~</errorWord>
      <group>L1_Format</group>
      <groupName>格式问题</groupName>
      <ability>L2_HalfPunc</ability>
      <abilityName>全半角检查</abilityName>
      <candidateList>
        <item>～</item>
      </candidateList>
      <explain>文本全半角错误。</explain>
      <paraID>1A8828E0</paraID>
      <start>10</start>
      <end>11</end>
      <status>ignored</status>
      <modifiedWord/>
      <trackRevisions>false</trackRevisions>
    </reviewItem>
    <reviewItem>
      <errorID>bfdd009e-8d6e-4fba-8b00-70cf16e1a2a4</errorID>
      <errorWord>平土</errorWord>
      <group>L1_Word</group>
      <groupName>字词问题</groupName>
      <ability>L2_Typo</ability>
      <abilityName>字词错误</abilityName>
      <candidateList>
        <item>平面</item>
      </candidateList>
      <explain/>
      <paraID>141FCF7D</paraID>
      <start>41</start>
      <end>43</end>
      <status>ignored</status>
      <modifiedWord/>
      <trackRevisions>false</trackRevisions>
    </reviewItem>
    <reviewItem>
      <errorID>4361cb73-cf3d-4d94-81a5-e523c3ef3729</errorID>
      <errorWord>达</errorWord>
      <group>L1_Word</group>
      <groupName>字词问题</groupName>
      <ability>L2_Typo</ability>
      <abilityName>字词错误</abilityName>
      <candidateList>
        <item>达到</item>
      </candidateList>
      <explain>〈动〉到（多指抽象事物或程度）：达得到｜达不到｜目的没有～｜～国际水平。</explain>
      <paraID>5D384AEA</paraID>
      <start>119</start>
      <end>120</end>
      <status>ignored</status>
      <modifiedWord/>
      <trackRevisions>false</trackRevisions>
    </reviewItem>
    <reviewItem>
      <errorID>400bb3d9-35e2-4b16-8e27-36655c36ab67</errorID>
      <errorWord>施工期</errorWord>
      <group>L1_Word</group>
      <groupName>字词问题</groupName>
      <ability>L2_Typo</ability>
      <abilityName>字词错误</abilityName>
      <candidateList>
        <item>施工</item>
      </candidateList>
      <explain>〈动〉按照设计的规格和要求建筑房屋、桥梁、道路、水利工程等。</explain>
      <paraID>51A02937</paraID>
      <start>39</start>
      <end>42</end>
      <status>ignored</status>
      <modifiedWord/>
      <trackRevisions>false</trackRevisions>
    </reviewItem>
    <reviewItem>
      <errorID>046128b6-9322-426f-b862-45c8611c0962</errorID>
      <errorWord>)</errorWord>
      <group>L1_Format</group>
      <groupName>格式问题</groupName>
      <ability>L2_HalfPunc</ability>
      <abilityName>全半角检查</abilityName>
      <candidateList>
        <item>）</item>
      </candidateList>
      <explain>文本全半角错误。</explain>
      <paraID>4DE414F3</paraID>
      <start>74</start>
      <end>75</end>
      <status>ignored</status>
      <modifiedWord/>
      <trackRevisions>false</trackRevisions>
    </reviewItem>
    <reviewItem>
      <errorID>3603d022-e02e-4f19-8a6b-4d7623e025ad</errorID>
      <errorWord>建筑工地</errorWord>
      <group>L1_Word</group>
      <groupName>字词问题</groupName>
      <ability>L2_Typo</ability>
      <abilityName>字词错误</abilityName>
      <candidateList>
        <item>建筑场地</item>
      </candidateList>
      <explain/>
      <paraID>36AD782A</paraID>
      <start>75</start>
      <end>79</end>
      <status>ignored</status>
      <modifiedWord/>
      <trackRevisions>false</trackRevisions>
    </reviewItem>
    <reviewItem>
      <errorID>44465cac-b1a3-4480-a07f-0725abf8c72a</errorID>
      <errorWord>土方的</errorWord>
      <group>L1_Word</group>
      <groupName>字词问题</groupName>
      <ability>L2_Typo</ability>
      <abilityName>字词错误</abilityName>
      <candidateList>
        <item>土方</item>
      </candidateList>
      <explain/>
      <paraID>20533D2B</paraID>
      <start>18</start>
      <end>21</end>
      <status>ignored</status>
      <modifiedWord/>
      <trackRevisions>false</trackRevisions>
    </reviewItem>
    <reviewItem>
      <errorID>838452b3-d092-4772-9d32-a144bf7f5e7f</errorID>
      <errorWord>其它</errorWord>
      <group>L1_Word</group>
      <groupName>字词问题</groupName>
      <ability>L2_Alias</ability>
      <abilityName>也作/曾用词</abilityName>
      <candidateList>
        <item>其他</item>
      </candidateList>
      <explain>词汇[其它]为不规范表述或旧称，其规范书面表述为[其他]。</explain>
      <paraID>21628132</paraID>
      <start>4</start>
      <end>6</end>
      <status>ignored</status>
      <modifiedWord/>
      <trackRevisions>false</trackRevisions>
    </reviewItem>
    <reviewItem>
      <errorID>ca1f71e3-7061-4702-b9af-ea2805ebb057</errorID>
      <errorWord>组分</errorWord>
      <group>L1_Word</group>
      <groupName>字词问题</groupName>
      <ability>L2_Typo</ability>
      <abilityName>字词错误</abilityName>
      <candidateList>
        <item>组份</item>
      </candidateList>
      <explain/>
      <paraID>5B031CCD</paraID>
      <start>40</start>
      <end>42</end>
      <status>modified</status>
      <modifiedWord>组份</modifiedWord>
      <trackRevisions>false</trackRevisions>
    </reviewItem>
    <reviewItem>
      <errorID>56889f02-d44e-4e71-b050-9774eada34a1</errorID>
      <errorWord>～</errorWord>
      <group>L1_Format</group>
      <groupName>格式问题</groupName>
      <ability>L2_HalfPunc</ability>
      <abilityName>全半角检查</abilityName>
      <candidateList>
        <item>~</item>
      </candidateList>
      <explain>文本全半角错误。</explain>
      <paraID>57541C2D</paraID>
      <start>2</start>
      <end>3</end>
      <status>ignored</status>
      <modifiedWord/>
      <trackRevisions>false</trackRevisions>
    </reviewItem>
    <reviewItem>
      <errorID>c04f7a34-2eb5-4899-be75-919c0ea4b361</errorID>
      <errorWord>～</errorWord>
      <group>L1_Format</group>
      <groupName>格式问题</groupName>
      <ability>L2_HalfPunc</ability>
      <abilityName>全半角检查</abilityName>
      <candidateList>
        <item>~</item>
      </candidateList>
      <explain>文本全半角错误。</explain>
      <paraID>7FBD03CC</paraID>
      <start>2</start>
      <end>3</end>
      <status>ignored</status>
      <modifiedWord/>
      <trackRevisions>false</trackRevisions>
    </reviewItem>
    <reviewItem>
      <errorID>3cdc7351-0b44-430b-9092-32ec08fee774</errorID>
      <errorWord>～</errorWord>
      <group>L1_Format</group>
      <groupName>格式问题</groupName>
      <ability>L2_HalfPunc</ability>
      <abilityName>全半角检查</abilityName>
      <candidateList>
        <item>~</item>
      </candidateList>
      <explain>文本全半角错误。</explain>
      <paraID>2BC7E414</paraID>
      <start>2</start>
      <end>3</end>
      <status>ignored</status>
      <modifiedWord/>
      <trackRevisions>false</trackRevisions>
    </reviewItem>
    <reviewItem>
      <errorID>212f29b0-80e2-4d47-a905-066426338904</errorID>
      <errorWord>～</errorWord>
      <group>L1_Format</group>
      <groupName>格式问题</groupName>
      <ability>L2_HalfPunc</ability>
      <abilityName>全半角检查</abilityName>
      <candidateList>
        <item>~</item>
      </candidateList>
      <explain>文本全半角错误。</explain>
      <paraID>29CD6214</paraID>
      <start>2</start>
      <end>3</end>
      <status>ignored</status>
      <modifiedWord/>
      <trackRevisions>false</trackRevisions>
    </reviewItem>
    <reviewItem>
      <errorID>c2419449-5b9a-4b2d-946e-13745238bd96</errorID>
      <errorWord>～</errorWord>
      <group>L1_Format</group>
      <groupName>格式问题</groupName>
      <ability>L2_HalfPunc</ability>
      <abilityName>全半角检查</abilityName>
      <candidateList>
        <item>~</item>
      </candidateList>
      <explain>文本全半角错误。</explain>
      <paraID>3380283D</paraID>
      <start>2</start>
      <end>3</end>
      <status>ignored</status>
      <modifiedWord/>
      <trackRevisions>false</trackRevisions>
    </reviewItem>
    <reviewItem>
      <errorID>db61af2b-a2f0-41b3-b035-3867283856bf</errorID>
      <errorWord>～</errorWord>
      <group>L1_Format</group>
      <groupName>格式问题</groupName>
      <ability>L2_HalfPunc</ability>
      <abilityName>全半角检查</abilityName>
      <candidateList>
        <item>~</item>
      </candidateList>
      <explain>文本全半角错误。</explain>
      <paraID>72F0C012</paraID>
      <start>2</start>
      <end>3</end>
      <status>ignored</status>
      <modifiedWord/>
      <trackRevisions>false</trackRevisions>
    </reviewItem>
    <reviewItem>
      <errorID>1799819d-ee78-427a-932d-6bd109aaf9f9</errorID>
      <errorWord>洒</errorWord>
      <group>L1_Word</group>
      <groupName>字词问题</groupName>
      <ability>L2_Typo</ability>
      <abilityName>字词错误</abilityName>
      <candidateList>
        <item>撒</item>
      </candidateList>
      <explain>存在发音相同字词的误用。</explain>
      <paraID>73DE4307</paraID>
      <start>108</start>
      <end>109</end>
      <status>modified</status>
      <modifiedWord>撒</modifiedWord>
      <trackRevisions>false</trackRevisions>
    </reviewItem>
    <reviewItem>
      <errorID>028a0bd4-2124-4c7e-86af-aa666354ea3b</errorID>
      <errorWord>期</errorWord>
      <group>L1_Word</group>
      <groupName>字词问题</groupName>
      <ability>L2_Typo</ability>
      <abilityName>字词错误</abilityName>
      <candidateList>
        <item>期间</item>
      </candidateList>
      <explain>〈名〉某个时期里面：农忙～｜春节～｜抗战～。</explain>
      <paraID> 9D079AD</paraID>
      <start>3</start>
      <end>4</end>
      <status>ignored</status>
      <modifiedWord/>
      <trackRevisions>false</trackRevisions>
    </reviewItem>
    <reviewItem>
      <errorID>801aebdb-a6de-4e40-9b88-c34ec40d389d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BBC9E71</paraID>
      <start>172</start>
      <end>173</end>
      <status>ignored</status>
      <modifiedWord/>
      <trackRevisions>false</trackRevisions>
    </reviewItem>
    <reviewItem>
      <errorID>847d712e-f921-4cc3-a3cf-77c26943f190</errorID>
      <errorWord>破碎破碎</errorWord>
      <group>L1_Word</group>
      <groupName>字词问题</groupName>
      <ability>L2_Typo</ability>
      <abilityName>字词错误</abilityName>
      <candidateList>
        <item>破碎</item>
      </candidateList>
      <explain/>
      <paraID>3E673DFA</paraID>
      <start>1</start>
      <end>3</end>
      <status>modified</status>
      <modifiedWord>破碎</modifiedWord>
      <trackRevisions>false</trackRevisions>
    </reviewItem>
    <reviewItem>
      <errorID>9df6c221-cd94-4c5a-a8e3-1fee09276b8a</errorID>
      <errorWord>是由于钢球本身自重而向下滑动所引起的</errorWord>
      <group>L1_Grammar</group>
      <groupName>语法问题</groupName>
      <ability>L2_Grammar</ability>
      <abilityName>语法错误</abilityName>
      <candidateList>
        <item>是由于钢球本身自重而向下滑动所</item>
      </candidateList>
      <explain/>
      <paraID>6DE52908</paraID>
      <start>282</start>
      <end>300</end>
      <status>ignored</status>
      <modifiedWord/>
      <trackRevisions>false</trackRevisions>
    </reviewItem>
    <reviewItem>
      <errorID>8c4a682c-523a-42a1-9b84-f8319086788a</errorID>
      <errorWord>作</errorWord>
      <group>L1_Word</group>
      <groupName>字词问题</groupName>
      <ability>L2_Typo</ability>
      <abilityName>字词错误</abilityName>
      <candidateList>
        <item>做</item>
      </candidateList>
      <explain>存在发音相同字词的误用。</explain>
      <paraID>6DE52908</paraID>
      <start>369</start>
      <end>370</end>
      <status>modified</status>
      <modifiedWord>做</modifiedWord>
      <trackRevisions>false</trackRevisions>
    </reviewItem>
    <reviewItem>
      <errorID>dd49d905-22d6-4502-bee9-e4f40e994ee9</errorID>
      <errorWord>(</errorWord>
      <group>L1_Format</group>
      <groupName>格式问题</groupName>
      <ability>L2_HalfPunc</ability>
      <abilityName>全半角检查</abilityName>
      <candidateList>
        <item>（</item>
      </candidateList>
      <explain>文本全半角错误。</explain>
      <paraID>15DD85D0</paraID>
      <start>228</start>
      <end>229</end>
      <status>ignored</status>
      <modifiedWord/>
      <trackRevisions>false</trackRevisions>
    </reviewItem>
    <reviewItem>
      <errorID>2497081b-d02e-436c-910e-54e70c064a54</errorID>
      <errorWord>)</errorWord>
      <group>L1_Format</group>
      <groupName>格式问题</groupName>
      <ability>L2_HalfPunc</ability>
      <abilityName>全半角检查</abilityName>
      <candidateList>
        <item>）</item>
      </candidateList>
      <explain>文本全半角错误。</explain>
      <paraID>15DD85D0</paraID>
      <start>242</start>
      <end>243</end>
      <status>ignored</status>
      <modifiedWord/>
      <trackRevisions>false</trackRevisions>
    </reviewItem>
    <reviewItem>
      <errorID>b32cb1bc-c142-4a7a-880a-36fe06ec2d6d</errorID>
      <errorWord>脱水系统</errorWord>
      <group>L1_Knowledge</group>
      <groupName>知识性问题</groupName>
      <ability>L2_Term</ability>
      <abilityName>专业术语</abilityName>
      <candidateList>
        <item>脱硝系统</item>
      </candidateList>
      <explain/>
      <paraID>279800E9</paraID>
      <start>71</start>
      <end>75</end>
      <status>ignored</status>
      <modifiedWord/>
      <trackRevisions>false</trackRevisions>
    </reviewItem>
    <reviewItem>
      <errorID>bc9d4903-a4eb-4cab-8b81-c724e97a074d</errorID>
      <errorWord>脱水系统</errorWord>
      <group>L1_Knowledge</group>
      <groupName>知识性问题</groupName>
      <ability>L2_Term</ability>
      <abilityName>专业术语</abilityName>
      <candidateList>
        <item>脱硝系统</item>
      </candidateList>
      <explain/>
      <paraID>6CF69A19</paraID>
      <start>87</start>
      <end>91</end>
      <status>ignored</status>
      <modifiedWord/>
      <trackRevisions>false</trackRevisions>
    </reviewItem>
    <reviewItem>
      <errorID>19e44d14-93c5-4843-8e70-fcc0d8909d99</errorID>
      <errorWord>：</errorWord>
      <group>L1_Format</group>
      <groupName>格式问题</groupName>
      <ability>L2_HalfPunc</ability>
      <abilityName>全半角检查</abilityName>
      <candidateList>
        <item>:</item>
      </candidateList>
      <explain>文本全半角错误。</explain>
      <paraID>6CF69A19</paraID>
      <start>159</start>
      <end>160</end>
      <status>ignored</status>
      <modifiedWord/>
      <trackRevisions>false</trackRevisions>
    </reviewItem>
    <reviewItem>
      <errorID>d168002a-53b0-472b-be88-703cfb428bd1</errorID>
      <errorWord>：</errorWord>
      <group>L1_Format</group>
      <groupName>格式问题</groupName>
      <ability>L2_HalfPunc</ability>
      <abilityName>全半角检查</abilityName>
      <candidateList>
        <item>:</item>
      </candidateList>
      <explain>文本全半角错误。</explain>
      <paraID>6CF69A19</paraID>
      <start>163</start>
      <end>164</end>
      <status>ignored</status>
      <modifiedWord/>
      <trackRevisions>false</trackRevisions>
    </reviewItem>
    <reviewItem>
      <errorID>ef5e351b-5bf8-4541-9f0f-16111938b534</errorID>
      <errorWord>：</errorWord>
      <group>L1_Format</group>
      <groupName>格式问题</groupName>
      <ability>L2_HalfPunc</ability>
      <abilityName>全半角检查</abilityName>
      <candidateList>
        <item>:</item>
      </candidateList>
      <explain>文本全半角错误。</explain>
      <paraID>6CF69A19</paraID>
      <start>167</start>
      <end>168</end>
      <status>ignored</status>
      <modifiedWord/>
      <trackRevisions>false</trackRevisions>
    </reviewItem>
    <reviewItem>
      <errorID>5bdc310d-56c6-49dc-9d9d-ca5f6b90bcff</errorID>
      <errorWord>粘附</errorWord>
      <group>L1_Word</group>
      <groupName>字词问题</groupName>
      <ability>L2_Alias</ability>
      <abilityName>也作/曾用词</abilityName>
      <candidateList>
        <item>黏附</item>
      </candidateList>
      <explain>词汇[粘附]为不规范表述或旧称，其规范书面表述为[黏附]。</explain>
      <paraID>2DA27319</paraID>
      <start>78</start>
      <end>80</end>
      <status>modified</status>
      <modifiedWord>黏附</modifiedWord>
      <trackRevisions>false</trackRevisions>
    </reviewItem>
    <reviewItem>
      <errorID>34c48cd9-0354-4334-9f7a-f6c7a43fbc04</errorID>
      <errorWord>-</errorWord>
      <group>L1_Format</group>
      <groupName>格式问题</groupName>
      <ability>L2_HalfPunc</ability>
      <abilityName>全半角检查</abilityName>
      <candidateList>
        <item>－</item>
      </candidateList>
      <explain>文本全半角错误。</explain>
      <paraID>2DA27319</paraID>
      <start>92</start>
      <end>93</end>
      <status>ignored</status>
      <modifiedWord/>
      <trackRevisions>false</trackRevisions>
    </reviewItem>
    <reviewItem>
      <errorID>67af783f-f3b4-46bd-89af-eb929813bab2</errorID>
      <errorWord>-</errorWord>
      <group>L1_Format</group>
      <groupName>格式问题</groupName>
      <ability>L2_HalfPunc</ability>
      <abilityName>全半角检查</abilityName>
      <candidateList>
        <item>－</item>
      </candidateList>
      <explain>文本全半角错误。</explain>
      <paraID>2DA27319</paraID>
      <start>94</start>
      <end>95</end>
      <status>ignored</status>
      <modifiedWord/>
      <trackRevisions>false</trackRevisions>
    </reviewItem>
    <reviewItem>
      <errorID>c26a912d-5201-4ef4-962c-b577f0e40dea</errorID>
      <errorWord>：</errorWord>
      <group>L1_Format</group>
      <groupName>格式问题</groupName>
      <ability>L2_HalfPunc</ability>
      <abilityName>全半角检查</abilityName>
      <candidateList>
        <item>:</item>
      </candidateList>
      <explain>文本全半角错误。</explain>
      <paraID>2DA27319</paraID>
      <start>199</start>
      <end>200</end>
      <status>ignored</status>
      <modifiedWord/>
      <trackRevisions>false</trackRevisions>
    </reviewItem>
    <reviewItem>
      <errorID>3e437e93-760d-4589-a05c-b736938d9af3</errorID>
      <errorWord>：</errorWord>
      <group>L1_Format</group>
      <groupName>格式问题</groupName>
      <ability>L2_HalfPunc</ability>
      <abilityName>全半角检查</abilityName>
      <candidateList>
        <item>:</item>
      </candidateList>
      <explain>文本全半角错误。</explain>
      <paraID>2DA27319</paraID>
      <start>203</start>
      <end>204</end>
      <status>ignored</status>
      <modifiedWord/>
      <trackRevisions>false</trackRevisions>
    </reviewItem>
    <reviewItem>
      <errorID>91941e6a-6b1e-417c-981a-b9e8be71189a</errorID>
      <errorWord>：</errorWord>
      <group>L1_Format</group>
      <groupName>格式问题</groupName>
      <ability>L2_HalfPunc</ability>
      <abilityName>全半角检查</abilityName>
      <candidateList>
        <item>:</item>
      </candidateList>
      <explain>文本全半角错误。</explain>
      <paraID>2DA27319</paraID>
      <start>207</start>
      <end>208</end>
      <status>ignored</status>
      <modifiedWord/>
      <trackRevisions>false</trackRevisions>
    </reviewItem>
    <reviewItem>
      <errorID>48f51214-94f6-4ea3-ad55-ce9f822817d5</errorID>
      <errorWord>给料</errorWord>
      <group>L1_Word</group>
      <groupName>字词问题</groupName>
      <ability>L2_Typo</ability>
      <abilityName>字词错误</abilityName>
      <candidateList>
        <item>涂料</item>
      </candidateList>
      <explain/>
      <paraID>73A5CA83</paraID>
      <start>0</start>
      <end>2</end>
      <status>ignored</status>
      <modifiedWord/>
      <trackRevisions>false</trackRevisions>
    </reviewItem>
    <reviewItem>
      <errorID>0f211d59-61ad-4aad-8236-68a40a69e3a6</errorID>
      <errorWord>套带</errorWord>
      <group>L1_Word</group>
      <groupName>字词问题</groupName>
      <ability>L2_Typo</ability>
      <abilityName>字词错误</abilityName>
      <candidateList>
        <item>套袋</item>
      </candidateList>
      <explain/>
      <paraID>315D5CA9</paraID>
      <start>246</start>
      <end>248</end>
      <status>ignored</status>
      <modifiedWord/>
      <trackRevisions>false</trackRevisions>
    </reviewItem>
    <reviewItem>
      <errorID>c46a958c-82cc-4b2c-9053-13ec86ae8bf8</errorID>
      <errorWord>达</errorWord>
      <group>L1_Word</group>
      <groupName>字词问题</groupName>
      <ability>L2_Typo</ability>
      <abilityName>字词错误</abilityName>
      <candidateList>
        <item>达到</item>
      </candidateList>
      <explain>〈动〉到（多指抽象事物或程度）：达得到｜达不到｜目的没有～｜～国际水平。</explain>
      <paraID>73263B41</paraID>
      <start>72</start>
      <end>73</end>
      <status>ignored</status>
      <modifiedWord/>
      <trackRevisions>false</trackRevisions>
    </reviewItem>
    <reviewItem>
      <errorID>984c83a4-2f6c-4659-a095-8000c925330d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7AD0B714</paraID>
      <start>61</start>
      <end>62</end>
      <status>ignored</status>
      <modifiedWord/>
      <trackRevisions>false</trackRevisions>
    </reviewItem>
    <reviewItem>
      <errorID>400873d0-7251-4590-8951-98ef39fcf0e6</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7AD0B714</paraID>
      <start>131</start>
      <end>132</end>
      <status>modified</status>
      <modifiedWord>等</modifiedWord>
      <trackRevisions>false</trackRevisions>
    </reviewItem>
    <reviewItem>
      <errorID>855bf555-4a80-400f-b1be-c8af188c4a97</errorID>
      <errorWord>（</errorWord>
      <group>L1_Punc</group>
      <groupName>标点问题</groupName>
      <ability>L2_Punc</ability>
      <abilityName>标点符号检查</abilityName>
      <candidateList/>
      <explain>同一形式括号套用。</explain>
      <paraID>4120CD19</paraID>
      <start>76</start>
      <end>77</end>
      <status>ignored</status>
      <modifiedWord/>
      <trackRevisions>false</trackRevisions>
    </reviewItem>
    <reviewItem>
      <errorID>19111964-b459-4374-a576-b969ccb65f0d</errorID>
      <errorWord>）</errorWord>
      <group>L1_Punc</group>
      <groupName>标点问题</groupName>
      <ability>L2_Punc</ability>
      <abilityName>标点符号检查</abilityName>
      <candidateList/>
      <explain>同一形式括号套用。</explain>
      <paraID>4120CD19</paraID>
      <start>81</start>
      <end>82</end>
      <status>ignored</status>
      <modifiedWord/>
      <trackRevisions>false</trackRevisions>
    </reviewItem>
    <reviewItem>
      <errorID>f20375e3-4b9e-4aaf-a092-413d0eb2b1eb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5E7642D1</paraID>
      <start>29</start>
      <end>30</end>
      <status>ignored</status>
      <modifiedWord/>
      <trackRevisions>false</trackRevisions>
    </reviewItem>
    <reviewItem>
      <errorID>a40597ff-a130-4ac6-b108-9f714ffdb3f0</errorID>
      <errorWord>（</errorWord>
      <group>L1_Format</group>
      <groupName>格式问题</groupName>
      <ability>L2_HalfPunc</ability>
      <abilityName>全半角检查</abilityName>
      <candidateList>
        <item>(</item>
      </candidateList>
      <explain>文本全半角错误。</explain>
      <paraID> 8F1F3F0</paraID>
      <start>5</start>
      <end>6</end>
      <status>ignored</status>
      <modifiedWord/>
      <trackRevisions>false</trackRevisions>
    </reviewItem>
    <reviewItem>
      <errorID>86a45b82-5a22-4049-a90f-2960d6b4e5c8</errorID>
      <errorWord>）</errorWord>
      <group>L1_Format</group>
      <groupName>格式问题</groupName>
      <ability>L2_HalfPunc</ability>
      <abilityName>全半角检查</abilityName>
      <candidateList>
        <item>)</item>
      </candidateList>
      <explain>文本全半角错误。</explain>
      <paraID> 8F1F3F0</paraID>
      <start>9</start>
      <end>10</end>
      <status>ignored</status>
      <modifiedWord/>
      <trackRevisions>false</trackRevisions>
    </reviewItem>
    <reviewItem>
      <errorID>62c10a18-41db-41fc-a891-c0a36c883cf3</errorID>
      <errorWord>中颗粒物</errorWord>
      <group>L1_Knowledge</group>
      <groupName>知识性问题</groupName>
      <ability>L2_Term</ability>
      <abilityName>专业术语</abilityName>
      <candidateList>
        <item>细颗粒物</item>
      </candidateList>
      <explain/>
      <paraID>2336B018</paraID>
      <start>19</start>
      <end>23</end>
      <status>ignored</status>
      <modifiedWord/>
      <trackRevisions>false</trackRevisions>
    </reviewItem>
    <reviewItem>
      <errorID>c56469ed-7cf5-4a6a-ae7d-d77537baa7c7</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4341C544</paraID>
      <start>0</start>
      <end>2</end>
      <status>ignored</status>
      <modifiedWord/>
      <trackRevisions>false</trackRevisions>
    </reviewItem>
    <reviewItem>
      <errorID>dfc5233f-61bb-4d51-b10a-c9428d6940f6</errorID>
      <errorWord>套带</errorWord>
      <group>L1_Word</group>
      <groupName>字词问题</groupName>
      <ability>L2_Typo</ability>
      <abilityName>字词错误</abilityName>
      <candidateList>
        <item>套袋</item>
      </candidateList>
      <explain/>
      <paraID>4F6FD9E2</paraID>
      <start>244</start>
      <end>246</end>
      <status>ignored</status>
      <modifiedWord/>
      <trackRevisions>false</trackRevisions>
    </reviewItem>
    <reviewItem>
      <errorID>f91c13d6-67e1-41b1-935c-6c33a358be77</errorID>
      <errorWord>~</errorWord>
      <group>L1_Format</group>
      <groupName>格式问题</groupName>
      <ability>L2_HalfPunc</ability>
      <abilityName>全半角检查</abilityName>
      <candidateList>
        <item>～</item>
      </candidateList>
      <explain>文本全半角错误。</explain>
      <paraID>59927741</paraID>
      <start>67</start>
      <end>68</end>
      <status>ignored</status>
      <modifiedWord/>
      <trackRevisions>false</trackRevisions>
    </reviewItem>
    <reviewItem>
      <errorID>447cc3a9-1e59-4ace-8c9b-e39654db827e</errorID>
      <errorWord>-</errorWord>
      <group>L1_Format</group>
      <groupName>格式问题</groupName>
      <ability>L2_HalfPunc</ability>
      <abilityName>全半角检查</abilityName>
      <candidateList>
        <item>－</item>
      </candidateList>
      <explain>文本全半角错误。</explain>
      <paraID>49783165</paraID>
      <start>6</start>
      <end>7</end>
      <status>ignored</status>
      <modifiedWord/>
      <trackRevisions>false</trackRevisions>
    </reviewItem>
    <reviewItem>
      <errorID>7f1b9a51-2dfc-4b58-90b2-fbe316f60668</errorID>
      <errorWord>雨水系统</errorWord>
      <group>L1_Knowledge</group>
      <groupName>知识性问题</groupName>
      <ability>L2_Term</ability>
      <abilityName>专业术语</abilityName>
      <candidateList>
        <item>泄水系统</item>
      </candidateList>
      <explain/>
      <paraID>5830D6F6</paraID>
      <start>34</start>
      <end>38</end>
      <status>ignored</status>
      <modifiedWord/>
      <trackRevisions>false</trackRevisions>
    </reviewItem>
    <reviewItem>
      <errorID>96be3882-814b-48da-a83f-69711bec1ad9</errorID>
      <errorWord>达</errorWord>
      <group>L1_Word</group>
      <groupName>字词问题</groupName>
      <ability>L2_Typo</ability>
      <abilityName>字词错误</abilityName>
      <candidateList>
        <item>达到</item>
      </candidateList>
      <explain>〈动〉到（多指抽象事物或程度）：达得到｜达不到｜目的没有～｜～国际水平。</explain>
      <paraID>77C65018</paraID>
      <start>25</start>
      <end>26</end>
      <status>ignored</status>
      <modifiedWord/>
      <trackRevisions>false</trackRevisions>
    </reviewItem>
    <reviewItem>
      <errorID>67e765a2-f850-44ab-bc28-3334a36d40e0</errorID>
      <errorWord>最佳</errorWord>
      <group>L1_Word</group>
      <groupName>字词问题</groupName>
      <ability>L2_Typo</ability>
      <abilityName>字词错误</abilityName>
      <candidateList>
        <item>最</item>
      </candidateList>
      <explain/>
      <paraID>52D6EE17</paraID>
      <start>48</start>
      <end>49</end>
      <status>modified</status>
      <modifiedWord>最</modifiedWord>
      <trackRevisions>false</trackRevisions>
    </reviewItem>
    <reviewItem>
      <errorID>78b478b4-2306-4e05-b3c6-cce69ed9a219</errorID>
      <errorWord>砂</errorWord>
      <group>L1_Word</group>
      <groupName>字词问题</groupName>
      <ability>L2_Typo</ability>
      <abilityName>字词错误</abilityName>
      <candidateList>
        <item>沙</item>
      </candidateList>
      <explain>存在发音相同字词的误用。</explain>
      <paraID>6DAC0702</paraID>
      <start>6</start>
      <end>7</end>
      <status>ignored</status>
      <modifiedWord/>
      <trackRevisions>false</trackRevisions>
    </reviewItem>
    <reviewItem>
      <errorID>3f0fbc81-d71b-4220-9ffe-6c8bebb5601f</errorID>
      <errorWord>沙</errorWord>
      <group>L1_Word</group>
      <groupName>字词问题</groupName>
      <ability>L2_Typo</ability>
      <abilityName>字词错误</abilityName>
      <candidateList>
        <item>砂</item>
      </candidateList>
      <explain>存在发音相同字词的误用。</explain>
      <paraID>7B95D4DA</paraID>
      <start>42</start>
      <end>43</end>
      <status>modified</status>
      <modifiedWord>砂</modifiedWord>
      <trackRevisions>false</trackRevisions>
    </reviewItem>
    <reviewItem>
      <errorID>c7cc9fef-9c3c-446c-8c4f-69fcce8df5a3</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7D3FCD48</paraID>
      <start>415</start>
      <end>418</end>
      <status>ignored</status>
      <modifiedWord/>
      <trackRevisions>false</trackRevisions>
    </reviewItem>
    <reviewItem>
      <errorID>26d615a3-051d-4a6c-aa94-88de263ae4a6</errorID>
      <errorWord>接受</errorWord>
      <group>L1_Word</group>
      <groupName>字词问题</groupName>
      <ability>L2_Typo</ability>
      <abilityName>字词错误</abilityName>
      <candidateList>
        <item>接收</item>
      </candidateList>
      <explain>存在发音相同字词的误用。</explain>
      <paraID>227DBFF5</paraID>
      <start>135</start>
      <end>137</end>
      <status>modified</status>
      <modifiedWord>接收</modifiedWord>
      <trackRevisions>false</trackRevisions>
    </reviewItem>
    <reviewItem>
      <errorID>e1bd46ae-1947-458c-a26a-d1b7017755da</errorID>
      <errorWord>达</errorWord>
      <group>L1_Word</group>
      <groupName>字词问题</groupName>
      <ability>L2_Typo</ability>
      <abilityName>字词错误</abilityName>
      <candidateList>
        <item>达到</item>
      </candidateList>
      <explain>〈动〉到（多指抽象事物或程度）：达得到｜达不到｜目的没有～｜～国际水平。</explain>
      <paraID>36430993</paraID>
      <start>148</start>
      <end>149</end>
      <status>ignored</status>
      <modifiedWord/>
      <trackRevisions>false</trackRevisions>
    </reviewItem>
    <reviewItem>
      <errorID>f9a48845-cec8-4d81-87ce-790b21448641</errorID>
      <errorWord>：</errorWord>
      <group>L1_Format</group>
      <groupName>格式问题</groupName>
      <ability>L2_HalfPunc</ability>
      <abilityName>全半角检查</abilityName>
      <candidateList>
        <item>:</item>
      </candidateList>
      <explain>文本全半角错误。</explain>
      <paraID>43603ABB</paraID>
      <start>3</start>
      <end>4</end>
      <status>ignored</status>
      <modifiedWord/>
      <trackRevisions>false</trackRevisions>
    </reviewItem>
    <reviewItem>
      <errorID>59fe5644-cde1-45be-8e75-36d52eb07afd</errorID>
      <errorWord>：</errorWord>
      <group>L1_Format</group>
      <groupName>格式问题</groupName>
      <ability>L2_HalfPunc</ability>
      <abilityName>全半角检查</abilityName>
      <candidateList>
        <item>:</item>
      </candidateList>
      <explain>文本全半角错误。</explain>
      <paraID>1F0FFC3E</paraID>
      <start>3</start>
      <end>4</end>
      <status>ignored</status>
      <modifiedWord/>
      <trackRevisions>false</trackRevisions>
    </reviewItem>
    <reviewItem>
      <errorID>f0fc29a8-020d-48ab-8f2b-fea7ec191ca2</errorID>
      <errorWord>措施等</errorWord>
      <group>L1_Word</group>
      <groupName>字词问题</groupName>
      <ability>L2_Typo</ability>
      <abilityName>字词错误</abilityName>
      <candidateList>
        <item>措施</item>
      </candidateList>
      <explain>〈名〉针对某种情况而采取的处理办法（用于较大的事情）：计划已经订出，～应该跟上。</explain>
      <paraID>1E9C5800</paraID>
      <start>113</start>
      <end>115</end>
      <status>modified</status>
      <modifiedWord>措施</modifiedWord>
      <trackRevisions>false</trackRevisions>
    </reviewItem>
    <reviewItem>
      <errorID>92e02475-9b63-4b64-8a0e-38af4b00b7be</errorID>
      <errorWord>--</errorWord>
      <group>L1_Punc</group>
      <groupName>标点问题</groupName>
      <ability>L2_Punc</ability>
      <abilityName>标点符号检查</abilityName>
      <candidateList>
        <item>——</item>
      </candidateList>
      <explain>破折号或连接号疑似使用错误。</explain>
      <paraID>57F353F3</paraID>
      <start>94</start>
      <end>96</end>
      <status>ignored</status>
      <modifiedWord/>
      <trackRevisions>false</trackRevisions>
    </reviewItem>
    <reviewItem>
      <errorID>2c5ffe20-49b4-4ec2-acba-043499950fd9</errorID>
      <errorWord>”</errorWord>
      <group>L1_Punc</group>
      <groupName>标点问题</groupName>
      <ability>L2_Punc</ability>
      <abilityName>标点符号检查</abilityName>
      <candidateList/>
      <explain/>
      <paraID>47CC1FD9</paraID>
      <start>71</start>
      <end>72</end>
      <status>ignored</status>
      <modifiedWord/>
      <trackRevisions>false</trackRevisions>
    </reviewItem>
    <reviewItem>
      <errorID>c6c541fc-e196-43d8-92ad-7af2567f59e5</errorID>
      <errorWord>”</errorWord>
      <group>L1_Punc</group>
      <groupName>标点问题</groupName>
      <ability>L2_Punc</ability>
      <abilityName>标点符号检查</abilityName>
      <candidateList/>
      <explain/>
      <paraID>47CC1FD9</paraID>
      <start>82</start>
      <end>83</end>
      <status>ignored</status>
      <modifiedWord/>
      <trackRevisions>false</trackRevisions>
    </reviewItem>
    <reviewItem>
      <errorID>f9f8c437-4137-44c8-8336-05ca399dc46f</errorID>
      <errorWord>”</errorWord>
      <group>L1_Punc</group>
      <groupName>标点问题</groupName>
      <ability>L2_Punc</ability>
      <abilityName>标点符号检查</abilityName>
      <candidateList/>
      <explain/>
      <paraID>47CC1FD9</paraID>
      <start>94</start>
      <end>95</end>
      <status>ignored</status>
      <modifiedWord/>
      <trackRevisions>false</trackRevisions>
    </reviewItem>
    <reviewItem>
      <errorID>57d39ae4-eb74-48ee-99aa-bc8991cebe3b</errorID>
      <errorWord>”</errorWord>
      <group>L1_Punc</group>
      <groupName>标点问题</groupName>
      <ability>L2_Punc</ability>
      <abilityName>标点符号检查</abilityName>
      <candidateList/>
      <explain/>
      <paraID>47CC1FD9</paraID>
      <start>104</start>
      <end>105</end>
      <status>ignored</status>
      <modifiedWord/>
      <trackRevisions>false</trackRevisions>
    </reviewItem>
    <reviewItem>
      <errorID>dc890fe7-d894-415c-b6a7-5bfd4b1e36ec</errorID>
      <errorWord>（</errorWord>
      <group>L1_Punc</group>
      <groupName>标点问题</groupName>
      <ability>L2_Punc</ability>
      <abilityName>标点符号检查</abilityName>
      <candidateList/>
      <explain>同一形式括号套用。</explain>
      <paraID>7CEE9933</paraID>
      <start>19</start>
      <end>20</end>
      <status>ignored</status>
      <modifiedWord/>
      <trackRevisions>false</trackRevisions>
    </reviewItem>
    <reviewItem>
      <errorID>d2b69159-ac73-443a-b5a2-38d01599ee7b</errorID>
      <errorWord>）</errorWord>
      <group>L1_Punc</group>
      <groupName>标点问题</groupName>
      <ability>L2_Punc</ability>
      <abilityName>标点符号检查</abilityName>
      <candidateList/>
      <explain>同一形式括号套用。</explain>
      <paraID>7CEE9933</paraID>
      <start>22</start>
      <end>23</end>
      <status>ignored</status>
      <modifiedWord/>
      <trackRevisions>false</trackRevisions>
    </reviewItem>
    <reviewItem>
      <errorID>6e89b20f-3f35-4107-ac34-926e56ea10e7</errorID>
      <errorWord>届</errorWord>
      <group>L1_Word</group>
      <groupName>字词问题</groupName>
      <ability>L2_Typo</ability>
      <abilityName>字词错误</abilityName>
      <candidateList>
        <item>界</item>
      </candidateList>
      <explain>存在发音相同字词的误用。</explain>
      <paraID>113C3CEC</paraID>
      <start>239</start>
      <end>240</end>
      <status>modified</status>
      <modifiedWord>界</modifiedWord>
      <trackRevisions>false</trackRevisions>
    </reviewItem>
    <reviewItem>
      <errorID>00f8ca7c-b081-43c0-9a2f-2f987f5237bc</errorID>
      <errorWord>海拔高度</errorWord>
      <group>L1_Word</group>
      <groupName>字词问题</groupName>
      <ability>L2_Typo</ability>
      <abilityName>字词错误</abilityName>
      <candidateList>
        <item>海拔</item>
      </candidateList>
      <explain>〈名〉从平均海平面起算的高度。</explain>
      <paraID> 35097F6</paraID>
      <start>85</start>
      <end>87</end>
      <status>modified</status>
      <modifiedWord>海拔</modifiedWord>
      <trackRevisions>false</trackRevisions>
    </reviewItem>
    <reviewItem>
      <errorID>5510d089-b1f2-44eb-a9a9-0af397890901</errorID>
      <errorWord>海拔高度</errorWord>
      <group>L1_Word</group>
      <groupName>字词问题</groupName>
      <ability>L2_Typo</ability>
      <abilityName>字词错误</abilityName>
      <candidateList>
        <item>海拔</item>
      </candidateList>
      <explain>〈名〉从平均海平面起算的高度。</explain>
      <paraID>45E2731C</paraID>
      <start>2</start>
      <end>4</end>
      <status>modified</status>
      <modifiedWord>海拔</modifiedWord>
      <trackRevisions>false</trackRevisions>
    </reviewItem>
    <reviewItem>
      <errorID>1eb9c1cb-13a7-48d1-a9b1-56fb6d29fc28</errorID>
      <errorWord>4～5%</errorWord>
      <group>L1_Knowledge</group>
      <groupName>知识性问题</groupName>
      <ability>L2_Knowledge</ability>
      <abilityName>其他知识</abilityName>
      <candidateList>
        <item>4%～5%</item>
      </candidateList>
      <explain>1. “4～5%”中的单位“%”仅出现在后一个数字上，容易引起歧义；根据《现代汉语标点符号数字用法规范手册》，数字表示范围两边需要使用统一的格式。2. 根据标点国标 4.13 中的规则，数字、时间或地域连接符应使用（视觉上更长的）“—”或“～”。</explain>
      <paraID>45E2731C</paraID>
      <start>169</start>
      <end>173</end>
      <status>ignored</status>
      <modifiedWord/>
      <trackRevisions>false</trackRevisions>
    </reviewItem>
    <reviewItem>
      <errorID>335e831f-8212-47e4-abf8-45f6eab66f82</errorID>
      <errorWord>海拔高度</errorWord>
      <group>L1_Word</group>
      <groupName>字词问题</groupName>
      <ability>L2_Typo</ability>
      <abilityName>字词错误</abilityName>
      <candidateList>
        <item>海拔</item>
      </candidateList>
      <explain>〈名〉从平均海平面起算的高度。</explain>
      <paraID>45E2731C</paraID>
      <start>259</start>
      <end>261</end>
      <status>modified</status>
      <modifiedWord>海拔</modifiedWord>
      <trackRevisions>false</trackRevisions>
    </reviewItem>
    <reviewItem>
      <errorID>c2e85519-e413-4e34-9465-f42c148ccc8e</errorID>
      <errorWord>海拔高度</errorWord>
      <group>L1_Word</group>
      <groupName>字词问题</groupName>
      <ability>L2_Typo</ability>
      <abilityName>字词错误</abilityName>
      <candidateList>
        <item>海拔</item>
      </candidateList>
      <explain>〈名〉从平均海平面起算的高度。</explain>
      <paraID>1B66E29A</paraID>
      <start>28</start>
      <end>30</end>
      <status>modified</status>
      <modifiedWord>海拔</modifiedWord>
      <trackRevisions>false</trackRevisions>
    </reviewItem>
    <reviewItem>
      <errorID>e8473e1a-c66e-486c-8dc9-03a3e5b82652</errorID>
      <errorWord>先</errorWord>
      <group>L1_Word</group>
      <groupName>字词问题</groupName>
      <ability>L2_Typo</ability>
      <abilityName>字词错误</abilityName>
      <candidateList>
        <item>现</item>
      </candidateList>
      <explain>存在发音相同字词的误用。</explain>
      <paraID>7D32375E</paraID>
      <start>133</start>
      <end>134</end>
      <status>modified</status>
      <modifiedWord>现</modifiedWord>
      <trackRevisions>false</trackRevisions>
    </reviewItem>
    <reviewItem>
      <errorID>c16ebd45-8031-4cd6-834f-95daf690858e</errorID>
      <errorWord>粉质黏土</errorWord>
      <group>L1_Word</group>
      <groupName>字词问题</groupName>
      <ability>L2_Typo</ability>
      <abilityName>字词错误</abilityName>
      <candidateList>
        <item>粉质粘土</item>
      </candidateList>
      <explain/>
      <paraID>603AC714</paraID>
      <start>126</start>
      <end>130</end>
      <status>modified</status>
      <modifiedWord>粉质粘土</modifiedWord>
      <trackRevisions>false</trackRevisions>
    </reviewItem>
    <reviewItem>
      <errorID>f3bdba7f-3dd6-4c4c-a5b7-2de32c16ef24</errorID>
      <errorWord>人</errorWord>
      <group>L1_Word</group>
      <groupName>字词问题</groupName>
      <ability>L2_Typo</ability>
      <abilityName>字词错误</abilityName>
      <candidateList>
        <item>入</item>
      </candidateList>
      <explain>存在字形相近字词的误用。</explain>
      <paraID>114A6F1E</paraID>
      <start>9</start>
      <end>10</end>
      <status>ignored</status>
      <modifiedWord/>
      <trackRevisions>false</trackRevisions>
    </reviewItem>
    <reviewItem>
      <errorID>ccdbffed-825d-4ae2-90d2-c7cea8b544f8</errorID>
      <errorWord>25～35%</errorWord>
      <group>L1_Knowledge</group>
      <groupName>知识性问题</groupName>
      <ability>L2_Knowledge</ability>
      <abilityName>其他知识</abilityName>
      <candidateList>
        <item>25%～35%</item>
      </candidateList>
      <explain>1. “25～35%”中的单位“%”仅出现在后一个数字上，容易引起歧义；根据《现代汉语标点符号数字用法规范手册》，数字表示范围两边需要使用统一的格式。2. 根据标点国标 4.13 中的规则，数字、时间或地域连接符应使用（视觉上更长的）“—”或“～”。</explain>
      <paraID>6F958F0A</paraID>
      <start>65</start>
      <end>71</end>
      <status>ignored</status>
      <modifiedWord/>
      <trackRevisions>false</trackRevisions>
    </reviewItem>
    <reviewItem>
      <errorID>9ebff8b3-9ae0-4115-baa9-fbe5ff0dcb0f</errorID>
      <errorWord>粉质黏土</errorWord>
      <group>L1_Word</group>
      <groupName>字词问题</groupName>
      <ability>L2_Typo</ability>
      <abilityName>字词错误</abilityName>
      <candidateList>
        <item>粉质粘土</item>
      </candidateList>
      <explain/>
      <paraID>49CD8138</paraID>
      <start>3</start>
      <end>7</end>
      <status>modified</status>
      <modifiedWord>粉质粘土</modifiedWord>
      <trackRevisions>false</trackRevisions>
    </reviewItem>
    <reviewItem>
      <errorID>4b862d36-f4a4-4380-9ef8-85bd31ebc207</errorID>
      <errorWord>堆积成因</errorWord>
      <group>L1_Knowledge</group>
      <groupName>知识性问题</groupName>
      <ability>L2_Idiom</ability>
      <abilityName>成语和诗歌</abilityName>
      <candidateList>
        <item>堆积成山</item>
      </candidateList>
      <explain>东西堆积得像山一样。形容极多。</explain>
      <paraID>6BE32080</paraID>
      <start>3</start>
      <end>7</end>
      <status>ignored</status>
      <modifiedWord/>
      <trackRevisions>false</trackRevisions>
    </reviewItem>
    <reviewItem>
      <errorID>7e898e26-5dfe-4908-bfe6-bd14d0c5485c</errorID>
      <errorWord>23.4～30.7%</errorWord>
      <group>L1_Knowledge</group>
      <groupName>知识性问题</groupName>
      <ability>L2_Knowledge</ability>
      <abilityName>其他知识</abilityName>
      <candidateList>
        <item>23.4%～30.7%</item>
      </candidateList>
      <explain>1. “23.4～30.7%”中的单位“%”仅出现在后一个数字上，容易引起歧义；根据《现代汉语标点符号数字用法规范手册》，数字表示范围两边需要使用统一的格式。2. 根据标点国标 4.13 中的规则，数字、时间或地域连接符应使用（视觉上更长的）“—”或“～”。</explain>
      <paraID> 362C291</paraID>
      <start>13</start>
      <end>23</end>
      <status>ignored</status>
      <modifiedWord/>
      <trackRevisions>false</trackRevisions>
    </reviewItem>
    <reviewItem>
      <errorID>ea95d7bc-c59f-426d-8007-932565f9bc6c</errorID>
      <errorWord>29.0～35.1%</errorWord>
      <group>L1_Knowledge</group>
      <groupName>知识性问题</groupName>
      <ability>L2_Knowledge</ability>
      <abilityName>其他知识</abilityName>
      <candidateList>
        <item>29.0%～35.1%</item>
      </candidateList>
      <explain>1. “29.0～35.1%”中的单位“%”仅出现在后一个数字上，容易引起歧义；根据《现代汉语标点符号数字用法规范手册》，数字表示范围两边需要使用统一的格式。2. 根据标点国标 4.13 中的规则，数字、时间或地域连接符应使用（视觉上更长的）“—”或“～”。</explain>
      <paraID> 362C291</paraID>
      <start>60</start>
      <end>70</end>
      <status>ignored</status>
      <modifiedWord/>
      <trackRevisions>false</trackRevisions>
    </reviewItem>
    <reviewItem>
      <errorID>96ade3c4-c3c0-4bbc-8276-4c611e63d0fa</errorID>
      <errorWord>17.1～20.8%</errorWord>
      <group>L1_Knowledge</group>
      <groupName>知识性问题</groupName>
      <ability>L2_Knowledge</ability>
      <abilityName>其他知识</abilityName>
      <candidateList>
        <item>17.1%～20.8%</item>
      </candidateList>
      <explain>1. “17.1～20.8%”中的单位“%”仅出现在后一个数字上，容易引起歧义；根据《现代汉语标点符号数字用法规范手册》，数字表示范围两边需要使用统一的格式。2. 根据标点国标 4.13 中的规则，数字、时间或地域连接符应使用（视觉上更长的）“—”或“～”。</explain>
      <paraID> 362C291</paraID>
      <start>73</start>
      <end>83</end>
      <status>ignored</status>
      <modifiedWord/>
      <trackRevisions>false</trackRevisions>
    </reviewItem>
    <reviewItem>
      <errorID>d756bf45-f8ab-4ca7-8363-2786ea4d24e3</errorID>
      <errorWord>15～30%</errorWord>
      <group>L1_Knowledge</group>
      <groupName>知识性问题</groupName>
      <ability>L2_Knowledge</ability>
      <abilityName>其他知识</abilityName>
      <candidateList>
        <item>15%～30%</item>
      </candidateList>
      <explain>1. “15～30%”中的单位“%”仅出现在后一个数字上，容易引起歧义；根据《现代汉语标点符号数字用法规范手册》，数字表示范围两边需要使用统一的格式。2.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83</start>
      <end>89</end>
      <status>ignored</status>
      <modifiedWord/>
      <trackRevisions>false</trackRevisions>
    </reviewItem>
    <reviewItem>
      <errorID>a1185c4c-0163-41e1-b212-0f03dedb0fab</errorID>
      <errorWord>55.5～66.8%</errorWord>
      <group>L1_Knowledge</group>
      <groupName>知识性问题</groupName>
      <ability>L2_Knowledge</ability>
      <abilityName>其他知识</abilityName>
      <candidateList>
        <item>55.5%～66.8%</item>
      </candidateList>
      <explain>1. “55.5～66.8%”中的单位“%”仅出现在后一个数字上，容易引起歧义；根据《现代汉语标点符号数字用法规范手册》，数字表示范围两边需要使用统一的格式。2.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120</start>
      <end>130</end>
      <status>ignored</status>
      <modifiedWord/>
      <trackRevisions>false</trackRevisions>
    </reviewItem>
    <reviewItem>
      <errorID>3c52c941-57ad-4f9b-9d20-83bd8fbf14c7</errorID>
      <errorWord>9.2～23.4%</errorWord>
      <group>L1_Knowledge</group>
      <groupName>知识性问题</groupName>
      <ability>L2_Knowledge</ability>
      <abilityName>其他知识</abilityName>
      <candidateList>
        <item>9.2%～23.4%</item>
      </candidateList>
      <explain>1. “9.2～23.4%”中的单位“%”仅出现在后一个数字上，容易引起歧义；根据《现代汉语标点符号数字用法规范手册》，数字表示范围两边需要使用统一的格式。2.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138</start>
      <end>147</end>
      <status>ignored</status>
      <modifiedWord/>
      <trackRevisions>false</trackRevisions>
    </reviewItem>
    <reviewItem>
      <errorID>37bc5ac6-7365-48d7-9ac8-8aca68c510c6</errorID>
      <errorWord>1.5～6.4%</errorWord>
      <group>L1_Knowledge</group>
      <groupName>知识性问题</groupName>
      <ability>L2_Knowledge</ability>
      <abilityName>其他知识</abilityName>
      <candidateList>
        <item>1.5%～6.4%</item>
      </candidateList>
      <explain>1. “1.5～6.4%”中的单位“%”仅出现在后一个数字上，容易引起歧义；根据《现代汉语标点符号数字用法规范手册》，数字表示范围两边需要使用统一的格式。2.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157</start>
      <end>165</end>
      <status>ignored</status>
      <modifiedWord/>
      <trackRevisions>false</trackRevisions>
    </reviewItem>
    <reviewItem>
      <errorID>c126e3c7-d3fd-4cb4-8023-d0b67759058e</errorID>
      <errorWord>0.8～4.2%</errorWord>
      <group>L1_Knowledge</group>
      <groupName>知识性问题</groupName>
      <ability>L2_Knowledge</ability>
      <abilityName>其他知识</abilityName>
      <candidateList>
        <item>0.8%～4.2%</item>
      </candidateList>
      <explain>1. “0.8～4.2%”中的单位“%”仅出现在后一个数字上，容易引起歧义；根据《现代汉语标点符号数字用法规范手册》，数字表示范围两边需要使用统一的格式。2.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177</start>
      <end>185</end>
      <status>ignored</status>
      <modifiedWord/>
      <trackRevisions>false</trackRevisions>
    </reviewItem>
    <reviewItem>
      <errorID>9c4c5166-c5f9-4770-9ec5-38daf8b7ec78</errorID>
      <errorWord>6.4～17.3%</errorWord>
      <group>L1_Knowledge</group>
      <groupName>知识性问题</groupName>
      <ability>L2_Knowledge</ability>
      <abilityName>其他知识</abilityName>
      <candidateList>
        <item>6.4%～17.3%</item>
      </candidateList>
      <explain>1. “6.4～17.3%”中的单位“%”仅出现在后一个数字上，容易引起歧义；根据《现代汉语标点符号数字用法规范手册》，数字表示范围两边需要使用统一的格式。2.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199</start>
      <end>208</end>
      <status>ignored</status>
      <modifiedWord/>
      <trackRevisions>false</trackRevisions>
    </reviewItem>
    <reviewItem>
      <errorID>f9645946-f4bb-4080-aec8-7d62b23a31a9</errorID>
      <errorWord>1.6～9.9%</errorWord>
      <group>L1_Knowledge</group>
      <groupName>知识性问题</groupName>
      <ability>L2_Knowledge</ability>
      <abilityName>其他知识</abilityName>
      <candidateList>
        <item>1.6%～9.9%</item>
      </candidateList>
      <explain>1. “1.6～9.9%”中的单位“%”仅出现在后一个数字上，容易引起歧义；根据《现代汉语标点符号数字用法规范手册》，数字表示范围两边需要使用统一的格式。2. 根据标点国标 4.13 中的规则，数字、时间或地域连接符应使用（视觉上更长的）“—”或“～”。</explain>
      <paraID>64C399C9</paraID>
      <start>223</start>
      <end>231</end>
      <status>ignored</status>
      <modifiedWord/>
      <trackRevisions>false</trackRevisions>
    </reviewItem>
    <reviewItem>
      <errorID>c2a0376c-5fac-4eac-9a08-fce032410901</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3EEF8E29</paraID>
      <start>34</start>
      <end>40</end>
      <status>ignored</status>
      <modifiedWord/>
      <trackRevisions>false</trackRevisions>
    </reviewItem>
    <reviewItem>
      <errorID>38cfc6f7-4ef5-4848-90a3-59cf5bfe0526</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3EEF8E29</paraID>
      <start>43</start>
      <end>49</end>
      <status>ignored</status>
      <modifiedWord/>
      <trackRevisions>false</trackRevisions>
    </reviewItem>
    <reviewItem>
      <errorID>62805ae6-cb04-4674-a23c-50344a2d0c10</errorID>
      <errorWord>55～60%</errorWord>
      <group>L1_Knowledge</group>
      <groupName>知识性问题</groupName>
      <ability>L2_Knowledge</ability>
      <abilityName>其他知识</abilityName>
      <candidateList>
        <item>55%～60%</item>
      </candidateList>
      <explain>1. “55～60%”中的单位“%”仅出现在后一个数字上，容易引起歧义；根据《现代汉语标点符号数字用法规范手册》，数字表示范围两边需要使用统一的格式。2. 根据标点国标 4.13 中的规则，数字、时间或地域连接符应使用（视觉上更长的）“—”或“～”。</explain>
      <paraID>3EEF8E29</paraID>
      <start>66</start>
      <end>72</end>
      <status>ignored</status>
      <modifiedWord/>
      <trackRevisions>false</trackRevisions>
    </reviewItem>
    <reviewItem>
      <errorID>a3df8a09-4e02-41e8-a04a-6c987d744ff5</errorID>
      <errorWord>10～18%</errorWord>
      <group>L1_Knowledge</group>
      <groupName>知识性问题</groupName>
      <ability>L2_Knowledge</ability>
      <abilityName>其他知识</abilityName>
      <candidateList>
        <item>10%～18%</item>
      </candidateList>
      <explain>1. “10～18%”中的单位“%”仅出现在后一个数字上，容易引起歧义；根据《现代汉语标点符号数字用法规范手册》，数字表示范围两边需要使用统一的格式。2. 根据标点国标 4.13 中的规则，数字、时间或地域连接符应使用（视觉上更长的）“—”或“～”。</explain>
      <paraID> 72D8215</paraID>
      <start>34</start>
      <end>40</end>
      <status>ignored</status>
      <modifiedWord/>
      <trackRevisions>false</trackRevisions>
    </reviewItem>
    <reviewItem>
      <errorID>fee8b11e-3e2a-44ab-a9bd-3fd3b46132e6</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 72D8215</paraID>
      <start>43</start>
      <end>49</end>
      <status>ignored</status>
      <modifiedWord/>
      <trackRevisions>false</trackRevisions>
    </reviewItem>
    <reviewItem>
      <errorID>9c8e4ae3-4c57-4322-b131-67363ec8a85c</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 72D8215</paraID>
      <start>67</start>
      <end>73</end>
      <status>ignored</status>
      <modifiedWord/>
      <trackRevisions>false</trackRevisions>
    </reviewItem>
    <reviewItem>
      <errorID>7046772c-c9d2-4f59-ac76-3497a8d7766a</errorID>
      <errorWord>8～15%</errorWord>
      <group>L1_Knowledge</group>
      <groupName>知识性问题</groupName>
      <ability>L2_Knowledge</ability>
      <abilityName>其他知识</abilityName>
      <candidateList>
        <item>8%～15%</item>
      </candidateList>
      <explain>1. “8～15%”中的单位“%”仅出现在后一个数字上，容易引起歧义；根据《现代汉语标点符号数字用法规范手册》，数字表示范围两边需要使用统一的格式。2. 根据标点国标 4.13 中的规则，数字、时间或地域连接符应使用（视觉上更长的）“—”或“～”。</explain>
      <paraID>77E4022B</paraID>
      <start>35</start>
      <end>40</end>
      <status>ignored</status>
      <modifiedWord/>
      <trackRevisions>false</trackRevisions>
    </reviewItem>
    <reviewItem>
      <errorID>52e95be2-ae74-406d-92ec-d846c9686fcb</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77E4022B</paraID>
      <start>43</start>
      <end>49</end>
      <status>ignored</status>
      <modifiedWord/>
      <trackRevisions>false</trackRevisions>
    </reviewItem>
    <reviewItem>
      <errorID>fd2607ba-f43b-40f2-b14a-088c14a7a75b</errorID>
      <errorWord>70～85%</errorWord>
      <group>L1_Knowledge</group>
      <groupName>知识性问题</groupName>
      <ability>L2_Knowledge</ability>
      <abilityName>其他知识</abilityName>
      <candidateList>
        <item>70%～85%</item>
      </candidateList>
      <explain>1. “70～85%”中的单位“%”仅出现在后一个数字上，容易引起歧义；根据《现代汉语标点符号数字用法规范手册》，数字表示范围两边需要使用统一的格式。2. 根据标点国标 4.13 中的规则，数字、时间或地域连接符应使用（视觉上更长的）“—”或“～”。</explain>
      <paraID>77E4022B</paraID>
      <start>67</start>
      <end>73</end>
      <status>ignored</status>
      <modifiedWord/>
      <trackRevisions>false</trackRevisions>
    </reviewItem>
    <reviewItem>
      <errorID>8aa29a4e-d865-42e2-9181-68d57b02fd94</errorID>
      <errorWord>主要以非金属矿产为主</errorWord>
      <group>L1_Grammar</group>
      <groupName>语法问题</groupName>
      <ability>L2_Grammar</ability>
      <abilityName>语法错误</abilityName>
      <candidateList>
        <item>以非金属矿产为主</item>
      </candidateList>
      <explain/>
      <paraID>47FE00C8</paraID>
      <start>13</start>
      <end>21</end>
      <status>modified</status>
      <modifiedWord>以非金属矿产为主</modifiedWord>
      <trackRevisions>false</trackRevisions>
    </reviewItem>
    <reviewItem>
      <errorID>377a9233-7455-4803-8b10-f26bb7eb2a2c</errorID>
      <errorWord>其它科</errorWord>
      <group>L1_Word</group>
      <groupName>字词问题</groupName>
      <ability>L2_Alias</ability>
      <abilityName>也作/曾用词</abilityName>
      <candidateList>
        <item>其他科</item>
      </candidateList>
      <explain>词汇[其它科]为不规范表述或旧称，其规范书面表述为[其他科]。</explain>
      <paraID> 35D2DCF</paraID>
      <start>204</start>
      <end>207</end>
      <status>ignored</status>
      <modifiedWord/>
      <trackRevisions>false</trackRevisions>
    </reviewItem>
    <reviewItem>
      <errorID>2090637c-a269-492a-8d17-579a9a200c6c</errorID>
      <errorWord>该</errorWord>
      <group>L1_Word</group>
      <groupName>字词问题</groupName>
      <ability>L2_Typo</ability>
      <abilityName>字词错误</abilityName>
      <candidateList>
        <item>白</item>
      </candidateList>
      <explain>存在发音相近字词的误用。</explain>
      <paraID> 35D2DCF</paraID>
      <start>258</start>
      <end>259</end>
      <status>ignored</status>
      <modifiedWord/>
      <trackRevisions>false</trackRevisions>
    </reviewItem>
    <reviewItem>
      <errorID>a2924d8d-b190-4fff-938b-2089ed3b487a</errorID>
      <errorWord>白益</errorWord>
      <group>L1_Word</group>
      <groupName>字词问题</groupName>
      <ability>L2_Typo</ability>
      <abilityName>字词错误</abilityName>
      <candidateList>
        <item>白术</item>
      </candidateList>
      <explain/>
      <paraID> 35D2DCF</paraID>
      <start>264</start>
      <end>266</end>
      <status>ignored</status>
      <modifiedWord/>
      <trackRevisions>false</trackRevisions>
    </reviewItem>
    <reviewItem>
      <errorID>754d4d65-4877-447b-a190-8fa2cd5da8e4</errorID>
      <errorWord>积壳</errorWord>
      <group>L1_Word</group>
      <groupName>字词问题</groupName>
      <ability>L2_Typo</ability>
      <abilityName>字词错误</abilityName>
      <candidateList>
        <item>枳壳</item>
      </candidateList>
      <explain/>
      <paraID> 35D2DCF</paraID>
      <start>279</start>
      <end>281</end>
      <status>ignored</status>
      <modifiedWord/>
      <trackRevisions>false</trackRevisions>
    </reviewItem>
    <reviewItem>
      <errorID>f3c9243b-22f9-4ed3-a699-f9d3c7549fb8</errorID>
      <errorWord>桅子</errorWord>
      <group>L1_Word</group>
      <groupName>字词问题</groupName>
      <ability>L2_Typo</ability>
      <abilityName>字词错误</abilityName>
      <candidateList>
        <item>栀子</item>
      </candidateList>
      <explain/>
      <paraID> 35D2DCF</paraID>
      <start>282</start>
      <end>284</end>
      <status>ignored</status>
      <modifiedWord/>
      <trackRevisions>false</trackRevisions>
    </reviewItem>
    <reviewItem>
      <errorID>d89f5b2d-46bf-425b-b556-fefe22b12735</errorID>
      <errorWord>年</errorWord>
      <group>L1_Word</group>
      <groupName>字词问题</groupName>
      <ability>L2_Typo</ability>
      <abilityName>字词错误</abilityName>
      <candidateList>
        <item>年度</item>
      </candidateList>
      <explain/>
      <paraID>7B7A43A3</paraID>
      <start>0</start>
      <end>1</end>
      <status>ignored</status>
      <modifiedWord/>
      <trackRevisions>false</trackRevisions>
    </reviewItem>
    <reviewItem>
      <errorID>85ad0ae7-5d22-4f31-97e0-43a79756608f</errorID>
      <errorWord>湾</errorWord>
      <group>L1_Word</group>
      <groupName>字词问题</groupName>
      <ability>L2_Typo</ability>
      <abilityName>字词错误</abilityName>
      <candidateList>
        <item>湾区</item>
      </candidateList>
      <explain/>
      <paraID>7FA66EC2</paraID>
      <start>32</start>
      <end>33</end>
      <status>ignored</status>
      <modifiedWord/>
      <trackRevisions>false</trackRevisions>
    </reviewItem>
    <reviewItem>
      <errorID>7b0c6b15-37f6-495b-8975-51e1f18bbd85</errorID>
      <errorWord>年</errorWord>
      <group>L1_Word</group>
      <groupName>字词问题</groupName>
      <ability>L2_Typo</ability>
      <abilityName>字词错误</abilityName>
      <candidateList>
        <item>年度</item>
      </candidateList>
      <explain/>
      <paraID>3CCBB94D</paraID>
      <start>0</start>
      <end>1</end>
      <status>ignored</status>
      <modifiedWord/>
      <trackRevisions>false</trackRevisions>
    </reviewItem>
    <reviewItem>
      <errorID>6ee5ddea-49bd-43eb-a29c-68e76d680e78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7E8591DF</paraID>
      <start>55</start>
      <end>56</end>
      <status>ignored</status>
      <modifiedWord/>
      <trackRevisions>false</trackRevisions>
    </reviewItem>
    <reviewItem>
      <errorID>ca35b664-743e-47bd-91d5-9be3655155aa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313E199D</paraID>
      <start>47</start>
      <end>48</end>
      <status>ignored</status>
      <modifiedWord/>
      <trackRevisions>false</trackRevisions>
    </reviewItem>
    <reviewItem>
      <errorID>ae0855d0-8c9e-4b5a-bff3-44cb80763dff</errorID>
      <errorWord>人</errorWord>
      <group>L1_Word</group>
      <groupName>字词问题</groupName>
      <ability>L2_Typo</ability>
      <abilityName>字词错误</abilityName>
      <candidateList>
        <item>入</item>
      </candidateList>
      <explain>存在字形相近字词的误用。</explain>
      <paraID>7B73601C</paraID>
      <start>9</start>
      <end>10</end>
      <status>ignored</status>
      <modifiedWord/>
      <trackRevisions>false</trackRevisions>
    </reviewItem>
    <reviewItem>
      <errorID>09a4a18d-0d72-4e83-a031-bd3e7738d4af</errorID>
      <errorWord>25～35%</errorWord>
      <group>L1_Knowledge</group>
      <groupName>知识性问题</groupName>
      <ability>L2_Knowledge</ability>
      <abilityName>其他知识</abilityName>
      <candidateList>
        <item>25%～35%</item>
      </candidateList>
      <explain>1. “25～35%”中的单位“%”仅出现在后一个数字上，容易引起歧义；根据《现代汉语标点符号数字用法规范手册》，数字表示范围两边需要使用统一的格式。2. 根据标点国标 4.13 中的规则，数字、时间或地域连接符应使用（视觉上更长的）“—”或“～”。</explain>
      <paraID>3A1CF489</paraID>
      <start>53</start>
      <end>59</end>
      <status>ignored</status>
      <modifiedWord/>
      <trackRevisions>false</trackRevisions>
    </reviewItem>
    <reviewItem>
      <errorID>630fb717-7459-4cab-8a79-6a76974f08d5</errorID>
      <errorWord>粉质黏土</errorWord>
      <group>L1_Word</group>
      <groupName>字词问题</groupName>
      <ability>L2_Typo</ability>
      <abilityName>字词错误</abilityName>
      <candidateList>
        <item>粉质粘土</item>
      </candidateList>
      <explain/>
      <paraID>7656712E</paraID>
      <start>3</start>
      <end>7</end>
      <status>modified</status>
      <modifiedWord>粉质粘土</modifiedWord>
      <trackRevisions>false</trackRevisions>
    </reviewItem>
    <reviewItem>
      <errorID>1f98dc93-c433-46bb-9a3d-1f6b2da50548</errorID>
      <errorWord>堆积成因</errorWord>
      <group>L1_Knowledge</group>
      <groupName>知识性问题</groupName>
      <ability>L2_Idiom</ability>
      <abilityName>成语和诗歌</abilityName>
      <candidateList>
        <item>堆积成山</item>
      </candidateList>
      <explain>东西堆积得像山一样。形容极多。</explain>
      <paraID>6D40DE0E</paraID>
      <start>3</start>
      <end>7</end>
      <status>ignored</status>
      <modifiedWord/>
      <trackRevisions>false</trackRevisions>
    </reviewItem>
    <reviewItem>
      <errorID>083ef282-96aa-4735-95a0-819060796603</errorID>
      <errorWord>23.4～30.7%</errorWord>
      <group>L1_Knowledge</group>
      <groupName>知识性问题</groupName>
      <ability>L2_Knowledge</ability>
      <abilityName>其他知识</abilityName>
      <candidateList>
        <item>23.4%～30.7%</item>
      </candidateList>
      <explain>1. “23.4～30.7%”中的单位“%”仅出现在后一个数字上，容易引起歧义；根据《现代汉语标点符号数字用法规范手册》，数字表示范围两边需要使用统一的格式。2. 根据标点国标 4.13 中的规则，数字、时间或地域连接符应使用（视觉上更长的）“—”或“～”。</explain>
      <paraID>6C93B219</paraID>
      <start>13</start>
      <end>23</end>
      <status>ignored</status>
      <modifiedWord/>
      <trackRevisions>false</trackRevisions>
    </reviewItem>
    <reviewItem>
      <errorID>28876daf-9749-4246-963c-5cfc64dd2389</errorID>
      <errorWord>29.0～35.1%</errorWord>
      <group>L1_Knowledge</group>
      <groupName>知识性问题</groupName>
      <ability>L2_Knowledge</ability>
      <abilityName>其他知识</abilityName>
      <candidateList>
        <item>29.0%～35.1%</item>
      </candidateList>
      <explain>1. “29.0～35.1%”中的单位“%”仅出现在后一个数字上，容易引起歧义；根据《现代汉语标点符号数字用法规范手册》，数字表示范围两边需要使用统一的格式。2. 根据标点国标 4.13 中的规则，数字、时间或地域连接符应使用（视觉上更长的）“—”或“～”。</explain>
      <paraID>6C93B219</paraID>
      <start>60</start>
      <end>70</end>
      <status>ignored</status>
      <modifiedWord/>
      <trackRevisions>false</trackRevisions>
    </reviewItem>
    <reviewItem>
      <errorID>68327672-eaf1-49b5-83c0-c06d8949260e</errorID>
      <errorWord>17.1～20.8%</errorWord>
      <group>L1_Knowledge</group>
      <groupName>知识性问题</groupName>
      <ability>L2_Knowledge</ability>
      <abilityName>其他知识</abilityName>
      <candidateList>
        <item>17.1%～20.8%</item>
      </candidateList>
      <explain>1. “17.1～20.8%”中的单位“%”仅出现在后一个数字上，容易引起歧义；根据《现代汉语标点符号数字用法规范手册》，数字表示范围两边需要使用统一的格式。2. 根据标点国标 4.13 中的规则，数字、时间或地域连接符应使用（视觉上更长的）“—”或“～”。</explain>
      <paraID>6C93B219</paraID>
      <start>73</start>
      <end>83</end>
      <status>ignored</status>
      <modifiedWord/>
      <trackRevisions>false</trackRevisions>
    </reviewItem>
    <reviewItem>
      <errorID>bec46d00-466a-4ec1-9d2f-c58fc961f738</errorID>
      <errorWord>15～30%</errorWord>
      <group>L1_Knowledge</group>
      <groupName>知识性问题</groupName>
      <ability>L2_Knowledge</ability>
      <abilityName>其他知识</abilityName>
      <candidateList>
        <item>15%～30%</item>
      </candidateList>
      <explain>1. “15～30%”中的单位“%”仅出现在后一个数字上，容易引起歧义；根据《现代汉语标点符号数字用法规范手册》，数字表示范围两边需要使用统一的格式。2.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83</start>
      <end>89</end>
      <status>ignored</status>
      <modifiedWord/>
      <trackRevisions>false</trackRevisions>
    </reviewItem>
    <reviewItem>
      <errorID>caf3a4d7-24e1-4908-96f3-5937a943c935</errorID>
      <errorWord>55.5～66.8%</errorWord>
      <group>L1_Knowledge</group>
      <groupName>知识性问题</groupName>
      <ability>L2_Knowledge</ability>
      <abilityName>其他知识</abilityName>
      <candidateList>
        <item>55.5%～66.8%</item>
      </candidateList>
      <explain>1. “55.5～66.8%”中的单位“%”仅出现在后一个数字上，容易引起歧义；根据《现代汉语标点符号数字用法规范手册》，数字表示范围两边需要使用统一的格式。2.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121</start>
      <end>131</end>
      <status>ignored</status>
      <modifiedWord/>
      <trackRevisions>false</trackRevisions>
    </reviewItem>
    <reviewItem>
      <errorID>ee886f21-7ac5-4317-902d-5d51688678d7</errorID>
      <errorWord>9.2～23.4%</errorWord>
      <group>L1_Knowledge</group>
      <groupName>知识性问题</groupName>
      <ability>L2_Knowledge</ability>
      <abilityName>其他知识</abilityName>
      <candidateList>
        <item>9.2%～23.4%</item>
      </candidateList>
      <explain>1. “9.2～23.4%”中的单位“%”仅出现在后一个数字上，容易引起歧义；根据《现代汉语标点符号数字用法规范手册》，数字表示范围两边需要使用统一的格式。2.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139</start>
      <end>148</end>
      <status>ignored</status>
      <modifiedWord/>
      <trackRevisions>false</trackRevisions>
    </reviewItem>
    <reviewItem>
      <errorID>8a2aee8a-8933-40b8-b40a-365d3a5128da</errorID>
      <errorWord>1.5～6.4%</errorWord>
      <group>L1_Knowledge</group>
      <groupName>知识性问题</groupName>
      <ability>L2_Knowledge</ability>
      <abilityName>其他知识</abilityName>
      <candidateList>
        <item>1.5%～6.4%</item>
      </candidateList>
      <explain>1. “1.5～6.4%”中的单位“%”仅出现在后一个数字上，容易引起歧义；根据《现代汉语标点符号数字用法规范手册》，数字表示范围两边需要使用统一的格式。2.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158</start>
      <end>166</end>
      <status>ignored</status>
      <modifiedWord/>
      <trackRevisions>false</trackRevisions>
    </reviewItem>
    <reviewItem>
      <errorID>f0aff331-5389-4553-a153-24c3993b435e</errorID>
      <errorWord>0.8～4.2%</errorWord>
      <group>L1_Knowledge</group>
      <groupName>知识性问题</groupName>
      <ability>L2_Knowledge</ability>
      <abilityName>其他知识</abilityName>
      <candidateList>
        <item>0.8%～4.2%</item>
      </candidateList>
      <explain>1. “0.8～4.2%”中的单位“%”仅出现在后一个数字上，容易引起歧义；根据《现代汉语标点符号数字用法规范手册》，数字表示范围两边需要使用统一的格式。2.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178</start>
      <end>186</end>
      <status>ignored</status>
      <modifiedWord/>
      <trackRevisions>false</trackRevisions>
    </reviewItem>
    <reviewItem>
      <errorID>75ee650c-7f4f-40db-8ac8-7c7ee5e82e85</errorID>
      <errorWord>6.4～17.3%</errorWord>
      <group>L1_Knowledge</group>
      <groupName>知识性问题</groupName>
      <ability>L2_Knowledge</ability>
      <abilityName>其他知识</abilityName>
      <candidateList>
        <item>6.4%～17.3%</item>
      </candidateList>
      <explain>1. “6.4～17.3%”中的单位“%”仅出现在后一个数字上，容易引起歧义；根据《现代汉语标点符号数字用法规范手册》，数字表示范围两边需要使用统一的格式。2.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200</start>
      <end>209</end>
      <status>ignored</status>
      <modifiedWord/>
      <trackRevisions>false</trackRevisions>
    </reviewItem>
    <reviewItem>
      <errorID>619d1814-b99d-444a-bfa2-dbce791f50a0</errorID>
      <errorWord>1.6～9.9%</errorWord>
      <group>L1_Knowledge</group>
      <groupName>知识性问题</groupName>
      <ability>L2_Knowledge</ability>
      <abilityName>其他知识</abilityName>
      <candidateList>
        <item>1.6%～9.9%</item>
      </candidateList>
      <explain>1. “1.6～9.9%”中的单位“%”仅出现在后一个数字上，容易引起歧义；根据《现代汉语标点符号数字用法规范手册》，数字表示范围两边需要使用统一的格式。2. 根据标点国标 4.13 中的规则，数字、时间或地域连接符应使用（视觉上更长的）“—”或“～”。</explain>
      <paraID> 3DF732B</paraID>
      <start>224</start>
      <end>232</end>
      <status>ignored</status>
      <modifiedWord/>
      <trackRevisions>false</trackRevisions>
    </reviewItem>
    <reviewItem>
      <errorID>f6fee9c8-d126-4d6b-a070-ec0dcbf210b5</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2E51EE32</paraID>
      <start>34</start>
      <end>40</end>
      <status>ignored</status>
      <modifiedWord/>
      <trackRevisions>false</trackRevisions>
    </reviewItem>
    <reviewItem>
      <errorID>ae9685db-17ec-4cbc-aa31-ab077a81127f</errorID>
      <errorWord>15～20%</errorWord>
      <group>L1_Knowledge</group>
      <groupName>知识性问题</groupName>
      <ability>L2_Knowledge</ability>
      <abilityName>其他知识</abilityName>
      <candidateList>
        <item>15%～20%</item>
      </candidateList>
      <explain>1. “15～20%”中的单位“%”仅出现在后一个数字上，容易引起歧义；根据《现代汉语标点符号数字用法规范手册》，数字表示范围两边需要使用统一的格式。2. 根据标点国标 4.13 中的规则，数字、时间或地域连接符应使用（视觉上更长的）“—”或“～”。</explain>
      <paraID>2E51EE32</paraID>
      <start>43</start>
      <end>49</end>
      <status>ignored</status>
      <modifiedWord/>
      <trackRevisions>false</trackRevisions>
    </reviewItem>
    <reviewItem>
      <errorID>d1756543-69da-4b5c-9d2e-345c6270ddab</errorID>
      <errorWord>55～60%</errorWord>
      <group>L1_Knowledge</group>
      <groupName>知识性问题</groupName>
      <ability>L2_Knowledge</ability>
      <abilityName>其他知识</abilityName>
      <candidateList>
        <item>55%～60%</item>
      </candidateList>
      <explain>1. “55～60%”中的单位“%”仅出现在后一个数字上，容易引起歧义；根据《现代汉语标点符号数字用法规范手册》，数字表示范围两边需要使用统一的格式。2. 根据标点国标 4.13 中的规则，数字、时间或地域连接符应使用（视觉上更长的）“—”或“～”。</explain>
      <paraID>2E51EE32</paraID>
      <start>66</start>
      <end>72</end>
      <status>ignored</status>
      <modifiedWord/>
      <trackRevisions>false</trackRevisions>
    </reviewItem>
    <reviewItem>
      <errorID>ae49b13b-a8fb-4084-82b1-60785855abfc</errorID>
      <errorWord>10～18%</errorWord>
      <group>L1_Knowledge</group>
      <groupName>知识性问题</groupName>
      <ability>L2_Knowledge</ability>
      <abilityName>其他知识</abilityName>
      <candidateList>
        <item>10%～18%</item>
      </candidateList>
      <explain>1. “10～18%”中的单位“%”仅出现在后一个数字上，容易引起歧义；根据《现代汉语标点符号数字用法规范手册》，数字表示范围两边需要使用统一的格式。2. 根据标点国标 4.13 中的规则，数字、时间或地域连接符应使用（视觉上更长的）“—”或“～”。</explain>
      <paraID>182BC923</paraID>
      <start>34</start>
      <end>40</end>
      <status>ignored</status>
      <modifiedWord/>
      <trackRevisions>false</trackRevisions>
    </reviewItem>
    <reviewItem>
      <errorID>f2e43651-4062-4c58-8ea9-891ba9b540fd</errorID>
      <errorWord>15～25%</errorWord>
      <group>L1_Knowledge</group>
      <groupName>知识性问题</groupName>
      <ability>L2_Knowledge</ability>
      <abilityName>其他知识</abilityName>
      <candidateList>
        <item>15%～25%</item>
      </candidateList>
      <explain>1. “15～25%”中的单位“%”仅出现在后一个数字上，容易引起歧义；根据《现代汉语标点符号数字用法规范手册》，数字表示范围两边需要使用统一的格式。2. 根据标点国标 4.13 中的规则，数字、时间或地域连接符应使用（视觉上更长的）“—”或“～”。</explain>
      <paraID>182BC923</paraID>
      <start>43</start>
      <end>49</end>
      <status>ignored</status>
      <modifiedWord/>
      <trackRevisions>false</trackRevisions>
    </reviewItem>
    <reviewItem>
      <errorID>322757e4-d870-4583-934d-ed71f67941e7</errorID>
      <errorWord>60～70%</errorWord>
      <group>L1_Knowledge</group>
      <groupName>知识性问题</groupName>
      <ability>L2_Knowledge</ability>
      <abilityName>其他知识</abilityName>
      <candidateList>
        <item>60%～70%</item>
      </candidateList>
      <explain>1. “60～70%”中的单位“%”仅出现在后一个数字上，容易引起歧义；根据《现代汉语标点符号数字用法规范手册》，数字表示范围两边需要使用统一的格式。2. 根据标点国标 4.13 中的规则，数字、时间或地域连接符应使用（视觉上更长的）“—”或“～”。</explain>
      <paraID>182BC923</paraID>
      <start>67</start>
      <end>73</end>
      <status>ignored</status>
      <modifiedWord/>
      <trackRevisions>false</trackRevisions>
    </reviewItem>
    <reviewItem>
      <errorID>17378806-088b-48c4-9cce-dd68b09d2165</errorID>
      <errorWord>8～15%</errorWord>
      <group>L1_Knowledge</group>
      <groupName>知识性问题</groupName>
      <ability>L2_Knowledge</ability>
      <abilityName>其他知识</abilityName>
      <candidateList>
        <item>8%～15%</item>
      </candidateList>
      <explain>1. “8～15%”中的单位“%”仅出现在后一个数字上，容易引起歧义；根据《现代汉语标点符号数字用法规范手册》，数字表示范围两边需要使用统一的格式。2. 根据标点国标 4.13 中的规则，数字、时间或地域连接符应使用（视觉上更长的）“—”或“～”。</explain>
      <paraID>62CFF671</paraID>
      <start>35</start>
      <end>40</end>
      <status>ignored</status>
      <modifiedWord/>
      <trackRevisions>false</trackRevisions>
    </reviewItem>
    <reviewItem>
      <errorID>cd143c86-ea7d-481d-87a4-e4f2c8691dfb</errorID>
      <errorWord>20～30%</errorWord>
      <group>L1_Knowledge</group>
      <groupName>知识性问题</groupName>
      <ability>L2_Knowledge</ability>
      <abilityName>其他知识</abilityName>
      <candidateList>
        <item>20%～30%</item>
      </candidateList>
      <explain>1. “20～30%”中的单位“%”仅出现在后一个数字上，容易引起歧义；根据《现代汉语标点符号数字用法规范手册》，数字表示范围两边需要使用统一的格式。2. 根据标点国标 4.13 中的规则，数字、时间或地域连接符应使用（视觉上更长的）“—”或“～”。</explain>
      <paraID>62CFF671</paraID>
      <start>43</start>
      <end>49</end>
      <status>ignored</status>
      <modifiedWord/>
      <trackRevisions>false</trackRevisions>
    </reviewItem>
    <reviewItem>
      <errorID>2d1989b6-e2df-4f7d-9533-1807d8a60e27</errorID>
      <errorWord>70～85%</errorWord>
      <group>L1_Knowledge</group>
      <groupName>知识性问题</groupName>
      <ability>L2_Knowledge</ability>
      <abilityName>其他知识</abilityName>
      <candidateList>
        <item>70%～85%</item>
      </candidateList>
      <explain>1. “70～85%”中的单位“%”仅出现在后一个数字上，容易引起歧义；根据《现代汉语标点符号数字用法规范手册》，数字表示范围两边需要使用统一的格式。2. 根据标点国标 4.13 中的规则，数字、时间或地域连接符应使用（视觉上更长的）“—”或“～”。</explain>
      <paraID>62CFF671</paraID>
      <start>67</start>
      <end>73</end>
      <status>ignored</status>
      <modifiedWord/>
      <trackRevisions>false</trackRevisions>
    </reviewItem>
    <reviewItem>
      <errorID>3733e59e-8673-4140-b48e-61ddcb2f5c67</errorID>
      <errorWord>外</errorWord>
      <group>L1_Word</group>
      <groupName>字词问题</groupName>
      <ability>L2_Typo</ability>
      <abilityName>字词错误</abilityName>
      <candidateList>
        <item>处</item>
      </candidateList>
      <explain>存在字形相近字词的误用。</explain>
      <paraID>26F8FD03</paraID>
      <start>18</start>
      <end>19</end>
      <status>ignored</status>
      <modifiedWord/>
      <trackRevisions>false</trackRevisions>
    </reviewItem>
    <reviewItem>
      <errorID>f4119296-60bb-44df-a3da-0bff5c4cd729</errorID>
      <errorWord>，</errorWord>
      <group>L1_Word</group>
      <groupName>字词问题</groupName>
      <ability>L2_Typo</ability>
      <abilityName>字词错误</abilityName>
      <candidateList>
        <item>，根</item>
      </candidateList>
      <explain/>
      <paraID>149AFF68</paraID>
      <start>130</start>
      <end>132</end>
      <status>modified</status>
      <modifiedWord>，根</modifiedWord>
      <trackRevisions>false</trackRevisions>
    </reviewItem>
    <reviewItem>
      <errorID>f346967c-435d-42dc-a8c3-af071c326fe4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1B9CEB41</paraID>
      <start>151</start>
      <end>152</end>
      <status>ignored</status>
      <modifiedWord/>
      <trackRevisions>false</trackRevisions>
    </reviewItem>
    <reviewItem>
      <errorID>0378999b-35fd-49f9-b363-3c3d7bc0f738</errorID>
      <errorWord>-</errorWord>
      <group>L1_Format</group>
      <groupName>格式问题</groupName>
      <ability>L2_HalfPunc</ability>
      <abilityName>全半角检查</abilityName>
      <candidateList>
        <item>－</item>
      </candidateList>
      <explain>文本全半角错误。</explain>
      <paraID>6DF9E870</paraID>
      <start>13</start>
      <end>14</end>
      <status>ignored</status>
      <modifiedWord/>
      <trackRevisions>false</trackRevisions>
    </reviewItem>
    <reviewItem>
      <errorID>d32a7ba3-2ad6-482b-b149-1030ed145fa0</errorID>
      <errorWord>粉质黏土</errorWord>
      <group>L1_Word</group>
      <groupName>字词问题</groupName>
      <ability>L2_Typo</ability>
      <abilityName>字词错误</abilityName>
      <candidateList>
        <item>粉质粘土</item>
      </candidateList>
      <explain/>
      <paraID>7AD84749</paraID>
      <start>126</start>
      <end>130</end>
      <status>modified</status>
      <modifiedWord>粉质粘土</modifiedWord>
      <trackRevisions>false</trackRevisions>
    </reviewItem>
    <reviewItem>
      <errorID>a82c2a5d-e79a-4b54-aa53-a1604524af0b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30EB02E9</paraID>
      <start>51</start>
      <end>52</end>
      <status>ignored</status>
      <modifiedWord/>
      <trackRevisions>false</trackRevisions>
    </reviewItem>
    <reviewItem>
      <errorID>17789e1c-13c2-4faf-b6e1-4bda956cf1e3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30EB02E9</paraID>
      <start>61</start>
      <end>62</end>
      <status>ignored</status>
      <modifiedWord/>
      <trackRevisions>false</trackRevisions>
    </reviewItem>
    <reviewItem>
      <errorID>94b2ca91-57f8-460d-9a74-79ae6c2ece3f</errorID>
      <errorWord>随</errorWord>
      <group>L1_Word</group>
      <groupName>字词问题</groupName>
      <ability>L2_Typo</ability>
      <abilityName>字词错误</abilityName>
      <candidateList>
        <item>受</item>
      </candidateList>
      <explain>〈动〉❶接受：～贿｜～教育｜～到帮助。❷遭受：～灾｜～批评｜～委屈。❸忍受；禁受：～不了｜～得住。❹适合：～吃（吃着有味）｜～看（看着舒服）｜～听（听着入耳）。</explain>
      <paraID>2109E379</paraID>
      <start>149</start>
      <end>150</end>
      <status>ignored</status>
      <modifiedWord/>
      <trackRevisions>false</trackRevisions>
    </reviewItem>
    <reviewItem>
      <errorID>4c6de78c-5758-400b-ad23-8e7cbd206ca5</errorID>
      <errorWord>主要以第四系全新统冲积砂砾卵石层为主</errorWord>
      <group>L1_Grammar</group>
      <groupName>语法问题</groupName>
      <ability>L2_Grammar</ability>
      <abilityName>语法错误</abilityName>
      <candidateList>
        <item>以第四系全新统冲积砂砾卵石层为主</item>
      </candidateList>
      <explain/>
      <paraID>2540195E</paraID>
      <start>24</start>
      <end>40</end>
      <status>modified</status>
      <modifiedWord>以第四系全新统冲积砂砾卵石层为主</modifiedWord>
      <trackRevisions>false</trackRevisions>
    </reviewItem>
    <reviewItem>
      <errorID>22270c52-9fe8-41e7-9a6f-b6dc022356fc</errorID>
      <errorWord>~</errorWord>
      <group>L1_Format</group>
      <groupName>格式问题</groupName>
      <ability>L2_HalfPunc</ability>
      <abilityName>全半角检查</abilityName>
      <candidateList>
        <item>～</item>
      </candidateList>
      <explain>文本全半角错误。</explain>
      <paraID>2540195E</paraID>
      <start>71</start>
      <end>72</end>
      <status>ignored</status>
      <modifiedWord/>
      <trackRevisions>false</trackRevisions>
    </reviewItem>
    <reviewItem>
      <errorID>203599df-71ef-4538-921d-ae59a7ed2c6d</errorID>
      <errorWord>据勘探孔资料显示</errorWord>
      <group>L1_Grammar</group>
      <groupName>语法问题</groupName>
      <ability>L2_Grammar</ability>
      <abilityName>语法错误</abilityName>
      <candidateList>
        <item>据勘探孔资料</item>
      </candidateList>
      <explain/>
      <paraID>2540195E</paraID>
      <start>121</start>
      <end>129</end>
      <status>ignored</status>
      <modifiedWord/>
      <trackRevisions>false</trackRevisions>
    </reviewItem>
    <reviewItem>
      <errorID>e5b79d96-0fb1-4a52-bd53-27b11af466cc</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1BF70A1E</paraID>
      <start>51</start>
      <end>52</end>
      <status>modified</status>
      <modifiedWord>对</modifiedWord>
      <trackRevisions>false</trackRevisions>
    </reviewItem>
    <reviewItem>
      <errorID>d86b2813-1589-429a-9875-2326093a5edd</errorID>
      <errorWord>试验</errorWord>
      <group>L1_Word</group>
      <groupName>字词问题</groupName>
      <ability>L2_Typo</ability>
      <abilityName>字词错误</abilityName>
      <candidateList>
        <item>实验</item>
      </candidateList>
      <explain/>
      <paraID>59968B39</paraID>
      <start>4</start>
      <end>6</end>
      <status>ignored</status>
      <modifiedWord/>
      <trackRevisions>false</trackRevisions>
    </reviewItem>
    <reviewItem>
      <errorID>96211452-89b6-4663-9782-124bd98b89a7</errorID>
      <errorWord>其它</errorWord>
      <group>L1_Word</group>
      <groupName>字词问题</groupName>
      <ability>L2_Alias</ability>
      <abilityName>也作/曾用词</abilityName>
      <candidateList>
        <item>其他</item>
      </candidateList>
      <explain>词汇[其它]为不规范表述或旧称，其规范书面表述为[其他]。</explain>
      <paraID>63748428</paraID>
      <start>116</start>
      <end>118</end>
      <status>ignored</status>
      <modifiedWord/>
      <trackRevisions>false</trackRevisions>
    </reviewItem>
    <reviewItem>
      <errorID>eaf22503-a6df-4814-8ff3-8549c1ba72a2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60DD54D4</paraID>
      <start>106</start>
      <end>107</end>
      <status>ignored</status>
      <modifiedWord/>
      <trackRevisions>false</trackRevisions>
    </reviewItem>
    <reviewItem>
      <errorID>2dbd691d-3198-46a7-b465-7218d48935dd</errorID>
      <errorWord>地下水水质检测</errorWord>
      <group>L1_Knowledge</group>
      <groupName>知识性问题</groupName>
      <ability>L2_Term</ability>
      <abilityName>专业术语</abilityName>
      <candidateList>
        <item>地下水水质监测</item>
      </candidateList>
      <explain/>
      <paraID>260C34B1</paraID>
      <start>133</start>
      <end>140</end>
      <status>modified</status>
      <modifiedWord>地下水水质监测</modifiedWord>
      <trackRevisions>false</trackRevisions>
    </reviewItem>
    <reviewItem>
      <errorID>2ac9a51e-bd7f-4f76-aaa7-db8244b6df52</errorID>
      <errorWord>(</errorWord>
      <group>L1_Format</group>
      <groupName>格式问题</groupName>
      <ability>L2_HalfPunc</ability>
      <abilityName>全半角检查</abilityName>
      <candidateList>
        <item>（</item>
      </candidateList>
      <explain>文本全半角错误。</explain>
      <paraID>53ADB36C</paraID>
      <start>30</start>
      <end>31</end>
      <status>ignored</status>
      <modifiedWord/>
      <trackRevisions>false</trackRevisions>
    </reviewItem>
    <reviewItem>
      <errorID>d53c8ffa-a8a2-45f6-a79d-29cff4d8c662</errorID>
      <errorWord>)</errorWord>
      <group>L1_Format</group>
      <groupName>格式问题</groupName>
      <ability>L2_HalfPunc</ability>
      <abilityName>全半角检查</abilityName>
      <candidateList>
        <item>）</item>
      </candidateList>
      <explain>文本全半角错误。</explain>
      <paraID>53ADB36C</paraID>
      <start>33</start>
      <end>34</end>
      <status>ignored</status>
      <modifiedWord/>
      <trackRevisions>false</trackRevisions>
    </reviewItem>
    <reviewItem>
      <errorID>4fe05fb3-e88c-4601-bf80-33d681f5982f</errorID>
      <errorWord>(</errorWord>
      <group>L1_Format</group>
      <groupName>格式问题</groupName>
      <ability>L2_HalfPunc</ability>
      <abilityName>全半角检查</abilityName>
      <candidateList>
        <item>（</item>
      </candidateList>
      <explain>文本全半角错误。</explain>
      <paraID>2D575835</paraID>
      <start>30</start>
      <end>31</end>
      <status>ignored</status>
      <modifiedWord/>
      <trackRevisions>false</trackRevisions>
    </reviewItem>
    <reviewItem>
      <errorID>6d79abb4-c722-4a92-b750-46d91e0df0b4</errorID>
      <errorWord>)</errorWord>
      <group>L1_Format</group>
      <groupName>格式问题</groupName>
      <ability>L2_HalfPunc</ability>
      <abilityName>全半角检查</abilityName>
      <candidateList>
        <item>）</item>
      </candidateList>
      <explain>文本全半角错误。</explain>
      <paraID>2D575835</paraID>
      <start>33</start>
      <end>34</end>
      <status>ignored</status>
      <modifiedWord/>
      <trackRevisions>false</trackRevisions>
    </reviewItem>
    <reviewItem>
      <errorID>0404544c-89f8-49c1-a5a2-3fe09b8c2752</errorID>
      <errorWord>地下水水质检测</errorWord>
      <group>L1_Knowledge</group>
      <groupName>知识性问题</groupName>
      <ability>L2_Term</ability>
      <abilityName>专业术语</abilityName>
      <candidateList>
        <item>地下水水质监测</item>
      </candidateList>
      <explain/>
      <paraID>45B97C7A</paraID>
      <start>135</start>
      <end>142</end>
      <status>modified</status>
      <modifiedWord>地下水水质监测</modifiedWord>
      <trackRevisions>false</trackRevisions>
    </reviewItem>
    <reviewItem>
      <errorID>54d4e522-67fa-400b-8ebc-b2ee630534ad</errorID>
      <errorWord>，</errorWord>
      <group>L1_Format</group>
      <groupName>格式问题</groupName>
      <ability>L2_HalfPunc</ability>
      <abilityName>全半角检查</abilityName>
      <candidateList>
        <item>,</item>
      </candidateList>
      <explain>文本全半角错误。</explain>
      <paraID>7DB096BE</paraID>
      <start>7</start>
      <end>8</end>
      <status>ignored</status>
      <modifiedWord/>
      <trackRevisions>false</trackRevisions>
    </reviewItem>
    <reviewItem>
      <errorID>791f2b13-4c3d-416b-855a-3bd64abcba51</errorID>
      <errorWord>&gt;</errorWord>
      <group>L1_Punc</group>
      <groupName>标点问题</groupName>
      <ability>L2_Punc</ability>
      <abilityName>标点符号检查</abilityName>
      <candidateList/>
      <explain/>
      <paraID>  4DDA40</paraID>
      <start>0</start>
      <end>1</end>
      <status>ignored</status>
      <modifiedWord/>
      <trackRevisions>false</trackRevisions>
    </reviewItem>
    <reviewItem>
      <errorID>949d1c20-d1d5-4233-a9b8-98585bc7747e</errorID>
      <errorWord>，</errorWord>
      <group>L1_Word</group>
      <groupName>字词问题</groupName>
      <ability>L2_Typo</ability>
      <abilityName>字词错误</abilityName>
      <candidateList>
        <item>，对</item>
      </candidateList>
      <explain/>
      <paraID>1D1F1762</paraID>
      <start>32</start>
      <end>34</end>
      <status>modified</status>
      <modifiedWord>，对</modifiedWord>
      <trackRevisions>false</trackRevisions>
    </reviewItem>
    <reviewItem>
      <errorID>1322b963-2869-4924-85a2-b6e91734f180</errorID>
      <errorWord>&gt;</errorWord>
      <group>L1_Punc</group>
      <groupName>标点问题</groupName>
      <ability>L2_Punc</ability>
      <abilityName>标点符号检查</abilityName>
      <candidateList/>
      <explain/>
      <paraID>6511D158</paraID>
      <start>0</start>
      <end>1</end>
      <status>ignored</status>
      <modifiedWord/>
      <trackRevisions>false</trackRevisions>
    </reviewItem>
    <reviewItem>
      <errorID>8728d31a-5854-42ed-b14b-114ec9c26f29</errorID>
      <errorWord>6标</errorWord>
      <group>L1_Word</group>
      <groupName>字词问题</groupName>
      <ability>L2_Typo</ability>
      <abilityName>字词错误</abilityName>
      <candidateList>
        <item>6</item>
      </candidateList>
      <explain/>
      <paraID>6F98FD22</paraID>
      <start>174</start>
      <end>175</end>
      <status>modified</status>
      <modifiedWord>6</modifiedWord>
      <trackRevisions>false</trackRevisions>
    </reviewItem>
    <reviewItem>
      <errorID>a0c19ffd-f479-40b6-b171-d9100e0dcbd7</errorID>
      <errorWord>主要以第四系全新统冲积砂砾卵石层为主</errorWord>
      <group>L1_Grammar</group>
      <groupName>语法问题</groupName>
      <ability>L2_Grammar</ability>
      <abilityName>语法错误</abilityName>
      <candidateList>
        <item>以第四系全新统冲积砂砾卵石层为主</item>
      </candidateList>
      <explain/>
      <paraID>398B323C</paraID>
      <start>35</start>
      <end>51</end>
      <status>modified</status>
      <modifiedWord>以第四系全新统冲积砂砾卵石层为主</modifiedWord>
      <trackRevisions>false</trackRevisions>
    </reviewItem>
    <reviewItem>
      <errorID>c4013f91-bf7d-4300-82b9-b72ba3ddac24</errorID>
      <errorWord>~</errorWord>
      <group>L1_Format</group>
      <groupName>格式问题</groupName>
      <ability>L2_HalfPunc</ability>
      <abilityName>全半角检查</abilityName>
      <candidateList>
        <item>～</item>
      </candidateList>
      <explain>文本全半角错误。</explain>
      <paraID>398B323C</paraID>
      <start>82</start>
      <end>83</end>
      <status>ignored</status>
      <modifiedWord/>
      <trackRevisions>false</trackRevisions>
    </reviewItem>
    <reviewItem>
      <errorID>d293f32e-379a-487a-be44-f22e3d6929af</errorID>
      <errorWord>于</errorWord>
      <group>L1_Word</group>
      <groupName>字词问题</groupName>
      <ability>L2_Typo</ability>
      <abilityName>字词错误</abilityName>
      <candidateList>
        <item>于水</item>
      </candidateList>
      <explain/>
      <paraID>5DB6C358</paraID>
      <start>1</start>
      <end>3</end>
      <status>modified</status>
      <modifiedWord>于水</modifiedWord>
      <trackRevisions>false</trackRevisions>
    </reviewItem>
    <reviewItem>
      <errorID>5d57018e-a397-49a0-8eeb-8f1c30caac90</errorID>
      <errorWord>新统</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5DB6C358</paraID>
      <start>78</start>
      <end>80</end>
      <status>ignored</status>
      <modifiedWord/>
      <trackRevisions>false</trackRevisions>
    </reviewItem>
    <reviewItem>
      <errorID>b958bda3-1128-4d36-9bcb-b3d2d20b9f17</errorID>
      <errorWord>(</errorWord>
      <group>L1_Format</group>
      <groupName>格式问题</groupName>
      <ability>L2_HalfPunc</ability>
      <abilityName>全半角检查</abilityName>
      <candidateList>
        <item>（</item>
      </candidateList>
      <explain>文本全半角错误。</explain>
      <paraID>15F8C4B2</paraID>
      <start>88</start>
      <end>89</end>
      <status>ignored</status>
      <modifiedWord/>
      <trackRevisions>false</trackRevisions>
    </reviewItem>
    <reviewItem>
      <errorID>36f48fc9-a6e2-43b6-af26-fc4d915d83f8</errorID>
      <errorWord>)</errorWord>
      <group>L1_Format</group>
      <groupName>格式问题</groupName>
      <ability>L2_HalfPunc</ability>
      <abilityName>全半角检查</abilityName>
      <candidateList>
        <item>）</item>
      </candidateList>
      <explain>文本全半角错误。</explain>
      <paraID>15F8C4B2</paraID>
      <start>101</start>
      <end>102</end>
      <status>ignored</status>
      <modifiedWord/>
      <trackRevisions>false</trackRevisions>
    </reviewItem>
    <reviewItem>
      <errorID>ea7d9ceb-47f7-4b3a-a016-4d5450f0707f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10685F23</paraID>
      <start>0</start>
      <end>2</end>
      <status>ignored</status>
      <modifiedWord/>
      <trackRevisions>false</trackRevisions>
    </reviewItem>
    <reviewItem>
      <errorID>531773c9-790b-4d02-9ee0-20356cdd082a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615F9FD1</paraID>
      <start>0</start>
      <end>2</end>
      <status>ignored</status>
      <modifiedWord/>
      <trackRevisions>false</trackRevisions>
    </reviewItem>
    <reviewItem>
      <errorID>8d33b778-cd51-4563-acfc-f63f9fe530da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7B007225</paraID>
      <start>0</start>
      <end>2</end>
      <status>ignored</status>
      <modifiedWord/>
      <trackRevisions>false</trackRevisions>
    </reviewItem>
    <reviewItem>
      <errorID>0513f082-0cac-4fde-bee1-a51d1c9e80df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43E9735</paraID>
      <start>0</start>
      <end>2</end>
      <status>ignored</status>
      <modifiedWord/>
      <trackRevisions>false</trackRevisions>
    </reviewItem>
    <reviewItem>
      <errorID>f0822aba-43d1-426a-8d37-6d8782d28c64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5574A1A3</paraID>
      <start>0</start>
      <end>2</end>
      <status>ignored</status>
      <modifiedWord/>
      <trackRevisions>false</trackRevisions>
    </reviewItem>
    <reviewItem>
      <errorID>ba1d5397-74f4-4a6e-8b3c-27076e671e55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32CB6692</paraID>
      <start>0</start>
      <end>2</end>
      <status>ignored</status>
      <modifiedWord/>
      <trackRevisions>false</trackRevisions>
    </reviewItem>
    <reviewItem>
      <errorID>70190841-c5b3-4488-a51b-88966e2a5c34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32F139D0</paraID>
      <start>0</start>
      <end>2</end>
      <status>ignored</status>
      <modifiedWord/>
      <trackRevisions>false</trackRevisions>
    </reviewItem>
    <reviewItem>
      <errorID>6f8ec020-15f4-436e-ae7f-51588e07b33c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7E4F5B4D</paraID>
      <start>0</start>
      <end>2</end>
      <status>ignored</status>
      <modifiedWord/>
      <trackRevisions>false</trackRevisions>
    </reviewItem>
    <reviewItem>
      <errorID>a48b0e52-6c9c-4dd3-9276-a479213a9b34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322AFE93</paraID>
      <start>0</start>
      <end>2</end>
      <status>ignored</status>
      <modifiedWord/>
      <trackRevisions>false</trackRevisions>
    </reviewItem>
    <reviewItem>
      <errorID>a4b3a885-5faf-4042-93eb-28cca0a54da4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2328225</paraID>
      <start>0</start>
      <end>2</end>
      <status>ignored</status>
      <modifiedWord/>
      <trackRevisions>false</trackRevisions>
    </reviewItem>
    <reviewItem>
      <errorID>4a52d82b-5ff1-48ad-ae27-afa667340b0f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262018D5</paraID>
      <start>0</start>
      <end>2</end>
      <status>ignored</status>
      <modifiedWord/>
      <trackRevisions>false</trackRevisions>
    </reviewItem>
    <reviewItem>
      <errorID>8257079a-3a94-4d7b-b7bf-69be8ad5e968</errorID>
      <errorWord>(</errorWord>
      <group>L1_Format</group>
      <groupName>格式问题</groupName>
      <ability>L2_HalfPunc</ability>
      <abilityName>全半角检查</abilityName>
      <candidateList>
        <item>（</item>
      </candidateList>
      <explain>文本全半角错误。</explain>
      <paraID>739792C9</paraID>
      <start>87</start>
      <end>88</end>
      <status>ignored</status>
      <modifiedWord/>
      <trackRevisions>false</trackRevisions>
    </reviewItem>
    <reviewItem>
      <errorID>d87c1a03-d50d-4b83-8982-49d746b41018</errorID>
      <errorWord>)</errorWord>
      <group>L1_Format</group>
      <groupName>格式问题</groupName>
      <ability>L2_HalfPunc</ability>
      <abilityName>全半角检查</abilityName>
      <candidateList>
        <item>）</item>
      </candidateList>
      <explain>文本全半角错误。</explain>
      <paraID>739792C9</paraID>
      <start>100</start>
      <end>101</end>
      <status>ignored</status>
      <modifiedWord/>
      <trackRevisions>false</trackRevisions>
    </reviewItem>
    <reviewItem>
      <errorID>f445af24-40d8-44f5-8732-5b8a8d7ee522</errorID>
      <errorWord>,</errorWord>
      <group>L1_Format</group>
      <groupName>格式问题</groupName>
      <ability>L2_HalfPunc</ability>
      <abilityName>全半角检查</abilityName>
      <candidateList>
        <item>，</item>
      </candidateList>
      <explain>文本全半角错误。</explain>
      <paraID>3A5E2DB1</paraID>
      <start>2</start>
      <end>3</end>
      <status>modified</status>
      <modifiedWord>，</modifiedWord>
      <trackRevisions>false</trackRevisions>
    </reviewItem>
    <reviewItem>
      <errorID>f4f62424-e7d5-4a0d-a197-d59a2fbe9741</errorID>
      <errorWord>,</errorWord>
      <group>L1_Format</group>
      <groupName>格式问题</groupName>
      <ability>L2_HalfPunc</ability>
      <abilityName>全半角检查</abilityName>
      <candidateList>
        <item>，</item>
      </candidateList>
      <explain>文本全半角错误。</explain>
      <paraID>2F81A8A1</paraID>
      <start>4</start>
      <end>5</end>
      <status>modified</status>
      <modifiedWord>，</modifiedWord>
      <trackRevisions>false</trackRevisions>
    </reviewItem>
    <reviewItem>
      <errorID>c4f6f423-a871-49d6-93fd-110cfc1e4ceb</errorID>
      <errorWord>,</errorWord>
      <group>L1_Format</group>
      <groupName>格式问题</groupName>
      <ability>L2_HalfPunc</ability>
      <abilityName>全半角检查</abilityName>
      <candidateList>
        <item>，</item>
      </candidateList>
      <explain>文本全半角错误。</explain>
      <paraID>7FC0BD30</paraID>
      <start>2</start>
      <end>3</end>
      <status>modified</status>
      <modifiedWord>，</modifiedWord>
      <trackRevisions>false</trackRevisions>
    </reviewItem>
    <reviewItem>
      <errorID>e9a88b1c-b4ef-434d-9ccb-866d46690d43</errorID>
      <errorWord>,</errorWord>
      <group>L1_Format</group>
      <groupName>格式问题</groupName>
      <ability>L2_HalfPunc</ability>
      <abilityName>全半角检查</abilityName>
      <candidateList>
        <item>，</item>
      </candidateList>
      <explain>文本全半角错误。</explain>
      <paraID>21E5A0F6</paraID>
      <start>4</start>
      <end>5</end>
      <status>modified</status>
      <modifiedWord>，</modifiedWord>
      <trackRevisions>false</trackRevisions>
    </reviewItem>
    <reviewItem>
      <errorID>44c51f0b-49d4-442c-aba1-841d8bf6dc27</errorID>
      <errorWord>,</errorWord>
      <group>L1_Format</group>
      <groupName>格式问题</groupName>
      <ability>L2_HalfPunc</ability>
      <abilityName>全半角检查</abilityName>
      <candidateList>
        <item>，</item>
      </candidateList>
      <explain>文本全半角错误。</explain>
      <paraID>17FA49E1</paraID>
      <start>2</start>
      <end>3</end>
      <status>modified</status>
      <modifiedWord>，</modifiedWord>
      <trackRevisions>false</trackRevisions>
    </reviewItem>
    <reviewItem>
      <errorID>99aab454-f7cd-499a-a04a-537650b5c8bb</errorID>
      <errorWord>,</errorWord>
      <group>L1_Format</group>
      <groupName>格式问题</groupName>
      <ability>L2_HalfPunc</ability>
      <abilityName>全半角检查</abilityName>
      <candidateList>
        <item>，</item>
      </candidateList>
      <explain>文本全半角错误。</explain>
      <paraID>21D57F8C</paraID>
      <start>4</start>
      <end>5</end>
      <status>modified</status>
      <modifiedWord>，</modifiedWord>
      <trackRevisions>false</trackRevisions>
    </reviewItem>
    <reviewItem>
      <errorID>781a7d8a-ba4e-4103-9907-e58af4413fec</errorID>
      <errorWord>尘粒再</errorWord>
      <group>L1_Word</group>
      <groupName>字词问题</groupName>
      <ability>L2_Typo</ability>
      <abilityName>字词错误</abilityName>
      <candidateList>
        <item>尘粒</item>
      </candidateList>
      <explain/>
      <paraID>  88EB07</paraID>
      <start>29</start>
      <end>32</end>
      <status>ignored</status>
      <modifiedWord/>
      <trackRevisions>false</trackRevisions>
    </reviewItem>
    <reviewItem>
      <errorID>9774fc16-8d67-4395-9731-49959ba5f23c</errorID>
      <errorWord>（</errorWord>
      <group>L1_Format</group>
      <groupName>格式问题</groupName>
      <ability>L2_HalfPunc</ability>
      <abilityName>全半角检查</abilityName>
      <candidateList>
        <item>(</item>
      </candidateList>
      <explain>文本全半角错误。</explain>
      <paraID>4EA65CB6</paraID>
      <start>0</start>
      <end>1</end>
      <status>ignored</status>
      <modifiedWord/>
      <trackRevisions>false</trackRevisions>
    </reviewItem>
    <reviewItem>
      <errorID>57080a5d-481a-42e9-9e52-25419a3e06fc</errorID>
      <errorWord>）</errorWord>
      <group>L1_Format</group>
      <groupName>格式问题</groupName>
      <ability>L2_HalfPunc</ability>
      <abilityName>全半角检查</abilityName>
      <candidateList>
        <item>)</item>
      </candidateList>
      <explain>文本全半角错误。</explain>
      <paraID>4EA65CB6</paraID>
      <start>6</start>
      <end>7</end>
      <status>ignored</status>
      <modifiedWord/>
      <trackRevisions>false</trackRevisions>
    </reviewItem>
    <reviewItem>
      <errorID>176a7987-52c3-4cdf-894c-0fdee08f0125</errorID>
      <errorWord>（</errorWord>
      <group>L1_Format</group>
      <groupName>格式问题</groupName>
      <ability>L2_HalfPunc</ability>
      <abilityName>全半角检查</abilityName>
      <candidateList>
        <item>(</item>
      </candidateList>
      <explain>文本全半角错误。</explain>
      <paraID>26028F7E</paraID>
      <start>0</start>
      <end>1</end>
      <status>ignored</status>
      <modifiedWord/>
      <trackRevisions>false</trackRevisions>
    </reviewItem>
    <reviewItem>
      <errorID>61a4bbe0-bbc5-4757-8d2f-ed1bc7b6d0d2</errorID>
      <errorWord>）</errorWord>
      <group>L1_Format</group>
      <groupName>格式问题</groupName>
      <ability>L2_HalfPunc</ability>
      <abilityName>全半角检查</abilityName>
      <candidateList>
        <item>)</item>
      </candidateList>
      <explain>文本全半角错误。</explain>
      <paraID>26028F7E</paraID>
      <start>6</start>
      <end>7</end>
      <status>ignored</status>
      <modifiedWord/>
      <trackRevisions>false</trackRevisions>
    </reviewItem>
    <reviewItem>
      <errorID>d6c0fac2-2954-4956-a71d-5fcfba20f036</errorID>
      <errorWord>（</errorWord>
      <group>L1_Format</group>
      <groupName>格式问题</groupName>
      <ability>L2_HalfPunc</ability>
      <abilityName>全半角检查</abilityName>
      <candidateList>
        <item>(</item>
      </candidateList>
      <explain>文本全半角错误。</explain>
      <paraID>176FF54E</paraID>
      <start>0</start>
      <end>1</end>
      <status>ignored</status>
      <modifiedWord/>
      <trackRevisions>false</trackRevisions>
    </reviewItem>
    <reviewItem>
      <errorID>d0194ade-156f-483b-9985-c5ffd582a394</errorID>
      <errorWord>）</errorWord>
      <group>L1_Format</group>
      <groupName>格式问题</groupName>
      <ability>L2_HalfPunc</ability>
      <abilityName>全半角检查</abilityName>
      <candidateList>
        <item>)</item>
      </candidateList>
      <explain>文本全半角错误。</explain>
      <paraID>176FF54E</paraID>
      <start>6</start>
      <end>7</end>
      <status>ignored</status>
      <modifiedWord/>
      <trackRevisions>false</trackRevisions>
    </reviewItem>
    <reviewItem>
      <errorID>de2347cb-6204-4f8d-87a0-cb986aa03154</errorID>
      <errorWord>（</errorWord>
      <group>L1_Format</group>
      <groupName>格式问题</groupName>
      <ability>L2_HalfPunc</ability>
      <abilityName>全半角检查</abilityName>
      <candidateList>
        <item>(</item>
      </candidateList>
      <explain>文本全半角错误。</explain>
      <paraID>6E315253</paraID>
      <start>0</start>
      <end>1</end>
      <status>ignored</status>
      <modifiedWord/>
      <trackRevisions>false</trackRevisions>
    </reviewItem>
    <reviewItem>
      <errorID>9fec858d-555e-4c7a-ae66-d74f21f84cb1</errorID>
      <errorWord>）</errorWord>
      <group>L1_Format</group>
      <groupName>格式问题</groupName>
      <ability>L2_HalfPunc</ability>
      <abilityName>全半角检查</abilityName>
      <candidateList>
        <item>)</item>
      </candidateList>
      <explain>文本全半角错误。</explain>
      <paraID>6E315253</paraID>
      <start>6</start>
      <end>7</end>
      <status>ignored</status>
      <modifiedWord/>
      <trackRevisions>false</trackRevisions>
    </reviewItem>
    <reviewItem>
      <errorID>7a6c4e33-a83a-475b-b58d-04ff3cfb4614</errorID>
      <errorWord>（</errorWord>
      <group>L1_Format</group>
      <groupName>格式问题</groupName>
      <ability>L2_HalfPunc</ability>
      <abilityName>全半角检查</abilityName>
      <candidateList>
        <item>(</item>
      </candidateList>
      <explain>文本全半角错误。</explain>
      <paraID>524A941F</paraID>
      <start>0</start>
      <end>1</end>
      <status>ignored</status>
      <modifiedWord/>
      <trackRevisions>false</trackRevisions>
    </reviewItem>
    <reviewItem>
      <errorID>aeb6bd92-fb98-474f-b396-e617d6d0d07f</errorID>
      <errorWord>）</errorWord>
      <group>L1_Format</group>
      <groupName>格式问题</groupName>
      <ability>L2_HalfPunc</ability>
      <abilityName>全半角检查</abilityName>
      <candidateList>
        <item>)</item>
      </candidateList>
      <explain>文本全半角错误。</explain>
      <paraID>524A941F</paraID>
      <start>6</start>
      <end>7</end>
      <status>ignored</status>
      <modifiedWord/>
      <trackRevisions>false</trackRevisions>
    </reviewItem>
    <reviewItem>
      <errorID>71348efa-c478-4f39-b559-87f874b78bd8</errorID>
      <errorWord>（</errorWord>
      <group>L1_Format</group>
      <groupName>格式问题</groupName>
      <ability>L2_HalfPunc</ability>
      <abilityName>全半角检查</abilityName>
      <candidateList>
        <item>(</item>
      </candidateList>
      <explain>文本全半角错误。</explain>
      <paraID>25176014</paraID>
      <start>0</start>
      <end>1</end>
      <status>ignored</status>
      <modifiedWord/>
      <trackRevisions>false</trackRevisions>
    </reviewItem>
    <reviewItem>
      <errorID>fa44eb36-868f-49a5-8bf7-2c9893225707</errorID>
      <errorWord>）</errorWord>
      <group>L1_Format</group>
      <groupName>格式问题</groupName>
      <ability>L2_HalfPunc</ability>
      <abilityName>全半角检查</abilityName>
      <candidateList>
        <item>)</item>
      </candidateList>
      <explain>文本全半角错误。</explain>
      <paraID>25176014</paraID>
      <start>6</start>
      <end>7</end>
      <status>ignored</status>
      <modifiedWord/>
      <trackRevisions>false</trackRevisions>
    </reviewItem>
    <reviewItem>
      <errorID>e269ec85-0533-4479-9abf-57a28a9c5ad6</errorID>
      <errorWord>（</errorWord>
      <group>L1_Punc</group>
      <groupName>标点问题</groupName>
      <ability>L2_Punc</ability>
      <abilityName>标点符号检查</abilityName>
      <candidateList/>
      <explain>同一形式括号套用。</explain>
      <paraID>7BBEC7AA</paraID>
      <start>48</start>
      <end>49</end>
      <status>ignored</status>
      <modifiedWord/>
      <trackRevisions>false</trackRevisions>
    </reviewItem>
    <reviewItem>
      <errorID>0d35f357-edf6-4e4d-a516-8cdd7948ac44</errorID>
      <errorWord>）</errorWord>
      <group>L1_Punc</group>
      <groupName>标点问题</groupName>
      <ability>L2_Punc</ability>
      <abilityName>标点符号检查</abilityName>
      <candidateList/>
      <explain>同一形式括号套用。</explain>
      <paraID>7BBEC7AA</paraID>
      <start>51</start>
      <end>52</end>
      <status>ignored</status>
      <modifiedWord/>
      <trackRevisions>false</trackRevisions>
    </reviewItem>
    <reviewItem>
      <errorID>3fe8bb3c-bc7b-4d48-bac2-7c74163bbb69</errorID>
      <errorWord>~</errorWord>
      <group>L1_Format</group>
      <groupName>格式问题</groupName>
      <ability>L2_HalfPunc</ability>
      <abilityName>全半角检查</abilityName>
      <candidateList>
        <item>～</item>
      </candidateList>
      <explain>文本全半角错误。</explain>
      <paraID>2A2A13DB</paraID>
      <start>46</start>
      <end>47</end>
      <status>ignored</status>
      <modifiedWord/>
      <trackRevisions>false</trackRevisions>
    </reviewItem>
    <reviewItem>
      <errorID>b1520f63-5217-4995-81c8-db33701cdeda</errorID>
      <errorWord>28%~75%</errorWord>
      <group>L1_Knowledge</group>
      <groupName>知识性问题</groupName>
      <ability>L2_Knowledge</ability>
      <abilityName>其他知识</abilityName>
      <candidateList>
        <item>28%～75%</item>
      </candidateList>
      <explain>1. “28%~75%”中的单位“%”仅出现在后一个数字上，容易引起歧义；根据《现代汉语标点符号数字用法规范手册》，数字表示范围两边需要使用统一的格式。2. 根据标点国标 4.13 中的规则，数字、时间或地域连接符应使用（视觉上更长的）“—”或“～”。</explain>
      <paraID>2A2A13DB</paraID>
      <start>110</start>
      <end>117</end>
      <status>ignored</status>
      <modifiedWord/>
      <trackRevisions>false</trackRevisions>
    </reviewItem>
    <reviewItem>
      <errorID>54b72177-b65e-41db-91b8-c96f1f7a235e</errorID>
      <errorWord>（</errorWord>
      <group>L1_Format</group>
      <groupName>格式问题</groupName>
      <ability>L2_HalfPunc</ability>
      <abilityName>全半角检查</abilityName>
      <candidateList>
        <item>(</item>
      </candidateList>
      <explain>文本全半角错误。</explain>
      <paraID>7BAE68EF</paraID>
      <start>3</start>
      <end>4</end>
      <status>ignored</status>
      <modifiedWord/>
      <trackRevisions>false</trackRevisions>
    </reviewItem>
    <reviewItem>
      <errorID>dae49633-479e-44cc-aa21-cc8f246fa8c4</errorID>
      <errorWord>）</errorWord>
      <group>L1_Format</group>
      <groupName>格式问题</groupName>
      <ability>L2_HalfPunc</ability>
      <abilityName>全半角检查</abilityName>
      <candidateList>
        <item>)</item>
      </candidateList>
      <explain>文本全半角错误。</explain>
      <paraID>7BAE68EF</paraID>
      <start>9</start>
      <end>10</end>
      <status>ignored</status>
      <modifiedWord/>
      <trackRevisions>false</trackRevisions>
    </reviewItem>
    <reviewItem>
      <errorID>05306d70-9c64-4fcc-90a8-eca2f9c59969</errorID>
      <errorWord>(</errorWord>
      <group>L1_Format</group>
      <groupName>格式问题</groupName>
      <ability>L2_HalfPunc</ability>
      <abilityName>全半角检查</abilityName>
      <candidateList>
        <item>（</item>
      </candidateList>
      <explain>文本全半角错误。</explain>
      <paraID>1BF3D1D8</paraID>
      <start>35</start>
      <end>36</end>
      <status>ignored</status>
      <modifiedWord/>
      <trackRevisions>false</trackRevisions>
    </reviewItem>
    <reviewItem>
      <errorID>cf8de1dc-4b65-4a44-b4c9-358fbf972330</errorID>
      <errorWord>)</errorWord>
      <group>L1_Format</group>
      <groupName>格式问题</groupName>
      <ability>L2_HalfPunc</ability>
      <abilityName>全半角检查</abilityName>
      <candidateList>
        <item>）</item>
      </candidateList>
      <explain>文本全半角错误。</explain>
      <paraID>1BF3D1D8</paraID>
      <start>48</start>
      <end>49</end>
      <status>ignored</status>
      <modifiedWord/>
      <trackRevisions>false</trackRevisions>
    </reviewItem>
    <reviewItem>
      <errorID>da76b774-8ebb-4daf-9050-d974660dbb2f</errorID>
      <errorWord>安置</errorWord>
      <group>L1_Word</group>
      <groupName>字词问题</groupName>
      <ability>L2_Typo</ability>
      <abilityName>字词错误</abilityName>
      <candidateList>
        <item>安装</item>
      </candidateList>
      <explain>〈动〉按照一定的方法、规格把机械或器材（多指成套的）固定在一定的地方：～自来水管｜～电话｜～机器。</explain>
      <paraID>1BF3D1D8</paraID>
      <start>49</start>
      <end>51</end>
      <status>ignored</status>
      <modifiedWord/>
      <trackRevisions>false</trackRevisions>
    </reviewItem>
    <reviewItem>
      <errorID>31cce402-9e1e-483e-b35c-cbafe9423a51</errorID>
      <errorWord>生活废水</errorWord>
      <group>L1_Knowledge</group>
      <groupName>知识性问题</groupName>
      <ability>L2_Term</ability>
      <abilityName>专业术语</abilityName>
      <candidateList>
        <item>生活污水</item>
      </candidateList>
      <explain/>
      <paraID>16292B24</paraID>
      <start>22</start>
      <end>26</end>
      <status>modified</status>
      <modifiedWord>生活污水</modifiedWord>
      <trackRevisions>false</trackRevisions>
    </reviewItem>
    <reviewItem>
      <errorID>ace9258f-30e6-4784-85ba-98f3c912f170</errorID>
      <errorWord>来自于</errorWord>
      <group>L1_Grammar</group>
      <groupName>语法问题</groupName>
      <ability>L2_Grammar</ability>
      <abilityName>语法错误</abilityName>
      <candidateList>
        <item>来自</item>
      </candidateList>
      <explain/>
      <paraID> 2FA15DF</paraID>
      <start>6</start>
      <end>8</end>
      <status>modified</status>
      <modifiedWord>来自</modifiedWord>
      <trackRevisions>false</trackRevisions>
    </reviewItem>
    <reviewItem>
      <errorID>aab0ae4a-1a5f-462f-a345-5cb42cb72075</errorID>
      <errorWord>期</errorWord>
      <group>L1_Word</group>
      <groupName>字词问题</groupName>
      <ability>L2_Typo</ability>
      <abilityName>字词错误</abilityName>
      <candidateList>
        <item>期间</item>
      </candidateList>
      <explain>〈名〉某个时期里面：农忙～｜春节～｜抗战～。</explain>
      <paraID>74B76106</paraID>
      <start>2</start>
      <end>3</end>
      <status>ignored</status>
      <modifiedWord/>
      <trackRevisions>false</trackRevisions>
    </reviewItem>
    <reviewItem>
      <errorID>e9c87ba7-8d88-44d6-aa8f-b67a7e6da647</errorID>
      <errorWord>)</errorWord>
      <group>L1_Format</group>
      <groupName>格式问题</groupName>
      <ability>L2_HalfPunc</ability>
      <abilityName>全半角检查</abilityName>
      <candidateList>
        <item>）</item>
      </candidateList>
      <explain>文本全半角错误。</explain>
      <paraID>165A6320</paraID>
      <start>147</start>
      <end>148</end>
      <status>ignored</status>
      <modifiedWord/>
      <trackRevisions>false</trackRevisions>
    </reviewItem>
    <reviewItem>
      <errorID>7ae39ad6-93a2-4cdb-b942-891c9a1a7834</errorID>
      <errorWord>)</errorWord>
      <group>L1_Format</group>
      <groupName>格式问题</groupName>
      <ability>L2_HalfPunc</ability>
      <abilityName>全半角检查</abilityName>
      <candidateList>
        <item>）</item>
      </candidateList>
      <explain>文本全半角错误。</explain>
      <paraID>5585F63D</paraID>
      <start>21</start>
      <end>22</end>
      <status>ignored</status>
      <modifiedWord/>
      <trackRevisions>false</trackRevisions>
    </reviewItem>
    <reviewItem>
      <errorID>bcb9af39-3dec-49e3-881f-b52db88c1d5e</errorID>
      <errorWord>)</errorWord>
      <group>L1_Format</group>
      <groupName>格式问题</groupName>
      <ability>L2_HalfPunc</ability>
      <abilityName>全半角检查</abilityName>
      <candidateList>
        <item>）</item>
      </candidateList>
      <explain>文本全半角错误。</explain>
      <paraID> F44551C</paraID>
      <start>23</start>
      <end>24</end>
      <status>ignored</status>
      <modifiedWord/>
      <trackRevisions>false</trackRevisions>
    </reviewItem>
    <reviewItem>
      <errorID>c69df2a8-cbc3-4c01-9e94-d96c43f19c53</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4680A9CC</paraID>
      <start>14</start>
      <end>16</end>
      <status>modified</status>
      <modifiedWord>可以</modifiedWord>
      <trackRevisions>false</trackRevisions>
    </reviewItem>
    <reviewItem>
      <errorID>f6d643e0-6853-477f-9cbe-59d78fce94b4</errorID>
      <errorWord>(</errorWord>
      <group>L1_Format</group>
      <groupName>格式问题</groupName>
      <ability>L2_HalfPunc</ability>
      <abilityName>全半角检查</abilityName>
      <candidateList>
        <item>（</item>
      </candidateList>
      <explain>文本全半角错误。</explain>
      <paraID>4680A9CC</paraID>
      <start>65</start>
      <end>66</end>
      <status>ignored</status>
      <modifiedWord/>
      <trackRevisions>false</trackRevisions>
    </reviewItem>
    <reviewItem>
      <errorID>8fe5969c-25f5-4195-9f03-0f08694cd7a4</errorID>
      <errorWord>)</errorWord>
      <group>L1_Format</group>
      <groupName>格式问题</groupName>
      <ability>L2_HalfPunc</ability>
      <abilityName>全半角检查</abilityName>
      <candidateList>
        <item>）</item>
      </candidateList>
      <explain>文本全半角错误。</explain>
      <paraID>4680A9CC</paraID>
      <start>78</start>
      <end>79</end>
      <status>ignored</status>
      <modifiedWord/>
      <trackRevisions>false</trackRevisions>
    </reviewItem>
    <reviewItem>
      <errorID>4ef47168-5012-4c1e-b303-9de5e15c3eb8</errorID>
      <errorWord>等等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6C309FD4</paraID>
      <start>51</start>
      <end>52</end>
      <status>modified</status>
      <modifiedWord>等</modifiedWord>
      <trackRevisions>false</trackRevisions>
    </reviewItem>
    <reviewItem>
      <errorID>b8c52593-970b-450c-9f3c-625aec4efed5</errorID>
      <errorWord>。。</errorWord>
      <group>L1_Punc</group>
      <groupName>标点问题</groupName>
      <ability>L2_Punc</ability>
      <abilityName>标点符号检查</abilityName>
      <candidateList>
        <item>。</item>
      </candidateList>
      <explain/>
      <paraID>45EA8873</paraID>
      <start>37</start>
      <end>38</end>
      <status>modified</status>
      <modifiedWord>。</modifiedWord>
      <trackRevisions>false</trackRevisions>
    </reviewItem>
    <reviewItem>
      <errorID>1dbeb102-afd8-4666-b843-df2956eeb6c4</errorID>
      <errorWord>建</errorWord>
      <group>L1_Word</group>
      <groupName>字词问题</groupName>
      <ability>L2_Typo</ability>
      <abilityName>字词错误</abilityName>
      <candidateList>
        <item>建设</item>
      </candidateList>
      <explain>〈动〉创立新事业；增加新设施：经济～｜～家园｜～现代化强国◇组织～｜思想～。</explain>
      <paraID> E57D892</paraID>
      <start>130</start>
      <end>132</end>
      <status>modified</status>
      <modifiedWord>建设</modifiedWord>
      <trackRevisions>false</trackRevisions>
    </reviewItem>
    <reviewItem>
      <errorID>cfb2fe88-1c3d-40ca-baea-9412e1a8c1d9</errorID>
      <errorWord>沉砂池</errorWord>
      <group>L1_Word</group>
      <groupName>字词问题</groupName>
      <ability>L2_Typo</ability>
      <abilityName>字词错误</abilityName>
      <candidateList>
        <item>沉淀池</item>
      </candidateList>
      <explain/>
      <paraID> E57D892</paraID>
      <start>195</start>
      <end>198</end>
      <status>ignored</status>
      <modifiedWord/>
      <trackRevisions>false</trackRevisions>
    </reviewItem>
    <reviewItem>
      <errorID>8653b64d-b698-4e5a-a248-d49b546b4e07</errorID>
      <errorWord>用地</errorWord>
      <group>L1_Word</group>
      <groupName>字词问题</groupName>
      <ability>L2_Typo</ability>
      <abilityName>字词错误</abilityName>
      <candidateList>
        <item>用</item>
      </candidateList>
      <explain/>
      <paraID> E57D892</paraID>
      <start>201</start>
      <end>202</end>
      <status>modified</status>
      <modifiedWord>用</modifiedWord>
      <trackRevisions>false</trackRevisions>
    </reviewItem>
    <reviewItem>
      <errorID>5d328f16-8458-4411-a22b-38c41e8600e2</errorID>
      <errorWord>设</errorWord>
      <group>L1_Word</group>
      <groupName>字词问题</groupName>
      <ability>L2_Typo</ability>
      <abilityName>字词错误</abilityName>
      <candidateList>
        <item>设置</item>
      </candidateList>
      <explain>〈动〉❶设立：这座剧院是为儿童～的。❷安放；安装：～障碍。</explain>
      <paraID> 8B1DA5F</paraID>
      <start>21</start>
      <end>22</end>
      <status>ignored</status>
      <modifiedWord/>
      <trackRevisions>false</trackRevisions>
    </reviewItem>
    <reviewItem>
      <errorID>021f91b1-4cf5-4e43-9a7a-bf72cf863b13</errorID>
      <errorWord>(</errorWord>
      <group>L1_Format</group>
      <groupName>格式问题</groupName>
      <ability>L2_HalfPunc</ability>
      <abilityName>全半角检查</abilityName>
      <candidateList>
        <item>（</item>
      </candidateList>
      <explain>文本全半角错误。</explain>
      <paraID>7FF470A5</paraID>
      <start>6</start>
      <end>7</end>
      <status>ignored</status>
      <modifiedWord/>
      <trackRevisions>false</trackRevisions>
    </reviewItem>
    <reviewItem>
      <errorID>4e5dbc1b-1323-40d4-b0f3-cf5840fbf6ac</errorID>
      <errorWord>)</errorWord>
      <group>L1_Format</group>
      <groupName>格式问题</groupName>
      <ability>L2_HalfPunc</ability>
      <abilityName>全半角检查</abilityName>
      <candidateList>
        <item>）</item>
      </candidateList>
      <explain>文本全半角错误。</explain>
      <paraID>7FF470A5</paraID>
      <start>11</start>
      <end>12</end>
      <status>ignored</status>
      <modifiedWord/>
      <trackRevisions>false</trackRevisions>
    </reviewItem>
    <reviewItem>
      <errorID>d94b14cf-7e37-4217-8664-048bff5631e8</errorID>
      <errorWord>（</errorWord>
      <group>L1_Format</group>
      <groupName>格式问题</groupName>
      <ability>L2_HalfPunc</ability>
      <abilityName>全半角检查</abilityName>
      <candidateList>
        <item>(</item>
      </candidateList>
      <explain>文本全半角错误。</explain>
      <paraID>76526E51</paraID>
      <start>0</start>
      <end>1</end>
      <status>ignored</status>
      <modifiedWord/>
      <trackRevisions>false</trackRevisions>
    </reviewItem>
    <reviewItem>
      <errorID>d86e22e7-65db-4e42-85cc-e98250e2bd98</errorID>
      <errorWord>）</errorWord>
      <group>L1_Format</group>
      <groupName>格式问题</groupName>
      <ability>L2_HalfPunc</ability>
      <abilityName>全半角检查</abilityName>
      <candidateList>
        <item>)</item>
      </candidateList>
      <explain>文本全半角错误。</explain>
      <paraID>76526E51</paraID>
      <start>3</start>
      <end>4</end>
      <status>ignored</status>
      <modifiedWord/>
      <trackRevisions>false</trackRevisions>
    </reviewItem>
    <reviewItem>
      <errorID>f5edec62-8abb-4f12-a558-890054ec7d9b</errorID>
      <errorWord>(</errorWord>
      <group>L1_Format</group>
      <groupName>格式问题</groupName>
      <ability>L2_HalfPunc</ability>
      <abilityName>全半角检查</abilityName>
      <candidateList>
        <item>（</item>
      </candidateList>
      <explain>文本全半角错误。</explain>
      <paraID>4DC032A6</paraID>
      <start>4</start>
      <end>5</end>
      <status>ignored</status>
      <modifiedWord/>
      <trackRevisions>false</trackRevisions>
    </reviewItem>
    <reviewItem>
      <errorID>8c1da07a-eb7d-4877-bc5c-f6f1a504ab6f</errorID>
      <errorWord>)</errorWord>
      <group>L1_Format</group>
      <groupName>格式问题</groupName>
      <ability>L2_HalfPunc</ability>
      <abilityName>全半角检查</abilityName>
      <candidateList>
        <item>）</item>
      </candidateList>
      <explain>文本全半角错误。</explain>
      <paraID>4DC032A6</paraID>
      <start>6</start>
      <end>7</end>
      <status>ignored</status>
      <modifiedWord/>
      <trackRevisions>false</trackRevisions>
    </reviewItem>
    <reviewItem>
      <errorID>1c55ecca-6aaa-44f3-acd0-ff0640902e7e</errorID>
      <errorWord>（</errorWord>
      <group>L1_Format</group>
      <groupName>格式问题</groupName>
      <ability>L2_HalfPunc</ability>
      <abilityName>全半角检查</abilityName>
      <candidateList>
        <item>(</item>
      </candidateList>
      <explain>文本全半角错误。</explain>
      <paraID> 4FAA0D0</paraID>
      <start>4</start>
      <end>5</end>
      <status>ignored</status>
      <modifiedWord/>
      <trackRevisions>false</trackRevisions>
    </reviewItem>
    <reviewItem>
      <errorID>65c07663-a9e2-494c-8b2f-a339898b0391</errorID>
      <errorWord>）</errorWord>
      <group>L1_Format</group>
      <groupName>格式问题</groupName>
      <ability>L2_HalfPunc</ability>
      <abilityName>全半角检查</abilityName>
      <candidateList>
        <item>)</item>
      </candidateList>
      <explain>文本全半角错误。</explain>
      <paraID> 4FAA0D0</paraID>
      <start>6</start>
      <end>7</end>
      <status>ignored</status>
      <modifiedWord/>
      <trackRevisions>false</trackRevisions>
    </reviewItem>
    <reviewItem>
      <errorID>caa344d1-e550-4066-a779-d685409c1bf6</errorID>
      <errorWord>(</errorWord>
      <group>L1_Format</group>
      <groupName>格式问题</groupName>
      <ability>L2_HalfPunc</ability>
      <abilityName>全半角检查</abilityName>
      <candidateList>
        <item>（</item>
      </candidateList>
      <explain>文本全半角错误。</explain>
      <paraID>3319E99D</paraID>
      <start>9</start>
      <end>10</end>
      <status>ignored</status>
      <modifiedWord/>
      <trackRevisions>false</trackRevisions>
    </reviewItem>
    <reviewItem>
      <errorID>52998a08-669a-4b47-9619-f0404ee1abb1</errorID>
      <errorWord>)</errorWord>
      <group>L1_Format</group>
      <groupName>格式问题</groupName>
      <ability>L2_HalfPunc</ability>
      <abilityName>全半角检查</abilityName>
      <candidateList>
        <item>）</item>
      </candidateList>
      <explain>文本全半角错误。</explain>
      <paraID>3319E99D</paraID>
      <start>14</start>
      <end>15</end>
      <status>ignored</status>
      <modifiedWord/>
      <trackRevisions>false</trackRevisions>
    </reviewItem>
    <reviewItem>
      <errorID>3367a30d-4694-4024-8677-82451268a5b4</errorID>
      <errorWord>(</errorWord>
      <group>L1_Format</group>
      <groupName>格式问题</groupName>
      <ability>L2_HalfPunc</ability>
      <abilityName>全半角检查</abilityName>
      <candidateList>
        <item>（</item>
      </candidateList>
      <explain>文本全半角错误。</explain>
      <paraID>41F5977D</paraID>
      <start>6</start>
      <end>7</end>
      <status>ignored</status>
      <modifiedWord/>
      <trackRevisions>false</trackRevisions>
    </reviewItem>
    <reviewItem>
      <errorID>d3c3f2c1-7c2e-4ae3-8b0e-732d8978e3fe</errorID>
      <errorWord>)</errorWord>
      <group>L1_Format</group>
      <groupName>格式问题</groupName>
      <ability>L2_HalfPunc</ability>
      <abilityName>全半角检查</abilityName>
      <candidateList>
        <item>）</item>
      </candidateList>
      <explain>文本全半角错误。</explain>
      <paraID>41F5977D</paraID>
      <start>11</start>
      <end>12</end>
      <status>ignored</status>
      <modifiedWord/>
      <trackRevisions>false</trackRevisions>
    </reviewItem>
    <reviewItem>
      <errorID>7609706e-baa7-46ba-b142-8238d2198a80</errorID>
      <errorWord>（</errorWord>
      <group>L1_Format</group>
      <groupName>格式问题</groupName>
      <ability>L2_HalfPunc</ability>
      <abilityName>全半角检查</abilityName>
      <candidateList>
        <item>(</item>
      </candidateList>
      <explain>文本全半角错误。</explain>
      <paraID>36CA92EA</paraID>
      <start>0</start>
      <end>1</end>
      <status>ignored</status>
      <modifiedWord/>
      <trackRevisions>false</trackRevisions>
    </reviewItem>
    <reviewItem>
      <errorID>43c7846b-bb69-4c93-9975-663a31ed1a82</errorID>
      <errorWord>）</errorWord>
      <group>L1_Format</group>
      <groupName>格式问题</groupName>
      <ability>L2_HalfPunc</ability>
      <abilityName>全半角检查</abilityName>
      <candidateList>
        <item>)</item>
      </candidateList>
      <explain>文本全半角错误。</explain>
      <paraID>36CA92EA</paraID>
      <start>3</start>
      <end>4</end>
      <status>ignored</status>
      <modifiedWord/>
      <trackRevisions>false</trackRevisions>
    </reviewItem>
    <reviewItem>
      <errorID>e42723d0-ecfe-4124-b3c6-30e478ecafe3</errorID>
      <errorWord>(</errorWord>
      <group>L1_Format</group>
      <groupName>格式问题</groupName>
      <ability>L2_HalfPunc</ability>
      <abilityName>全半角检查</abilityName>
      <candidateList>
        <item>（</item>
      </candidateList>
      <explain>文本全半角错误。</explain>
      <paraID>64D6EB1F</paraID>
      <start>4</start>
      <end>5</end>
      <status>ignored</status>
      <modifiedWord/>
      <trackRevisions>false</trackRevisions>
    </reviewItem>
    <reviewItem>
      <errorID>9ec725ae-0405-4c44-b641-b23fd57909f3</errorID>
      <errorWord>)</errorWord>
      <group>L1_Format</group>
      <groupName>格式问题</groupName>
      <ability>L2_HalfPunc</ability>
      <abilityName>全半角检查</abilityName>
      <candidateList>
        <item>）</item>
      </candidateList>
      <explain>文本全半角错误。</explain>
      <paraID>64D6EB1F</paraID>
      <start>6</start>
      <end>7</end>
      <status>ignored</status>
      <modifiedWord/>
      <trackRevisions>false</trackRevisions>
    </reviewItem>
    <reviewItem>
      <errorID>b2fd0621-622b-44d8-a3cb-dadee5f76d7c</errorID>
      <errorWord>（</errorWord>
      <group>L1_Format</group>
      <groupName>格式问题</groupName>
      <ability>L2_HalfPunc</ability>
      <abilityName>全半角检查</abilityName>
      <candidateList>
        <item>(</item>
      </candidateList>
      <explain>文本全半角错误。</explain>
      <paraID> B68A8BC</paraID>
      <start>4</start>
      <end>5</end>
      <status>ignored</status>
      <modifiedWord/>
      <trackRevisions>false</trackRevisions>
    </reviewItem>
    <reviewItem>
      <errorID>655e2c3c-7439-4d72-bc61-cc02cb390c3f</errorID>
      <errorWord>）</errorWord>
      <group>L1_Format</group>
      <groupName>格式问题</groupName>
      <ability>L2_HalfPunc</ability>
      <abilityName>全半角检查</abilityName>
      <candidateList>
        <item>)</item>
      </candidateList>
      <explain>文本全半角错误。</explain>
      <paraID> B68A8BC</paraID>
      <start>11</start>
      <end>12</end>
      <status>ignored</status>
      <modifiedWord/>
      <trackRevisions>false</trackRevisions>
    </reviewItem>
    <reviewItem>
      <errorID>25db9491-6271-4b8b-8c6f-f054211c360c</errorID>
      <errorWord>（</errorWord>
      <group>L1_Format</group>
      <groupName>格式问题</groupName>
      <ability>L2_HalfPunc</ability>
      <abilityName>全半角检查</abilityName>
      <candidateList>
        <item>(</item>
      </candidateList>
      <explain>文本全半角错误。</explain>
      <paraID>  7924EC</paraID>
      <start>4</start>
      <end>5</end>
      <status>ignored</status>
      <modifiedWord/>
      <trackRevisions>false</trackRevisions>
    </reviewItem>
    <reviewItem>
      <errorID>cee376de-adf8-44b0-8e46-61cbebbc5dc0</errorID>
      <errorWord>）</errorWord>
      <group>L1_Format</group>
      <groupName>格式问题</groupName>
      <ability>L2_HalfPunc</ability>
      <abilityName>全半角检查</abilityName>
      <candidateList>
        <item>)</item>
      </candidateList>
      <explain>文本全半角错误。</explain>
      <paraID>  7924EC</paraID>
      <start>11</start>
      <end>12</end>
      <status>ignored</status>
      <modifiedWord/>
      <trackRevisions>false</trackRevisions>
    </reviewItem>
    <reviewItem>
      <errorID>85d1e80a-a3e4-4b18-af53-5516885b564e</errorID>
      <errorWord>货货</errorWord>
      <group>L1_Word</group>
      <groupName>字词问题</groupName>
      <ability>L2_Typo</ability>
      <abilityName>字词错误</abilityName>
      <candidateList>
        <item>货</item>
      </candidateList>
      <explain/>
      <paraID>3643EA15</paraID>
      <start>24</start>
      <end>25</end>
      <status>modified</status>
      <modifiedWord>货</modifiedWord>
      <trackRevisions>false</trackRevisions>
    </reviewItem>
    <reviewItem>
      <errorID>07c11e0f-e378-43ca-9663-d4abb5cde578</errorID>
      <errorWord>（</errorWord>
      <group>L1_Format</group>
      <groupName>格式问题</groupName>
      <ability>L2_HalfPunc</ability>
      <abilityName>全半角检查</abilityName>
      <candidateList>
        <item>(</item>
      </candidateList>
      <explain>文本全半角错误。</explain>
      <paraID>3C856FCC</paraID>
      <start>5</start>
      <end>6</end>
      <status>ignored</status>
      <modifiedWord/>
      <trackRevisions>false</trackRevisions>
    </reviewItem>
    <reviewItem>
      <errorID>e306144d-ae0c-4d5e-8743-1e76781f4157</errorID>
      <errorWord>）</errorWord>
      <group>L1_Format</group>
      <groupName>格式问题</groupName>
      <ability>L2_HalfPunc</ability>
      <abilityName>全半角检查</abilityName>
      <candidateList>
        <item>)</item>
      </candidateList>
      <explain>文本全半角错误。</explain>
      <paraID>3C856FCC</paraID>
      <start>19</start>
      <end>20</end>
      <status>ignored</status>
      <modifiedWord/>
      <trackRevisions>false</trackRevisions>
    </reviewItem>
    <reviewItem>
      <errorID>c4b84657-69bd-4e18-b818-a58f29446dd3</errorID>
      <errorWord>（</errorWord>
      <group>L1_Format</group>
      <groupName>格式问题</groupName>
      <ability>L2_HalfPunc</ability>
      <abilityName>全半角检查</abilityName>
      <candidateList>
        <item>(</item>
      </candidateList>
      <explain>文本全半角错误。</explain>
      <paraID>754ADE3C</paraID>
      <start>5</start>
      <end>6</end>
      <status>ignored</status>
      <modifiedWord/>
      <trackRevisions>false</trackRevisions>
    </reviewItem>
    <reviewItem>
      <errorID>0ac8b224-7ea6-4938-8ca0-2d8d87367aea</errorID>
      <errorWord>）</errorWord>
      <group>L1_Format</group>
      <groupName>格式问题</groupName>
      <ability>L2_HalfPunc</ability>
      <abilityName>全半角检查</abilityName>
      <candidateList>
        <item>)</item>
      </candidateList>
      <explain>文本全半角错误。</explain>
      <paraID>754ADE3C</paraID>
      <start>22</start>
      <end>23</end>
      <status>ignored</status>
      <modifiedWord/>
      <trackRevisions>false</trackRevisions>
    </reviewItem>
    <reviewItem>
      <errorID>bfa22d69-5792-4114-8499-d2d6b4f24bcb</errorID>
      <errorWord>（</errorWord>
      <group>L1_Format</group>
      <groupName>格式问题</groupName>
      <ability>L2_HalfPunc</ability>
      <abilityName>全半角检查</abilityName>
      <candidateList>
        <item>(</item>
      </candidateList>
      <explain>文本全半角错误。</explain>
      <paraID> 4009FC0</paraID>
      <start>5</start>
      <end>6</end>
      <status>ignored</status>
      <modifiedWord/>
      <trackRevisions>false</trackRevisions>
    </reviewItem>
    <reviewItem>
      <errorID>4cae9c50-233f-47fd-90ef-91e240b5a483</errorID>
      <errorWord>）</errorWord>
      <group>L1_Format</group>
      <groupName>格式问题</groupName>
      <ability>L2_HalfPunc</ability>
      <abilityName>全半角检查</abilityName>
      <candidateList>
        <item>)</item>
      </candidateList>
      <explain>文本全半角错误。</explain>
      <paraID> 4009FC0</paraID>
      <start>22</start>
      <end>23</end>
      <status>ignored</status>
      <modifiedWord/>
      <trackRevisions>false</trackRevisions>
    </reviewItem>
    <reviewItem>
      <errorID>1163af54-eb6e-4c66-902c-23ec088c4a6f</errorID>
      <errorWord>（</errorWord>
      <group>L1_Format</group>
      <groupName>格式问题</groupName>
      <ability>L2_HalfPunc</ability>
      <abilityName>全半角检查</abilityName>
      <candidateList>
        <item>(</item>
      </candidateList>
      <explain>文本全半角错误。</explain>
      <paraID> A46BD48</paraID>
      <start>4</start>
      <end>5</end>
      <status>ignored</status>
      <modifiedWord/>
      <trackRevisions>false</trackRevisions>
    </reviewItem>
    <reviewItem>
      <errorID>bae7c206-a9e8-4194-91ec-a31354d9b692</errorID>
      <errorWord>）</errorWord>
      <group>L1_Format</group>
      <groupName>格式问题</groupName>
      <ability>L2_HalfPunc</ability>
      <abilityName>全半角检查</abilityName>
      <candidateList>
        <item>)</item>
      </candidateList>
      <explain>文本全半角错误。</explain>
      <paraID> A46BD48</paraID>
      <start>20</start>
      <end>21</end>
      <status>ignored</status>
      <modifiedWord/>
      <trackRevisions>false</trackRevisions>
    </reviewItem>
    <reviewItem>
      <errorID>91fb30dd-1321-4590-bfb1-84dba1a139b3</errorID>
      <errorWord>(</errorWord>
      <group>L1_Punc</group>
      <groupName>标点问题</groupName>
      <ability>L2_Punc</ability>
      <abilityName>标点符号检查</abilityName>
      <candidateList/>
      <explain/>
      <paraID> 8E09D0F</paraID>
      <start>33</start>
      <end>34</end>
      <status>ignored</status>
      <modifiedWord/>
      <trackRevisions>false</trackRevisions>
    </reviewItem>
    <reviewItem>
      <errorID>64c14b8a-d026-4945-b86e-3600faf44d46</errorID>
      <errorWord>车</errorWord>
      <group>L1_Word</group>
      <groupName>字词问题</groupName>
      <ability>L2_Typo</ability>
      <abilityName>字词错误</abilityName>
      <candidateList>
        <item>车在</item>
      </candidateList>
      <explain/>
      <paraID> 8E09D0F</paraID>
      <start>81</start>
      <end>82</end>
      <status>ignored</status>
      <modifiedWord/>
      <trackRevisions>false</trackRevisions>
    </reviewItem>
    <reviewItem>
      <errorID>7106022a-b8e9-4084-af86-02c9a9e7afe3</errorID>
      <errorWord>~</errorWord>
      <group>L1_Format</group>
      <groupName>格式问题</groupName>
      <ability>L2_HalfPunc</ability>
      <abilityName>全半角检查</abilityName>
      <candidateList>
        <item>～</item>
      </candidateList>
      <explain>文本全半角错误。</explain>
      <paraID>564C3E5A</paraID>
      <start>132</start>
      <end>133</end>
      <status>ignored</status>
      <modifiedWord/>
      <trackRevisions>false</trackRevisions>
    </reviewItem>
    <reviewItem>
      <errorID>89e7bba7-76ea-4d68-8255-4395c4d211d5</errorID>
      <errorWord>、</errorWord>
      <group>L1_Punc</group>
      <groupName>标点问题</groupName>
      <ability>L2_Punc</ability>
      <abilityName>标点符号检查</abilityName>
      <candidateList>
        <item>.</item>
      </candidateList>
      <explain/>
      <paraID> 1F83F7C</paraID>
      <start>1</start>
      <end>2</end>
      <status>ignored</status>
      <modifiedWord/>
      <trackRevisions>false</trackRevisions>
    </reviewItem>
    <reviewItem>
      <errorID>df51d92d-d6cd-4275-af24-92d3c61f19f0</errorID>
      <errorWord>(</errorWord>
      <group>L1_Format</group>
      <groupName>格式问题</groupName>
      <ability>L2_HalfPunc</ability>
      <abilityName>全半角检查</abilityName>
      <candidateList>
        <item>（</item>
      </candidateList>
      <explain>文本全半角错误。</explain>
      <paraID>10B49BAE</paraID>
      <start>15</start>
      <end>16</end>
      <status>ignored</status>
      <modifiedWord/>
      <trackRevisions>false</trackRevisions>
    </reviewItem>
    <reviewItem>
      <errorID>68b65752-1732-4177-b093-7b1d22cd04b5</errorID>
      <errorWord>)</errorWord>
      <group>L1_Format</group>
      <groupName>格式问题</groupName>
      <ability>L2_HalfPunc</ability>
      <abilityName>全半角检查</abilityName>
      <candidateList>
        <item>）</item>
      </candidateList>
      <explain>文本全半角错误。</explain>
      <paraID>10B49BAE</paraID>
      <start>19</start>
      <end>20</end>
      <status>ignored</status>
      <modifiedWord/>
      <trackRevisions>false</trackRevisions>
    </reviewItem>
    <reviewItem>
      <errorID>1b002472-c593-41e7-b158-aeccddd5b4b2</errorID>
      <errorWord>&gt;</errorWord>
      <group>L1_Punc</group>
      <groupName>标点问题</groupName>
      <ability>L2_Punc</ability>
      <abilityName>标点符号检查</abilityName>
      <candidateList/>
      <explain/>
      <paraID>696CA7F9</paraID>
      <start>0</start>
      <end>1</end>
      <status>ignored</status>
      <modifiedWord/>
      <trackRevisions>false</trackRevisions>
    </reviewItem>
    <reviewItem>
      <errorID>ae2ac820-c3e1-4f0f-a828-9a29dc370a24</errorID>
      <errorWord>&gt;</errorWord>
      <group>L1_Punc</group>
      <groupName>标点问题</groupName>
      <ability>L2_Punc</ability>
      <abilityName>标点符号检查</abilityName>
      <candidateList/>
      <explain/>
      <paraID>1B26B001</paraID>
      <start>0</start>
      <end>1</end>
      <status>ignored</status>
      <modifiedWord/>
      <trackRevisions>false</trackRevisions>
    </reviewItem>
    <reviewItem>
      <errorID>d7475be1-0ce3-480f-9016-be45590b78ec</errorID>
      <errorWord>&gt;</errorWord>
      <group>L1_Punc</group>
      <groupName>标点问题</groupName>
      <ability>L2_Punc</ability>
      <abilityName>标点符号检查</abilityName>
      <candidateList/>
      <explain/>
      <paraID>5E08041E</paraID>
      <start>0</start>
      <end>1</end>
      <status>ignored</status>
      <modifiedWord/>
      <trackRevisions>false</trackRevisions>
    </reviewItem>
    <reviewItem>
      <errorID>d6417e12-e329-41e9-9172-13014c83a437</errorID>
      <errorWord>&gt;</errorWord>
      <group>L1_Punc</group>
      <groupName>标点问题</groupName>
      <ability>L2_Punc</ability>
      <abilityName>标点符号检查</abilityName>
      <candidateList/>
      <explain/>
      <paraID>21FF44AF</paraID>
      <start>0</start>
      <end>1</end>
      <status>ignored</status>
      <modifiedWord/>
      <trackRevisions>false</trackRevisions>
    </reviewItem>
    <reviewItem>
      <errorID>c6db5095-0324-484e-b45e-f0bf08a85a9f</errorID>
      <errorWord>为以</errorWord>
      <group>L1_Word</group>
      <groupName>字词问题</groupName>
      <ability>L2_Typo</ability>
      <abilityName>字词错误</abilityName>
      <candidateList>
        <item>为</item>
      </candidateList>
      <explain>（爲、為）wèi❶〈书〉帮助；卫护：～吕氏者右袒，～刘氏者左袒。❷〈介〉表示行为的对象；替：～你庆幸｜～人民服务｜～这本书写一篇序。❸〈介〉表示原因、目的：大家都～这件事高兴｜～建设伟大祖国而奋斗。❹〈书〉〈介〉对；向：不足～外人道。</explain>
      <paraID>60540CDC</paraID>
      <start>17</start>
      <end>19</end>
      <status>ignored</status>
      <modifiedWord/>
      <trackRevisions>false</trackRevisions>
    </reviewItem>
    <reviewItem>
      <errorID>987441b8-78ed-4560-978e-d561b5644db5</errorID>
      <errorWord>套带</errorWord>
      <group>L1_Word</group>
      <groupName>字词问题</groupName>
      <ability>L2_Typo</ability>
      <abilityName>字词错误</abilityName>
      <candidateList>
        <item>套袋</item>
      </candidateList>
      <explain/>
      <paraID>48716CA4</paraID>
      <start>251</start>
      <end>253</end>
      <status>ignored</status>
      <modifiedWord/>
      <trackRevisions>false</trackRevisions>
    </reviewItem>
    <reviewItem>
      <errorID>c3f5bf36-6447-436c-8d65-e5f2da5a0017</errorID>
      <errorWord>达</errorWord>
      <group>L1_Word</group>
      <groupName>字词问题</groupName>
      <ability>L2_Typo</ability>
      <abilityName>字词错误</abilityName>
      <candidateList>
        <item>达到</item>
      </candidateList>
      <explain>〈动〉到（多指抽象事物或程度）：达得到｜达不到｜目的没有～｜～国际水平。</explain>
      <paraID> 4DB2831</paraID>
      <start>25</start>
      <end>26</end>
      <status>ignored</status>
      <modifiedWord/>
      <trackRevisions>false</trackRevisions>
    </reviewItem>
    <reviewItem>
      <errorID>2a2b23d8-38d2-4eb4-b0e1-13964dca119d</errorID>
      <errorWord>雨水系统</errorWord>
      <group>L1_Knowledge</group>
      <groupName>知识性问题</groupName>
      <ability>L2_Term</ability>
      <abilityName>专业术语</abilityName>
      <candidateList>
        <item>泄水系统</item>
      </candidateList>
      <explain/>
      <paraID>5EA4A796</paraID>
      <start>64</start>
      <end>68</end>
      <status>ignored</status>
      <modifiedWord/>
      <trackRevisions>false</trackRevisions>
    </reviewItem>
    <reviewItem>
      <errorID>ca09ea97-f651-4dd7-a6a1-ee67565c68d0</errorID>
      <errorWord>用水水质</errorWord>
      <group>L1_Knowledge</group>
      <groupName>知识性问题</groupName>
      <ability>L2_Term</ability>
      <abilityName>专业术语</abilityName>
      <candidateList>
        <item>出水水质</item>
      </candidateList>
      <explain/>
      <paraID>3CE6C3EF</paraID>
      <start>100</start>
      <end>104</end>
      <status>ignored</status>
      <modifiedWord/>
      <trackRevisions>false</trackRevisions>
    </reviewItem>
    <reviewItem>
      <errorID>ce8aad6c-701b-4156-bdd2-6cea82d804a7</errorID>
      <errorWord>达</errorWord>
      <group>L1_Word</group>
      <groupName>字词问题</groupName>
      <ability>L2_Typo</ability>
      <abilityName>字词错误</abilityName>
      <candidateList>
        <item>达到</item>
      </candidateList>
      <explain>〈动〉到（多指抽象事物或程度）：达得到｜达不到｜目的没有～｜～国际水平。</explain>
      <paraID>77628733</paraID>
      <start>67</start>
      <end>68</end>
      <status>ignored</status>
      <modifiedWord/>
      <trackRevisions>false</trackRevisions>
    </reviewItem>
    <reviewItem>
      <errorID>d787ee1e-dca6-4c7b-85c2-b0712a883ab0</errorID>
      <errorWord>达</errorWord>
      <group>L1_Word</group>
      <groupName>字词问题</groupName>
      <ability>L2_Typo</ability>
      <abilityName>字词错误</abilityName>
      <candidateList>
        <item>达到</item>
      </candidateList>
      <explain>〈动〉到（多指抽象事物或程度）：达得到｜达不到｜目的没有～｜～国际水平。</explain>
      <paraID>61AC3F44</paraID>
      <start>38</start>
      <end>39</end>
      <status>ignored</status>
      <modifiedWord/>
      <trackRevisions>false</trackRevisions>
    </reviewItem>
    <reviewItem>
      <errorID>ba4b75ac-2099-4c6a-951a-f511ca94647b</errorID>
      <errorWord>达</errorWord>
      <group>L1_Word</group>
      <groupName>字词问题</groupName>
      <ability>L2_Typo</ability>
      <abilityName>字词错误</abilityName>
      <candidateList>
        <item>达到</item>
      </candidateList>
      <explain>〈动〉到（多指抽象事物或程度）：达得到｜达不到｜目的没有～｜～国际水平。</explain>
      <paraID>2A0A2159</paraID>
      <start>112</start>
      <end>113</end>
      <status>ignored</status>
      <modifiedWord/>
      <trackRevisions>false</trackRevisions>
    </reviewItem>
    <reviewItem>
      <errorID>91c94dfb-c429-4ea8-81fe-5f4f4d77fa8a</errorID>
      <errorWord>（</errorWord>
      <group>L1_Format</group>
      <groupName>格式问题</groupName>
      <ability>L2_HalfPunc</ability>
      <abilityName>全半角检查</abilityName>
      <candidateList>
        <item>(</item>
      </candidateList>
      <explain>文本全半角错误。</explain>
      <paraID>581119A2</paraID>
      <start>34</start>
      <end>35</end>
      <status>ignored</status>
      <modifiedWord/>
      <trackRevisions>false</trackRevisions>
    </reviewItem>
    <reviewItem>
      <errorID>51b807a1-baad-4ec4-87fa-cae105bf6052</errorID>
      <errorWord>）</errorWord>
      <group>L1_Format</group>
      <groupName>格式问题</groupName>
      <ability>L2_HalfPunc</ability>
      <abilityName>全半角检查</abilityName>
      <candidateList>
        <item>)</item>
      </candidateList>
      <explain>文本全半角错误。</explain>
      <paraID>581119A2</paraID>
      <start>36</start>
      <end>37</end>
      <status>ignored</status>
      <modifiedWord/>
      <trackRevisions>false</trackRevisions>
    </reviewItem>
    <reviewItem>
      <errorID>e6fb87b9-215a-43b8-a5cc-c0c2c92c5e0e</errorID>
      <errorWord>防泄</errorWord>
      <group>L1_Word</group>
      <groupName>字词问题</groupName>
      <ability>L2_Typo</ability>
      <abilityName>字词错误</abilityName>
      <candidateList>
        <item>防渗</item>
      </candidateList>
      <explain/>
      <paraID> D283C82</paraID>
      <start>231</start>
      <end>233</end>
      <status>ignored</status>
      <modifiedWord/>
      <trackRevisions>false</trackRevisions>
    </reviewItem>
    <reviewItem>
      <errorID>6ddcc035-7d47-4e51-9174-f55f7843c548</errorID>
      <errorWord>接受单位</errorWord>
      <group>L1_Word</group>
      <groupName>字词问题</groupName>
      <ability>L2_Typo</ability>
      <abilityName>字词错误</abilityName>
      <candidateList>
        <item>接收单位</item>
      </candidateList>
      <explain>存在发音相同字词的误用。</explain>
      <paraID>58655333</paraID>
      <start>124</start>
      <end>128</end>
      <status>modified</status>
      <modifiedWord>接收单位</modifiedWord>
      <trackRevisions>false</trackRevisions>
    </reviewItem>
    <reviewItem>
      <errorID>a1558c35-39e4-4d5a-8be7-4babbe5b733b</errorID>
      <errorWord>，</errorWord>
      <group>L1_Word</group>
      <groupName>字词问题</groupName>
      <ability>L2_Typo</ability>
      <abilityName>字词错误</abilityName>
      <candidateList>
        <item>，对</item>
      </candidateList>
      <explain/>
      <paraID>67AB40BE</paraID>
      <start>16</start>
      <end>18</end>
      <status>modified</status>
      <modifiedWord>，对</modifiedWord>
      <trackRevisions>false</trackRevisions>
    </reviewItem>
    <reviewItem>
      <errorID>db0ea595-5c12-4793-9c08-3b4af80c8cc9</errorID>
      <errorWord>-</errorWord>
      <group>L1_Format</group>
      <groupName>格式问题</groupName>
      <ability>L2_HalfPunc</ability>
      <abilityName>全半角检查</abilityName>
      <candidateList>
        <item>－</item>
      </candidateList>
      <explain>文本全半角错误。</explain>
      <paraID>258424ED</paraID>
      <start>13</start>
      <end>14</end>
      <status>ignored</status>
      <modifiedWord/>
      <trackRevisions>false</trackRevisions>
    </reviewItem>
    <reviewItem>
      <errorID>5193147d-fada-4e8b-a262-b75bec7214f6</errorID>
      <errorWord>-</errorWord>
      <group>L1_Format</group>
      <groupName>格式问题</groupName>
      <ability>L2_HalfPunc</ability>
      <abilityName>全半角检查</abilityName>
      <candidateList>
        <item>－</item>
      </candidateList>
      <explain>文本全半角错误。</explain>
      <paraID>7BDCDC60</paraID>
      <start>25</start>
      <end>26</end>
      <status>ignored</status>
      <modifiedWord/>
      <trackRevisions>false</trackRevisions>
    </reviewItem>
    <reviewItem>
      <errorID>a2d5d690-74f0-4be8-b09c-d36574666864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4A0DD49D</paraID>
      <start>22</start>
      <end>23</end>
      <status>ignored</status>
      <modifiedWord/>
      <trackRevisions>false</trackRevisions>
    </reviewItem>
    <reviewItem>
      <errorID>609e2e7e-bf3e-4936-b1c1-73c73ae6280a</errorID>
      <errorWord>本项目本项目</errorWord>
      <group>L1_Word</group>
      <groupName>字词问题</groupName>
      <ability>L2_Typo</ability>
      <abilityName>字词错误</abilityName>
      <candidateList>
        <item>本项目</item>
      </candidateList>
      <explain/>
      <paraID>39807849</paraID>
      <start>73</start>
      <end>76</end>
      <status>modified</status>
      <modifiedWord>本项目</modifiedWord>
      <trackRevisions>false</trackRevisions>
    </reviewItem>
    <reviewItem>
      <errorID>466d1ffb-c16f-48b5-8dbc-64dac4764c1c</errorID>
      <errorWord>（</errorWord>
      <group>L1_Format</group>
      <groupName>格式问题</groupName>
      <ability>L2_HalfPunc</ability>
      <abilityName>全半角检查</abilityName>
      <candidateList>
        <item>(</item>
      </candidateList>
      <explain>文本全半角错误。</explain>
      <paraID>1AA5714F</paraID>
      <start>1</start>
      <end>2</end>
      <status>ignored</status>
      <modifiedWord/>
      <trackRevisions>false</trackRevisions>
    </reviewItem>
    <reviewItem>
      <errorID>2098919b-2e72-488d-bcdf-e87806efc4bf</errorID>
      <errorWord>）</errorWord>
      <group>L1_Format</group>
      <groupName>格式问题</groupName>
      <ability>L2_HalfPunc</ability>
      <abilityName>全半角检查</abilityName>
      <candidateList>
        <item>)</item>
      </candidateList>
      <explain>文本全半角错误。</explain>
      <paraID>1AA5714F</paraID>
      <start>5</start>
      <end>6</end>
      <status>ignored</status>
      <modifiedWord/>
      <trackRevisions>false</trackRevisions>
    </reviewItem>
    <reviewItem>
      <errorID>4904dda1-c8fe-467b-82dc-db9bcac458d8</errorID>
      <errorWord>（</errorWord>
      <group>L1_Format</group>
      <groupName>格式问题</groupName>
      <ability>L2_HalfPunc</ability>
      <abilityName>全半角检查</abilityName>
      <candidateList>
        <item>(</item>
      </candidateList>
      <explain>文本全半角错误。</explain>
      <paraID>57F8A449</paraID>
      <start>1</start>
      <end>2</end>
      <status>ignored</status>
      <modifiedWord/>
      <trackRevisions>false</trackRevisions>
    </reviewItem>
    <reviewItem>
      <errorID>f705ce80-a814-4403-949d-0f7f6367c266</errorID>
      <errorWord>）</errorWord>
      <group>L1_Format</group>
      <groupName>格式问题</groupName>
      <ability>L2_HalfPunc</ability>
      <abilityName>全半角检查</abilityName>
      <candidateList>
        <item>)</item>
      </candidateList>
      <explain>文本全半角错误。</explain>
      <paraID>57F8A449</paraID>
      <start>3</start>
      <end>4</end>
      <status>ignored</status>
      <modifiedWord/>
      <trackRevisions>false</trackRevisions>
    </reviewItem>
    <reviewItem>
      <errorID>f6ed5fd7-aad9-45e7-8577-8f274c6ce99c</errorID>
      <errorWord>（</errorWord>
      <group>L1_Format</group>
      <groupName>格式问题</groupName>
      <ability>L2_HalfPunc</ability>
      <abilityName>全半角检查</abilityName>
      <candidateList>
        <item>(</item>
      </candidateList>
      <explain>文本全半角错误。</explain>
      <paraID>78C37462</paraID>
      <start>1</start>
      <end>2</end>
      <status>ignored</status>
      <modifiedWord/>
      <trackRevisions>false</trackRevisions>
    </reviewItem>
    <reviewItem>
      <errorID>64e9163c-6a7c-48e4-8de0-77cbc29c314a</errorID>
      <errorWord>）</errorWord>
      <group>L1_Format</group>
      <groupName>格式问题</groupName>
      <ability>L2_HalfPunc</ability>
      <abilityName>全半角检查</abilityName>
      <candidateList>
        <item>)</item>
      </candidateList>
      <explain>文本全半角错误。</explain>
      <paraID>78C37462</paraID>
      <start>3</start>
      <end>4</end>
      <status>ignored</status>
      <modifiedWord/>
      <trackRevisions>false</trackRevisions>
    </reviewItem>
    <reviewItem>
      <errorID>e14245d6-582e-4479-9415-45785a9d8437</errorID>
      <errorWord>新统</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6BE2BEDE</paraID>
      <start>42</start>
      <end>44</end>
      <status>ignored</status>
      <modifiedWord/>
      <trackRevisions>false</trackRevisions>
    </reviewItem>
    <reviewItem>
      <errorID>75ab9344-de2f-42d5-95fa-bb2201b32594</errorID>
      <errorWord>-</errorWord>
      <group>L1_Format</group>
      <groupName>格式问题</groupName>
      <ability>L2_HalfPunc</ability>
      <abilityName>全半角检查</abilityName>
      <candidateList>
        <item>－</item>
      </candidateList>
      <explain>文本全半角错误。</explain>
      <paraID>2C913328</paraID>
      <start>13</start>
      <end>14</end>
      <status>ignored</status>
      <modifiedWord/>
      <trackRevisions>false</trackRevisions>
    </reviewItem>
    <reviewItem>
      <errorID>32e9126b-7113-4496-b20c-4490323e3ad0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2C913328</paraID>
      <start>81</start>
      <end>82</end>
      <status>ignored</status>
      <modifiedWord/>
      <trackRevisions>false</trackRevisions>
    </reviewItem>
    <reviewItem>
      <errorID>e767ef62-707a-4377-8f06-358c5556d746</errorID>
      <errorWord>、</errorWord>
      <group>L1_Punc</group>
      <groupName>标点问题</groupName>
      <ability>L2_Punc</ability>
      <abilityName>标点符号检查</abilityName>
      <candidateList>
        <item>.</item>
      </candidateList>
      <explain/>
      <paraID>24DA8121</paraID>
      <start>1</start>
      <end>2</end>
      <status>ignored</status>
      <modifiedWord/>
      <trackRevisions>false</trackRevisions>
    </reviewItem>
    <reviewItem>
      <errorID>de064cd3-2ff5-4ea4-949e-0f002fd5b5c6</errorID>
      <errorWord>x，</errorWord>
      <group>L1_Format</group>
      <groupName>格式问题</groupName>
      <ability>L2_Ordinal</ability>
      <abilityName>序号格式</abilityName>
      <candidateList>
        <item>x.</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8E7204F</paraID>
      <start>0</start>
      <end>2</end>
      <status>ignored</status>
      <modifiedWord/>
      <trackRevisions>false</trackRevisions>
    </reviewItem>
    <reviewItem>
      <errorID>96e0c294-2b5d-48c9-9714-cac4ba9843dc</errorID>
      <errorWord>下锂</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66BBC66B</paraID>
      <start>35</start>
      <end>37</end>
      <status>ignored</status>
      <modifiedWord/>
      <trackRevisions>false</trackRevisions>
    </reviewItem>
    <reviewItem>
      <errorID>c8ac87e7-fa82-4fe3-bbb7-bebf370f2126</errorID>
      <errorWord>场</errorWord>
      <group>L1_Word</group>
      <groupName>字词问题</groupName>
      <ability>L2_Typo</ability>
      <abilityName>字词错误</abilityName>
      <candidateList>
        <item>厂</item>
      </candidateList>
      <explain/>
      <paraID>1E172370</paraID>
      <start>29</start>
      <end>30</end>
      <status>ignored</status>
      <modifiedWord/>
      <trackRevisions>false</trackRevisions>
    </reviewItem>
    <reviewItem>
      <errorID>92b92771-dbfa-4f8a-81fe-1b35382ffd0a</errorID>
      <errorWord>后约</errorWord>
      <group>L1_Word</group>
      <groupName>字词问题</groupName>
      <ability>L2_Typo</ability>
      <abilityName>字词错误</abilityName>
      <candidateList>
        <item>后</item>
      </candidateList>
      <explain>❶君主的妻子：皇～｜～妃。❷古代称君主：商之先～。❸（Hòu）〈名〉姓。</explain>
      <paraID>1B4AC44F</paraID>
      <start>7</start>
      <end>8</end>
      <status>modified</status>
      <modifiedWord>后</modifiedWord>
      <trackRevisions>false</trackRevisions>
    </reviewItem>
    <reviewItem>
      <errorID>c67e54e4-a3d9-4371-8dc9-525ec462cb17</errorID>
      <errorWord>场</errorWord>
      <group>L1_Word</group>
      <groupName>字词问题</groupName>
      <ability>L2_Typo</ability>
      <abilityName>字词错误</abilityName>
      <candidateList>
        <item>厂</item>
      </candidateList>
      <explain/>
      <paraID>2AD53C09</paraID>
      <start>342</start>
      <end>343</end>
      <status>ignored</status>
      <modifiedWord/>
      <trackRevisions>false</trackRevisions>
    </reviewItem>
    <reviewItem>
      <errorID>ef900faa-9204-4d8e-960c-cbc8ea7afd5c</errorID>
      <errorWord>后约</errorWord>
      <group>L1_Word</group>
      <groupName>字词问题</groupName>
      <ability>L2_Typo</ability>
      <abilityName>字词错误</abilityName>
      <candidateList>
        <item>后</item>
      </candidateList>
      <explain>❶君主的妻子：皇～｜～妃。❷古代称君主：商之先～。❸（Hòu）〈名〉姓。</explain>
      <paraID>516CDCCA</paraID>
      <start>289</start>
      <end>290</end>
      <status>modified</status>
      <modifiedWord>后</modifiedWord>
      <trackRevisions>false</trackRevisions>
    </reviewItem>
    <reviewItem>
      <errorID>84b72e09-ce4e-4c1b-89a0-806365e512ff</errorID>
      <errorWord>III类</errorWord>
      <group>L1_Knowledge</group>
      <groupName>知识性问题</groupName>
      <ability>L2_Knowledge</ability>
      <abilityName>其他知识</abilityName>
      <candidateList>
        <item>Ⅲ类</item>
      </candidateList>
      <explain/>
      <paraID>5C377474</paraID>
      <start>93</start>
      <end>97</end>
      <status>ignored</status>
      <modifiedWord/>
      <trackRevisions>false</trackRevisions>
    </reviewItem>
    <reviewItem>
      <errorID>564c8993-60d7-4da3-bce3-cbc331a89610</errorID>
      <errorWord>，…</errorWord>
      <group>L1_Punc</group>
      <groupName>标点问题</groupName>
      <ability>L2_Punc</ability>
      <abilityName>标点符号检查</abilityName>
      <candidateList>
        <item>，</item>
      </candidateList>
      <explain/>
      <paraID>292B00D3</paraID>
      <start>5</start>
      <end>7</end>
      <status>ignored</status>
      <modifiedWord/>
      <trackRevisions>false</trackRevisions>
    </reviewItem>
    <reviewItem>
      <errorID>0cc39e36-c06e-48df-ac01-7d9a1b13e8c0</errorID>
      <errorWord>，…</errorWord>
      <group>L1_Punc</group>
      <groupName>标点问题</groupName>
      <ability>L2_Punc</ability>
      <abilityName>标点符号检查</abilityName>
      <candidateList>
        <item>，</item>
      </candidateList>
      <explain/>
      <paraID>71CB60E3</paraID>
      <start>5</start>
      <end>7</end>
      <status>ignored</status>
      <modifiedWord/>
      <trackRevisions>false</trackRevisions>
    </reviewItem>
    <reviewItem>
      <errorID>43d9909a-0486-42d6-af6d-637bbc88456a</errorID>
      <errorWord>。</errorWord>
      <group>L1_Format</group>
      <groupName>格式问题</groupName>
      <ability>L2_HalfPunc</ability>
      <abilityName>全半角检查</abilityName>
      <candidateList>
        <item>.</item>
      </candidateList>
      <explain>文本全半角错误。</explain>
      <paraID>2E3F3610</paraID>
      <start>30</start>
      <end>31</end>
      <status>ignored</status>
      <modifiedWord/>
      <trackRevisions>false</trackRevisions>
    </reviewItem>
    <reviewItem>
      <errorID>7e0de8eb-c8f4-4e76-aca9-a757a595598a</errorID>
      <errorWord>物质</errorWord>
      <group>L1_Word</group>
      <groupName>字词问题</groupName>
      <ability>L2_Typo</ability>
      <abilityName>字词错误</abilityName>
      <candidateList>
        <item>物资</item>
      </candidateList>
      <explain/>
      <paraID>74530653</paraID>
      <start>8</start>
      <end>10</end>
      <status>ignored</status>
      <modifiedWord/>
      <trackRevisions>false</trackRevisions>
    </reviewItem>
    <reviewItem>
      <errorID>bd35ac54-acc3-42dc-b32f-a612411bfb5c</errorID>
      <errorWord>粘稠</errorWord>
      <group>L1_Word</group>
      <groupName>字词问题</groupName>
      <ability>L2_Typo</ability>
      <abilityName>字词错误</abilityName>
      <candidateList>
        <item>黏稠</item>
      </candidateList>
      <explain>存在发音相同字词的误用。</explain>
      <paraID>7BD5ACE1</paraID>
      <start>3</start>
      <end>5</end>
      <status>modified</status>
      <modifiedWord>黏稠</modifiedWord>
      <trackRevisions>false</trackRevisions>
    </reviewItem>
    <reviewItem>
      <errorID>05577036-bd14-45e2-9a7e-cee38c2679c5</errorID>
      <errorWord>综合症</errorWord>
      <group>L1_Word</group>
      <groupName>字词问题</groupName>
      <ability>L2_Typo</ability>
      <abilityName>字词错误</abilityName>
      <candidateList>
        <item>综合征</item>
      </candidateList>
      <explain/>
      <paraID>5A478ED6</paraID>
      <start>62</start>
      <end>65</end>
      <status>modified</status>
      <modifiedWord>综合征</modifiedWord>
      <trackRevisions>false</trackRevisions>
    </reviewItem>
    <reviewItem>
      <errorID>c03a76a7-59e5-4cca-9fcd-dce2fae7b554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5A478ED6</paraID>
      <start>71</start>
      <end>74</end>
      <status>modified</status>
      <modifiedWord>刺激征</modifiedWord>
      <trackRevisions>false</trackRevisions>
    </reviewItem>
    <reviewItem>
      <errorID>2b2ec63e-4d89-4bf4-bdfe-b6e2ea4ad37b</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774A5BDA</paraID>
      <start>9</start>
      <end>12</end>
      <status>ignored</status>
      <modifiedWord/>
      <trackRevisions>false</trackRevisions>
    </reviewItem>
    <reviewItem>
      <errorID>27596c3e-229a-4e0d-aebe-7e5af5c59de9</errorID>
      <errorWord>风险性</errorWord>
      <group>L1_Word</group>
      <groupName>字词问题</groupName>
      <ability>L2_Typo</ability>
      <abilityName>字词错误</abilityName>
      <candidateList>
        <item>风险</item>
      </candidateList>
      <explain>〈名〉可能发生的危险：担～｜冒着～去搞试验。</explain>
      <paraID>38B0E90F</paraID>
      <start>4</start>
      <end>7</end>
      <status>ignored</status>
      <modifiedWord/>
      <trackRevisions>false</trackRevisions>
    </reviewItem>
    <reviewItem>
      <errorID>61dacf90-27b7-4721-9ae5-231bf8317857</errorID>
      <errorWord>易常</errorWord>
      <group>L1_Word</group>
      <groupName>字词问题</groupName>
      <ability>L2_Typo</ability>
      <abilityName>字词错误</abilityName>
      <candidateList>
        <item>经常</item>
      </candidateList>
      <explain/>
      <paraID>19CA48A0</paraID>
      <start>35</start>
      <end>37</end>
      <status>modified</status>
      <modifiedWord>经常</modifiedWord>
      <trackRevisions>false</trackRevisions>
    </reviewItem>
    <reviewItem>
      <errorID>8d7b4026-50da-4930-ae01-c1fc7e55b3ee</errorID>
      <errorWord>排</errorWord>
      <group>L1_Word</group>
      <groupName>字词问题</groupName>
      <ability>L2_Typo</ability>
      <abilityName>字词错误</abilityName>
      <candidateList>
        <item>排放</item>
      </candidateList>
      <explain/>
      <paraID>3970B997</paraID>
      <start>52</start>
      <end>54</end>
      <status>modified</status>
      <modifiedWord>排放</modifiedWord>
      <trackRevisions>false</trackRevisions>
    </reviewItem>
    <reviewItem>
      <errorID>cf9ee001-1077-46cd-aacd-0277edb1319c</errorID>
      <errorWord>)</errorWord>
      <group>L1_Format</group>
      <groupName>格式问题</groupName>
      <ability>L2_HalfPunc</ability>
      <abilityName>全半角检查</abilityName>
      <candidateList>
        <item>）</item>
      </candidateList>
      <explain>文本全半角错误。</explain>
      <paraID>718C0C3F</paraID>
      <start>11</start>
      <end>12</end>
      <status>ignored</status>
      <modifiedWord/>
      <trackRevisions>false</trackRevisions>
    </reviewItem>
    <reviewItem>
      <errorID>c064a9bd-b1ed-48ff-8900-557417949050</errorID>
      <errorWord>)</errorWord>
      <group>L1_Format</group>
      <groupName>格式问题</groupName>
      <ability>L2_HalfPunc</ability>
      <abilityName>全半角检查</abilityName>
      <candidateList>
        <item>）</item>
      </candidateList>
      <explain>文本全半角错误。</explain>
      <paraID>462AE48C</paraID>
      <start>9</start>
      <end>10</end>
      <status>ignored</status>
      <modifiedWord/>
      <trackRevisions>false</trackRevisions>
    </reviewItem>
    <reviewItem>
      <errorID>044d5f16-299c-456d-9af1-8f884c77ebb6</errorID>
      <errorWord>废水处理站</errorWord>
      <group>L1_Knowledge</group>
      <groupName>知识性问题</groupName>
      <ability>L2_Term</ability>
      <abilityName>专业术语</abilityName>
      <candidateList>
        <item>废水处理厂</item>
      </candidateList>
      <explain/>
      <paraID>4A97C606</paraID>
      <start>84</start>
      <end>89</end>
      <status>ignored</status>
      <modifiedWord/>
      <trackRevisions>false</trackRevisions>
    </reviewItem>
    <reviewItem>
      <errorID>bb32d7c3-4609-4b3b-a2aa-493b91579879</errorID>
      <errorWord>物质</errorWord>
      <group>L1_Word</group>
      <groupName>字词问题</groupName>
      <ability>L2_Typo</ability>
      <abilityName>字词错误</abilityName>
      <candidateList>
        <item>物资</item>
      </candidateList>
      <explain/>
      <paraID>54AAC78B</paraID>
      <start>42</start>
      <end>44</end>
      <status>modified</status>
      <modifiedWord>物资</modifiedWord>
      <trackRevisions>false</trackRevisions>
    </reviewItem>
    <reviewItem>
      <errorID>430578f0-4b6f-434d-ad4f-1849e9dc57ac</errorID>
      <errorWord>主要防范措施以工程措施为主</errorWord>
      <group>L1_Grammar</group>
      <groupName>语法问题</groupName>
      <ability>L2_Grammar</ability>
      <abilityName>语法错误</abilityName>
      <candidateList>
        <item>防范措施以工程措施为主</item>
      </candidateList>
      <explain/>
      <paraID>36613B20</paraID>
      <start>6</start>
      <end>17</end>
      <status>modified</status>
      <modifiedWord>防范措施以工程措施为主</modifiedWord>
      <trackRevisions>false</trackRevisions>
    </reviewItem>
    <reviewItem>
      <errorID>ead87e1c-400f-4651-91e9-63e27db0469d</errorID>
      <errorWord>程</errorWord>
      <group>L1_Word</group>
      <groupName>字词问题</groupName>
      <ability>L2_Typo</ability>
      <abilityName>字词错误</abilityName>
      <candidateList>
        <item>程中</item>
      </candidateList>
      <explain/>
      <paraID>4AF1A4B7</paraID>
      <start>43</start>
      <end>45</end>
      <status>modified</status>
      <modifiedWord>程中</modifiedWord>
      <trackRevisions>false</trackRevisions>
    </reviewItem>
    <reviewItem>
      <errorID>60359ca7-6f84-4c53-850e-0c15e2a8ca76</errorID>
      <errorWord>需</errorWord>
      <group>L1_Word</group>
      <groupName>字词问题</groupName>
      <ability>L2_Typo</ability>
      <abilityName>字词错误</abilityName>
      <candidateList>
        <item>需要</item>
      </candidateList>
      <explain>❶〈动〉应该有或必须有：我们～一支强大的科学技术队伍。❷〈名〉对事物的欲望或要求：从群众的～出发。</explain>
      <paraID> BA49C35</paraID>
      <start>24</start>
      <end>26</end>
      <status>modified</status>
      <modifiedWord>需要</modifiedWord>
      <trackRevisions>false</trackRevisions>
    </reviewItem>
    <reviewItem>
      <errorID>40b1a57e-5d6e-420a-9fc3-f71bb1fbf7de</errorID>
      <errorWord>及时发现有</errorWord>
      <group>L1_Word</group>
      <groupName>字词问题</groupName>
      <ability>L2_Typo</ability>
      <abilityName>字词错误</abilityName>
      <candidateList>
        <item>及时发现</item>
      </candidateList>
      <explain/>
      <paraID>569309C5</paraID>
      <start>37</start>
      <end>41</end>
      <status>modified</status>
      <modifiedWord>及时发现</modifiedWord>
      <trackRevisions>false</trackRevisions>
    </reviewItem>
    <reviewItem>
      <errorID>e91d98a0-4a63-40f7-89ef-5a9e3339b720</errorID>
      <errorWord>迅速地</errorWord>
      <group>L1_Word</group>
      <groupName>字词问题</groupName>
      <ability>L2_Typo</ability>
      <abilityName>字词错误</abilityName>
      <candidateList>
        <item>迅速</item>
      </candidateList>
      <explain/>
      <paraID> 4BAC861</paraID>
      <start>144</start>
      <end>146</end>
      <status>modified</status>
      <modifiedWord>迅速</modifiedWord>
      <trackRevisions>false</trackRevisions>
    </reviewItem>
    <reviewItem>
      <errorID>b6c2f4e3-2efd-42cf-8a8e-2c1e6f9a5c5b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1E8F56BB</paraID>
      <start>76</start>
      <end>79</end>
      <status>ignored</status>
      <modifiedWord/>
      <trackRevisions>false</trackRevisions>
    </reviewItem>
    <reviewItem>
      <errorID>a467d3e9-4bd1-4d00-88dc-f601c2d072cb</errorID>
      <errorWord>、</errorWord>
      <group>L1_Word</group>
      <groupName>字词问题</groupName>
      <ability>L2_Typo</ability>
      <abilityName>字词错误</abilityName>
      <candidateList>
        <item>、宣</item>
      </candidateList>
      <explain/>
      <paraID>59E6A865</paraID>
      <start>25</start>
      <end>27</end>
      <status>modified</status>
      <modifiedWord>、宣</modifiedWord>
      <trackRevisions>false</trackRevisions>
    </reviewItem>
    <reviewItem>
      <errorID>8538872a-e0dd-472c-be0f-28c8529e05d1</errorID>
      <errorWord>设</errorWord>
      <group>L1_Word</group>
      <groupName>字词问题</groupName>
      <ability>L2_Typo</ability>
      <abilityName>字词错误</abilityName>
      <candidateList>
        <item>设立</item>
      </candidateList>
      <explain/>
      <paraID>52E8236A</paraID>
      <start>23</start>
      <end>25</end>
      <status>modified</status>
      <modifiedWord>设立</modifiedWord>
      <trackRevisions>false</trackRevisions>
    </reviewItem>
    <reviewItem>
      <errorID>42fc7430-884c-4566-8411-74fe335ffd69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4D6B4481</paraID>
      <start>0</start>
      <end>2</end>
      <status>ignored</status>
      <modifiedWord/>
      <trackRevisions>false</trackRevisions>
    </reviewItem>
    <reviewItem>
      <errorID>98376b95-dcff-420f-9a7c-18609bd9988a</errorID>
      <errorWord>外逸</errorWord>
      <group>L1_Word</group>
      <groupName>字词问题</groupName>
      <ability>L2_Typo</ability>
      <abilityName>字词错误</abilityName>
      <candidateList>
        <item>外溢</item>
      </candidateList>
      <explain/>
      <paraID>4D6B4481</paraID>
      <start>84</start>
      <end>86</end>
      <status>ignored</status>
      <modifiedWord/>
      <trackRevisions>false</trackRevisions>
    </reviewItem>
    <reviewItem>
      <errorID>8accaaea-5386-44ae-97de-6c3e1894fc15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272FE7E0</paraID>
      <start>0</start>
      <end>2</end>
      <status>ignored</status>
      <modifiedWord/>
      <trackRevisions>false</trackRevisions>
    </reviewItem>
    <reviewItem>
      <errorID>d8e4358b-bb27-4756-a283-3a63a73b359c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73DF3C23</paraID>
      <start>0</start>
      <end>2</end>
      <status>ignored</status>
      <modifiedWord/>
      <trackRevisions>false</trackRevisions>
    </reviewItem>
    <reviewItem>
      <errorID>698c49fc-773f-4d22-9b30-6253fd689ee0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5612FAA8</paraID>
      <start>0</start>
      <end>2</end>
      <status>ignored</status>
      <modifiedWord/>
      <trackRevisions>false</trackRevisions>
    </reviewItem>
    <reviewItem>
      <errorID>0143064a-4dd4-4584-94f3-d28a73899cb1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3126E742</paraID>
      <start>0</start>
      <end>2</end>
      <status>ignored</status>
      <modifiedWord/>
      <trackRevisions>false</trackRevisions>
    </reviewItem>
    <reviewItem>
      <errorID>8e0c0755-3b1d-4143-b253-a4dc5acbe2a4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3C829BDB</paraID>
      <start>0</start>
      <end>2</end>
      <status>ignored</status>
      <modifiedWord/>
      <trackRevisions>false</trackRevisions>
    </reviewItem>
    <reviewItem>
      <errorID>a8f7768f-4ab2-45dd-9ccd-c1b7baace0b4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79A1E1F8</paraID>
      <start>0</start>
      <end>2</end>
      <status>ignored</status>
      <modifiedWord/>
      <trackRevisions>false</trackRevisions>
    </reviewItem>
    <reviewItem>
      <errorID>c51867ae-3fbd-4aad-8346-f1f922231c1b</errorID>
      <errorWord>外逸</errorWord>
      <group>L1_Word</group>
      <groupName>字词问题</groupName>
      <ability>L2_Typo</ability>
      <abilityName>字词错误</abilityName>
      <candidateList>
        <item>外溢</item>
      </candidateList>
      <explain/>
      <paraID>79A1E1F8</paraID>
      <start>87</start>
      <end>89</end>
      <status>ignored</status>
      <modifiedWord/>
      <trackRevisions>false</trackRevisions>
    </reviewItem>
    <reviewItem>
      <errorID>b42152da-2c10-48f7-8b86-e73e717a958e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2D303FC9</paraID>
      <start>0</start>
      <end>2</end>
      <status>ignored</status>
      <modifiedWord/>
      <trackRevisions>false</trackRevisions>
    </reviewItem>
    <reviewItem>
      <errorID>3928e9c5-90d1-431d-8432-19b829524928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2F0BC2D5</paraID>
      <start>0</start>
      <end>2</end>
      <status>ignored</status>
      <modifiedWord/>
      <trackRevisions>false</trackRevisions>
    </reviewItem>
    <reviewItem>
      <errorID>294d8e86-7436-429a-90b9-35731ca994ad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713E43C9</paraID>
      <start>0</start>
      <end>2</end>
      <status>ignored</status>
      <modifiedWord/>
      <trackRevisions>false</trackRevisions>
    </reviewItem>
    <reviewItem>
      <errorID>4449c4ad-6bea-4869-9bfa-30cdceb6e1ea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7CBB7120</paraID>
      <start>0</start>
      <end>2</end>
      <status>ignored</status>
      <modifiedWord/>
      <trackRevisions>false</trackRevisions>
    </reviewItem>
    <reviewItem>
      <errorID>1529fe9b-616b-46ff-b22d-4c26ccc95ec0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3DEFC340</paraID>
      <start>0</start>
      <end>2</end>
      <status>ignored</status>
      <modifiedWord/>
      <trackRevisions>false</trackRevisions>
    </reviewItem>
    <reviewItem>
      <errorID>eb29de8d-ea26-49c5-9e27-87fb4800434b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32223402</paraID>
      <start>0</start>
      <end>2</end>
      <status>ignored</status>
      <modifiedWord/>
      <trackRevisions>false</trackRevisions>
    </reviewItem>
    <reviewItem>
      <errorID>0c83e918-a7e2-478a-8e4d-e06171188d12</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6936323A</paraID>
      <start>9</start>
      <end>11</end>
      <status>ignored</status>
      <modifiedWord/>
      <trackRevisions>false</trackRevisions>
    </reviewItem>
    <reviewItem>
      <errorID>28e36e99-67aa-4768-be99-3f435e8b42a9</errorID>
      <errorWord>雨水系统</errorWord>
      <group>L1_Knowledge</group>
      <groupName>知识性问题</groupName>
      <ability>L2_Term</ability>
      <abilityName>专业术语</abilityName>
      <candidateList>
        <item>泄水系统</item>
      </candidateList>
      <explain/>
      <paraID>35F10277</paraID>
      <start>78</start>
      <end>82</end>
      <status>ignored</status>
      <modifiedWord/>
      <trackRevisions>false</trackRevisions>
    </reviewItem>
    <reviewItem>
      <errorID>1bb23d4a-b841-4c9b-b7dc-d3e9b2636ff9</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 ED4AE11</paraID>
      <start>25</start>
      <end>27</end>
      <status>modified</status>
      <modifiedWord>可以</modifiedWord>
      <trackRevisions>false</trackRevisions>
    </reviewItem>
    <reviewItem>
      <errorID>0fa13826-d117-4178-9da3-e585b3a08b9e</errorID>
      <errorWord>各</errorWord>
      <group>L1_Word</group>
      <groupName>字词问题</groupName>
      <ability>L2_Typo</ability>
      <abilityName>字词错误</abilityName>
      <candidateList>
        <item>各项</item>
      </candidateList>
      <explain/>
      <paraID> ED4AE11</paraID>
      <start>104</start>
      <end>105</end>
      <status>ignored</status>
      <modifiedWord/>
      <trackRevisions>false</trackRevisions>
    </reviewItem>
    <reviewItem>
      <errorID>aded559c-6a29-4842-b406-2540b874a573</errorID>
      <errorWord>~</errorWord>
      <group>L1_Format</group>
      <groupName>格式问题</groupName>
      <ability>L2_HalfPunc</ability>
      <abilityName>全半角检查</abilityName>
      <candidateList>
        <item>～</item>
      </candidateList>
      <explain>文本全半角错误。</explain>
      <paraID>55401C43</paraID>
      <start>46</start>
      <end>47</end>
      <status>ignored</status>
      <modifiedWord/>
      <trackRevisions>false</trackRevisions>
    </reviewItem>
    <reviewItem>
      <errorID>11221ea8-fed1-4852-b772-780133d81b0b</errorID>
      <errorWord>28%~75%</errorWord>
      <group>L1_Knowledge</group>
      <groupName>知识性问题</groupName>
      <ability>L2_Knowledge</ability>
      <abilityName>其他知识</abilityName>
      <candidateList>
        <item>28%～75%</item>
      </candidateList>
      <explain>1. “28%~75%”中的单位“%”仅出现在后一个数字上，容易引起歧义；根据《现代汉语标点符号数字用法规范手册》，数字表示范围两边需要使用统一的格式。2. 根据标点国标 4.13 中的规则，数字、时间或地域连接符应使用（视觉上更长的）“—”或“～”。</explain>
      <paraID>55401C43</paraID>
      <start>110</start>
      <end>117</end>
      <status>ignored</status>
      <modifiedWord/>
      <trackRevisions>false</trackRevisions>
    </reviewItem>
    <reviewItem>
      <errorID>38115c15-721f-4a56-944e-e063a6e17b3f</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2D3AB3BA</paraID>
      <start>44</start>
      <end>45</end>
      <status>modified</status>
      <modifiedWord>地</modifiedWord>
      <trackRevisions>false</trackRevisions>
    </reviewItem>
    <reviewItem>
      <errorID>dce93d0b-8238-4787-aab6-ed8e6cbe1a21</errorID>
      <errorWord>设</errorWord>
      <group>L1_Word</group>
      <groupName>字词问题</groupName>
      <ability>L2_Typo</ability>
      <abilityName>字词错误</abilityName>
      <candidateList>
        <item>设置</item>
      </candidateList>
      <explain>〈动〉❶设立：这座剧院是为儿童～的。❷安放；安装：～障碍。</explain>
      <paraID>64F62BA3</paraID>
      <start>40</start>
      <end>42</end>
      <status>modified</status>
      <modifiedWord>设置</modifiedWord>
      <trackRevisions>false</trackRevisions>
    </reviewItem>
    <reviewItem>
      <errorID>4125153b-e3fd-47a0-85fe-385f163bb63a</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1833185F</paraID>
      <start>142</start>
      <end>143</end>
      <status>modified</status>
      <modifiedWord>地</modifiedWord>
      <trackRevisions>false</trackRevisions>
    </reviewItem>
    <reviewItem>
      <errorID>19f41996-f46b-4891-818f-685b57caf45c</errorID>
      <errorWord>包装机</errorWord>
      <group>L1_Word</group>
      <groupName>字词问题</groupName>
      <ability>L2_Typo</ability>
      <abilityName>字词错误</abilityName>
      <candidateList>
        <item>包装</item>
      </candidateList>
      <explain>❶〈动〉在商品外面用纸包裹或把商品装进纸盒、瓶子等：定量～｜～商品要注意质量。❷〈名〉指包装商品的东西，如纸、盒子、瓶子等：～美观｜运输不慎，～破损严重。❸〈动〉比喻对人或事物从形象上装扮、美化，使更具吸引力或商业价值：～歌星。</explain>
      <paraID>181F9A7C</paraID>
      <start>55</start>
      <end>58</end>
      <status>ignored</status>
      <modifiedWord/>
      <trackRevisions>false</trackRevisions>
    </reviewItem>
    <reviewItem>
      <errorID>f7764354-0676-4de9-80e5-e291067fe038</errorID>
      <errorWord>用水水质</errorWord>
      <group>L1_Knowledge</group>
      <groupName>知识性问题</groupName>
      <ability>L2_Term</ability>
      <abilityName>专业术语</abilityName>
      <candidateList>
        <item>出水水质</item>
      </candidateList>
      <explain/>
      <paraID>46F69E40</paraID>
      <start>100</start>
      <end>104</end>
      <status>ignored</status>
      <modifiedWord/>
      <trackRevisions>false</trackRevisions>
    </reviewItem>
    <reviewItem>
      <errorID>4fe8bf22-8362-4081-a31b-1f76052e6b9a</errorID>
      <errorWord>＜</errorWord>
      <group>L1_Format</group>
      <groupName>格式问题</groupName>
      <ability>L2_HalfPunc</ability>
      <abilityName>全半角检查</abilityName>
      <candidateList>
        <item>&lt;</item>
      </candidateList>
      <explain>文本全半角错误。</explain>
      <paraID>21F8E61F</paraID>
      <start>0</start>
      <end>1</end>
      <status>ignored</status>
      <modifiedWord/>
      <trackRevisions>false</trackRevisions>
    </reviewItem>
    <reviewItem>
      <errorID>2f629f28-8966-4b20-a027-4b7a846a1af1</errorID>
      <errorWord>＜</errorWord>
      <group>L1_Format</group>
      <groupName>格式问题</groupName>
      <ability>L2_HalfPunc</ability>
      <abilityName>全半角检查</abilityName>
      <candidateList>
        <item>&lt;</item>
      </candidateList>
      <explain>文本全半角错误。</explain>
      <paraID>7E928EE5</paraID>
      <start>0</start>
      <end>1</end>
      <status>ignored</status>
      <modifiedWord/>
      <trackRevisions>false</trackRevisions>
    </reviewItem>
    <reviewItem>
      <errorID>81ddf999-4bfc-4832-9b89-bfda012c3c02</errorID>
      <errorWord>均为</errorWord>
      <group>L1_Word</group>
      <groupName>字词问题</groupName>
      <ability>L2_Typo</ability>
      <abilityName>字词错误</abilityName>
      <candidateList>
        <item>均</item>
      </candidateList>
      <explain/>
      <paraID>2442EE41</paraID>
      <start>26</start>
      <end>27</end>
      <status>modified</status>
      <modifiedWord>均</modifiedWord>
      <trackRevisions>false</trackRevisions>
    </reviewItem>
    <reviewItem>
      <errorID>4e0f1d18-dc6a-433c-bf1e-cfeecd82cb65</errorID>
      <errorWord>达</errorWord>
      <group>L1_Word</group>
      <groupName>字词问题</groupName>
      <ability>L2_Typo</ability>
      <abilityName>字词错误</abilityName>
      <candidateList>
        <item>达到</item>
      </candidateList>
      <explain>〈动〉到（多指抽象事物或程度）：达得到｜达不到｜目的没有～｜～国际水平。</explain>
      <paraID>6170F1F5</paraID>
      <start>22</start>
      <end>23</end>
      <status>ignored</status>
      <modifiedWord/>
      <trackRevisions>false</trackRevisions>
    </reviewItem>
    <reviewItem>
      <errorID>2bff1675-080c-49a2-9d0d-712b79898788</errorID>
      <errorWord>能有效能有效</errorWord>
      <group>L1_Word</group>
      <groupName>字词问题</groupName>
      <ability>L2_Typo</ability>
      <abilityName>字词错误</abilityName>
      <candidateList>
        <item>能有效</item>
      </candidateList>
      <explain/>
      <paraID>6170F1F5</paraID>
      <start>239</start>
      <end>242</end>
      <status>modified</status>
      <modifiedWord>能有效</modifiedWord>
      <trackRevisions>false</trackRevisions>
    </reviewItem>
    <reviewItem>
      <errorID>672e4883-f0fc-46d0-a2dd-d51b0f133434</errorID>
      <errorWord>使用</errorWord>
      <group>L1_Grammar</group>
      <groupName>语法问题</groupName>
      <ability>L2_Grammar</ability>
      <abilityName>语法错误</abilityName>
      <candidateList>
        <item>采取</item>
      </candidateList>
      <explain>“使用～措施”搭配不当，建议修改为“采取～措施”。</explain>
      <paraID>7EA4CCCC</paraID>
      <start>54</start>
      <end>56</end>
      <status>ignored</status>
      <modifiedWord/>
      <trackRevisions>false</trackRevisions>
    </reviewItem>
    <reviewItem>
      <errorID>48b90a6d-7f46-4fb2-92f0-5ab89fc4f71e</errorID>
      <errorWord>交有</errorWord>
      <group>L1_Word</group>
      <groupName>字词问题</groupName>
      <ability>L2_Typo</ability>
      <abilityName>字词错误</abilityName>
      <candidateList>
        <item>交由</item>
      </candidateList>
      <explain>存在发音相同字词的误用。</explain>
      <paraID> A957F5A</paraID>
      <start>57</start>
      <end>59</end>
      <status>ignored</status>
      <modifiedWord/>
      <trackRevisions>false</trackRevisions>
    </reviewItem>
    <reviewItem>
      <errorID>95ac6c9e-75c5-40e0-baa3-a0f962a3723e</errorID>
      <errorWord>强</errorWord>
      <group>L1_Word</group>
      <groupName>字词问题</groupName>
      <ability>L2_Typo</ability>
      <abilityName>字词错误</abilityName>
      <candidateList>
        <item>强对</item>
      </candidateList>
      <explain/>
      <paraID>63B1A3C0</paraID>
      <start>40</start>
      <end>42</end>
      <status>modified</status>
      <modifiedWord>强对</modifiedWord>
      <trackRevisions>false</trackRevisions>
    </reviewItem>
    <reviewItem>
      <errorID>1cf4feee-f9a6-466b-a76e-cffdab33365b</errorID>
      <errorWord>间隔断</errorWord>
      <group>L1_Word</group>
      <groupName>字词问题</groupName>
      <ability>L2_Typo</ability>
      <abilityName>字词错误</abilityName>
      <candidateList>
        <item>间隔</item>
      </candidateList>
      <explain/>
      <paraID>3877B9E9</paraID>
      <start>22</start>
      <end>25</end>
      <status>ignored</status>
      <modifiedWord/>
      <trackRevisions>false</trackRevisions>
    </reviewItem>
    <reviewItem>
      <errorID>0a5deb23-2363-4e08-a587-96ecf31a4e24</errorID>
      <errorWord>程</errorWord>
      <group>L1_Word</group>
      <groupName>字词问题</groupName>
      <ability>L2_Typo</ability>
      <abilityName>字词错误</abilityName>
      <candidateList>
        <item>程中</item>
      </candidateList>
      <explain/>
      <paraID>439712D8</paraID>
      <start>6</start>
      <end>8</end>
      <status>modified</status>
      <modifiedWord>程中</modifiedWord>
      <trackRevisions>false</trackRevisions>
    </reviewItem>
    <reviewItem>
      <errorID>2f2aff41-d51a-4325-9199-f4b9600a4352</errorID>
      <errorWord>，即</errorWord>
      <group>L1_Word</group>
      <groupName>字词问题</groupName>
      <ability>L2_Typo</ability>
      <abilityName>字词错误</abilityName>
      <candidateList>
        <item>，</item>
      </candidateList>
      <explain/>
      <paraID>439712D8</paraID>
      <start>43</start>
      <end>45</end>
      <status>ignored</status>
      <modifiedWord/>
      <trackRevisions>false</trackRevisions>
    </reviewItem>
    <reviewItem>
      <errorID>640a693b-b9a9-460d-bef9-1d190fc37d6c</errorID>
      <errorWord>物质</errorWord>
      <group>L1_Word</group>
      <groupName>字词问题</groupName>
      <ability>L2_Typo</ability>
      <abilityName>字词错误</abilityName>
      <candidateList>
        <item>物</item>
      </candidateList>
      <explain/>
      <paraID>3CD7FF03</paraID>
      <start>48</start>
      <end>49</end>
      <status>modified</status>
      <modifiedWord>物</modifiedWord>
      <trackRevisions>false</trackRevisions>
    </reviewItem>
    <reviewItem>
      <errorID>4b348809-7982-4255-8bb3-d0fb941939de</errorID>
      <errorWord>漫流</errorWord>
      <group>L1_Word</group>
      <groupName>字词问题</groupName>
      <ability>L2_Typo</ability>
      <abilityName>字词错误</abilityName>
      <candidateList>
        <item>径流</item>
      </candidateList>
      <explain>〈名〉降水除蒸发的、被土地吸收的和被拦堵的以外，沿着地面流走的水叫径流。渗入地下的也可以形成地下径流。</explain>
      <paraID>3DE90C83</paraID>
      <start>5</start>
      <end>7</end>
      <status>ignored</status>
      <modifiedWord/>
      <trackRevisions>false</trackRevisions>
    </reviewItem>
    <reviewItem>
      <errorID>12d035d1-9ad8-4065-a1f2-8113f70a3a31</errorID>
      <errorWord>联通</errorWord>
      <group>L1_Word</group>
      <groupName>字词问题</groupName>
      <ability>L2_Typo</ability>
      <abilityName>字词错误</abilityName>
      <candidateList>
        <item>连通</item>
      </candidateList>
      <explain>存在发音相同字词的误用。</explain>
      <paraID>3BA8FF94</paraID>
      <start>69</start>
      <end>71</end>
      <status>modified</status>
      <modifiedWord>连通</modifiedWord>
      <trackRevisions>false</trackRevisions>
    </reviewItem>
    <reviewItem>
      <errorID>878571c9-4fe2-466b-9b96-09982abc5b22</errorID>
      <errorWord>记性</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13424483</paraID>
      <start>13</start>
      <end>15</end>
      <status>modified</status>
      <modifiedWord>进行</modifiedWord>
      <trackRevisions>false</trackRevisions>
    </reviewItem>
    <reviewItem>
      <errorID>3170f309-732d-4f73-ba62-622623fb344f</errorID>
      <errorWord>检漏监测</errorWord>
      <group>L1_Word</group>
      <groupName>字词问题</groupName>
      <ability>L2_Typo</ability>
      <abilityName>字词错误</abilityName>
      <candidateList>
        <item>检漏检测</item>
      </candidateList>
      <explain/>
      <paraID> 9F53F5C</paraID>
      <start>12</start>
      <end>16</end>
      <status>modified</status>
      <modifiedWord>检漏检测</modifiedWord>
      <trackRevisions>false</trackRevisions>
    </reviewItem>
    <reviewItem>
      <errorID>7f16ea48-9600-40ab-b8c2-bd2b02cd7452</errorID>
      <errorWord>-</errorWord>
      <group>L1_Format</group>
      <groupName>格式问题</groupName>
      <ability>L2_HalfPunc</ability>
      <abilityName>全半角检查</abilityName>
      <candidateList>
        <item>－</item>
      </candidateList>
      <explain>文本全半角错误。</explain>
      <paraID>7E6E0427</paraID>
      <start>13</start>
      <end>14</end>
      <status>ignored</status>
      <modifiedWord/>
      <trackRevisions>false</trackRevisions>
    </reviewItem>
    <reviewItem>
      <errorID>e34d8f38-9b9a-4a63-bc95-8046d0f60764</errorID>
      <errorWord>-</errorWord>
      <group>L1_Format</group>
      <groupName>格式问题</groupName>
      <ability>L2_HalfPunc</ability>
      <abilityName>全半角检查</abilityName>
      <candidateList>
        <item>－</item>
      </candidateList>
      <explain>文本全半角错误。</explain>
      <paraID>5538E0DD</paraID>
      <start>16</start>
      <end>17</end>
      <status>ignored</status>
      <modifiedWord/>
      <trackRevisions>false</trackRevisions>
    </reviewItem>
    <reviewItem>
      <errorID>2dd67d20-9b06-47aa-9d79-3b5aebd43e57</errorID>
      <errorWord>检漏监测</errorWord>
      <group>L1_Word</group>
      <groupName>字词问题</groupName>
      <ability>L2_Typo</ability>
      <abilityName>字词错误</abilityName>
      <candidateList>
        <item>检漏检测</item>
      </candidateList>
      <explain/>
      <paraID>1C4EF696</paraID>
      <start>159</start>
      <end>163</end>
      <status>modified</status>
      <modifiedWord>检漏检测</modifiedWord>
      <trackRevisions>false</trackRevisions>
    </reviewItem>
    <reviewItem>
      <errorID>bbcb30d6-a1bb-43e6-9ab5-8cddde5cdb01</errorID>
      <errorWord>作好</errorWord>
      <group>L1_Word</group>
      <groupName>字词问题</groupName>
      <ability>L2_Typo</ability>
      <abilityName>字词错误</abilityName>
      <candidateList>
        <item>做好</item>
      </candidateList>
      <explain>存在发音相同字词的误用。</explain>
      <paraID>1C4EF696</paraID>
      <start>189</start>
      <end>191</end>
      <status>modified</status>
      <modifiedWord>做好</modifiedWord>
      <trackRevisions>false</trackRevisions>
    </reviewItem>
    <reviewItem>
      <errorID>6791021f-7845-4b51-bffe-cd8e39a74ecc</errorID>
      <errorWord>和料</errorWord>
      <group>L1_Word</group>
      <groupName>字词问题</groupName>
      <ability>L2_Typo</ability>
      <abilityName>字词错误</abilityName>
      <candidateList>
        <item>加料</item>
      </candidateList>
      <explain/>
      <paraID>5A03C359</paraID>
      <start>69</start>
      <end>71</end>
      <status>ignored</status>
      <modifiedWord/>
      <trackRevisions>false</trackRevisions>
    </reviewItem>
    <reviewItem>
      <errorID>d1a4c7f3-1f9a-43db-b6bb-009a431c20f5</errorID>
      <errorWord>空隙</errorWord>
      <group>L1_Word</group>
      <groupName>字词问题</groupName>
      <ability>L2_Typo</ability>
      <abilityName>字词错误</abilityName>
      <candidateList>
        <item>孔隙</item>
      </candidateList>
      <explain>存在发音相同字词的误用。</explain>
      <paraID>5A03C359</paraID>
      <start>87</start>
      <end>89</end>
      <status>modified</status>
      <modifiedWord>孔隙</modifiedWord>
      <trackRevisions>false</trackRevisions>
    </reviewItem>
    <reviewItem>
      <errorID>7c19392f-954a-41b9-975b-8b1df51b37a3</errorID>
      <errorWord>尤其</errorWord>
      <group>L1_Word</group>
      <groupName>字词问题</groupName>
      <ability>L2_Typo</ability>
      <abilityName>字词错误</abilityName>
      <candidateList>
        <item>其</item>
      </candidateList>
      <explain>词缀：极～｜尤～｜如～。</explain>
      <paraID>47D5B254</paraID>
      <start>27</start>
      <end>28</end>
      <status>modified</status>
      <modifiedWord>其</modifiedWord>
      <trackRevisions>false</trackRevisions>
    </reviewItem>
    <reviewItem>
      <errorID>3e9e1bf5-44d1-4f0c-984d-499dcbc39a05</errorID>
      <errorWord>库库</errorWord>
      <group>L1_Word</group>
      <groupName>字词问题</groupName>
      <ability>L2_Typo</ability>
      <abilityName>字词错误</abilityName>
      <candidateList>
        <item>库</item>
      </candidateList>
      <explain/>
      <paraID>25939CD5</paraID>
      <start>74</start>
      <end>75</end>
      <status>modified</status>
      <modifiedWord>库</modifiedWord>
      <trackRevisions>false</trackRevisions>
    </reviewItem>
    <reviewItem>
      <errorID>f9572649-af47-458f-8166-3b7e2d34bc2a</errorID>
      <errorWord>环保治理</errorWord>
      <group>L1_Word</group>
      <groupName>字词问题</groupName>
      <ability>L2_Typo</ability>
      <abilityName>字词错误</abilityName>
      <candidateList>
        <item>环境治理</item>
      </candidateList>
      <explain/>
      <paraID>656D74AF</paraID>
      <start>0</start>
      <end>4</end>
      <status>ignored</status>
      <modifiedWord/>
      <trackRevisions>false</trackRevisions>
    </reviewItem>
    <reviewItem>
      <errorID>12d2b849-8b8a-4aab-ba6e-3869a7c81ccc</errorID>
      <errorWord>源</errorWord>
      <group>L1_Word</group>
      <groupName>字词问题</groupName>
      <ability>L2_Typo</ability>
      <abilityName>字词错误</abilityName>
      <candidateList>
        <item>源由</item>
      </candidateList>
      <explain/>
      <paraID>2A550E48</paraID>
      <start>18</start>
      <end>20</end>
      <status>modified</status>
      <modifiedWord>源由</modifiedWord>
      <trackRevisions>false</trackRevisions>
    </reviewItem>
    <reviewItem>
      <errorID>9078476f-6c76-49f9-b379-54be25e2f314</errorID>
      <errorWord>，</errorWord>
      <group>L1_Word</group>
      <groupName>字词问题</groupName>
      <ability>L2_Typo</ability>
      <abilityName>字词错误</abilityName>
      <candidateList>
        <item>，具</item>
      </candidateList>
      <explain/>
      <paraID>2A550E48</paraID>
      <start>77</start>
      <end>79</end>
      <status>modified</status>
      <modifiedWord>，具</modifiedWord>
      <trackRevisions>false</trackRevisions>
    </reviewItem>
    <reviewItem>
      <errorID>1def47ba-19ef-4086-b171-59a415c85bb2</errorID>
      <errorWord>健康的</errorWord>
      <group>L1_Word</group>
      <groupName>字词问题</groupName>
      <ability>L2_Typo</ability>
      <abilityName>字词错误</abilityName>
      <candidateList>
        <item>健康</item>
      </candidateList>
      <explain/>
      <paraID>2518CA8E</paraID>
      <start>36</start>
      <end>38</end>
      <status>modified</status>
      <modifiedWord>健康</modifiedWord>
      <trackRevisions>false</trackRevisions>
    </reviewItem>
    <reviewItem>
      <errorID>871612d8-9d81-4f63-8039-7a1f4069c3ce</errorID>
      <errorWord>提高</errorWord>
      <group>L1_Grammar</group>
      <groupName>语法问题</groupName>
      <ability>L2_Grammar</ability>
      <abilityName>语法错误</abilityName>
      <candidateList>
        <item>增强</item>
      </candidateList>
      <explain>“提高～意识”搭配不当，建议修改为“增强～意识”。</explain>
      <paraID>1D4B16E4</paraID>
      <start>227</start>
      <end>229</end>
      <status>modified</status>
      <modifiedWord>增强</modifiedWord>
      <trackRevisions>false</trackRevisions>
    </reviewItem>
    <reviewItem>
      <errorID>af3d999e-812f-42e2-9423-474c7f03a8e6</errorID>
      <errorWord>法律、法规</errorWord>
      <group>L1_Word</group>
      <groupName>字词问题</groupName>
      <ability>L2_Typo</ability>
      <abilityName>字词错误</abilityName>
      <candidateList>
        <item>法律法规</item>
      </candidateList>
      <explain/>
      <paraID> 68D0B07</paraID>
      <start>24</start>
      <end>29</end>
      <status>ignored</status>
      <modifiedWord/>
      <trackRevisions>false</trackRevisions>
    </reviewItem>
    <reviewItem>
      <errorID>e5283435-85ee-4265-9d39-e86e00e6f0e5</errorID>
      <errorWord>制订</errorWord>
      <group>L1_Word</group>
      <groupName>字词问题</groupName>
      <ability>L2_Typo</ability>
      <abilityName>字词错误</abilityName>
      <candidateList>
        <item>制定</item>
      </candidateList>
      <explain>〈动〉定出（法律、规程、政策等）：～宪法｜～学会章程。</explain>
      <paraID>6BECC1A4</paraID>
      <start>3</start>
      <end>5</end>
      <status>modified</status>
      <modifiedWord>制定</modifiedWord>
      <trackRevisions>false</trackRevisions>
    </reviewItem>
    <reviewItem>
      <errorID>96173733-2545-41c4-9a50-55f1207e25b2</errorID>
      <errorWord>环保治理</errorWord>
      <group>L1_Word</group>
      <groupName>字词问题</groupName>
      <ability>L2_Typo</ability>
      <abilityName>字词错误</abilityName>
      <candidateList>
        <item>环境治理</item>
      </candidateList>
      <explain/>
      <paraID>5AD08864</paraID>
      <start>34</start>
      <end>38</end>
      <status>ignored</status>
      <modifiedWord/>
      <trackRevisions>false</trackRevisions>
    </reviewItem>
    <reviewItem>
      <errorID>ff17d16a-2b0e-4cfd-9448-6fe0b2d308c8</errorID>
      <errorWord>接受单位</errorWord>
      <group>L1_Word</group>
      <groupName>字词问题</groupName>
      <ability>L2_Typo</ability>
      <abilityName>字词错误</abilityName>
      <candidateList>
        <item>接收单位</item>
      </candidateList>
      <explain>存在发音相同字词的误用。</explain>
      <paraID>655F4112</paraID>
      <start>133</start>
      <end>137</end>
      <status>modified</status>
      <modifiedWord>接收单位</modifiedWord>
      <trackRevisions>false</trackRevisions>
    </reviewItem>
    <reviewItem>
      <errorID>50c44bfb-6ffe-42c2-96e3-b555f5c39d29</errorID>
      <errorWord>期</errorWord>
      <group>L1_Word</group>
      <groupName>字词问题</groupName>
      <ability>L2_Typo</ability>
      <abilityName>字词错误</abilityName>
      <candidateList>
        <item>期间</item>
      </candidateList>
      <explain>〈名〉某个时期里面：农忙～｜春节～｜抗战～。</explain>
      <paraID>460A5FA5</paraID>
      <start>15</start>
      <end>16</end>
      <status>ignored</status>
      <modifiedWord/>
      <trackRevisions>false</trackRevisions>
    </reviewItem>
    <reviewItem>
      <errorID>f20474e5-9eec-4bb3-8bff-f74f65fc54f9</errorID>
      <errorWord>，</errorWord>
      <group>L1_Word</group>
      <groupName>字词问题</groupName>
      <ability>L2_Typo</ability>
      <abilityName>字词错误</abilityName>
      <candidateList>
        <item>，在</item>
      </candidateList>
      <explain/>
      <paraID>472E8EEC</paraID>
      <start>78</start>
      <end>80</end>
      <status>modified</status>
      <modifiedWord>，在</modifiedWord>
      <trackRevisions>false</trackRevisions>
    </reviewItem>
    <reviewItem>
      <errorID>08d8bf54-b04b-4b85-924b-87a384967950</errorID>
      <errorWord>做</errorWord>
      <group>L1_Word</group>
      <groupName>字词问题</groupName>
      <ability>L2_Typo</ability>
      <abilityName>字词错误</abilityName>
      <candidateList>
        <item>做好</item>
      </candidateList>
      <explain/>
      <paraID>54C3E4F5</paraID>
      <start>25</start>
      <end>27</end>
      <status>modified</status>
      <modifiedWord>做好</modifiedWord>
      <trackRevisions>false</trackRevisions>
    </reviewItem>
    <reviewItem>
      <errorID>48d03677-850c-4adb-b5e2-81b0ebb6ee02</errorID>
      <errorWord>III类</errorWord>
      <group>L1_Knowledge</group>
      <groupName>知识性问题</groupName>
      <ability>L2_Knowledge</ability>
      <abilityName>其他知识</abilityName>
      <candidateList>
        <item>Ⅲ类</item>
      </candidateList>
      <explain/>
      <paraID>6C29C38C</paraID>
      <start>26</start>
      <end>30</end>
      <status>ignored</status>
      <modifiedWord/>
      <trackRevisions>false</trackRevisions>
    </reviewItem>
    <reviewItem>
      <errorID>b7945212-ec78-4fb2-80fe-1516cf014c17</errorID>
      <errorWord>：</errorWord>
      <group>L1_Format</group>
      <groupName>格式问题</groupName>
      <ability>L2_HalfPunc</ability>
      <abilityName>全半角检查</abilityName>
      <candidateList>
        <item>: </item>
      </candidateList>
      <explain>文本全半角错误。</explain>
      <paraID>1E42E397</paraID>
      <start>2</start>
      <end>3</end>
      <status>ignored</status>
      <modifiedWord/>
      <trackRevisions>false</trackRevisions>
    </reviewItem>
    <reviewItem>
      <errorID>1a478b97-7a6b-4d0d-80e9-2fca966fddf5</errorID>
      <errorWord>，</errorWord>
      <group>L1_Format</group>
      <groupName>格式问题</groupName>
      <ability>L2_HalfPunc</ability>
      <abilityName>全半角检查</abilityName>
      <candidateList>
        <item>, </item>
      </candidateList>
      <explain>文本全半角错误。</explain>
      <paraID>1E42E397</paraID>
      <start>15</start>
      <end>16</end>
      <status>ignored</status>
      <modifiedWord/>
      <trackRevisions>false</trackRevisions>
    </reviewItem>
    <reviewItem>
      <errorID>9bbc6159-2861-4557-ad70-38fdd681bdf8</errorID>
      <errorWord>；</errorWord>
      <group>L1_Format</group>
      <groupName>格式问题</groupName>
      <ability>L2_HalfPunc</ability>
      <abilityName>全半角检查</abilityName>
      <candidateList>
        <item>;</item>
      </candidateList>
      <explain>文本全半角错误。</explain>
      <paraID>1E42E397</paraID>
      <start>27</start>
      <end>28</end>
      <status>ignored</status>
      <modifiedWord/>
      <trackRevisions>false</trackRevisions>
    </reviewItem>
    <reviewItem>
      <errorID>edb91ceb-d535-4cfd-b138-c2097c80aee8</errorID>
      <errorWord>：</errorWord>
      <group>L1_Format</group>
      <groupName>格式问题</groupName>
      <ability>L2_HalfPunc</ability>
      <abilityName>全半角检查</abilityName>
      <candidateList>
        <item>: </item>
      </candidateList>
      <explain>文本全半角错误。</explain>
      <paraID> 721CB2F</paraID>
      <start>2</start>
      <end>3</end>
      <status>ignored</status>
      <modifiedWord/>
      <trackRevisions>false</trackRevisions>
    </reviewItem>
    <reviewItem>
      <errorID>2408ab12-8e88-414c-99bb-aa04a20f6162</errorID>
      <errorWord>，</errorWord>
      <group>L1_Format</group>
      <groupName>格式问题</groupName>
      <ability>L2_HalfPunc</ability>
      <abilityName>全半角检查</abilityName>
      <candidateList>
        <item>, </item>
      </candidateList>
      <explain>文本全半角错误。</explain>
      <paraID> 721CB2F</paraID>
      <start>15</start>
      <end>16</end>
      <status>ignored</status>
      <modifiedWord/>
      <trackRevisions>false</trackRevisions>
    </reviewItem>
    <reviewItem>
      <errorID>beadb995-0c10-4743-a309-c728ff48b1c6</errorID>
      <errorWord>；</errorWord>
      <group>L1_Format</group>
      <groupName>格式问题</groupName>
      <ability>L2_HalfPunc</ability>
      <abilityName>全半角检查</abilityName>
      <candidateList>
        <item>;</item>
      </candidateList>
      <explain>文本全半角错误。</explain>
      <paraID> 721CB2F</paraID>
      <start>27</start>
      <end>28</end>
      <status>ignored</status>
      <modifiedWord/>
      <trackRevisions>false</trackRevisions>
    </reviewItem>
    <reviewItem>
      <errorID>e73672c0-5fc8-4122-90d2-140ca8f66ab1</errorID>
      <errorWord>：</errorWord>
      <group>L1_Format</group>
      <groupName>格式问题</groupName>
      <ability>L2_HalfPunc</ability>
      <abilityName>全半角检查</abilityName>
      <candidateList>
        <item>: </item>
      </candidateList>
      <explain>文本全半角错误。</explain>
      <paraID>367C8DCF</paraID>
      <start>2</start>
      <end>3</end>
      <status>ignored</status>
      <modifiedWord/>
      <trackRevisions>false</trackRevisions>
    </reviewItem>
    <reviewItem>
      <errorID>6c1a09f5-8062-42b0-8f62-bdaebb2ca609</errorID>
      <errorWord>，</errorWord>
      <group>L1_Format</group>
      <groupName>格式问题</groupName>
      <ability>L2_HalfPunc</ability>
      <abilityName>全半角检查</abilityName>
      <candidateList>
        <item>, </item>
      </candidateList>
      <explain>文本全半角错误。</explain>
      <paraID>367C8DCF</paraID>
      <start>15</start>
      <end>16</end>
      <status>ignored</status>
      <modifiedWord/>
      <trackRevisions>false</trackRevisions>
    </reviewItem>
    <reviewItem>
      <errorID>04d82996-5ada-4556-91ac-856227919ef6</errorID>
      <errorWord>。</errorWord>
      <group>L1_Format</group>
      <groupName>格式问题</groupName>
      <ability>L2_HalfPunc</ability>
      <abilityName>全半角检查</abilityName>
      <candidateList>
        <item>.</item>
      </candidateList>
      <explain>文本全半角错误。</explain>
      <paraID>367C8DCF</paraID>
      <start>27</start>
      <end>28</end>
      <status>ignored</status>
      <modifiedWord/>
      <trackRevisions>false</trackRevisions>
    </reviewItem>
    <reviewItem>
      <errorID>4cb16454-1b35-4964-abb1-e13c50debb3c</errorID>
      <errorWord>）</errorWord>
      <group>L1_Word</group>
      <groupName>字词问题</groupName>
      <ability>L2_Typo</ability>
      <abilityName>字词错误</abilityName>
      <candidateList>
        <item>）与</item>
      </candidateList>
      <explain/>
      <paraID>5B58ACAA</paraID>
      <start>2</start>
      <end>3</end>
      <status>ignored</status>
      <modifiedWord/>
      <trackRevisions>false</trackRevisions>
    </reviewItem>
    <reviewItem>
      <errorID>0a986549-1fee-4cfd-be7e-4d3120d35a34</errorID>
      <errorWord>法律、法规</errorWord>
      <group>L1_Word</group>
      <groupName>字词问题</groupName>
      <ability>L2_Typo</ability>
      <abilityName>字词错误</abilityName>
      <candidateList>
        <item>法律法规</item>
      </candidateList>
      <explain/>
      <paraID>6091D1F1</paraID>
      <start>27</start>
      <end>32</end>
      <status>ignored</status>
      <modifiedWord/>
      <trackRevisions>false</trackRevisions>
    </reviewItem>
    <reviewItem>
      <errorID>bbbf0835-53b9-4adc-b97d-5f6652d24158</errorID>
      <errorWord>等地</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2C3F40A3</paraID>
      <start>92</start>
      <end>93</end>
      <status>modified</status>
      <modifiedWord>等</modifiedWord>
      <trackRevisions>false</trackRevisions>
    </reviewItem>
    <reviewItem>
      <errorID>4af325b7-83e4-4f64-803d-0f37388e996a</errorID>
      <errorWord>环节应</errorWord>
      <group>L1_Word</group>
      <groupName>字词问题</groupName>
      <ability>L2_Typo</ability>
      <abilityName>字词错误</abilityName>
      <candidateList>
        <item>环节</item>
      </candidateList>
      <explain>〈名〉❶某些低等动物如蚯蚓、蜈蚣等，身体由许多大小差不多的环状结构互相连接组成，这些结构叫做环节，能伸缩。❷指互相关联的许多事物中的一个：主要～｜薄弱～。</explain>
      <paraID>227DF723</paraID>
      <start>36</start>
      <end>38</end>
      <status>modified</status>
      <modifiedWord>环节</modifiedWord>
      <trackRevisions>false</trackRevisions>
    </reviewItem>
    <reviewItem>
      <errorID>eb8fe071-0b5b-4c5e-a9d2-7503416bf561</errorID>
      <errorWord>20）、</errorWord>
      <group>L1_Punc</group>
      <groupName>标点问题</groupName>
      <ability>L2_Punc</ability>
      <abilityName>标点符号检查</abilityName>
      <candidateList>
        <item>20）</item>
      </candidateList>
      <explain>根据国标GB/T 15834-2011《标点符号用法》中的4.5.3.3节，带括号的汉字数字或阿拉伯数字表次序时，后面通常不加顿号。如“（一）指导思想”“（二）行动指南”。</explain>
      <paraID>23EDF6BA</paraID>
      <start>64</start>
      <end>68</end>
      <status>ignored</status>
      <modifiedWord/>
      <trackRevisions>false</trackRevisions>
    </reviewItem>
    <reviewItem>
      <errorID>11a6c66c-f0d1-43ac-b266-78d5e300c37d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43458BA4</paraID>
      <start>71</start>
      <end>74</end>
      <status>ignored</status>
      <modifiedWord/>
      <trackRevisions>false</trackRevisions>
    </reviewItem>
    <reviewItem>
      <errorID>d28705a1-9912-4f9a-bb36-8cf12523bf0c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43458BA4</paraID>
      <start>77</start>
      <end>80</end>
      <status>ignored</status>
      <modifiedWord/>
      <trackRevisions>false</trackRevisions>
    </reviewItem>
    <reviewItem>
      <errorID>89d9cbaa-7a7a-4703-88a1-be497d4934ce</errorID>
      <errorWord>（</errorWord>
      <group>L1_Punc</group>
      <groupName>标点问题</groupName>
      <ability>L2_Punc</ability>
      <abilityName>标点符号检查</abilityName>
      <candidateList/>
      <explain>同一形式括号套用。</explain>
      <paraID>1C814A02</paraID>
      <start>31</start>
      <end>32</end>
      <status>ignored</status>
      <modifiedWord/>
      <trackRevisions>false</trackRevisions>
    </reviewItem>
    <reviewItem>
      <errorID>9a2a06cf-f339-48c2-ac78-f5f165de8ffc</errorID>
      <errorWord>）</errorWord>
      <group>L1_Punc</group>
      <groupName>标点问题</groupName>
      <ability>L2_Punc</ability>
      <abilityName>标点符号检查</abilityName>
      <candidateList/>
      <explain>同一形式括号套用。</explain>
      <paraID>1C814A02</paraID>
      <start>36</start>
      <end>37</end>
      <status>ignored</status>
      <modifiedWord/>
      <trackRevisions>false</trackRevisions>
    </reviewItem>
    <reviewItem>
      <errorID>ec3fcbd3-21aa-4f1f-8eb6-6b3837b624b0</errorID>
      <errorWord>根据监测结果显示</errorWord>
      <group>L1_Grammar</group>
      <groupName>语法问题</groupName>
      <ability>L2_Grammar</ability>
      <abilityName>语法错误</abilityName>
      <candidateList>
        <item>根据监测结果</item>
      </candidateList>
      <explain/>
      <paraID>5777896D</paraID>
      <start>0</start>
      <end>6</end>
      <status>modified</status>
      <modifiedWord>根据监测结果</modifiedWord>
      <trackRevisions>false</trackRevisions>
    </reviewItem>
    <reviewItem>
      <errorID>508557a9-48a7-4389-a136-2ace9a80bd1f</errorID>
      <errorWord>(</errorWord>
      <group>L1_Format</group>
      <groupName>格式问题</groupName>
      <ability>L2_HalfPunc</ability>
      <abilityName>全半角检查</abilityName>
      <candidateList>
        <item>（</item>
      </candidateList>
      <explain>文本全半角错误。</explain>
      <paraID>5777896D</paraID>
      <start>29</start>
      <end>30</end>
      <status>ignored</status>
      <modifiedWord/>
      <trackRevisions>false</trackRevisions>
    </reviewItem>
    <reviewItem>
      <errorID>2cf34bcc-c960-41b9-b36f-76eaec4466ff</errorID>
      <errorWord>)</errorWord>
      <group>L1_Format</group>
      <groupName>格式问题</groupName>
      <ability>L2_HalfPunc</ability>
      <abilityName>全半角检查</abilityName>
      <candidateList>
        <item>）</item>
      </candidateList>
      <explain>文本全半角错误。</explain>
      <paraID>5777896D</paraID>
      <start>41</start>
      <end>42</end>
      <status>ignored</status>
      <modifiedWord/>
      <trackRevisions>false</trackRevisions>
    </reviewItem>
    <reviewItem>
      <errorID>623fa8b4-a2de-4919-9c9a-05a6e3d909cb</errorID>
      <errorWord>III类</errorWord>
      <group>L1_Knowledge</group>
      <groupName>知识性问题</groupName>
      <ability>L2_Knowledge</ability>
      <abilityName>其他知识</abilityName>
      <candidateList>
        <item>Ⅲ类</item>
      </candidateList>
      <explain/>
      <paraID>714914F9</paraID>
      <start>101</start>
      <end>105</end>
      <status>ignored</status>
      <modifiedWord/>
      <trackRevisions>false</trackRevisions>
    </reviewItem>
    <reviewItem>
      <errorID>e8b7d5e5-9769-4c0e-bc5f-a0ae47a3c19a</errorID>
      <errorWord>根据监测结果显示</errorWord>
      <group>L1_Grammar</group>
      <groupName>语法问题</groupName>
      <ability>L2_Grammar</ability>
      <abilityName>语法错误</abilityName>
      <candidateList>
        <item>根据监测结果</item>
      </candidateList>
      <explain/>
      <paraID>596D8CA5</paraID>
      <start>0</start>
      <end>6</end>
      <status>modified</status>
      <modifiedWord>根据监测结果</modifiedWord>
      <trackRevisions>false</trackRevisions>
    </reviewItem>
    <reviewItem>
      <errorID>1fbdc1b1-9087-4d07-8122-0b4218350eb5</errorID>
      <errorWord>程</errorWord>
      <group>L1_Word</group>
      <groupName>字词问题</groupName>
      <ability>L2_Typo</ability>
      <abilityName>字词错误</abilityName>
      <candidateList>
        <item>程中</item>
      </candidateList>
      <explain/>
      <paraID>37978113</paraID>
      <start>220</start>
      <end>222</end>
      <status>modified</status>
      <modifiedWord>程中</modifiedWord>
      <trackRevisions>false</trackRevisions>
    </reviewItem>
    <reviewItem>
      <errorID>100cf0ec-e11b-4c76-b5e7-4d9b632af39b</errorID>
      <errorWord>围</errorWord>
      <group>L1_Word</group>
      <groupName>字词问题</groupName>
      <ability>L2_Typo</ability>
      <abilityName>字词错误</abilityName>
      <candidateList>
        <item>围内</item>
      </candidateList>
      <explain/>
      <paraID>2BF3560B</paraID>
      <start>60</start>
      <end>62</end>
      <status>modified</status>
      <modifiedWord>围内</modifiedWord>
      <trackRevisions>false</trackRevisions>
    </reviewItem>
    <reviewItem>
      <errorID>52390d20-cf45-4c5c-a85e-caf9dd3d25b4</errorID>
      <errorWord>达</errorWord>
      <group>L1_Word</group>
      <groupName>字词问题</groupName>
      <ability>L2_Typo</ability>
      <abilityName>字词错误</abilityName>
      <candidateList>
        <item>达到</item>
      </candidateList>
      <explain>〈动〉到（多指抽象事物或程度）：达得到｜达不到｜目的没有～｜～国际水平。</explain>
      <paraID>16FC8EA4</paraID>
      <start>157</start>
      <end>158</end>
      <status>ignored</status>
      <modifiedWord/>
      <trackRevisions>false</trackRevisions>
    </reviewItem>
    <reviewItem>
      <errorID>286ca802-92b4-4b88-bd80-1f3bdd1d5f80</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59F10685</paraID>
      <start>16</start>
      <end>18</end>
      <status>modified</status>
      <modifiedWord>可以</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F4809C-4CE1-4E6C-842D-5EADB8930F11}">
  <ds:schemaRefs/>
</ds:datastoreItem>
</file>

<file path=docProps/app.xml><?xml version="1.0" encoding="utf-8"?>
<Properties xmlns="http://schemas.openxmlformats.org/officeDocument/2006/extended-properties" xmlns:vt="http://schemas.openxmlformats.org/officeDocument/2006/docPropsVTypes">
  <Template>Normal.dotm</Template>
  <Pages>279</Pages>
  <Words>6038</Words>
  <Characters>7318</Characters>
  <Lines>1856</Lines>
  <Paragraphs>522</Paragraphs>
  <TotalTime>1</TotalTime>
  <ScaleCrop>false</ScaleCrop>
  <LinksUpToDate>false</LinksUpToDate>
  <CharactersWithSpaces>8011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2023-10-23T05:38:00Z</dcterms:created>
  <dc:creator>Administrator</dc:creator>
  <cp:lastModifiedBy>何欢</cp:lastModifiedBy>
  <dcterms:modified xsi:type="dcterms:W3CDTF">2026-05-09T09:20:54Z</dcterms:modified>
  <cp:revision>518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94D68D84A13645AF8285AE83B87F1BD5_12</vt:lpwstr>
  </property>
  <property fmtid="{D5CDD505-2E9C-101B-9397-08002B2CF9AE}" pid="4" name="KSOTemplateDocerSaveRecord">
    <vt:lpwstr>eyJoZGlkIjoiZjZlOTg0NTNiY2ExYTFkODNkMDlmMzJmMjI2MTEwZWQiLCJ1c2VySWQiOiIxNDg0NTY2NTQzIn0=</vt:lpwstr>
  </property>
</Properties>
</file>